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261E1" w14:textId="77777777" w:rsidR="00980B4C" w:rsidRDefault="00980B4C">
      <w:pPr>
        <w:rPr>
          <w:rFonts w:ascii="宋体" w:hAnsi="宋体" w:hint="eastAsia"/>
          <w:sz w:val="24"/>
        </w:rPr>
      </w:pPr>
    </w:p>
    <w:p w14:paraId="352407F7" w14:textId="77777777" w:rsidR="00980B4C" w:rsidRDefault="00980B4C" w:rsidP="002641D9">
      <w:pPr>
        <w:ind w:rightChars="-8" w:right="-17"/>
        <w:rPr>
          <w:rFonts w:eastAsia="黑体"/>
          <w:sz w:val="52"/>
          <w:szCs w:val="52"/>
        </w:rPr>
      </w:pPr>
    </w:p>
    <w:p w14:paraId="4252601A" w14:textId="77777777" w:rsidR="00980B4C" w:rsidRDefault="00980B4C">
      <w:pPr>
        <w:jc w:val="center"/>
        <w:rPr>
          <w:b/>
          <w:sz w:val="52"/>
          <w:szCs w:val="52"/>
        </w:rPr>
      </w:pPr>
    </w:p>
    <w:p w14:paraId="6D3DA953" w14:textId="77777777" w:rsidR="00980B4C" w:rsidRDefault="00980B4C">
      <w:pPr>
        <w:jc w:val="center"/>
        <w:rPr>
          <w:rFonts w:ascii="仿宋_GB2312" w:eastAsia="仿宋_GB2312"/>
          <w:b/>
          <w:sz w:val="32"/>
          <w:szCs w:val="32"/>
        </w:rPr>
      </w:pPr>
    </w:p>
    <w:p w14:paraId="7195B3DC" w14:textId="77777777" w:rsidR="00980B4C" w:rsidRDefault="003140D0">
      <w:pPr>
        <w:jc w:val="center"/>
        <w:rPr>
          <w:rFonts w:ascii="黑体" w:eastAsia="黑体" w:hAnsi="黑体" w:hint="eastAsia"/>
          <w:b/>
          <w:sz w:val="44"/>
          <w:szCs w:val="44"/>
        </w:rPr>
      </w:pPr>
      <w:r>
        <w:rPr>
          <w:rFonts w:ascii="黑体" w:eastAsia="黑体" w:hAnsi="黑体" w:hint="eastAsia"/>
          <w:b/>
          <w:sz w:val="44"/>
          <w:szCs w:val="44"/>
        </w:rPr>
        <w:t>天弘中证港股通互联网指数型</w:t>
      </w:r>
    </w:p>
    <w:p w14:paraId="1721EF8B" w14:textId="77777777" w:rsidR="00980B4C" w:rsidRDefault="003140D0">
      <w:pPr>
        <w:jc w:val="center"/>
        <w:rPr>
          <w:rFonts w:ascii="黑体" w:eastAsia="黑体" w:hAnsi="黑体" w:hint="eastAsia"/>
          <w:b/>
          <w:sz w:val="44"/>
          <w:szCs w:val="44"/>
        </w:rPr>
      </w:pPr>
      <w:r>
        <w:rPr>
          <w:rFonts w:ascii="黑体" w:eastAsia="黑体" w:hAnsi="黑体" w:hint="eastAsia"/>
          <w:b/>
          <w:sz w:val="44"/>
          <w:szCs w:val="44"/>
        </w:rPr>
        <w:t>证券投资基金托管协议</w:t>
      </w:r>
    </w:p>
    <w:p w14:paraId="788D539C" w14:textId="77777777" w:rsidR="00980B4C" w:rsidRDefault="00980B4C">
      <w:pPr>
        <w:jc w:val="center"/>
        <w:rPr>
          <w:rFonts w:ascii="宋体" w:hAnsi="宋体" w:hint="eastAsia"/>
          <w:sz w:val="44"/>
          <w:szCs w:val="44"/>
        </w:rPr>
      </w:pPr>
    </w:p>
    <w:p w14:paraId="49FB372B" w14:textId="77777777" w:rsidR="00974B29" w:rsidRDefault="00974B29">
      <w:pPr>
        <w:jc w:val="center"/>
        <w:rPr>
          <w:rFonts w:ascii="宋体" w:hAnsi="宋体" w:hint="eastAsia"/>
          <w:sz w:val="44"/>
          <w:szCs w:val="44"/>
        </w:rPr>
      </w:pPr>
    </w:p>
    <w:p w14:paraId="60CD76F0" w14:textId="77777777" w:rsidR="00980B4C" w:rsidRDefault="00980B4C">
      <w:pPr>
        <w:jc w:val="center"/>
        <w:rPr>
          <w:rFonts w:ascii="宋体" w:hAnsi="宋体" w:hint="eastAsia"/>
          <w:sz w:val="44"/>
          <w:szCs w:val="44"/>
        </w:rPr>
      </w:pPr>
    </w:p>
    <w:p w14:paraId="4558CB59" w14:textId="77777777" w:rsidR="00980B4C" w:rsidRDefault="00980B4C">
      <w:pPr>
        <w:jc w:val="center"/>
        <w:rPr>
          <w:rFonts w:ascii="宋体" w:hAnsi="宋体" w:hint="eastAsia"/>
          <w:sz w:val="44"/>
          <w:szCs w:val="44"/>
        </w:rPr>
      </w:pPr>
    </w:p>
    <w:p w14:paraId="7A7E0054" w14:textId="77777777" w:rsidR="00980B4C" w:rsidRDefault="00980B4C">
      <w:pPr>
        <w:jc w:val="center"/>
        <w:rPr>
          <w:rFonts w:ascii="宋体" w:hAnsi="宋体" w:hint="eastAsia"/>
          <w:sz w:val="44"/>
          <w:szCs w:val="44"/>
        </w:rPr>
      </w:pPr>
    </w:p>
    <w:p w14:paraId="4EDF7F0A" w14:textId="77777777" w:rsidR="00980B4C" w:rsidRDefault="00980B4C">
      <w:pPr>
        <w:jc w:val="center"/>
        <w:rPr>
          <w:rFonts w:ascii="宋体" w:hAnsi="宋体" w:hint="eastAsia"/>
          <w:sz w:val="44"/>
          <w:szCs w:val="44"/>
        </w:rPr>
      </w:pPr>
    </w:p>
    <w:p w14:paraId="6F198B74" w14:textId="77777777" w:rsidR="00980B4C" w:rsidRDefault="00980B4C">
      <w:pPr>
        <w:jc w:val="center"/>
        <w:rPr>
          <w:rFonts w:ascii="宋体" w:hAnsi="宋体" w:hint="eastAsia"/>
          <w:sz w:val="44"/>
          <w:szCs w:val="44"/>
        </w:rPr>
      </w:pPr>
    </w:p>
    <w:p w14:paraId="4207E5C4" w14:textId="040F0D93" w:rsidR="00980B4C" w:rsidRDefault="00980B4C">
      <w:pPr>
        <w:jc w:val="center"/>
        <w:rPr>
          <w:rFonts w:ascii="宋体" w:hAnsi="宋体" w:hint="eastAsia"/>
          <w:sz w:val="44"/>
          <w:szCs w:val="44"/>
        </w:rPr>
      </w:pPr>
    </w:p>
    <w:p w14:paraId="50887560" w14:textId="77777777" w:rsidR="0031729E" w:rsidRDefault="0031729E">
      <w:pPr>
        <w:jc w:val="center"/>
        <w:rPr>
          <w:rFonts w:ascii="宋体" w:hAnsi="宋体" w:hint="eastAsia"/>
          <w:sz w:val="44"/>
          <w:szCs w:val="44"/>
        </w:rPr>
      </w:pPr>
    </w:p>
    <w:p w14:paraId="44065729" w14:textId="77777777" w:rsidR="00980B4C" w:rsidRDefault="00980B4C">
      <w:pPr>
        <w:rPr>
          <w:rFonts w:ascii="宋体"/>
          <w:sz w:val="30"/>
        </w:rPr>
      </w:pPr>
    </w:p>
    <w:p w14:paraId="424A9A42" w14:textId="77777777" w:rsidR="00980B4C" w:rsidRDefault="003140D0">
      <w:pPr>
        <w:ind w:leftChars="540" w:left="1135" w:hanging="1"/>
        <w:jc w:val="left"/>
        <w:rPr>
          <w:sz w:val="32"/>
          <w:szCs w:val="32"/>
          <w:u w:val="single"/>
        </w:rPr>
      </w:pPr>
      <w:bookmarkStart w:id="0" w:name="_Toc382818591"/>
      <w:bookmarkStart w:id="1" w:name="_Toc382819065"/>
      <w:r>
        <w:rPr>
          <w:rFonts w:hint="eastAsia"/>
          <w:sz w:val="32"/>
          <w:szCs w:val="32"/>
        </w:rPr>
        <w:t>基金管理人：</w:t>
      </w:r>
      <w:bookmarkEnd w:id="0"/>
      <w:bookmarkEnd w:id="1"/>
      <w:r>
        <w:rPr>
          <w:rFonts w:hint="eastAsia"/>
          <w:sz w:val="32"/>
          <w:szCs w:val="32"/>
        </w:rPr>
        <w:t>天弘基金管理有限公司</w:t>
      </w:r>
    </w:p>
    <w:p w14:paraId="430CB210" w14:textId="77777777" w:rsidR="00980B4C" w:rsidRDefault="003140D0">
      <w:pPr>
        <w:ind w:leftChars="540" w:left="1135" w:hanging="1"/>
        <w:jc w:val="left"/>
        <w:rPr>
          <w:sz w:val="32"/>
          <w:szCs w:val="32"/>
        </w:rPr>
      </w:pPr>
      <w:bookmarkStart w:id="2" w:name="_Toc382818592"/>
      <w:bookmarkStart w:id="3" w:name="_Toc382819066"/>
      <w:r>
        <w:rPr>
          <w:rFonts w:hint="eastAsia"/>
          <w:sz w:val="32"/>
          <w:szCs w:val="32"/>
        </w:rPr>
        <w:t>基金托管人：上海浦东发展银行股份有限公司</w:t>
      </w:r>
      <w:bookmarkEnd w:id="2"/>
      <w:bookmarkEnd w:id="3"/>
    </w:p>
    <w:p w14:paraId="5917F2B7" w14:textId="77777777" w:rsidR="00980B4C" w:rsidRDefault="003140D0">
      <w:pPr>
        <w:spacing w:line="500" w:lineRule="atLeast"/>
        <w:jc w:val="center"/>
        <w:outlineLvl w:val="0"/>
        <w:rPr>
          <w:rFonts w:ascii="黑体" w:eastAsia="黑体" w:hAnsi="宋体" w:hint="eastAsia"/>
          <w:b/>
          <w:sz w:val="28"/>
          <w:szCs w:val="28"/>
        </w:rPr>
      </w:pPr>
      <w:r>
        <w:rPr>
          <w:rFonts w:ascii="黑体" w:eastAsia="黑体" w:hAnsi="宋体" w:hint="eastAsia"/>
          <w:b/>
          <w:sz w:val="28"/>
          <w:szCs w:val="28"/>
        </w:rPr>
        <w:br w:type="page"/>
      </w:r>
      <w:bookmarkStart w:id="4" w:name="_Toc382819067"/>
      <w:bookmarkStart w:id="5" w:name="_Toc382818593"/>
    </w:p>
    <w:p w14:paraId="06C74DB2" w14:textId="77777777" w:rsidR="00980B4C" w:rsidRDefault="003140D0">
      <w:pPr>
        <w:spacing w:line="500" w:lineRule="atLeast"/>
        <w:jc w:val="center"/>
        <w:outlineLvl w:val="0"/>
        <w:rPr>
          <w:rFonts w:ascii="宋体" w:hAnsi="宋体" w:hint="eastAsia"/>
          <w:b/>
          <w:sz w:val="36"/>
          <w:szCs w:val="28"/>
        </w:rPr>
      </w:pPr>
      <w:r>
        <w:rPr>
          <w:rFonts w:ascii="宋体" w:hAnsi="宋体" w:hint="eastAsia"/>
          <w:b/>
          <w:sz w:val="32"/>
          <w:szCs w:val="28"/>
        </w:rPr>
        <w:lastRenderedPageBreak/>
        <w:t>目 录</w:t>
      </w:r>
      <w:bookmarkEnd w:id="4"/>
      <w:bookmarkEnd w:id="5"/>
    </w:p>
    <w:p w14:paraId="26FC58C4" w14:textId="77777777" w:rsidR="00980B4C" w:rsidRDefault="003140D0">
      <w:pPr>
        <w:pStyle w:val="TOC1"/>
        <w:rPr>
          <w:rFonts w:ascii="Calibri" w:hAnsi="Calibri"/>
          <w:noProof/>
        </w:rPr>
      </w:pPr>
      <w:r>
        <w:fldChar w:fldCharType="begin"/>
      </w:r>
      <w:r>
        <w:instrText xml:space="preserve"> TOC \o "1-3" \h \z \u </w:instrText>
      </w:r>
      <w:r>
        <w:fldChar w:fldCharType="separate"/>
      </w:r>
    </w:p>
    <w:p w14:paraId="39E62C66" w14:textId="0FFCB90D" w:rsidR="00980B4C" w:rsidRDefault="003140D0">
      <w:pPr>
        <w:pStyle w:val="TOC1"/>
        <w:rPr>
          <w:rFonts w:ascii="Calibri" w:hAnsi="Calibri"/>
          <w:noProof/>
        </w:rPr>
      </w:pPr>
      <w:hyperlink w:anchor="_Toc382819071" w:history="1">
        <w:r>
          <w:rPr>
            <w:rStyle w:val="af2"/>
            <w:rFonts w:ascii="宋体" w:hAnsi="宋体" w:cs="Arial" w:hint="eastAsia"/>
            <w:noProof/>
            <w:szCs w:val="21"/>
          </w:rPr>
          <w:t>一、</w:t>
        </w:r>
        <w:r>
          <w:rPr>
            <w:rStyle w:val="af2"/>
            <w:rFonts w:ascii="宋体" w:hAnsi="宋体" w:cs="Arial"/>
            <w:noProof/>
            <w:szCs w:val="21"/>
          </w:rPr>
          <w:t xml:space="preserve"> </w:t>
        </w:r>
        <w:r>
          <w:rPr>
            <w:rStyle w:val="af2"/>
            <w:rFonts w:ascii="宋体" w:hAnsi="宋体" w:cs="Arial" w:hint="eastAsia"/>
            <w:noProof/>
            <w:szCs w:val="21"/>
          </w:rPr>
          <w:t>基金托管协议的依据、目的、原则和解释</w:t>
        </w:r>
        <w:r>
          <w:rPr>
            <w:noProof/>
          </w:rPr>
          <w:tab/>
        </w:r>
        <w:r>
          <w:rPr>
            <w:noProof/>
          </w:rPr>
          <w:fldChar w:fldCharType="begin"/>
        </w:r>
        <w:r>
          <w:rPr>
            <w:noProof/>
          </w:rPr>
          <w:instrText xml:space="preserve"> PAGEREF _Toc382819071 \h </w:instrText>
        </w:r>
        <w:r>
          <w:rPr>
            <w:noProof/>
          </w:rPr>
        </w:r>
        <w:r>
          <w:rPr>
            <w:noProof/>
          </w:rPr>
          <w:fldChar w:fldCharType="separate"/>
        </w:r>
        <w:r w:rsidR="00E03BB1">
          <w:rPr>
            <w:noProof/>
          </w:rPr>
          <w:t>4</w:t>
        </w:r>
        <w:r>
          <w:rPr>
            <w:noProof/>
          </w:rPr>
          <w:fldChar w:fldCharType="end"/>
        </w:r>
      </w:hyperlink>
    </w:p>
    <w:p w14:paraId="4E420CB0" w14:textId="6D53E6A9" w:rsidR="00980B4C" w:rsidRDefault="003140D0">
      <w:pPr>
        <w:pStyle w:val="TOC1"/>
        <w:rPr>
          <w:rFonts w:ascii="Calibri" w:hAnsi="Calibri"/>
          <w:noProof/>
        </w:rPr>
      </w:pPr>
      <w:hyperlink w:anchor="_Toc382819072" w:history="1">
        <w:r>
          <w:rPr>
            <w:rStyle w:val="af2"/>
            <w:rFonts w:ascii="宋体" w:hAnsi="宋体" w:cs="Arial" w:hint="eastAsia"/>
            <w:noProof/>
            <w:szCs w:val="21"/>
          </w:rPr>
          <w:t>二、</w:t>
        </w:r>
        <w:r>
          <w:rPr>
            <w:rStyle w:val="af2"/>
            <w:rFonts w:ascii="宋体" w:hAnsi="宋体" w:cs="Arial"/>
            <w:noProof/>
            <w:szCs w:val="21"/>
          </w:rPr>
          <w:t xml:space="preserve"> </w:t>
        </w:r>
        <w:r>
          <w:rPr>
            <w:rStyle w:val="af2"/>
            <w:rFonts w:ascii="宋体" w:hAnsi="宋体" w:cs="Arial" w:hint="eastAsia"/>
            <w:noProof/>
            <w:szCs w:val="21"/>
          </w:rPr>
          <w:t>基金托管人对基金管理人的业务监督和核查</w:t>
        </w:r>
        <w:r>
          <w:rPr>
            <w:noProof/>
          </w:rPr>
          <w:tab/>
        </w:r>
        <w:r>
          <w:rPr>
            <w:noProof/>
          </w:rPr>
          <w:fldChar w:fldCharType="begin"/>
        </w:r>
        <w:r>
          <w:rPr>
            <w:noProof/>
          </w:rPr>
          <w:instrText xml:space="preserve"> PAGEREF _Toc382819072 \h </w:instrText>
        </w:r>
        <w:r>
          <w:rPr>
            <w:noProof/>
          </w:rPr>
        </w:r>
        <w:r>
          <w:rPr>
            <w:noProof/>
          </w:rPr>
          <w:fldChar w:fldCharType="separate"/>
        </w:r>
        <w:r w:rsidR="00E03BB1">
          <w:rPr>
            <w:noProof/>
          </w:rPr>
          <w:t>5</w:t>
        </w:r>
        <w:r>
          <w:rPr>
            <w:noProof/>
          </w:rPr>
          <w:fldChar w:fldCharType="end"/>
        </w:r>
      </w:hyperlink>
    </w:p>
    <w:p w14:paraId="56ED884A" w14:textId="46C4D16A" w:rsidR="00980B4C" w:rsidRDefault="003140D0">
      <w:pPr>
        <w:pStyle w:val="TOC1"/>
        <w:rPr>
          <w:rFonts w:ascii="Calibri" w:hAnsi="Calibri"/>
          <w:noProof/>
        </w:rPr>
      </w:pPr>
      <w:hyperlink w:anchor="_Toc382819076" w:history="1">
        <w:r>
          <w:rPr>
            <w:rStyle w:val="af2"/>
            <w:rFonts w:ascii="宋体" w:hAnsi="宋体" w:cs="Arial" w:hint="eastAsia"/>
            <w:noProof/>
            <w:szCs w:val="21"/>
          </w:rPr>
          <w:t>三、</w:t>
        </w:r>
        <w:r>
          <w:rPr>
            <w:rStyle w:val="af2"/>
            <w:rFonts w:ascii="宋体" w:hAnsi="宋体" w:cs="Arial"/>
            <w:noProof/>
            <w:szCs w:val="21"/>
          </w:rPr>
          <w:t xml:space="preserve"> </w:t>
        </w:r>
        <w:r>
          <w:rPr>
            <w:rStyle w:val="af2"/>
            <w:rFonts w:ascii="宋体" w:hAnsi="宋体" w:cs="Arial" w:hint="eastAsia"/>
            <w:noProof/>
            <w:szCs w:val="21"/>
          </w:rPr>
          <w:t>基金管理人对基金托管人的业务核查</w:t>
        </w:r>
        <w:r>
          <w:rPr>
            <w:noProof/>
          </w:rPr>
          <w:tab/>
        </w:r>
        <w:r>
          <w:rPr>
            <w:noProof/>
          </w:rPr>
          <w:fldChar w:fldCharType="begin"/>
        </w:r>
        <w:r>
          <w:rPr>
            <w:noProof/>
          </w:rPr>
          <w:instrText xml:space="preserve"> PAGEREF _Toc382819076 \h </w:instrText>
        </w:r>
        <w:r>
          <w:rPr>
            <w:noProof/>
          </w:rPr>
        </w:r>
        <w:r>
          <w:rPr>
            <w:noProof/>
          </w:rPr>
          <w:fldChar w:fldCharType="separate"/>
        </w:r>
        <w:r w:rsidR="00E03BB1">
          <w:rPr>
            <w:noProof/>
          </w:rPr>
          <w:t>13</w:t>
        </w:r>
        <w:r>
          <w:rPr>
            <w:noProof/>
          </w:rPr>
          <w:fldChar w:fldCharType="end"/>
        </w:r>
      </w:hyperlink>
    </w:p>
    <w:p w14:paraId="71925C3E" w14:textId="07A29844" w:rsidR="00980B4C" w:rsidRDefault="003140D0">
      <w:pPr>
        <w:pStyle w:val="TOC1"/>
        <w:rPr>
          <w:rFonts w:ascii="Calibri" w:hAnsi="Calibri"/>
          <w:noProof/>
        </w:rPr>
      </w:pPr>
      <w:hyperlink w:anchor="_Toc382819078" w:history="1">
        <w:r>
          <w:rPr>
            <w:rStyle w:val="af2"/>
            <w:rFonts w:ascii="宋体" w:hAnsi="宋体" w:cs="Arial" w:hint="eastAsia"/>
            <w:noProof/>
            <w:szCs w:val="21"/>
          </w:rPr>
          <w:t>四、</w:t>
        </w:r>
        <w:r>
          <w:rPr>
            <w:rStyle w:val="af2"/>
            <w:rFonts w:ascii="宋体" w:hAnsi="宋体" w:cs="Arial"/>
            <w:noProof/>
            <w:szCs w:val="21"/>
          </w:rPr>
          <w:t xml:space="preserve"> </w:t>
        </w:r>
        <w:r>
          <w:rPr>
            <w:rStyle w:val="af2"/>
            <w:rFonts w:ascii="宋体" w:hAnsi="宋体" w:cs="Arial" w:hint="eastAsia"/>
            <w:noProof/>
            <w:szCs w:val="21"/>
          </w:rPr>
          <w:t>基金财产保管</w:t>
        </w:r>
        <w:r>
          <w:rPr>
            <w:noProof/>
          </w:rPr>
          <w:tab/>
        </w:r>
        <w:r>
          <w:rPr>
            <w:noProof/>
          </w:rPr>
          <w:fldChar w:fldCharType="begin"/>
        </w:r>
        <w:r>
          <w:rPr>
            <w:noProof/>
          </w:rPr>
          <w:instrText xml:space="preserve"> PAGEREF _Toc382819078 \h </w:instrText>
        </w:r>
        <w:r>
          <w:rPr>
            <w:noProof/>
          </w:rPr>
        </w:r>
        <w:r>
          <w:rPr>
            <w:noProof/>
          </w:rPr>
          <w:fldChar w:fldCharType="separate"/>
        </w:r>
        <w:r w:rsidR="00E03BB1">
          <w:rPr>
            <w:noProof/>
          </w:rPr>
          <w:t>13</w:t>
        </w:r>
        <w:r>
          <w:rPr>
            <w:noProof/>
          </w:rPr>
          <w:fldChar w:fldCharType="end"/>
        </w:r>
      </w:hyperlink>
    </w:p>
    <w:p w14:paraId="16E99CCE" w14:textId="03B82A7F" w:rsidR="00980B4C" w:rsidRDefault="003140D0">
      <w:pPr>
        <w:pStyle w:val="TOC1"/>
        <w:rPr>
          <w:rFonts w:ascii="Calibri" w:hAnsi="Calibri"/>
          <w:noProof/>
        </w:rPr>
      </w:pPr>
      <w:hyperlink w:anchor="_Toc382819088" w:history="1">
        <w:r>
          <w:rPr>
            <w:rStyle w:val="af2"/>
            <w:rFonts w:ascii="宋体" w:hAnsi="宋体" w:cs="Arial" w:hint="eastAsia"/>
            <w:noProof/>
            <w:szCs w:val="21"/>
          </w:rPr>
          <w:t>五、</w:t>
        </w:r>
        <w:r>
          <w:rPr>
            <w:rStyle w:val="af2"/>
            <w:rFonts w:ascii="宋体" w:hAnsi="宋体" w:cs="Arial"/>
            <w:noProof/>
            <w:szCs w:val="21"/>
          </w:rPr>
          <w:t xml:space="preserve"> </w:t>
        </w:r>
        <w:r>
          <w:rPr>
            <w:rStyle w:val="af2"/>
            <w:rFonts w:ascii="宋体" w:hAnsi="宋体" w:cs="Arial" w:hint="eastAsia"/>
            <w:noProof/>
            <w:szCs w:val="21"/>
          </w:rPr>
          <w:t>指令的发送、确认和执行</w:t>
        </w:r>
        <w:r>
          <w:rPr>
            <w:noProof/>
          </w:rPr>
          <w:tab/>
        </w:r>
        <w:r>
          <w:rPr>
            <w:noProof/>
          </w:rPr>
          <w:fldChar w:fldCharType="begin"/>
        </w:r>
        <w:r>
          <w:rPr>
            <w:noProof/>
          </w:rPr>
          <w:instrText xml:space="preserve"> PAGEREF _Toc382819088 \h </w:instrText>
        </w:r>
        <w:r>
          <w:rPr>
            <w:noProof/>
          </w:rPr>
        </w:r>
        <w:r>
          <w:rPr>
            <w:noProof/>
          </w:rPr>
          <w:fldChar w:fldCharType="separate"/>
        </w:r>
        <w:r w:rsidR="00E03BB1">
          <w:rPr>
            <w:noProof/>
          </w:rPr>
          <w:t>17</w:t>
        </w:r>
        <w:r>
          <w:rPr>
            <w:noProof/>
          </w:rPr>
          <w:fldChar w:fldCharType="end"/>
        </w:r>
      </w:hyperlink>
    </w:p>
    <w:p w14:paraId="1B313C11" w14:textId="4B42E9AE" w:rsidR="00980B4C" w:rsidRDefault="003140D0">
      <w:pPr>
        <w:pStyle w:val="TOC1"/>
        <w:rPr>
          <w:rFonts w:ascii="Calibri" w:hAnsi="Calibri"/>
          <w:noProof/>
        </w:rPr>
      </w:pPr>
      <w:hyperlink w:anchor="_Toc382819097" w:history="1">
        <w:r>
          <w:rPr>
            <w:rStyle w:val="af2"/>
            <w:rFonts w:ascii="宋体" w:hAnsi="宋体" w:cs="Arial" w:hint="eastAsia"/>
            <w:noProof/>
            <w:szCs w:val="21"/>
          </w:rPr>
          <w:t>六、</w:t>
        </w:r>
        <w:r>
          <w:rPr>
            <w:rStyle w:val="af2"/>
            <w:rFonts w:ascii="宋体" w:hAnsi="宋体" w:cs="Arial"/>
            <w:noProof/>
            <w:szCs w:val="21"/>
          </w:rPr>
          <w:t xml:space="preserve"> </w:t>
        </w:r>
        <w:r>
          <w:rPr>
            <w:rStyle w:val="af2"/>
            <w:rFonts w:ascii="宋体" w:hAnsi="宋体" w:cs="Arial" w:hint="eastAsia"/>
            <w:noProof/>
            <w:szCs w:val="21"/>
          </w:rPr>
          <w:t>交易及清算交收安排</w:t>
        </w:r>
        <w:r>
          <w:rPr>
            <w:noProof/>
          </w:rPr>
          <w:tab/>
        </w:r>
        <w:r>
          <w:rPr>
            <w:noProof/>
          </w:rPr>
          <w:fldChar w:fldCharType="begin"/>
        </w:r>
        <w:r>
          <w:rPr>
            <w:noProof/>
          </w:rPr>
          <w:instrText xml:space="preserve"> PAGEREF _Toc382819097 \h </w:instrText>
        </w:r>
        <w:r>
          <w:rPr>
            <w:noProof/>
          </w:rPr>
        </w:r>
        <w:r>
          <w:rPr>
            <w:noProof/>
          </w:rPr>
          <w:fldChar w:fldCharType="separate"/>
        </w:r>
        <w:r w:rsidR="00E03BB1">
          <w:rPr>
            <w:noProof/>
          </w:rPr>
          <w:t>19</w:t>
        </w:r>
        <w:r>
          <w:rPr>
            <w:noProof/>
          </w:rPr>
          <w:fldChar w:fldCharType="end"/>
        </w:r>
      </w:hyperlink>
    </w:p>
    <w:p w14:paraId="4ADA189D" w14:textId="610BA41B" w:rsidR="00980B4C" w:rsidRDefault="003140D0">
      <w:pPr>
        <w:pStyle w:val="TOC1"/>
        <w:rPr>
          <w:rFonts w:ascii="Calibri" w:hAnsi="Calibri"/>
          <w:noProof/>
        </w:rPr>
      </w:pPr>
      <w:hyperlink w:anchor="_Toc382819103" w:history="1">
        <w:r>
          <w:rPr>
            <w:rStyle w:val="af2"/>
            <w:rFonts w:ascii="宋体" w:hAnsi="宋体" w:cs="Arial" w:hint="eastAsia"/>
            <w:noProof/>
            <w:szCs w:val="21"/>
          </w:rPr>
          <w:t>七、</w:t>
        </w:r>
        <w:r>
          <w:rPr>
            <w:rStyle w:val="af2"/>
            <w:rFonts w:ascii="宋体" w:hAnsi="宋体" w:cs="Arial"/>
            <w:noProof/>
            <w:szCs w:val="21"/>
          </w:rPr>
          <w:t xml:space="preserve"> </w:t>
        </w:r>
        <w:r>
          <w:rPr>
            <w:rStyle w:val="af2"/>
            <w:rFonts w:ascii="宋体" w:hAnsi="宋体" w:cs="Arial" w:hint="eastAsia"/>
            <w:noProof/>
            <w:szCs w:val="21"/>
          </w:rPr>
          <w:t>基金资产净值计算和会计核算</w:t>
        </w:r>
        <w:r>
          <w:rPr>
            <w:noProof/>
          </w:rPr>
          <w:tab/>
        </w:r>
        <w:r>
          <w:rPr>
            <w:noProof/>
          </w:rPr>
          <w:fldChar w:fldCharType="begin"/>
        </w:r>
        <w:r>
          <w:rPr>
            <w:noProof/>
          </w:rPr>
          <w:instrText xml:space="preserve"> PAGEREF _Toc382819103 \h </w:instrText>
        </w:r>
        <w:r>
          <w:rPr>
            <w:noProof/>
          </w:rPr>
        </w:r>
        <w:r>
          <w:rPr>
            <w:noProof/>
          </w:rPr>
          <w:fldChar w:fldCharType="separate"/>
        </w:r>
        <w:r w:rsidR="00E03BB1">
          <w:rPr>
            <w:noProof/>
          </w:rPr>
          <w:t>25</w:t>
        </w:r>
        <w:r>
          <w:rPr>
            <w:noProof/>
          </w:rPr>
          <w:fldChar w:fldCharType="end"/>
        </w:r>
      </w:hyperlink>
    </w:p>
    <w:p w14:paraId="2BEF20F8" w14:textId="16A38F3B" w:rsidR="00980B4C" w:rsidRDefault="003140D0">
      <w:pPr>
        <w:pStyle w:val="TOC1"/>
        <w:rPr>
          <w:rFonts w:ascii="Calibri" w:hAnsi="Calibri"/>
          <w:noProof/>
        </w:rPr>
      </w:pPr>
      <w:hyperlink w:anchor="_Toc382819118" w:history="1">
        <w:r>
          <w:rPr>
            <w:rStyle w:val="af2"/>
            <w:rFonts w:ascii="宋体" w:hAnsi="宋体" w:cs="Arial" w:hint="eastAsia"/>
            <w:noProof/>
            <w:szCs w:val="21"/>
          </w:rPr>
          <w:t>八、</w:t>
        </w:r>
        <w:r>
          <w:rPr>
            <w:rStyle w:val="af2"/>
            <w:rFonts w:ascii="宋体" w:hAnsi="宋体" w:cs="Arial"/>
            <w:noProof/>
            <w:szCs w:val="21"/>
          </w:rPr>
          <w:t xml:space="preserve"> </w:t>
        </w:r>
        <w:r>
          <w:rPr>
            <w:rStyle w:val="af2"/>
            <w:rFonts w:ascii="宋体" w:hAnsi="宋体" w:cs="Arial" w:hint="eastAsia"/>
            <w:noProof/>
            <w:szCs w:val="21"/>
          </w:rPr>
          <w:t>基金收益分配</w:t>
        </w:r>
        <w:r>
          <w:rPr>
            <w:noProof/>
          </w:rPr>
          <w:tab/>
        </w:r>
        <w:r>
          <w:rPr>
            <w:noProof/>
          </w:rPr>
          <w:fldChar w:fldCharType="begin"/>
        </w:r>
        <w:r>
          <w:rPr>
            <w:noProof/>
          </w:rPr>
          <w:instrText xml:space="preserve"> PAGEREF _Toc382819118 \h </w:instrText>
        </w:r>
        <w:r>
          <w:rPr>
            <w:noProof/>
          </w:rPr>
        </w:r>
        <w:r>
          <w:rPr>
            <w:noProof/>
          </w:rPr>
          <w:fldChar w:fldCharType="separate"/>
        </w:r>
        <w:r w:rsidR="00E03BB1">
          <w:rPr>
            <w:noProof/>
          </w:rPr>
          <w:t>28</w:t>
        </w:r>
        <w:r>
          <w:rPr>
            <w:noProof/>
          </w:rPr>
          <w:fldChar w:fldCharType="end"/>
        </w:r>
      </w:hyperlink>
    </w:p>
    <w:p w14:paraId="0FD08D15" w14:textId="1BBA81BC" w:rsidR="00980B4C" w:rsidRDefault="003140D0">
      <w:pPr>
        <w:pStyle w:val="TOC1"/>
        <w:rPr>
          <w:rFonts w:ascii="Calibri" w:hAnsi="Calibri"/>
          <w:noProof/>
        </w:rPr>
      </w:pPr>
      <w:hyperlink w:anchor="_Toc382819121" w:history="1">
        <w:r>
          <w:rPr>
            <w:rStyle w:val="af2"/>
            <w:rFonts w:ascii="宋体" w:hAnsi="宋体" w:cs="Arial" w:hint="eastAsia"/>
            <w:noProof/>
            <w:szCs w:val="21"/>
          </w:rPr>
          <w:t>九、</w:t>
        </w:r>
        <w:r>
          <w:rPr>
            <w:rStyle w:val="af2"/>
            <w:rFonts w:ascii="宋体" w:hAnsi="宋体" w:cs="Arial"/>
            <w:noProof/>
            <w:szCs w:val="21"/>
          </w:rPr>
          <w:t xml:space="preserve"> </w:t>
        </w:r>
        <w:r>
          <w:rPr>
            <w:rStyle w:val="af2"/>
            <w:rFonts w:ascii="宋体" w:hAnsi="宋体" w:cs="Arial" w:hint="eastAsia"/>
            <w:noProof/>
            <w:szCs w:val="21"/>
          </w:rPr>
          <w:t>信息披露</w:t>
        </w:r>
        <w:r>
          <w:rPr>
            <w:noProof/>
          </w:rPr>
          <w:tab/>
        </w:r>
        <w:r>
          <w:rPr>
            <w:noProof/>
          </w:rPr>
          <w:fldChar w:fldCharType="begin"/>
        </w:r>
        <w:r>
          <w:rPr>
            <w:noProof/>
          </w:rPr>
          <w:instrText xml:space="preserve"> PAGEREF _Toc382819121 \h </w:instrText>
        </w:r>
        <w:r>
          <w:rPr>
            <w:noProof/>
          </w:rPr>
        </w:r>
        <w:r>
          <w:rPr>
            <w:noProof/>
          </w:rPr>
          <w:fldChar w:fldCharType="separate"/>
        </w:r>
        <w:r w:rsidR="00E03BB1">
          <w:rPr>
            <w:noProof/>
          </w:rPr>
          <w:t>29</w:t>
        </w:r>
        <w:r>
          <w:rPr>
            <w:noProof/>
          </w:rPr>
          <w:fldChar w:fldCharType="end"/>
        </w:r>
      </w:hyperlink>
    </w:p>
    <w:p w14:paraId="4EC120F1" w14:textId="5D0FBEB8" w:rsidR="00980B4C" w:rsidRDefault="003140D0">
      <w:pPr>
        <w:pStyle w:val="TOC1"/>
        <w:rPr>
          <w:rFonts w:ascii="Calibri" w:hAnsi="Calibri"/>
          <w:noProof/>
        </w:rPr>
      </w:pPr>
      <w:hyperlink w:anchor="_Toc382819125" w:history="1">
        <w:r>
          <w:rPr>
            <w:rStyle w:val="af2"/>
            <w:rFonts w:ascii="宋体" w:hAnsi="宋体" w:cs="Arial" w:hint="eastAsia"/>
            <w:noProof/>
            <w:szCs w:val="21"/>
          </w:rPr>
          <w:t>十、</w:t>
        </w:r>
        <w:r>
          <w:rPr>
            <w:rStyle w:val="af2"/>
            <w:rFonts w:ascii="宋体" w:hAnsi="宋体" w:cs="Arial"/>
            <w:noProof/>
            <w:szCs w:val="21"/>
          </w:rPr>
          <w:t xml:space="preserve"> </w:t>
        </w:r>
        <w:r>
          <w:rPr>
            <w:rStyle w:val="af2"/>
            <w:rFonts w:ascii="宋体" w:hAnsi="宋体" w:cs="Arial" w:hint="eastAsia"/>
            <w:noProof/>
            <w:szCs w:val="21"/>
          </w:rPr>
          <w:t>托管费用</w:t>
        </w:r>
        <w:r>
          <w:rPr>
            <w:noProof/>
          </w:rPr>
          <w:tab/>
        </w:r>
        <w:r>
          <w:rPr>
            <w:noProof/>
          </w:rPr>
          <w:fldChar w:fldCharType="begin"/>
        </w:r>
        <w:r>
          <w:rPr>
            <w:noProof/>
          </w:rPr>
          <w:instrText xml:space="preserve"> PAGEREF _Toc382819125 \h </w:instrText>
        </w:r>
        <w:r>
          <w:rPr>
            <w:noProof/>
          </w:rPr>
        </w:r>
        <w:r>
          <w:rPr>
            <w:noProof/>
          </w:rPr>
          <w:fldChar w:fldCharType="separate"/>
        </w:r>
        <w:r w:rsidR="00E03BB1">
          <w:rPr>
            <w:noProof/>
          </w:rPr>
          <w:t>30</w:t>
        </w:r>
        <w:r>
          <w:rPr>
            <w:noProof/>
          </w:rPr>
          <w:fldChar w:fldCharType="end"/>
        </w:r>
      </w:hyperlink>
    </w:p>
    <w:p w14:paraId="62198DDF" w14:textId="4014863D" w:rsidR="00980B4C" w:rsidRDefault="003140D0">
      <w:pPr>
        <w:pStyle w:val="TOC1"/>
        <w:rPr>
          <w:rFonts w:ascii="Calibri" w:hAnsi="Calibri"/>
          <w:noProof/>
        </w:rPr>
      </w:pPr>
      <w:hyperlink w:anchor="_Toc382819126" w:history="1">
        <w:r>
          <w:rPr>
            <w:rStyle w:val="af2"/>
            <w:rFonts w:ascii="宋体" w:hAnsi="宋体" w:cs="Arial" w:hint="eastAsia"/>
            <w:noProof/>
            <w:szCs w:val="21"/>
          </w:rPr>
          <w:t>十一、</w:t>
        </w:r>
        <w:r>
          <w:rPr>
            <w:rStyle w:val="af2"/>
            <w:rFonts w:ascii="宋体" w:hAnsi="宋体" w:cs="Arial"/>
            <w:noProof/>
            <w:szCs w:val="21"/>
          </w:rPr>
          <w:t xml:space="preserve"> </w:t>
        </w:r>
        <w:r>
          <w:rPr>
            <w:rStyle w:val="af2"/>
            <w:rFonts w:ascii="宋体" w:hAnsi="宋体" w:cs="Arial" w:hint="eastAsia"/>
            <w:noProof/>
            <w:szCs w:val="21"/>
          </w:rPr>
          <w:t>基金份额持有人名册的保管</w:t>
        </w:r>
        <w:r>
          <w:rPr>
            <w:noProof/>
          </w:rPr>
          <w:tab/>
        </w:r>
        <w:r>
          <w:rPr>
            <w:noProof/>
          </w:rPr>
          <w:fldChar w:fldCharType="begin"/>
        </w:r>
        <w:r>
          <w:rPr>
            <w:noProof/>
          </w:rPr>
          <w:instrText xml:space="preserve"> PAGEREF _Toc382819126 \h </w:instrText>
        </w:r>
        <w:r>
          <w:rPr>
            <w:noProof/>
          </w:rPr>
        </w:r>
        <w:r>
          <w:rPr>
            <w:noProof/>
          </w:rPr>
          <w:fldChar w:fldCharType="separate"/>
        </w:r>
        <w:r w:rsidR="00E03BB1">
          <w:rPr>
            <w:noProof/>
          </w:rPr>
          <w:t>31</w:t>
        </w:r>
        <w:r>
          <w:rPr>
            <w:noProof/>
          </w:rPr>
          <w:fldChar w:fldCharType="end"/>
        </w:r>
      </w:hyperlink>
    </w:p>
    <w:p w14:paraId="0964996E" w14:textId="6E6EB37D" w:rsidR="00980B4C" w:rsidRDefault="003140D0">
      <w:pPr>
        <w:pStyle w:val="TOC1"/>
        <w:rPr>
          <w:rFonts w:ascii="Calibri" w:hAnsi="Calibri"/>
          <w:noProof/>
        </w:rPr>
      </w:pPr>
      <w:hyperlink w:anchor="_Toc382819127" w:history="1">
        <w:r>
          <w:rPr>
            <w:rStyle w:val="af2"/>
            <w:rFonts w:ascii="宋体" w:hAnsi="宋体" w:cs="Arial" w:hint="eastAsia"/>
            <w:noProof/>
            <w:szCs w:val="21"/>
          </w:rPr>
          <w:t>十二、</w:t>
        </w:r>
        <w:r>
          <w:rPr>
            <w:rStyle w:val="af2"/>
            <w:rFonts w:ascii="宋体" w:hAnsi="宋体" w:cs="Arial"/>
            <w:noProof/>
            <w:szCs w:val="21"/>
          </w:rPr>
          <w:t xml:space="preserve"> </w:t>
        </w:r>
        <w:r>
          <w:rPr>
            <w:rStyle w:val="af2"/>
            <w:rFonts w:ascii="宋体" w:hAnsi="宋体" w:cs="Arial" w:hint="eastAsia"/>
            <w:noProof/>
            <w:szCs w:val="21"/>
          </w:rPr>
          <w:t>基金有关文件和档案的保存</w:t>
        </w:r>
        <w:r>
          <w:rPr>
            <w:noProof/>
          </w:rPr>
          <w:tab/>
        </w:r>
        <w:r>
          <w:rPr>
            <w:noProof/>
          </w:rPr>
          <w:fldChar w:fldCharType="begin"/>
        </w:r>
        <w:r>
          <w:rPr>
            <w:noProof/>
          </w:rPr>
          <w:instrText xml:space="preserve"> PAGEREF _Toc382819127 \h </w:instrText>
        </w:r>
        <w:r>
          <w:rPr>
            <w:noProof/>
          </w:rPr>
        </w:r>
        <w:r>
          <w:rPr>
            <w:noProof/>
          </w:rPr>
          <w:fldChar w:fldCharType="separate"/>
        </w:r>
        <w:r w:rsidR="00E03BB1">
          <w:rPr>
            <w:noProof/>
          </w:rPr>
          <w:t>32</w:t>
        </w:r>
        <w:r>
          <w:rPr>
            <w:noProof/>
          </w:rPr>
          <w:fldChar w:fldCharType="end"/>
        </w:r>
      </w:hyperlink>
    </w:p>
    <w:p w14:paraId="735EB646" w14:textId="27E8C0BE" w:rsidR="00980B4C" w:rsidRDefault="003140D0">
      <w:pPr>
        <w:pStyle w:val="TOC1"/>
        <w:rPr>
          <w:rFonts w:ascii="Calibri" w:hAnsi="Calibri"/>
          <w:noProof/>
        </w:rPr>
      </w:pPr>
      <w:hyperlink w:anchor="_Toc382819128" w:history="1">
        <w:r>
          <w:rPr>
            <w:rStyle w:val="af2"/>
            <w:rFonts w:ascii="宋体" w:hAnsi="宋体" w:cs="Arial" w:hint="eastAsia"/>
            <w:noProof/>
            <w:szCs w:val="21"/>
          </w:rPr>
          <w:t>十三、</w:t>
        </w:r>
        <w:r>
          <w:rPr>
            <w:rStyle w:val="af2"/>
            <w:rFonts w:ascii="宋体" w:hAnsi="宋体" w:cs="Arial"/>
            <w:noProof/>
            <w:szCs w:val="21"/>
          </w:rPr>
          <w:t xml:space="preserve"> </w:t>
        </w:r>
        <w:r>
          <w:rPr>
            <w:rStyle w:val="af2"/>
            <w:rFonts w:ascii="宋体" w:hAnsi="宋体" w:cs="Arial" w:hint="eastAsia"/>
            <w:noProof/>
            <w:szCs w:val="21"/>
          </w:rPr>
          <w:t>基金管理人和基金托管人的更换</w:t>
        </w:r>
        <w:r>
          <w:rPr>
            <w:noProof/>
          </w:rPr>
          <w:tab/>
        </w:r>
        <w:r>
          <w:rPr>
            <w:noProof/>
          </w:rPr>
          <w:fldChar w:fldCharType="begin"/>
        </w:r>
        <w:r>
          <w:rPr>
            <w:noProof/>
          </w:rPr>
          <w:instrText xml:space="preserve"> PAGEREF _Toc382819128 \h </w:instrText>
        </w:r>
        <w:r>
          <w:rPr>
            <w:noProof/>
          </w:rPr>
        </w:r>
        <w:r>
          <w:rPr>
            <w:noProof/>
          </w:rPr>
          <w:fldChar w:fldCharType="separate"/>
        </w:r>
        <w:r w:rsidR="00E03BB1">
          <w:rPr>
            <w:noProof/>
          </w:rPr>
          <w:t>33</w:t>
        </w:r>
        <w:r>
          <w:rPr>
            <w:noProof/>
          </w:rPr>
          <w:fldChar w:fldCharType="end"/>
        </w:r>
      </w:hyperlink>
    </w:p>
    <w:p w14:paraId="138386CE" w14:textId="2736F618" w:rsidR="00980B4C" w:rsidRDefault="003140D0">
      <w:pPr>
        <w:pStyle w:val="TOC1"/>
        <w:rPr>
          <w:rFonts w:ascii="Calibri" w:hAnsi="Calibri"/>
          <w:noProof/>
        </w:rPr>
      </w:pPr>
      <w:hyperlink w:anchor="_Toc382819131" w:history="1">
        <w:r>
          <w:rPr>
            <w:rStyle w:val="af2"/>
            <w:rFonts w:ascii="宋体" w:hAnsi="宋体" w:cs="Arial" w:hint="eastAsia"/>
            <w:noProof/>
            <w:szCs w:val="21"/>
          </w:rPr>
          <w:t>十四、</w:t>
        </w:r>
        <w:r>
          <w:rPr>
            <w:rStyle w:val="af2"/>
            <w:rFonts w:ascii="宋体" w:hAnsi="宋体" w:cs="Arial"/>
            <w:noProof/>
            <w:szCs w:val="21"/>
          </w:rPr>
          <w:t xml:space="preserve"> </w:t>
        </w:r>
        <w:r>
          <w:rPr>
            <w:rStyle w:val="af2"/>
            <w:rFonts w:ascii="宋体" w:hAnsi="宋体" w:cs="Arial" w:hint="eastAsia"/>
            <w:noProof/>
            <w:szCs w:val="21"/>
          </w:rPr>
          <w:t>禁止行为</w:t>
        </w:r>
        <w:r>
          <w:rPr>
            <w:noProof/>
          </w:rPr>
          <w:tab/>
        </w:r>
        <w:r>
          <w:rPr>
            <w:noProof/>
          </w:rPr>
          <w:fldChar w:fldCharType="begin"/>
        </w:r>
        <w:r>
          <w:rPr>
            <w:noProof/>
          </w:rPr>
          <w:instrText xml:space="preserve"> PAGEREF _Toc382819131 \h </w:instrText>
        </w:r>
        <w:r>
          <w:rPr>
            <w:noProof/>
          </w:rPr>
        </w:r>
        <w:r>
          <w:rPr>
            <w:noProof/>
          </w:rPr>
          <w:fldChar w:fldCharType="separate"/>
        </w:r>
        <w:r w:rsidR="00E03BB1">
          <w:rPr>
            <w:noProof/>
          </w:rPr>
          <w:t>35</w:t>
        </w:r>
        <w:r>
          <w:rPr>
            <w:noProof/>
          </w:rPr>
          <w:fldChar w:fldCharType="end"/>
        </w:r>
      </w:hyperlink>
    </w:p>
    <w:p w14:paraId="37D74B8D" w14:textId="028BAB9F" w:rsidR="00980B4C" w:rsidRDefault="003140D0">
      <w:pPr>
        <w:pStyle w:val="TOC1"/>
        <w:rPr>
          <w:rFonts w:ascii="Calibri" w:hAnsi="Calibri"/>
          <w:noProof/>
        </w:rPr>
      </w:pPr>
      <w:hyperlink w:anchor="_Toc382819132" w:history="1">
        <w:r>
          <w:rPr>
            <w:rStyle w:val="af2"/>
            <w:rFonts w:ascii="宋体" w:hAnsi="宋体" w:cs="Arial" w:hint="eastAsia"/>
            <w:noProof/>
            <w:szCs w:val="21"/>
          </w:rPr>
          <w:t>十五、</w:t>
        </w:r>
        <w:r>
          <w:rPr>
            <w:rStyle w:val="af2"/>
            <w:rFonts w:ascii="宋体" w:hAnsi="宋体" w:cs="Arial"/>
            <w:noProof/>
            <w:szCs w:val="21"/>
          </w:rPr>
          <w:t xml:space="preserve"> </w:t>
        </w:r>
        <w:r>
          <w:rPr>
            <w:rStyle w:val="af2"/>
            <w:rFonts w:ascii="宋体" w:hAnsi="宋体" w:cs="Arial" w:hint="eastAsia"/>
            <w:noProof/>
            <w:szCs w:val="21"/>
          </w:rPr>
          <w:t>基金托管协议的变更、终止与基金财产的清算</w:t>
        </w:r>
        <w:r>
          <w:rPr>
            <w:noProof/>
          </w:rPr>
          <w:tab/>
        </w:r>
        <w:r>
          <w:rPr>
            <w:noProof/>
          </w:rPr>
          <w:fldChar w:fldCharType="begin"/>
        </w:r>
        <w:r>
          <w:rPr>
            <w:noProof/>
          </w:rPr>
          <w:instrText xml:space="preserve"> PAGEREF _Toc382819132 \h </w:instrText>
        </w:r>
        <w:r>
          <w:rPr>
            <w:noProof/>
          </w:rPr>
        </w:r>
        <w:r>
          <w:rPr>
            <w:noProof/>
          </w:rPr>
          <w:fldChar w:fldCharType="separate"/>
        </w:r>
        <w:r w:rsidR="00E03BB1">
          <w:rPr>
            <w:noProof/>
          </w:rPr>
          <w:t>36</w:t>
        </w:r>
        <w:r>
          <w:rPr>
            <w:noProof/>
          </w:rPr>
          <w:fldChar w:fldCharType="end"/>
        </w:r>
      </w:hyperlink>
    </w:p>
    <w:p w14:paraId="597A3B56" w14:textId="4343AF61" w:rsidR="00980B4C" w:rsidRDefault="003140D0">
      <w:pPr>
        <w:pStyle w:val="TOC1"/>
        <w:rPr>
          <w:rFonts w:ascii="Calibri" w:hAnsi="Calibri"/>
          <w:noProof/>
        </w:rPr>
      </w:pPr>
      <w:hyperlink w:anchor="_Toc382819133" w:history="1">
        <w:r>
          <w:rPr>
            <w:rStyle w:val="af2"/>
            <w:rFonts w:ascii="宋体" w:hAnsi="宋体" w:cs="Arial" w:hint="eastAsia"/>
            <w:noProof/>
            <w:szCs w:val="21"/>
          </w:rPr>
          <w:t>十六、</w:t>
        </w:r>
        <w:r>
          <w:rPr>
            <w:rStyle w:val="af2"/>
            <w:rFonts w:ascii="宋体" w:hAnsi="宋体" w:cs="Arial"/>
            <w:noProof/>
            <w:szCs w:val="21"/>
          </w:rPr>
          <w:t xml:space="preserve"> </w:t>
        </w:r>
        <w:r>
          <w:rPr>
            <w:rStyle w:val="af2"/>
            <w:rFonts w:ascii="宋体" w:hAnsi="宋体" w:cs="Arial" w:hint="eastAsia"/>
            <w:noProof/>
            <w:szCs w:val="21"/>
          </w:rPr>
          <w:t>违约责任</w:t>
        </w:r>
        <w:r>
          <w:rPr>
            <w:noProof/>
          </w:rPr>
          <w:tab/>
        </w:r>
        <w:r>
          <w:rPr>
            <w:noProof/>
          </w:rPr>
          <w:fldChar w:fldCharType="begin"/>
        </w:r>
        <w:r>
          <w:rPr>
            <w:noProof/>
          </w:rPr>
          <w:instrText xml:space="preserve"> PAGEREF _Toc382819133 \h </w:instrText>
        </w:r>
        <w:r>
          <w:rPr>
            <w:noProof/>
          </w:rPr>
        </w:r>
        <w:r>
          <w:rPr>
            <w:noProof/>
          </w:rPr>
          <w:fldChar w:fldCharType="separate"/>
        </w:r>
        <w:r w:rsidR="00E03BB1">
          <w:rPr>
            <w:noProof/>
          </w:rPr>
          <w:t>38</w:t>
        </w:r>
        <w:r>
          <w:rPr>
            <w:noProof/>
          </w:rPr>
          <w:fldChar w:fldCharType="end"/>
        </w:r>
      </w:hyperlink>
    </w:p>
    <w:p w14:paraId="41432749" w14:textId="16ABF40F" w:rsidR="00980B4C" w:rsidRDefault="003140D0">
      <w:pPr>
        <w:pStyle w:val="TOC1"/>
        <w:rPr>
          <w:rFonts w:ascii="Calibri" w:hAnsi="Calibri"/>
          <w:noProof/>
        </w:rPr>
      </w:pPr>
      <w:hyperlink w:anchor="_Toc382819134" w:history="1">
        <w:r>
          <w:rPr>
            <w:rStyle w:val="af2"/>
            <w:rFonts w:ascii="宋体" w:hAnsi="宋体" w:cs="Arial" w:hint="eastAsia"/>
            <w:noProof/>
            <w:szCs w:val="21"/>
          </w:rPr>
          <w:t>十七、</w:t>
        </w:r>
        <w:r>
          <w:rPr>
            <w:rStyle w:val="af2"/>
            <w:rFonts w:ascii="宋体" w:hAnsi="宋体" w:cs="Arial"/>
            <w:noProof/>
            <w:szCs w:val="21"/>
          </w:rPr>
          <w:t xml:space="preserve"> </w:t>
        </w:r>
        <w:r>
          <w:rPr>
            <w:rStyle w:val="af2"/>
            <w:rFonts w:ascii="宋体" w:hAnsi="宋体" w:cs="Arial" w:hint="eastAsia"/>
            <w:noProof/>
            <w:szCs w:val="21"/>
          </w:rPr>
          <w:t>适用法律及争议解决方式</w:t>
        </w:r>
        <w:r>
          <w:rPr>
            <w:noProof/>
          </w:rPr>
          <w:tab/>
        </w:r>
        <w:r>
          <w:rPr>
            <w:noProof/>
          </w:rPr>
          <w:fldChar w:fldCharType="begin"/>
        </w:r>
        <w:r>
          <w:rPr>
            <w:noProof/>
          </w:rPr>
          <w:instrText xml:space="preserve"> PAGEREF _Toc382819134 \h </w:instrText>
        </w:r>
        <w:r>
          <w:rPr>
            <w:noProof/>
          </w:rPr>
        </w:r>
        <w:r>
          <w:rPr>
            <w:noProof/>
          </w:rPr>
          <w:fldChar w:fldCharType="separate"/>
        </w:r>
        <w:r w:rsidR="00E03BB1">
          <w:rPr>
            <w:noProof/>
          </w:rPr>
          <w:t>38</w:t>
        </w:r>
        <w:r>
          <w:rPr>
            <w:noProof/>
          </w:rPr>
          <w:fldChar w:fldCharType="end"/>
        </w:r>
      </w:hyperlink>
    </w:p>
    <w:p w14:paraId="4846FB94" w14:textId="5DBEA96E" w:rsidR="00980B4C" w:rsidRDefault="003140D0">
      <w:pPr>
        <w:pStyle w:val="TOC1"/>
        <w:rPr>
          <w:rFonts w:ascii="Calibri" w:hAnsi="Calibri"/>
          <w:noProof/>
        </w:rPr>
      </w:pPr>
      <w:hyperlink w:anchor="_Toc382819135" w:history="1">
        <w:r>
          <w:rPr>
            <w:rStyle w:val="af2"/>
            <w:rFonts w:ascii="宋体" w:hAnsi="宋体" w:cs="Arial" w:hint="eastAsia"/>
            <w:noProof/>
            <w:szCs w:val="21"/>
          </w:rPr>
          <w:t>十八、</w:t>
        </w:r>
        <w:r>
          <w:rPr>
            <w:rStyle w:val="af2"/>
            <w:rFonts w:ascii="宋体" w:hAnsi="宋体" w:cs="Arial"/>
            <w:noProof/>
            <w:szCs w:val="21"/>
          </w:rPr>
          <w:t xml:space="preserve"> </w:t>
        </w:r>
        <w:r>
          <w:rPr>
            <w:rStyle w:val="af2"/>
            <w:rFonts w:ascii="宋体" w:hAnsi="宋体" w:cs="Arial" w:hint="eastAsia"/>
            <w:noProof/>
            <w:szCs w:val="21"/>
          </w:rPr>
          <w:t>基金托管协议的效力和文本</w:t>
        </w:r>
        <w:r>
          <w:rPr>
            <w:noProof/>
          </w:rPr>
          <w:tab/>
        </w:r>
        <w:r>
          <w:rPr>
            <w:noProof/>
          </w:rPr>
          <w:fldChar w:fldCharType="begin"/>
        </w:r>
        <w:r>
          <w:rPr>
            <w:noProof/>
          </w:rPr>
          <w:instrText xml:space="preserve"> PAGEREF _Toc382819135 \h </w:instrText>
        </w:r>
        <w:r>
          <w:rPr>
            <w:noProof/>
          </w:rPr>
        </w:r>
        <w:r>
          <w:rPr>
            <w:noProof/>
          </w:rPr>
          <w:fldChar w:fldCharType="separate"/>
        </w:r>
        <w:r w:rsidR="00E03BB1">
          <w:rPr>
            <w:noProof/>
          </w:rPr>
          <w:t>39</w:t>
        </w:r>
        <w:r>
          <w:rPr>
            <w:noProof/>
          </w:rPr>
          <w:fldChar w:fldCharType="end"/>
        </w:r>
      </w:hyperlink>
    </w:p>
    <w:p w14:paraId="662E315C" w14:textId="7676D3D3" w:rsidR="00980B4C" w:rsidRDefault="003140D0">
      <w:pPr>
        <w:pStyle w:val="TOC1"/>
        <w:rPr>
          <w:rFonts w:ascii="Calibri" w:hAnsi="Calibri"/>
          <w:noProof/>
        </w:rPr>
      </w:pPr>
      <w:hyperlink w:anchor="_Toc382819136" w:history="1">
        <w:r>
          <w:rPr>
            <w:rStyle w:val="af2"/>
            <w:rFonts w:ascii="宋体" w:hAnsi="宋体" w:hint="eastAsia"/>
            <w:noProof/>
            <w:szCs w:val="21"/>
          </w:rPr>
          <w:t>十九、</w:t>
        </w:r>
        <w:r>
          <w:rPr>
            <w:rStyle w:val="af2"/>
            <w:rFonts w:ascii="宋体" w:hAnsi="宋体" w:cs="Arial"/>
            <w:noProof/>
            <w:szCs w:val="21"/>
          </w:rPr>
          <w:t xml:space="preserve"> 其他事项</w:t>
        </w:r>
        <w:r>
          <w:rPr>
            <w:noProof/>
          </w:rPr>
          <w:tab/>
        </w:r>
        <w:r>
          <w:rPr>
            <w:noProof/>
          </w:rPr>
          <w:fldChar w:fldCharType="begin"/>
        </w:r>
        <w:r>
          <w:rPr>
            <w:noProof/>
          </w:rPr>
          <w:instrText xml:space="preserve"> PAGEREF _Toc382819136 \h </w:instrText>
        </w:r>
        <w:r>
          <w:rPr>
            <w:noProof/>
          </w:rPr>
        </w:r>
        <w:r>
          <w:rPr>
            <w:noProof/>
          </w:rPr>
          <w:fldChar w:fldCharType="separate"/>
        </w:r>
        <w:r w:rsidR="00E03BB1">
          <w:rPr>
            <w:noProof/>
          </w:rPr>
          <w:t>39</w:t>
        </w:r>
        <w:r>
          <w:rPr>
            <w:noProof/>
          </w:rPr>
          <w:fldChar w:fldCharType="end"/>
        </w:r>
      </w:hyperlink>
    </w:p>
    <w:p w14:paraId="15287309" w14:textId="77777777" w:rsidR="00980B4C" w:rsidRDefault="003140D0">
      <w:pPr>
        <w:spacing w:line="360" w:lineRule="auto"/>
        <w:rPr>
          <w:rFonts w:ascii="仿宋_GB2312" w:eastAsia="仿宋_GB2312"/>
          <w:szCs w:val="21"/>
        </w:rPr>
      </w:pPr>
      <w:r>
        <w:rPr>
          <w:rFonts w:ascii="宋体" w:hAnsi="宋体"/>
          <w:szCs w:val="21"/>
        </w:rPr>
        <w:fldChar w:fldCharType="end"/>
      </w:r>
    </w:p>
    <w:p w14:paraId="4BD1E73A" w14:textId="77777777" w:rsidR="00980B4C" w:rsidRDefault="00980B4C">
      <w:pPr>
        <w:widowControl/>
        <w:jc w:val="left"/>
        <w:rPr>
          <w:rFonts w:ascii="仿宋_GB2312" w:eastAsia="仿宋_GB2312"/>
          <w:sz w:val="24"/>
        </w:rPr>
        <w:sectPr w:rsidR="00980B4C">
          <w:headerReference w:type="default" r:id="rId12"/>
          <w:footerReference w:type="default" r:id="rId13"/>
          <w:headerReference w:type="first" r:id="rId14"/>
          <w:footerReference w:type="first" r:id="rId15"/>
          <w:pgSz w:w="11906" w:h="16838"/>
          <w:pgMar w:top="1440" w:right="1800" w:bottom="1440" w:left="1800" w:header="851" w:footer="992" w:gutter="0"/>
          <w:pgNumType w:start="1"/>
          <w:cols w:space="720"/>
          <w:titlePg/>
          <w:docGrid w:type="lines" w:linePitch="312"/>
        </w:sectPr>
      </w:pPr>
    </w:p>
    <w:p w14:paraId="4EA0766F" w14:textId="77777777" w:rsidR="00980B4C" w:rsidRDefault="003140D0">
      <w:pPr>
        <w:jc w:val="center"/>
        <w:rPr>
          <w:rFonts w:ascii="黑体" w:eastAsia="黑体" w:hAnsi="黑体" w:hint="eastAsia"/>
          <w:b/>
          <w:sz w:val="32"/>
          <w:szCs w:val="32"/>
        </w:rPr>
      </w:pPr>
      <w:bookmarkStart w:id="6" w:name="_Toc382819068"/>
      <w:bookmarkStart w:id="7" w:name="_Toc382818594"/>
      <w:r>
        <w:rPr>
          <w:rFonts w:ascii="黑体" w:eastAsia="黑体" w:hAnsi="黑体" w:hint="eastAsia"/>
          <w:sz w:val="32"/>
          <w:szCs w:val="32"/>
        </w:rPr>
        <w:lastRenderedPageBreak/>
        <w:t>公开募集证券投资基金托管协议</w:t>
      </w:r>
      <w:bookmarkEnd w:id="6"/>
      <w:bookmarkEnd w:id="7"/>
    </w:p>
    <w:p w14:paraId="7CEC5C68" w14:textId="77777777" w:rsidR="00980B4C" w:rsidRDefault="00980B4C">
      <w:pPr>
        <w:rPr>
          <w:lang w:val="zh-CN"/>
        </w:rPr>
      </w:pPr>
    </w:p>
    <w:p w14:paraId="12A20B0E" w14:textId="77777777" w:rsidR="00980B4C" w:rsidRDefault="00980B4C">
      <w:pPr>
        <w:rPr>
          <w:lang w:val="zh-CN"/>
        </w:rPr>
      </w:pPr>
    </w:p>
    <w:p w14:paraId="6D8EC291" w14:textId="77777777" w:rsidR="00980B4C" w:rsidRDefault="003140D0">
      <w:pPr>
        <w:spacing w:line="360" w:lineRule="auto"/>
        <w:ind w:firstLineChars="200" w:firstLine="422"/>
        <w:rPr>
          <w:rFonts w:ascii="宋体" w:hAnsi="宋体" w:hint="eastAsia"/>
          <w:szCs w:val="21"/>
        </w:rPr>
      </w:pPr>
      <w:bookmarkStart w:id="8" w:name="_Toc382819069"/>
      <w:r>
        <w:rPr>
          <w:rFonts w:ascii="宋体" w:hAnsi="宋体" w:hint="eastAsia"/>
          <w:b/>
          <w:szCs w:val="21"/>
        </w:rPr>
        <w:t>基金管理人：</w:t>
      </w:r>
      <w:bookmarkEnd w:id="8"/>
      <w:r>
        <w:rPr>
          <w:rFonts w:ascii="宋体" w:hAnsi="宋体" w:hint="eastAsia"/>
          <w:b/>
          <w:szCs w:val="21"/>
        </w:rPr>
        <w:t>天弘基金管理有限公司（或称“管理人”）</w:t>
      </w:r>
    </w:p>
    <w:p w14:paraId="18CB3482" w14:textId="32C589DB" w:rsidR="00980B4C" w:rsidRDefault="003140D0">
      <w:pPr>
        <w:spacing w:line="360" w:lineRule="auto"/>
        <w:ind w:firstLineChars="200" w:firstLine="420"/>
        <w:rPr>
          <w:rFonts w:ascii="宋体" w:hAnsi="宋体" w:hint="eastAsia"/>
          <w:szCs w:val="21"/>
        </w:rPr>
      </w:pPr>
      <w:r>
        <w:rPr>
          <w:rFonts w:ascii="宋体" w:hAnsi="宋体" w:hint="eastAsia"/>
          <w:szCs w:val="21"/>
        </w:rPr>
        <w:t>住所：</w:t>
      </w:r>
      <w:r w:rsidR="00666980" w:rsidRPr="00666980">
        <w:rPr>
          <w:rFonts w:ascii="宋体" w:hAnsi="宋体" w:hint="eastAsia"/>
          <w:szCs w:val="21"/>
        </w:rPr>
        <w:t>天津自贸试验区（中心商务区）新华路3678号宝风大厦（新金融大厦）16层02单元3号房间</w:t>
      </w:r>
    </w:p>
    <w:p w14:paraId="46AA0E3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法定代表人：黄辰立</w:t>
      </w:r>
    </w:p>
    <w:p w14:paraId="04EFDCD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成立时间：</w:t>
      </w:r>
      <w:r>
        <w:rPr>
          <w:rFonts w:ascii="宋体" w:hAnsi="宋体"/>
          <w:szCs w:val="21"/>
        </w:rPr>
        <w:t>2004年11月8</w:t>
      </w:r>
      <w:r>
        <w:rPr>
          <w:rFonts w:ascii="宋体" w:hAnsi="宋体" w:hint="eastAsia"/>
          <w:szCs w:val="21"/>
        </w:rPr>
        <w:t xml:space="preserve">日 </w:t>
      </w:r>
    </w:p>
    <w:p w14:paraId="00F74EC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批准设立机关及批准设立文号：中国证监会证监基金字[2004]164号</w:t>
      </w:r>
    </w:p>
    <w:p w14:paraId="2A956CF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组织</w:t>
      </w:r>
      <w:proofErr w:type="gramStart"/>
      <w:r>
        <w:rPr>
          <w:rFonts w:ascii="宋体" w:hAnsi="宋体" w:hint="eastAsia"/>
          <w:szCs w:val="21"/>
        </w:rPr>
        <w:t>形式:</w:t>
      </w:r>
      <w:proofErr w:type="gramEnd"/>
      <w:r>
        <w:rPr>
          <w:rFonts w:ascii="宋体" w:hAnsi="宋体" w:hint="eastAsia"/>
          <w:szCs w:val="21"/>
        </w:rPr>
        <w:t xml:space="preserve"> 有限责任公司</w:t>
      </w:r>
    </w:p>
    <w:p w14:paraId="4181858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注册资本：人民币5.143亿元</w:t>
      </w:r>
    </w:p>
    <w:p w14:paraId="20EBD2C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经营期限：持续经营</w:t>
      </w:r>
    </w:p>
    <w:p w14:paraId="12014EA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联系地址：（022）83310208</w:t>
      </w:r>
    </w:p>
    <w:p w14:paraId="5733C911" w14:textId="77777777" w:rsidR="00980B4C" w:rsidRDefault="00980B4C">
      <w:pPr>
        <w:spacing w:line="360" w:lineRule="auto"/>
        <w:ind w:firstLineChars="200" w:firstLine="420"/>
        <w:rPr>
          <w:rFonts w:ascii="宋体" w:hAnsi="宋体" w:hint="eastAsia"/>
          <w:szCs w:val="21"/>
        </w:rPr>
      </w:pPr>
    </w:p>
    <w:p w14:paraId="78B56DEF" w14:textId="77777777" w:rsidR="00980B4C" w:rsidRDefault="00980B4C">
      <w:pPr>
        <w:spacing w:line="360" w:lineRule="auto"/>
        <w:rPr>
          <w:rFonts w:ascii="宋体" w:hAnsi="宋体" w:hint="eastAsia"/>
          <w:szCs w:val="21"/>
        </w:rPr>
      </w:pPr>
    </w:p>
    <w:p w14:paraId="63476514" w14:textId="77777777" w:rsidR="00980B4C" w:rsidRDefault="003140D0">
      <w:pPr>
        <w:spacing w:line="360" w:lineRule="auto"/>
        <w:ind w:firstLineChars="200" w:firstLine="422"/>
        <w:rPr>
          <w:rFonts w:ascii="宋体" w:hAnsi="宋体" w:hint="eastAsia"/>
        </w:rPr>
      </w:pPr>
      <w:bookmarkStart w:id="9" w:name="_Toc382819070"/>
      <w:r>
        <w:rPr>
          <w:rFonts w:ascii="宋体" w:hAnsi="宋体" w:hint="eastAsia"/>
          <w:b/>
          <w:szCs w:val="21"/>
        </w:rPr>
        <w:t>基金托管人：上海浦东发展银行股份有限公司</w:t>
      </w:r>
      <w:bookmarkEnd w:id="9"/>
      <w:r>
        <w:rPr>
          <w:rFonts w:ascii="宋体" w:hAnsi="宋体" w:hint="eastAsia"/>
          <w:b/>
          <w:szCs w:val="21"/>
        </w:rPr>
        <w:t>（或称“托管人”）</w:t>
      </w:r>
    </w:p>
    <w:p w14:paraId="44FDA8D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住所：上海市黄浦区中山东一路12 号</w:t>
      </w:r>
    </w:p>
    <w:p w14:paraId="52428A75" w14:textId="77777777" w:rsidR="00980B4C" w:rsidRDefault="003140D0">
      <w:pPr>
        <w:spacing w:line="360" w:lineRule="auto"/>
        <w:ind w:firstLineChars="200" w:firstLine="420"/>
        <w:rPr>
          <w:rFonts w:ascii="宋体" w:hAnsi="宋体" w:hint="eastAsia"/>
          <w:szCs w:val="21"/>
        </w:rPr>
      </w:pPr>
      <w:bookmarkStart w:id="10" w:name="OLE_LINK2"/>
      <w:bookmarkStart w:id="11" w:name="OLE_LINK1"/>
      <w:r>
        <w:rPr>
          <w:rFonts w:ascii="宋体" w:hAnsi="宋体" w:hint="eastAsia"/>
          <w:szCs w:val="21"/>
        </w:rPr>
        <w:t>法定代表人</w:t>
      </w:r>
      <w:bookmarkEnd w:id="10"/>
      <w:bookmarkEnd w:id="11"/>
      <w:r>
        <w:rPr>
          <w:rFonts w:ascii="宋体" w:hAnsi="宋体" w:hint="eastAsia"/>
          <w:szCs w:val="21"/>
        </w:rPr>
        <w:t>：张为忠</w:t>
      </w:r>
    </w:p>
    <w:p w14:paraId="5DC6823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成立日期：1992年10月19日</w:t>
      </w:r>
    </w:p>
    <w:p w14:paraId="237F794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基金托管业务资格批准机关：中国证监会</w:t>
      </w:r>
    </w:p>
    <w:p w14:paraId="6C5BD90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基金托管业务资格文号：证监基金字[2003]105号</w:t>
      </w:r>
    </w:p>
    <w:p w14:paraId="1AA1CBA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组织形式：股份有限公司（上市）</w:t>
      </w:r>
    </w:p>
    <w:p w14:paraId="4C0E343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注册资本：293.52 亿元</w:t>
      </w:r>
    </w:p>
    <w:p w14:paraId="57F5C91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经营期限：永久存续</w:t>
      </w:r>
    </w:p>
    <w:p w14:paraId="0B30708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联系地址：上海市黄浦区中山东一路12 号</w:t>
      </w:r>
    </w:p>
    <w:p w14:paraId="5C5946C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联系电话：</w:t>
      </w:r>
      <w:r>
        <w:rPr>
          <w:rFonts w:ascii="宋体" w:hAnsi="宋体"/>
          <w:szCs w:val="21"/>
        </w:rPr>
        <w:t>021-31888888</w:t>
      </w:r>
    </w:p>
    <w:p w14:paraId="67FD1D6D" w14:textId="77777777" w:rsidR="00980B4C" w:rsidRDefault="00980B4C">
      <w:pPr>
        <w:spacing w:line="360" w:lineRule="auto"/>
        <w:ind w:firstLineChars="200" w:firstLine="480"/>
        <w:rPr>
          <w:rFonts w:ascii="宋体" w:hAnsi="宋体" w:hint="eastAsia"/>
          <w:sz w:val="24"/>
        </w:rPr>
      </w:pPr>
    </w:p>
    <w:p w14:paraId="745ED655" w14:textId="77777777" w:rsidR="00980B4C" w:rsidRDefault="00980B4C">
      <w:pPr>
        <w:spacing w:line="360" w:lineRule="auto"/>
        <w:ind w:firstLineChars="200" w:firstLine="480"/>
        <w:rPr>
          <w:rFonts w:ascii="宋体" w:hAnsi="宋体" w:hint="eastAsia"/>
          <w:sz w:val="24"/>
        </w:rPr>
      </w:pPr>
    </w:p>
    <w:p w14:paraId="75515EC1" w14:textId="77777777" w:rsidR="00980B4C" w:rsidRDefault="003140D0">
      <w:pPr>
        <w:spacing w:beforeLines="100" w:before="312" w:afterLines="100" w:after="312" w:line="240" w:lineRule="atLeast"/>
        <w:jc w:val="center"/>
        <w:outlineLvl w:val="0"/>
        <w:rPr>
          <w:rFonts w:ascii="宋体" w:hAnsi="宋体" w:hint="eastAsia"/>
        </w:rPr>
      </w:pPr>
      <w:r>
        <w:rPr>
          <w:rFonts w:ascii="宋体" w:hAnsi="宋体"/>
          <w:sz w:val="24"/>
        </w:rPr>
        <w:br w:type="page"/>
      </w:r>
      <w:bookmarkStart w:id="12" w:name="_Toc382819071"/>
      <w:r>
        <w:rPr>
          <w:rFonts w:ascii="宋体" w:hAnsi="宋体" w:hint="eastAsia"/>
          <w:b/>
          <w:sz w:val="24"/>
        </w:rPr>
        <w:lastRenderedPageBreak/>
        <w:t>一、基金托管协议的依据、目的、原则和解释</w:t>
      </w:r>
      <w:bookmarkEnd w:id="12"/>
    </w:p>
    <w:p w14:paraId="4DAD1743" w14:textId="77777777" w:rsidR="00980B4C" w:rsidRDefault="003140D0">
      <w:pPr>
        <w:pStyle w:val="2"/>
        <w:keepNext w:val="0"/>
        <w:keepLines w:val="0"/>
        <w:autoSpaceDE w:val="0"/>
        <w:autoSpaceDN w:val="0"/>
        <w:adjustRightInd w:val="0"/>
        <w:spacing w:before="0" w:after="0" w:line="360" w:lineRule="auto"/>
        <w:ind w:firstLineChars="150" w:firstLine="315"/>
        <w:textAlignment w:val="baseline"/>
        <w:rPr>
          <w:rFonts w:ascii="宋体" w:hAnsi="宋体" w:hint="eastAsia"/>
          <w:szCs w:val="21"/>
        </w:rPr>
      </w:pPr>
      <w:r>
        <w:rPr>
          <w:rFonts w:ascii="宋体" w:eastAsia="宋体" w:hAnsi="宋体" w:hint="eastAsia"/>
          <w:b w:val="0"/>
          <w:bCs w:val="0"/>
          <w:sz w:val="21"/>
          <w:szCs w:val="21"/>
        </w:rPr>
        <w:t>（一）依据</w:t>
      </w:r>
    </w:p>
    <w:p w14:paraId="046236A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本协议依据《中华人民共和国民法典》、《中华人民共和国证券投资基金法》（以下简称《基金法》）、《公开募集证券投资基金运作管理办法》（以下简称《运作办法》）、《公开募集证券投资基金销售机构监督管理办法》、《公开募集证券投资基金信息披露管理办法》（以下简称《信息披露办法》）、《公开募集证券投资基金业绩比较基准指引》、《公开募集开放式证券投资基金流动性风险管理规定》（以下简称《流动性风险管理规定》）、《公开募集证券投资基金运作指引第3号——指数基金指引》、《天弘中证港股通互联网指数型证券投资基金基金合同》（以下简称《基金合同》或基金合同）及其他有关法律、法规制定。</w:t>
      </w:r>
    </w:p>
    <w:p w14:paraId="46D6E820" w14:textId="77777777" w:rsidR="00980B4C" w:rsidRDefault="003140D0">
      <w:pPr>
        <w:pStyle w:val="2"/>
        <w:keepNext w:val="0"/>
        <w:keepLines w:val="0"/>
        <w:autoSpaceDE w:val="0"/>
        <w:autoSpaceDN w:val="0"/>
        <w:adjustRightInd w:val="0"/>
        <w:spacing w:before="0" w:after="0" w:line="360" w:lineRule="auto"/>
        <w:ind w:firstLineChars="150" w:firstLine="315"/>
        <w:textAlignment w:val="baseline"/>
        <w:rPr>
          <w:rFonts w:ascii="宋体" w:hAnsi="宋体" w:hint="eastAsia"/>
          <w:szCs w:val="21"/>
        </w:rPr>
      </w:pPr>
      <w:r>
        <w:rPr>
          <w:rFonts w:ascii="宋体" w:eastAsia="宋体" w:hAnsi="宋体" w:hint="eastAsia"/>
          <w:b w:val="0"/>
          <w:bCs w:val="0"/>
          <w:sz w:val="21"/>
          <w:szCs w:val="21"/>
        </w:rPr>
        <w:t>（二）目的</w:t>
      </w:r>
    </w:p>
    <w:p w14:paraId="3D93F67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本协议的目的是明确基金托管人与基金管理人之间在基金财产的保管、投资运作、净值计算、收益分配、信息披露及相互监督等有关事宜中的权利、义务及职责，确保基金财产的安全，保护基金份额持有人的合法权益。</w:t>
      </w:r>
    </w:p>
    <w:p w14:paraId="7062B061" w14:textId="77777777" w:rsidR="00980B4C" w:rsidRDefault="003140D0">
      <w:pPr>
        <w:pStyle w:val="2"/>
        <w:keepNext w:val="0"/>
        <w:keepLines w:val="0"/>
        <w:autoSpaceDE w:val="0"/>
        <w:autoSpaceDN w:val="0"/>
        <w:adjustRightInd w:val="0"/>
        <w:spacing w:before="0" w:after="0" w:line="360" w:lineRule="auto"/>
        <w:ind w:firstLineChars="150" w:firstLine="315"/>
        <w:textAlignment w:val="baseline"/>
        <w:rPr>
          <w:rFonts w:ascii="宋体" w:hAnsi="宋体" w:hint="eastAsia"/>
          <w:szCs w:val="21"/>
        </w:rPr>
      </w:pPr>
      <w:r>
        <w:rPr>
          <w:rFonts w:ascii="宋体" w:eastAsia="宋体" w:hAnsi="宋体" w:hint="eastAsia"/>
          <w:b w:val="0"/>
          <w:bCs w:val="0"/>
          <w:sz w:val="21"/>
          <w:szCs w:val="21"/>
        </w:rPr>
        <w:t>（三）原则</w:t>
      </w:r>
    </w:p>
    <w:p w14:paraId="15157D3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基金管理人和基金托管人本着平等自愿、诚实信用、充分保护基金份额持有人合法权益的原则，经协商一致，签订本协议。</w:t>
      </w:r>
    </w:p>
    <w:p w14:paraId="74706F54" w14:textId="77777777" w:rsidR="00980B4C" w:rsidRDefault="003140D0">
      <w:pPr>
        <w:pStyle w:val="2"/>
        <w:keepNext w:val="0"/>
        <w:keepLines w:val="0"/>
        <w:autoSpaceDE w:val="0"/>
        <w:autoSpaceDN w:val="0"/>
        <w:adjustRightInd w:val="0"/>
        <w:spacing w:before="0" w:after="0" w:line="360" w:lineRule="auto"/>
        <w:ind w:firstLineChars="150" w:firstLine="315"/>
        <w:textAlignment w:val="baseline"/>
        <w:rPr>
          <w:rFonts w:ascii="宋体" w:hAnsi="宋体" w:hint="eastAsia"/>
          <w:szCs w:val="21"/>
        </w:rPr>
      </w:pPr>
      <w:r>
        <w:rPr>
          <w:rFonts w:ascii="宋体" w:eastAsia="宋体" w:hAnsi="宋体" w:hint="eastAsia"/>
          <w:b w:val="0"/>
          <w:bCs w:val="0"/>
          <w:sz w:val="21"/>
          <w:szCs w:val="21"/>
        </w:rPr>
        <w:t>（四）解释</w:t>
      </w:r>
    </w:p>
    <w:p w14:paraId="186BE201"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除非本协议另有约定，本协议所有术语与《基金合同》的相应术语具有相同含义，若有抵触应以基金合同为准。</w:t>
      </w:r>
    </w:p>
    <w:p w14:paraId="7DC9F6D5" w14:textId="77777777" w:rsidR="00980B4C" w:rsidRDefault="003140D0">
      <w:pPr>
        <w:pStyle w:val="2"/>
        <w:keepNext w:val="0"/>
        <w:keepLines w:val="0"/>
        <w:autoSpaceDE w:val="0"/>
        <w:autoSpaceDN w:val="0"/>
        <w:adjustRightInd w:val="0"/>
        <w:spacing w:before="0" w:after="0" w:line="360" w:lineRule="auto"/>
        <w:ind w:firstLineChars="150" w:firstLine="315"/>
        <w:textAlignment w:val="baseline"/>
        <w:rPr>
          <w:rFonts w:ascii="宋体" w:eastAsia="宋体" w:hAnsi="宋体" w:hint="eastAsia"/>
          <w:b w:val="0"/>
          <w:bCs w:val="0"/>
          <w:sz w:val="21"/>
          <w:szCs w:val="21"/>
        </w:rPr>
      </w:pPr>
      <w:r>
        <w:rPr>
          <w:rFonts w:ascii="宋体" w:eastAsia="宋体" w:hAnsi="宋体" w:hint="eastAsia"/>
          <w:b w:val="0"/>
          <w:bCs w:val="0"/>
          <w:sz w:val="21"/>
          <w:szCs w:val="21"/>
        </w:rPr>
        <w:t>（五）若本基金实施侧袋机制的，侧袋机制实施期间的相关安排见基金合同和招募说明书的规定。</w:t>
      </w:r>
    </w:p>
    <w:p w14:paraId="480F4B9B" w14:textId="77777777" w:rsidR="00980B4C" w:rsidRDefault="003140D0">
      <w:pPr>
        <w:widowControl/>
        <w:jc w:val="left"/>
        <w:rPr>
          <w:rFonts w:ascii="宋体" w:hAnsi="宋体" w:hint="eastAsia"/>
          <w:szCs w:val="21"/>
        </w:rPr>
      </w:pPr>
      <w:r>
        <w:rPr>
          <w:rFonts w:ascii="宋体" w:hAnsi="宋体"/>
          <w:b/>
          <w:bCs/>
          <w:szCs w:val="21"/>
        </w:rPr>
        <w:br w:type="page"/>
      </w:r>
    </w:p>
    <w:p w14:paraId="0DD44776" w14:textId="77777777" w:rsidR="00980B4C" w:rsidRDefault="003140D0">
      <w:pPr>
        <w:spacing w:beforeLines="100" w:before="312" w:afterLines="100" w:after="312" w:line="240" w:lineRule="atLeast"/>
        <w:jc w:val="center"/>
        <w:outlineLvl w:val="0"/>
        <w:rPr>
          <w:rFonts w:ascii="宋体" w:hAnsi="宋体" w:hint="eastAsia"/>
        </w:rPr>
      </w:pPr>
      <w:bookmarkStart w:id="13" w:name="_Toc382819072"/>
      <w:r>
        <w:rPr>
          <w:rFonts w:ascii="宋体" w:hAnsi="宋体" w:hint="eastAsia"/>
          <w:b/>
          <w:sz w:val="24"/>
        </w:rPr>
        <w:lastRenderedPageBreak/>
        <w:t>二、基金托管人对基金管理人的业务监督和核查</w:t>
      </w:r>
      <w:bookmarkEnd w:id="13"/>
    </w:p>
    <w:p w14:paraId="23C63EA7" w14:textId="77777777" w:rsidR="00980B4C" w:rsidRDefault="003140D0">
      <w:pPr>
        <w:spacing w:after="120" w:line="360" w:lineRule="auto"/>
        <w:ind w:firstLineChars="200" w:firstLine="420"/>
        <w:rPr>
          <w:rFonts w:ascii="宋体" w:hAnsi="宋体" w:hint="eastAsia"/>
          <w:szCs w:val="21"/>
        </w:rPr>
      </w:pPr>
      <w:bookmarkStart w:id="14" w:name="_Toc382819073"/>
      <w:r>
        <w:rPr>
          <w:rFonts w:ascii="宋体" w:hAnsi="宋体" w:hint="eastAsia"/>
          <w:szCs w:val="21"/>
        </w:rPr>
        <w:t>（一）基金托管人对基金管理人的投资行为行使监督权</w:t>
      </w:r>
      <w:bookmarkEnd w:id="14"/>
    </w:p>
    <w:p w14:paraId="075E5CC5" w14:textId="77777777" w:rsidR="00980B4C" w:rsidRDefault="003140D0">
      <w:pPr>
        <w:widowControl/>
        <w:spacing w:line="360" w:lineRule="auto"/>
        <w:ind w:firstLineChars="200" w:firstLine="420"/>
        <w:jc w:val="left"/>
        <w:rPr>
          <w:rFonts w:ascii="宋体" w:hAnsi="宋体" w:hint="eastAsia"/>
          <w:szCs w:val="21"/>
        </w:rPr>
      </w:pPr>
      <w:r>
        <w:rPr>
          <w:rFonts w:ascii="宋体" w:hAnsi="宋体" w:hint="eastAsia"/>
          <w:szCs w:val="21"/>
        </w:rPr>
        <w:t>1.基金托管人根据有关法律法规的规定和《基金合同》的约定，对下述基金投资范围、投资对象进行监督。</w:t>
      </w:r>
    </w:p>
    <w:p w14:paraId="4A19ABB6" w14:textId="77777777" w:rsidR="00980B4C" w:rsidRDefault="003140D0">
      <w:pPr>
        <w:widowControl/>
        <w:spacing w:line="324" w:lineRule="auto"/>
        <w:ind w:firstLineChars="200" w:firstLine="420"/>
        <w:jc w:val="left"/>
        <w:rPr>
          <w:rFonts w:ascii="宋体" w:hAnsi="宋体" w:cs="宋体" w:hint="eastAsia"/>
          <w:kern w:val="0"/>
          <w:szCs w:val="21"/>
        </w:rPr>
      </w:pPr>
      <w:r>
        <w:rPr>
          <w:rFonts w:ascii="宋体" w:hAnsi="宋体" w:hint="eastAsia"/>
          <w:szCs w:val="21"/>
        </w:rPr>
        <w:t>本</w:t>
      </w:r>
      <w:r>
        <w:rPr>
          <w:rFonts w:ascii="宋体" w:hAnsi="宋体" w:cs="宋体" w:hint="eastAsia"/>
          <w:kern w:val="0"/>
          <w:szCs w:val="21"/>
        </w:rPr>
        <w:t>基金将投资于以下金融工具：</w:t>
      </w:r>
    </w:p>
    <w:p w14:paraId="55DD3D28" w14:textId="77777777" w:rsidR="00980B4C" w:rsidRDefault="003140D0">
      <w:pPr>
        <w:widowControl/>
        <w:spacing w:line="324" w:lineRule="auto"/>
        <w:ind w:firstLineChars="200" w:firstLine="420"/>
        <w:jc w:val="left"/>
        <w:rPr>
          <w:rFonts w:ascii="宋体" w:hAnsi="宋体" w:hint="eastAsia"/>
          <w:bCs/>
          <w:szCs w:val="21"/>
        </w:rPr>
      </w:pPr>
      <w:r>
        <w:rPr>
          <w:rFonts w:ascii="宋体" w:hAnsi="宋体" w:hint="eastAsia"/>
          <w:bCs/>
          <w:szCs w:val="21"/>
        </w:rPr>
        <w:t>本基金的投资范围为具有良好流动性的金融工具，以标的指数成份股、备选成份股（含存托凭证）为主要投资对象。此外，为更好地实现基金的投资目标，本基金还可以投资于国内依法发行上市的非成份股（包括主板、科创板、创业板及其他经中国证监会允许上市的股票）、港股通标的股票、存托凭证、债券（包括国债、央行票据、地方政府债、政府支持债券、政府支持机构债券、金融债、企业债、公司债、次级债、可转换债券、可交换债券、分离交易可转债、中期票据、短期融资券、超短期融资券等）、货币市场工具、同业存单、债券回购、资产支持证券、银行存款、金融衍生工具（国债期货、股指期货、股票期权等）以及法律法规或中国证监会允许基金投资的其他金融工具（但须符合中国证监会的相关规定）。</w:t>
      </w:r>
    </w:p>
    <w:p w14:paraId="238011C8" w14:textId="77777777" w:rsidR="00980B4C" w:rsidRDefault="003140D0">
      <w:pPr>
        <w:widowControl/>
        <w:spacing w:line="324" w:lineRule="auto"/>
        <w:ind w:firstLineChars="200" w:firstLine="420"/>
        <w:jc w:val="left"/>
        <w:rPr>
          <w:rFonts w:ascii="宋体" w:hAnsi="宋体" w:hint="eastAsia"/>
          <w:bCs/>
          <w:szCs w:val="21"/>
        </w:rPr>
      </w:pPr>
      <w:r>
        <w:rPr>
          <w:rFonts w:ascii="宋体" w:hAnsi="宋体" w:hint="eastAsia"/>
          <w:bCs/>
          <w:szCs w:val="21"/>
        </w:rPr>
        <w:t>本基金可以根据相关法律法规的规定参与融资和转融通证券出借业务。</w:t>
      </w:r>
    </w:p>
    <w:p w14:paraId="0336EEDD" w14:textId="77777777" w:rsidR="00980B4C" w:rsidRDefault="003140D0">
      <w:pPr>
        <w:widowControl/>
        <w:spacing w:line="324" w:lineRule="auto"/>
        <w:ind w:firstLineChars="200" w:firstLine="420"/>
        <w:jc w:val="left"/>
        <w:rPr>
          <w:rFonts w:ascii="宋体" w:hAnsi="宋体" w:hint="eastAsia"/>
          <w:bCs/>
          <w:szCs w:val="21"/>
        </w:rPr>
      </w:pPr>
      <w:r>
        <w:rPr>
          <w:rFonts w:ascii="宋体" w:hAnsi="宋体" w:hint="eastAsia"/>
          <w:bCs/>
          <w:szCs w:val="21"/>
        </w:rPr>
        <w:t>如法律法规或监管机构以后允许基金投资其他品种，基金管理人在履行适当程序后，可以将其纳入投资范围。</w:t>
      </w:r>
    </w:p>
    <w:p w14:paraId="6D765984" w14:textId="77777777" w:rsidR="00980B4C" w:rsidRDefault="003140D0">
      <w:pPr>
        <w:spacing w:line="360" w:lineRule="auto"/>
        <w:ind w:firstLine="420"/>
        <w:rPr>
          <w:rFonts w:ascii="宋体" w:hAnsi="宋体" w:hint="eastAsia"/>
          <w:kern w:val="0"/>
          <w:szCs w:val="21"/>
        </w:rPr>
      </w:pPr>
      <w:r>
        <w:rPr>
          <w:rFonts w:ascii="宋体" w:hAnsi="宋体" w:hint="eastAsia"/>
          <w:kern w:val="0"/>
          <w:szCs w:val="21"/>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705516DC" w14:textId="77777777" w:rsidR="00980B4C" w:rsidRDefault="003140D0">
      <w:pPr>
        <w:widowControl/>
        <w:spacing w:line="324" w:lineRule="auto"/>
        <w:ind w:firstLineChars="200" w:firstLine="420"/>
        <w:jc w:val="left"/>
        <w:rPr>
          <w:rFonts w:ascii="宋体" w:hAnsi="宋体" w:hint="eastAsia"/>
          <w:kern w:val="0"/>
          <w:szCs w:val="21"/>
        </w:rPr>
      </w:pPr>
      <w:r>
        <w:rPr>
          <w:rFonts w:ascii="宋体" w:hAnsi="宋体" w:hint="eastAsia"/>
          <w:kern w:val="0"/>
          <w:szCs w:val="21"/>
        </w:rPr>
        <w:t>本基金不得投资于相关法律、法规、部门规章及《基金合同》禁止投资的投资工具。</w:t>
      </w:r>
    </w:p>
    <w:p w14:paraId="0B5AFB13" w14:textId="77777777" w:rsidR="00980B4C" w:rsidRDefault="003140D0">
      <w:pPr>
        <w:spacing w:after="120" w:line="324" w:lineRule="auto"/>
        <w:ind w:firstLineChars="200" w:firstLine="420"/>
        <w:rPr>
          <w:rFonts w:ascii="宋体" w:hAnsi="宋体" w:hint="eastAsia"/>
          <w:szCs w:val="21"/>
        </w:rPr>
      </w:pPr>
      <w:r>
        <w:rPr>
          <w:rFonts w:ascii="宋体" w:hAnsi="宋体" w:hint="eastAsia"/>
          <w:szCs w:val="21"/>
        </w:rPr>
        <w:t>2.基金托管人根据有关法律法规的规定及《基金合同》的约定对下述基金投融资比例进行监督：</w:t>
      </w:r>
    </w:p>
    <w:p w14:paraId="3C5EB2D6" w14:textId="77777777" w:rsidR="00980B4C" w:rsidRDefault="003140D0">
      <w:pPr>
        <w:spacing w:line="324" w:lineRule="auto"/>
        <w:ind w:firstLine="480"/>
        <w:rPr>
          <w:rFonts w:ascii="宋体" w:hAnsi="宋体" w:hint="eastAsia"/>
          <w:szCs w:val="21"/>
        </w:rPr>
      </w:pPr>
      <w:r>
        <w:rPr>
          <w:rFonts w:ascii="宋体" w:hAnsi="宋体" w:hint="eastAsia"/>
          <w:szCs w:val="21"/>
        </w:rPr>
        <w:t>（1）按法律法规的规定及《基金合同》的约定，本基金的投资资产配置比例为：</w:t>
      </w:r>
    </w:p>
    <w:p w14:paraId="17FF98A8" w14:textId="77777777" w:rsidR="00980B4C" w:rsidRDefault="003140D0">
      <w:pPr>
        <w:spacing w:line="324" w:lineRule="auto"/>
        <w:ind w:firstLine="480"/>
        <w:rPr>
          <w:rFonts w:ascii="宋体" w:hAnsi="宋体" w:hint="eastAsia"/>
          <w:bCs/>
          <w:szCs w:val="21"/>
        </w:rPr>
      </w:pPr>
      <w:r>
        <w:rPr>
          <w:rFonts w:ascii="宋体" w:hAnsi="宋体" w:hint="eastAsia"/>
          <w:bCs/>
          <w:szCs w:val="21"/>
        </w:rPr>
        <w:t>本基金投资于股票的资产比例不低于基金资产的</w:t>
      </w:r>
      <w:r>
        <w:rPr>
          <w:rFonts w:ascii="宋体" w:hAnsi="宋体"/>
          <w:bCs/>
          <w:szCs w:val="21"/>
        </w:rPr>
        <w:t>90%，投资于标的指数成份股、备选成份股的资产比例不低于非现金基金资产的80%，因法律法规的规定而受限制的情形除外；每个交易日日终在扣除国债期货、股指期货和股票期权合约需缴纳的交易保证金后，应当保持不低于基金资产净值5%的现金或到期日在一年以内的政府债券，其中现金不包括结算备付金、存出保证金和应收申购款等。国债期货、股指期货、股票期权及其他金融工具的投资比例依照法律法规或监管机构的规定执行。</w:t>
      </w:r>
    </w:p>
    <w:p w14:paraId="43902180" w14:textId="77777777" w:rsidR="00980B4C" w:rsidRDefault="003140D0">
      <w:pPr>
        <w:spacing w:line="360" w:lineRule="auto"/>
        <w:ind w:firstLine="420"/>
        <w:rPr>
          <w:rFonts w:ascii="宋体" w:hAnsi="宋体" w:hint="eastAsia"/>
          <w:bCs/>
          <w:szCs w:val="21"/>
        </w:rPr>
      </w:pPr>
      <w:r>
        <w:rPr>
          <w:rFonts w:ascii="宋体" w:hAnsi="宋体" w:hint="eastAsia"/>
          <w:bCs/>
          <w:szCs w:val="21"/>
        </w:rPr>
        <w:t>如法律法规或监管机构变更投资品种的投资比例限制，基金管理人在履行适当程序后，</w:t>
      </w:r>
      <w:r>
        <w:rPr>
          <w:rFonts w:ascii="宋体" w:hAnsi="宋体" w:hint="eastAsia"/>
          <w:bCs/>
          <w:szCs w:val="21"/>
        </w:rPr>
        <w:lastRenderedPageBreak/>
        <w:t>可以调整上述投资品种的投资比例。</w:t>
      </w:r>
    </w:p>
    <w:p w14:paraId="0B61F562" w14:textId="77777777" w:rsidR="00980B4C" w:rsidRDefault="003140D0">
      <w:pPr>
        <w:spacing w:line="324" w:lineRule="auto"/>
        <w:ind w:firstLine="480"/>
        <w:rPr>
          <w:rFonts w:ascii="宋体" w:hAnsi="宋体" w:hint="eastAsia"/>
          <w:szCs w:val="21"/>
        </w:rPr>
      </w:pPr>
      <w:r>
        <w:rPr>
          <w:rFonts w:ascii="宋体" w:hAnsi="宋体" w:hint="eastAsia"/>
          <w:szCs w:val="21"/>
        </w:rPr>
        <w:t xml:space="preserve">（2）根据法律法规的规定及《基金合同》的约定，本基金投资组合遵循以下投资限制： </w:t>
      </w:r>
    </w:p>
    <w:p w14:paraId="480F67D3" w14:textId="77777777" w:rsidR="00980B4C" w:rsidRDefault="003140D0">
      <w:pPr>
        <w:spacing w:line="324" w:lineRule="auto"/>
        <w:ind w:firstLine="480"/>
        <w:rPr>
          <w:rFonts w:ascii="宋体" w:hAnsi="宋体" w:hint="eastAsia"/>
          <w:bCs/>
          <w:szCs w:val="21"/>
        </w:rPr>
      </w:pPr>
      <w:r>
        <w:rPr>
          <w:rFonts w:ascii="宋体" w:hAnsi="宋体"/>
          <w:bCs/>
          <w:szCs w:val="21"/>
        </w:rPr>
        <w:t>1）本基金投资于股票的资产比例不低于基金资产的90%，投资于标的指数成份股、备选成份股的资产比例不低于非现金基金资产的80%，因法律法规的规定而受限制的情形除外；</w:t>
      </w:r>
    </w:p>
    <w:p w14:paraId="120EDE79" w14:textId="77777777" w:rsidR="00980B4C" w:rsidRDefault="003140D0">
      <w:pPr>
        <w:spacing w:line="324" w:lineRule="auto"/>
        <w:ind w:firstLine="480"/>
        <w:rPr>
          <w:rFonts w:ascii="宋体" w:hAnsi="宋体" w:hint="eastAsia"/>
          <w:bCs/>
          <w:szCs w:val="21"/>
        </w:rPr>
      </w:pPr>
      <w:r>
        <w:rPr>
          <w:rFonts w:ascii="宋体" w:hAnsi="宋体"/>
          <w:bCs/>
          <w:szCs w:val="21"/>
        </w:rPr>
        <w:t>2）本基金每个交易日日终在扣除国债期货、股指期货和股票期权合约需缴纳的交易保证金后，应当保持不低于基金资产净值5%的现金或到期日在一年以内的政府债券，其中现金不包括结算备付金、存出保证金和应收申购款等；</w:t>
      </w:r>
    </w:p>
    <w:p w14:paraId="5F79931C" w14:textId="77777777" w:rsidR="00980B4C" w:rsidRDefault="003140D0">
      <w:pPr>
        <w:spacing w:line="324" w:lineRule="auto"/>
        <w:ind w:firstLine="480"/>
        <w:rPr>
          <w:rFonts w:ascii="宋体" w:hAnsi="宋体" w:hint="eastAsia"/>
          <w:bCs/>
          <w:szCs w:val="21"/>
        </w:rPr>
      </w:pPr>
      <w:r>
        <w:rPr>
          <w:rFonts w:ascii="宋体" w:hAnsi="宋体"/>
          <w:bCs/>
          <w:szCs w:val="21"/>
        </w:rPr>
        <w:t>3）本基金投资于同一原始权益人的各类资产支持证券的比例，不得超过基金资产净值的10%；</w:t>
      </w:r>
    </w:p>
    <w:p w14:paraId="560D7A21" w14:textId="77777777" w:rsidR="00980B4C" w:rsidRDefault="003140D0">
      <w:pPr>
        <w:spacing w:line="324" w:lineRule="auto"/>
        <w:ind w:firstLine="480"/>
        <w:rPr>
          <w:rFonts w:ascii="宋体" w:hAnsi="宋体" w:hint="eastAsia"/>
          <w:bCs/>
          <w:szCs w:val="21"/>
        </w:rPr>
      </w:pPr>
      <w:r>
        <w:rPr>
          <w:rFonts w:ascii="宋体" w:hAnsi="宋体"/>
          <w:bCs/>
          <w:szCs w:val="21"/>
        </w:rPr>
        <w:t>4）本基金持有的全部资产支持证券，其市值不得超过基金资产净值的20%；</w:t>
      </w:r>
    </w:p>
    <w:p w14:paraId="5E131F79" w14:textId="77777777" w:rsidR="00980B4C" w:rsidRDefault="003140D0">
      <w:pPr>
        <w:spacing w:line="324" w:lineRule="auto"/>
        <w:ind w:firstLine="480"/>
        <w:rPr>
          <w:rFonts w:ascii="宋体" w:hAnsi="宋体" w:hint="eastAsia"/>
          <w:bCs/>
          <w:szCs w:val="21"/>
        </w:rPr>
      </w:pPr>
      <w:r>
        <w:rPr>
          <w:rFonts w:ascii="宋体" w:hAnsi="宋体"/>
          <w:bCs/>
          <w:szCs w:val="21"/>
        </w:rPr>
        <w:t>5）本基金持有的同一</w:t>
      </w:r>
      <w:proofErr w:type="gramStart"/>
      <w:r>
        <w:rPr>
          <w:rFonts w:ascii="宋体" w:hAnsi="宋体"/>
          <w:bCs/>
          <w:szCs w:val="21"/>
        </w:rPr>
        <w:t>(指同一信用级别)</w:t>
      </w:r>
      <w:proofErr w:type="gramEnd"/>
      <w:r>
        <w:rPr>
          <w:rFonts w:ascii="宋体" w:hAnsi="宋体"/>
          <w:bCs/>
          <w:szCs w:val="21"/>
        </w:rPr>
        <w:t>资产支持证券的比例，不得超过该资产支持证券规模的10%；</w:t>
      </w:r>
    </w:p>
    <w:p w14:paraId="1EAB5CD8" w14:textId="77777777" w:rsidR="00980B4C" w:rsidRDefault="003140D0">
      <w:pPr>
        <w:spacing w:line="324" w:lineRule="auto"/>
        <w:ind w:firstLine="480"/>
        <w:rPr>
          <w:rFonts w:ascii="宋体" w:hAnsi="宋体" w:hint="eastAsia"/>
          <w:bCs/>
          <w:szCs w:val="21"/>
        </w:rPr>
      </w:pPr>
      <w:r>
        <w:rPr>
          <w:rFonts w:ascii="宋体" w:hAnsi="宋体"/>
          <w:bCs/>
          <w:szCs w:val="21"/>
        </w:rPr>
        <w:t>6）本基金管理人管理的全部基金投资于同一原始权益人的各类资产支持证券，不得超过其各类资产支持证券合计规模的10%；</w:t>
      </w:r>
    </w:p>
    <w:p w14:paraId="2F1595EC" w14:textId="77777777" w:rsidR="00980B4C" w:rsidRDefault="003140D0">
      <w:pPr>
        <w:spacing w:line="324" w:lineRule="auto"/>
        <w:ind w:firstLine="480"/>
        <w:rPr>
          <w:rFonts w:ascii="宋体" w:hAnsi="宋体" w:hint="eastAsia"/>
          <w:bCs/>
          <w:szCs w:val="21"/>
        </w:rPr>
      </w:pPr>
      <w:r>
        <w:rPr>
          <w:rFonts w:ascii="宋体" w:hAnsi="宋体"/>
          <w:bCs/>
          <w:szCs w:val="21"/>
        </w:rPr>
        <w:t>7）本基金应投资于信用级别评级为BBB以上</w:t>
      </w:r>
      <w:proofErr w:type="gramStart"/>
      <w:r>
        <w:rPr>
          <w:rFonts w:ascii="宋体" w:hAnsi="宋体"/>
          <w:bCs/>
          <w:szCs w:val="21"/>
        </w:rPr>
        <w:t>(含BBB)</w:t>
      </w:r>
      <w:proofErr w:type="gramEnd"/>
      <w:r>
        <w:rPr>
          <w:rFonts w:ascii="宋体" w:hAnsi="宋体"/>
          <w:bCs/>
          <w:szCs w:val="21"/>
        </w:rPr>
        <w:t>的资产支持证券。基金持有资产支持证券期间，如果其信用等级下降、不再符合投资标准，应在评级报告发布之日起3个月内予以全部卖出；</w:t>
      </w:r>
    </w:p>
    <w:p w14:paraId="6A255533" w14:textId="77777777" w:rsidR="00980B4C" w:rsidRDefault="003140D0">
      <w:pPr>
        <w:spacing w:line="324" w:lineRule="auto"/>
        <w:ind w:firstLine="480"/>
        <w:rPr>
          <w:rFonts w:ascii="宋体" w:hAnsi="宋体" w:hint="eastAsia"/>
          <w:bCs/>
          <w:szCs w:val="21"/>
        </w:rPr>
      </w:pPr>
      <w:r>
        <w:rPr>
          <w:rFonts w:ascii="宋体" w:hAnsi="宋体"/>
          <w:bCs/>
          <w:szCs w:val="21"/>
        </w:rPr>
        <w:t>8）基金财产参与股票发行申购，本基金所申报的金额不超过本基金的总资产，本基金所申报的股票数量不超过拟发行股票公司本次发行股票的总量；</w:t>
      </w:r>
    </w:p>
    <w:p w14:paraId="354276E5" w14:textId="77777777" w:rsidR="00980B4C" w:rsidRDefault="003140D0">
      <w:pPr>
        <w:spacing w:line="324" w:lineRule="auto"/>
        <w:ind w:firstLine="480"/>
        <w:rPr>
          <w:rFonts w:ascii="宋体" w:hAnsi="宋体" w:hint="eastAsia"/>
          <w:bCs/>
          <w:szCs w:val="21"/>
        </w:rPr>
      </w:pPr>
      <w:r>
        <w:rPr>
          <w:rFonts w:ascii="宋体" w:hAnsi="宋体"/>
          <w:bCs/>
          <w:szCs w:val="21"/>
        </w:rPr>
        <w:t>9）基金资产总值不超过基金资产净值的140%；</w:t>
      </w:r>
    </w:p>
    <w:p w14:paraId="51D80236" w14:textId="77777777" w:rsidR="00980B4C" w:rsidRDefault="003140D0">
      <w:pPr>
        <w:spacing w:line="324" w:lineRule="auto"/>
        <w:ind w:firstLine="480"/>
        <w:rPr>
          <w:rFonts w:ascii="宋体" w:hAnsi="宋体" w:hint="eastAsia"/>
          <w:bCs/>
          <w:szCs w:val="21"/>
        </w:rPr>
      </w:pPr>
      <w:r>
        <w:rPr>
          <w:rFonts w:ascii="宋体" w:hAnsi="宋体"/>
          <w:bCs/>
          <w:szCs w:val="21"/>
        </w:rPr>
        <w:t>10）本基金参与股指期货、国债期货交易，需遵循下述投资比例限制：</w:t>
      </w:r>
    </w:p>
    <w:p w14:paraId="66D9B558" w14:textId="77777777" w:rsidR="00980B4C" w:rsidRDefault="003140D0">
      <w:pPr>
        <w:spacing w:line="324" w:lineRule="auto"/>
        <w:ind w:firstLine="480"/>
        <w:rPr>
          <w:rFonts w:ascii="宋体" w:hAnsi="宋体" w:hint="eastAsia"/>
          <w:bCs/>
          <w:szCs w:val="21"/>
        </w:rPr>
      </w:pPr>
      <w:r>
        <w:rPr>
          <w:rFonts w:ascii="宋体" w:hAnsi="宋体" w:hint="eastAsia"/>
          <w:bCs/>
          <w:szCs w:val="21"/>
        </w:rPr>
        <w:t>本基金在任何交易日日终，持有的买入股指期货合约价值，不得超过基金资产净值的</w:t>
      </w:r>
      <w:r>
        <w:rPr>
          <w:rFonts w:ascii="宋体" w:hAnsi="宋体"/>
          <w:bCs/>
          <w:szCs w:val="21"/>
        </w:rPr>
        <w:t>10%；在任何交易日日终，持有的买入股指期货及国债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在任何交易日内交易（不包括平仓）的股指期货合约的成交金额不得超过上一交易日基金资产净值的20%；本基</w:t>
      </w:r>
      <w:r>
        <w:rPr>
          <w:rFonts w:ascii="宋体" w:hAnsi="宋体" w:hint="eastAsia"/>
          <w:bCs/>
          <w:szCs w:val="21"/>
        </w:rPr>
        <w:t>金所持有的股票市值和买入、卖出股指期货合约价值，合计（轧差计算）应当符合基金合同关于股票投资比例的有关约定；</w:t>
      </w:r>
    </w:p>
    <w:p w14:paraId="490EE81B" w14:textId="77777777" w:rsidR="00980B4C" w:rsidRDefault="003140D0">
      <w:pPr>
        <w:spacing w:line="324" w:lineRule="auto"/>
        <w:ind w:firstLine="480"/>
        <w:rPr>
          <w:rFonts w:ascii="宋体" w:hAnsi="宋体" w:hint="eastAsia"/>
          <w:bCs/>
          <w:szCs w:val="21"/>
        </w:rPr>
      </w:pPr>
      <w:r>
        <w:rPr>
          <w:rFonts w:ascii="宋体" w:hAnsi="宋体" w:hint="eastAsia"/>
          <w:bCs/>
          <w:szCs w:val="21"/>
        </w:rPr>
        <w:t>本基金在任何交易日日终，持有的买入国债期货合约价值，不得超过基金资产净值的</w:t>
      </w:r>
      <w:r>
        <w:rPr>
          <w:rFonts w:ascii="宋体" w:hAnsi="宋体"/>
          <w:bCs/>
          <w:szCs w:val="21"/>
        </w:rPr>
        <w:t>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w:t>
      </w:r>
      <w:r>
        <w:rPr>
          <w:rFonts w:ascii="宋体" w:hAnsi="宋体"/>
          <w:bCs/>
          <w:szCs w:val="21"/>
        </w:rPr>
        <w:lastRenderedPageBreak/>
        <w:t>券）市值和买入、卖出国债期货合约价值，合计（轧差计算）应当符合基金合同关于债券投资比例的有关约定；</w:t>
      </w:r>
    </w:p>
    <w:p w14:paraId="5BEB264E" w14:textId="77777777" w:rsidR="00980B4C" w:rsidRDefault="003140D0">
      <w:pPr>
        <w:spacing w:line="324" w:lineRule="auto"/>
        <w:ind w:firstLine="480"/>
        <w:rPr>
          <w:rFonts w:ascii="宋体" w:hAnsi="宋体" w:hint="eastAsia"/>
          <w:bCs/>
          <w:szCs w:val="21"/>
        </w:rPr>
      </w:pPr>
      <w:r>
        <w:rPr>
          <w:rFonts w:ascii="宋体" w:hAnsi="宋体"/>
          <w:bCs/>
          <w:szCs w:val="21"/>
        </w:rPr>
        <w:t>11）本基金参与股票期权交易，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14:paraId="672957A6" w14:textId="77777777" w:rsidR="00980B4C" w:rsidRDefault="003140D0">
      <w:pPr>
        <w:spacing w:line="324" w:lineRule="auto"/>
        <w:ind w:firstLine="480"/>
        <w:rPr>
          <w:rFonts w:ascii="宋体" w:hAnsi="宋体" w:hint="eastAsia"/>
          <w:bCs/>
          <w:szCs w:val="21"/>
        </w:rPr>
      </w:pPr>
      <w:r>
        <w:rPr>
          <w:rFonts w:ascii="宋体" w:hAnsi="宋体"/>
          <w:bCs/>
          <w:szCs w:val="21"/>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381468ED" w14:textId="77777777" w:rsidR="00980B4C" w:rsidRDefault="003140D0">
      <w:pPr>
        <w:spacing w:line="324" w:lineRule="auto"/>
        <w:ind w:firstLine="480"/>
        <w:rPr>
          <w:rFonts w:ascii="宋体" w:hAnsi="宋体" w:hint="eastAsia"/>
          <w:bCs/>
          <w:szCs w:val="21"/>
        </w:rPr>
      </w:pPr>
      <w:r>
        <w:rPr>
          <w:rFonts w:ascii="宋体" w:hAnsi="宋体"/>
          <w:bCs/>
          <w:szCs w:val="21"/>
        </w:rPr>
        <w:t>13）本基金参与融资的，每个交易日日终，本基金持有的融资买入股票与其他有价证券市值之和，不得超过基金资产净值的95%；</w:t>
      </w:r>
    </w:p>
    <w:p w14:paraId="020A1BFA" w14:textId="77777777" w:rsidR="00980B4C" w:rsidRDefault="003140D0">
      <w:pPr>
        <w:spacing w:line="324" w:lineRule="auto"/>
        <w:ind w:firstLine="480"/>
        <w:rPr>
          <w:rFonts w:ascii="宋体" w:hAnsi="宋体" w:hint="eastAsia"/>
          <w:bCs/>
          <w:szCs w:val="21"/>
        </w:rPr>
      </w:pPr>
      <w:r>
        <w:rPr>
          <w:rFonts w:ascii="宋体" w:hAnsi="宋体"/>
          <w:bCs/>
          <w:szCs w:val="21"/>
        </w:rPr>
        <w:t>14）在最近6个月内日均基金资产净值不低于2亿元的前提下，本基金可参与转融通证券出借业务。本基金参与转融通证券出借业务的，参与转融通证券出借业务的资产不得超过基金资产净值的30%，出借期限在10个交易日以上的出借证券应纳入《公开募集开放式证券投资基金流动性风险管理规定》所述流动性受限证券的范围；同时，本基金参与出借业务的单只证券不得超过本基金持有该证券总量的50%，证券出借的平均剩余期限不得超过30天，平均剩余期限按照市值加权平均计算。</w:t>
      </w:r>
    </w:p>
    <w:p w14:paraId="58DFEB0F" w14:textId="77777777" w:rsidR="00980B4C" w:rsidRDefault="003140D0">
      <w:pPr>
        <w:spacing w:line="324" w:lineRule="auto"/>
        <w:ind w:firstLine="480"/>
        <w:rPr>
          <w:rFonts w:ascii="宋体" w:hAnsi="宋体" w:hint="eastAsia"/>
          <w:bCs/>
          <w:szCs w:val="21"/>
        </w:rPr>
      </w:pPr>
      <w:r>
        <w:rPr>
          <w:rFonts w:ascii="宋体" w:hAnsi="宋体" w:hint="eastAsia"/>
          <w:bCs/>
          <w:szCs w:val="21"/>
        </w:rPr>
        <w:t>因证券</w:t>
      </w:r>
      <w:r>
        <w:rPr>
          <w:rFonts w:ascii="宋体" w:hAnsi="宋体"/>
          <w:bCs/>
          <w:szCs w:val="21"/>
        </w:rPr>
        <w:t>/期货市场波动、证券发行人合并、基金规模变动等基金管理人之外的因素致使基金投资不符合上述规定的，基金管理人不得新增出借业务；</w:t>
      </w:r>
    </w:p>
    <w:p w14:paraId="214982DC" w14:textId="77777777" w:rsidR="00980B4C" w:rsidRDefault="003140D0">
      <w:pPr>
        <w:spacing w:line="324" w:lineRule="auto"/>
        <w:ind w:firstLine="480"/>
        <w:rPr>
          <w:rFonts w:ascii="宋体" w:hAnsi="宋体" w:hint="eastAsia"/>
          <w:bCs/>
          <w:szCs w:val="21"/>
        </w:rPr>
      </w:pPr>
      <w:r>
        <w:rPr>
          <w:rFonts w:ascii="宋体" w:hAnsi="宋体"/>
          <w:bCs/>
          <w:szCs w:val="21"/>
        </w:rPr>
        <w:t>15）本基金与私募类</w:t>
      </w:r>
      <w:r>
        <w:rPr>
          <w:rFonts w:ascii="宋体" w:hAnsi="宋体" w:hint="eastAsia"/>
          <w:bCs/>
          <w:szCs w:val="21"/>
        </w:rPr>
        <w:t>证券资管产品及中国证监会认定的其他主体为交易对手开展逆回购交易的，可接受质押品的资质要求应当与基金合同约定的投资范围保持一致；</w:t>
      </w:r>
    </w:p>
    <w:p w14:paraId="1C2DE553" w14:textId="77777777" w:rsidR="00980B4C" w:rsidRDefault="003140D0">
      <w:pPr>
        <w:spacing w:line="324" w:lineRule="auto"/>
        <w:ind w:firstLine="480"/>
        <w:rPr>
          <w:rFonts w:ascii="宋体" w:hAnsi="宋体" w:hint="eastAsia"/>
          <w:bCs/>
          <w:szCs w:val="21"/>
        </w:rPr>
      </w:pPr>
      <w:r>
        <w:rPr>
          <w:rFonts w:ascii="宋体" w:hAnsi="宋体"/>
          <w:bCs/>
          <w:szCs w:val="21"/>
        </w:rPr>
        <w:t>16）本基金投资存托凭证的比例限制依照境内上市交易的股票执行，与境内上市交易的股票合并计算，法律法规或监管机构另有规定从其规定；</w:t>
      </w:r>
    </w:p>
    <w:p w14:paraId="27C36BDC" w14:textId="77777777" w:rsidR="00980B4C" w:rsidRDefault="003140D0">
      <w:pPr>
        <w:spacing w:line="324" w:lineRule="auto"/>
        <w:ind w:firstLine="480"/>
        <w:rPr>
          <w:rFonts w:ascii="宋体" w:hAnsi="宋体" w:hint="eastAsia"/>
          <w:bCs/>
          <w:szCs w:val="21"/>
        </w:rPr>
      </w:pPr>
      <w:r>
        <w:rPr>
          <w:rFonts w:ascii="宋体" w:hAnsi="宋体"/>
          <w:bCs/>
          <w:szCs w:val="21"/>
        </w:rPr>
        <w:t>17）法律法规及中国证监会规定的和《基金合同》约定的其他投资限制。</w:t>
      </w:r>
    </w:p>
    <w:p w14:paraId="0F0D8E13" w14:textId="77777777" w:rsidR="00980B4C" w:rsidRDefault="003140D0">
      <w:pPr>
        <w:spacing w:line="360" w:lineRule="auto"/>
        <w:ind w:firstLineChars="200" w:firstLine="420"/>
        <w:rPr>
          <w:rFonts w:ascii="宋体" w:hAnsi="宋体" w:cs="宋体" w:hint="eastAsia"/>
          <w:kern w:val="0"/>
          <w:szCs w:val="21"/>
        </w:rPr>
      </w:pPr>
      <w:r>
        <w:rPr>
          <w:rFonts w:ascii="宋体" w:hAnsi="宋体" w:cs="宋体" w:hint="eastAsia"/>
          <w:kern w:val="0"/>
          <w:szCs w:val="21"/>
        </w:rPr>
        <w:t>基金托管人对上述指标的监督义务，仅限于监督由基金管理人管理且由基金托管人托管的全部公募基金是否符合上述比例限制。《基金法》及其他有关法律法规或监管部门取消上述限制的，履行法律法规或监管部门规定的适当程序</w:t>
      </w:r>
      <w:r>
        <w:rPr>
          <w:rFonts w:ascii="宋体" w:hAnsi="宋体" w:hint="eastAsia"/>
          <w:szCs w:val="21"/>
        </w:rPr>
        <w:t>并取得基金托管人同意</w:t>
      </w:r>
      <w:r>
        <w:rPr>
          <w:rFonts w:ascii="宋体" w:hAnsi="宋体" w:cs="宋体" w:hint="eastAsia"/>
          <w:kern w:val="0"/>
          <w:szCs w:val="21"/>
        </w:rPr>
        <w:t>后，基金不受上述限制。</w:t>
      </w:r>
    </w:p>
    <w:p w14:paraId="16101664" w14:textId="77777777" w:rsidR="00980B4C" w:rsidRDefault="003140D0">
      <w:pPr>
        <w:spacing w:line="440" w:lineRule="atLeast"/>
        <w:ind w:firstLineChars="200" w:firstLine="420"/>
        <w:rPr>
          <w:rFonts w:ascii="宋体" w:hAnsi="宋体" w:hint="eastAsia"/>
          <w:szCs w:val="21"/>
        </w:rPr>
      </w:pPr>
      <w:r>
        <w:rPr>
          <w:rFonts w:ascii="宋体" w:hAnsi="宋体" w:hint="eastAsia"/>
          <w:szCs w:val="21"/>
        </w:rPr>
        <w:t>（3）法律法规允许的基金投资比例调整期限</w:t>
      </w:r>
    </w:p>
    <w:p w14:paraId="0237C99B" w14:textId="77777777" w:rsidR="00980B4C" w:rsidRDefault="003140D0">
      <w:pPr>
        <w:spacing w:line="324" w:lineRule="auto"/>
        <w:ind w:firstLine="480"/>
        <w:rPr>
          <w:rFonts w:ascii="宋体" w:hAnsi="宋体" w:hint="eastAsia"/>
          <w:bCs/>
          <w:szCs w:val="21"/>
        </w:rPr>
      </w:pPr>
      <w:r>
        <w:rPr>
          <w:rFonts w:ascii="宋体" w:hAnsi="宋体" w:hint="eastAsia"/>
          <w:bCs/>
          <w:szCs w:val="21"/>
        </w:rPr>
        <w:t>除上述第（2）条的</w:t>
      </w:r>
      <w:r>
        <w:rPr>
          <w:rFonts w:ascii="宋体" w:hAnsi="宋体"/>
          <w:bCs/>
          <w:szCs w:val="21"/>
        </w:rPr>
        <w:t>2）、7）、12）、14）、15）情形之外，因证券/期货市场波动、证券发行人合并、基金规模变动、标的指数成份股调整、标的指数成份股流动性限制等基金管理</w:t>
      </w:r>
      <w:r>
        <w:rPr>
          <w:rFonts w:ascii="宋体" w:hAnsi="宋体"/>
          <w:bCs/>
          <w:szCs w:val="21"/>
        </w:rPr>
        <w:lastRenderedPageBreak/>
        <w:t>人之外的因素</w:t>
      </w:r>
      <w:r>
        <w:rPr>
          <w:rFonts w:ascii="宋体" w:hAnsi="宋体" w:hint="eastAsia"/>
          <w:bCs/>
          <w:szCs w:val="21"/>
        </w:rPr>
        <w:t>致使基金投资比例不符合上述规定投资比例的，基金管理人应当在</w:t>
      </w:r>
      <w:r>
        <w:rPr>
          <w:rFonts w:ascii="宋体" w:hAnsi="宋体"/>
          <w:bCs/>
          <w:szCs w:val="21"/>
        </w:rPr>
        <w:t>10个交易日内进行调整，但中国证监会规定的特殊情形除外。法律法规另有规定的从其规定。</w:t>
      </w:r>
    </w:p>
    <w:p w14:paraId="313DF987" w14:textId="77777777" w:rsidR="00980B4C" w:rsidRDefault="003140D0">
      <w:pPr>
        <w:spacing w:line="324" w:lineRule="auto"/>
        <w:ind w:firstLine="480"/>
        <w:rPr>
          <w:rFonts w:ascii="宋体" w:hAnsi="宋体" w:hint="eastAsia"/>
          <w:bCs/>
          <w:szCs w:val="21"/>
        </w:rPr>
      </w:pPr>
      <w:r>
        <w:rPr>
          <w:rFonts w:ascii="宋体" w:hAnsi="宋体" w:hint="eastAsia"/>
          <w:bCs/>
          <w:szCs w:val="21"/>
        </w:rPr>
        <w:t>基金管理人应当自基金合同生效之日起</w:t>
      </w:r>
      <w:r>
        <w:rPr>
          <w:rFonts w:ascii="宋体" w:hAnsi="宋体"/>
          <w:bCs/>
          <w:szCs w:val="21"/>
        </w:rPr>
        <w:t>6个月内使基金的投资组合比例符合基金合同的有关约定。在上述期间内，本基金的投资范围、投资策略应当符合基金合同的约定。基金托管人对基金的投资的监督与检查自基金合同生效之日起开始。</w:t>
      </w:r>
    </w:p>
    <w:p w14:paraId="319A8F0E" w14:textId="77777777" w:rsidR="00980B4C" w:rsidRDefault="003140D0">
      <w:pPr>
        <w:spacing w:line="360" w:lineRule="auto"/>
        <w:ind w:firstLine="420"/>
        <w:rPr>
          <w:rFonts w:ascii="宋体" w:hAnsi="宋体" w:hint="eastAsia"/>
          <w:b/>
          <w:szCs w:val="21"/>
          <w:u w:val="single"/>
        </w:rPr>
      </w:pPr>
      <w:r>
        <w:rPr>
          <w:rFonts w:ascii="宋体" w:hAnsi="宋体" w:hint="eastAsia"/>
          <w:bCs/>
          <w:szCs w:val="21"/>
        </w:rPr>
        <w:t>如果法律法规或监管部门对上述投资组合比例限制进行变更的，以变更后的规定为准。法律法规或监管部门取消上述限制，如适用于本基金，基金管理人在履行适当程序后，则本基金投资不再受相关限制，但须提前公告。</w:t>
      </w:r>
    </w:p>
    <w:p w14:paraId="116EE2DB"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基金管理人应在出现可预见资产规模大幅变动的情况下，至少提前2个工作日正式向基金托管人发函说明基金可能的变动规模和公司应对措施，便于基金托管人实施交易监督。</w:t>
      </w:r>
    </w:p>
    <w:p w14:paraId="6601AC12"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（4）本基金可以按照国家的有关规定进行融资和转融通证券出借业务。</w:t>
      </w:r>
    </w:p>
    <w:p w14:paraId="69331770" w14:textId="77777777" w:rsidR="00980B4C" w:rsidRDefault="003140D0">
      <w:pPr>
        <w:widowControl/>
        <w:spacing w:line="440" w:lineRule="atLeast"/>
        <w:ind w:firstLineChars="200" w:firstLine="420"/>
        <w:jc w:val="left"/>
        <w:rPr>
          <w:rFonts w:ascii="宋体" w:hAnsi="宋体" w:cs="宋体" w:hint="eastAsia"/>
          <w:kern w:val="0"/>
          <w:szCs w:val="21"/>
        </w:rPr>
      </w:pPr>
      <w:r>
        <w:rPr>
          <w:rFonts w:ascii="宋体" w:hAnsi="宋体" w:cs="宋体" w:hint="eastAsia"/>
          <w:kern w:val="0"/>
          <w:szCs w:val="21"/>
        </w:rPr>
        <w:t>（5）相关法律、法规或部门规章规定的其他比例限制。</w:t>
      </w:r>
    </w:p>
    <w:p w14:paraId="681708EA" w14:textId="77777777" w:rsidR="00980B4C" w:rsidRDefault="003140D0">
      <w:pPr>
        <w:spacing w:after="120" w:line="440" w:lineRule="exact"/>
        <w:ind w:firstLineChars="200" w:firstLine="420"/>
        <w:rPr>
          <w:rFonts w:ascii="宋体" w:hAnsi="宋体" w:hint="eastAsia"/>
          <w:szCs w:val="21"/>
        </w:rPr>
      </w:pPr>
      <w:r>
        <w:rPr>
          <w:rFonts w:ascii="宋体" w:hAnsi="宋体" w:hint="eastAsia"/>
          <w:szCs w:val="21"/>
        </w:rPr>
        <w:t xml:space="preserve">3.基金托管人根据有关法律法规的规定及《基金合同》的约定对下述基金投资禁止行为进行监督： </w:t>
      </w:r>
    </w:p>
    <w:p w14:paraId="56BDE20E" w14:textId="77777777" w:rsidR="00980B4C" w:rsidRDefault="003140D0">
      <w:pPr>
        <w:spacing w:line="360" w:lineRule="auto"/>
        <w:ind w:left="1" w:firstLineChars="225" w:firstLine="473"/>
        <w:rPr>
          <w:rFonts w:ascii="宋体" w:hAnsi="宋体" w:hint="eastAsia"/>
          <w:szCs w:val="21"/>
        </w:rPr>
      </w:pPr>
      <w:r>
        <w:rPr>
          <w:rFonts w:ascii="宋体" w:hAnsi="宋体" w:hint="eastAsia"/>
          <w:szCs w:val="21"/>
        </w:rPr>
        <w:t>根据法律法规的规定及《基金合同》的约定，本基金禁止从事下列行为：</w:t>
      </w:r>
    </w:p>
    <w:p w14:paraId="4D962640" w14:textId="77777777" w:rsidR="00980B4C" w:rsidRDefault="003140D0">
      <w:pPr>
        <w:spacing w:line="360" w:lineRule="auto"/>
        <w:ind w:left="1" w:firstLineChars="225" w:firstLine="473"/>
        <w:rPr>
          <w:rFonts w:ascii="宋体" w:hAnsi="宋体" w:hint="eastAsia"/>
          <w:bCs/>
          <w:szCs w:val="21"/>
        </w:rPr>
      </w:pPr>
      <w:r>
        <w:rPr>
          <w:rFonts w:ascii="宋体" w:hAnsi="宋体" w:hint="eastAsia"/>
          <w:bCs/>
          <w:szCs w:val="21"/>
        </w:rPr>
        <w:t>（</w:t>
      </w:r>
      <w:r>
        <w:rPr>
          <w:rFonts w:ascii="宋体" w:hAnsi="宋体"/>
          <w:bCs/>
          <w:szCs w:val="21"/>
        </w:rPr>
        <w:t>1）承销证券；</w:t>
      </w:r>
    </w:p>
    <w:p w14:paraId="1446460F" w14:textId="77777777" w:rsidR="00980B4C" w:rsidRDefault="003140D0">
      <w:pPr>
        <w:spacing w:line="360" w:lineRule="auto"/>
        <w:ind w:left="1" w:firstLineChars="225" w:firstLine="473"/>
        <w:rPr>
          <w:rFonts w:ascii="宋体" w:hAnsi="宋体" w:hint="eastAsia"/>
          <w:bCs/>
          <w:szCs w:val="21"/>
        </w:rPr>
      </w:pPr>
      <w:r>
        <w:rPr>
          <w:rFonts w:ascii="宋体" w:hAnsi="宋体" w:hint="eastAsia"/>
          <w:bCs/>
          <w:szCs w:val="21"/>
        </w:rPr>
        <w:t>（</w:t>
      </w:r>
      <w:r>
        <w:rPr>
          <w:rFonts w:ascii="宋体" w:hAnsi="宋体"/>
          <w:bCs/>
          <w:szCs w:val="21"/>
        </w:rPr>
        <w:t>2）违反规定向他人贷款或者提供担保；</w:t>
      </w:r>
    </w:p>
    <w:p w14:paraId="66FA7AFF" w14:textId="77777777" w:rsidR="00980B4C" w:rsidRDefault="003140D0">
      <w:pPr>
        <w:spacing w:line="360" w:lineRule="auto"/>
        <w:ind w:left="1" w:firstLineChars="225" w:firstLine="473"/>
        <w:rPr>
          <w:rFonts w:ascii="宋体" w:hAnsi="宋体" w:hint="eastAsia"/>
          <w:bCs/>
          <w:szCs w:val="21"/>
        </w:rPr>
      </w:pPr>
      <w:r>
        <w:rPr>
          <w:rFonts w:ascii="宋体" w:hAnsi="宋体" w:hint="eastAsia"/>
          <w:bCs/>
          <w:szCs w:val="21"/>
        </w:rPr>
        <w:t>（</w:t>
      </w:r>
      <w:r>
        <w:rPr>
          <w:rFonts w:ascii="宋体" w:hAnsi="宋体"/>
          <w:bCs/>
          <w:szCs w:val="21"/>
        </w:rPr>
        <w:t>3）从事承担无限责任的投资；</w:t>
      </w:r>
    </w:p>
    <w:p w14:paraId="324D88C4" w14:textId="77777777" w:rsidR="00980B4C" w:rsidRDefault="003140D0">
      <w:pPr>
        <w:spacing w:line="360" w:lineRule="auto"/>
        <w:ind w:left="1" w:firstLineChars="225" w:firstLine="473"/>
        <w:rPr>
          <w:rFonts w:ascii="宋体" w:hAnsi="宋体" w:hint="eastAsia"/>
          <w:bCs/>
          <w:szCs w:val="21"/>
        </w:rPr>
      </w:pPr>
      <w:r>
        <w:rPr>
          <w:rFonts w:ascii="宋体" w:hAnsi="宋体" w:hint="eastAsia"/>
          <w:bCs/>
          <w:szCs w:val="21"/>
        </w:rPr>
        <w:t>（</w:t>
      </w:r>
      <w:r>
        <w:rPr>
          <w:rFonts w:ascii="宋体" w:hAnsi="宋体"/>
          <w:bCs/>
          <w:szCs w:val="21"/>
        </w:rPr>
        <w:t>4）买卖其他基金份额，但是法律法规或中国证监会另有规定的除外；</w:t>
      </w:r>
    </w:p>
    <w:p w14:paraId="638491E8" w14:textId="77777777" w:rsidR="00980B4C" w:rsidRDefault="003140D0">
      <w:pPr>
        <w:spacing w:line="360" w:lineRule="auto"/>
        <w:ind w:left="1" w:firstLineChars="225" w:firstLine="473"/>
        <w:rPr>
          <w:rFonts w:ascii="宋体" w:hAnsi="宋体" w:hint="eastAsia"/>
          <w:bCs/>
          <w:szCs w:val="21"/>
        </w:rPr>
      </w:pPr>
      <w:r>
        <w:rPr>
          <w:rFonts w:ascii="宋体" w:hAnsi="宋体" w:hint="eastAsia"/>
          <w:bCs/>
          <w:szCs w:val="21"/>
        </w:rPr>
        <w:t>（</w:t>
      </w:r>
      <w:r>
        <w:rPr>
          <w:rFonts w:ascii="宋体" w:hAnsi="宋体"/>
          <w:bCs/>
          <w:szCs w:val="21"/>
        </w:rPr>
        <w:t>5）向其基金管理人、基金托管人出资；</w:t>
      </w:r>
    </w:p>
    <w:p w14:paraId="6FDE4ECA" w14:textId="77777777" w:rsidR="00980B4C" w:rsidRDefault="003140D0">
      <w:pPr>
        <w:spacing w:line="360" w:lineRule="auto"/>
        <w:ind w:left="1" w:firstLineChars="225" w:firstLine="473"/>
        <w:rPr>
          <w:rFonts w:ascii="宋体" w:hAnsi="宋体" w:hint="eastAsia"/>
          <w:bCs/>
          <w:szCs w:val="21"/>
        </w:rPr>
      </w:pPr>
      <w:r>
        <w:rPr>
          <w:rFonts w:ascii="宋体" w:hAnsi="宋体" w:hint="eastAsia"/>
          <w:bCs/>
          <w:szCs w:val="21"/>
        </w:rPr>
        <w:t>（</w:t>
      </w:r>
      <w:r>
        <w:rPr>
          <w:rFonts w:ascii="宋体" w:hAnsi="宋体"/>
          <w:bCs/>
          <w:szCs w:val="21"/>
        </w:rPr>
        <w:t>6）从事内幕交易、操纵证券交易价格及其他不正当的证券交易活动；</w:t>
      </w:r>
    </w:p>
    <w:p w14:paraId="3E818F99" w14:textId="77777777" w:rsidR="00980B4C" w:rsidRDefault="003140D0">
      <w:pPr>
        <w:spacing w:line="360" w:lineRule="auto"/>
        <w:ind w:firstLine="420"/>
        <w:rPr>
          <w:rFonts w:ascii="宋体" w:hAnsi="宋体" w:hint="eastAsia"/>
          <w:bCs/>
          <w:szCs w:val="21"/>
        </w:rPr>
      </w:pPr>
      <w:r>
        <w:rPr>
          <w:rFonts w:ascii="宋体" w:hAnsi="宋体" w:hint="eastAsia"/>
          <w:bCs/>
          <w:szCs w:val="21"/>
        </w:rPr>
        <w:t>（</w:t>
      </w:r>
      <w:r>
        <w:rPr>
          <w:rFonts w:ascii="宋体" w:hAnsi="宋体"/>
          <w:bCs/>
          <w:szCs w:val="21"/>
        </w:rPr>
        <w:t xml:space="preserve">7）法律、行政法规和中国证监会规定禁止的其他活动。 </w:t>
      </w:r>
    </w:p>
    <w:p w14:paraId="0B6EAFEF" w14:textId="77777777" w:rsidR="00980B4C" w:rsidRDefault="003140D0">
      <w:pPr>
        <w:spacing w:line="360" w:lineRule="auto"/>
        <w:ind w:left="1" w:firstLineChars="225" w:firstLine="473"/>
        <w:rPr>
          <w:rFonts w:ascii="宋体" w:hAnsi="宋体" w:hint="eastAsia"/>
          <w:szCs w:val="21"/>
        </w:rPr>
      </w:pPr>
      <w:r>
        <w:rPr>
          <w:rFonts w:ascii="宋体" w:hAnsi="宋体" w:hint="eastAsia"/>
          <w:szCs w:val="21"/>
        </w:rPr>
        <w:t>如法律、行政法规或监管部门取消或变更上述禁止性规定，如适用于本基金，基金管理人在履行法律法规或监管部门规定的适当程序后可不受上述规定的限制或以变更后的规定为准。</w:t>
      </w:r>
    </w:p>
    <w:p w14:paraId="30602503" w14:textId="77777777" w:rsidR="00980B4C" w:rsidRDefault="003140D0">
      <w:pPr>
        <w:spacing w:line="440" w:lineRule="exact"/>
        <w:ind w:firstLine="397"/>
        <w:rPr>
          <w:rFonts w:ascii="宋体" w:hAnsi="宋体" w:hint="eastAsia"/>
          <w:szCs w:val="21"/>
        </w:rPr>
      </w:pPr>
      <w:r>
        <w:rPr>
          <w:rFonts w:ascii="宋体" w:hAnsi="宋体" w:cs="宋体" w:hint="eastAsia"/>
          <w:kern w:val="0"/>
          <w:szCs w:val="21"/>
        </w:rPr>
        <w:t>4.基金托管人依据有关法律法规的规定和《基金合同》的约定对于基金关联投资限制进行监督。</w:t>
      </w:r>
    </w:p>
    <w:p w14:paraId="7378BEFA" w14:textId="77777777" w:rsidR="00980B4C" w:rsidRDefault="003140D0">
      <w:pPr>
        <w:spacing w:line="360" w:lineRule="auto"/>
        <w:ind w:left="1" w:firstLineChars="225" w:firstLine="473"/>
        <w:rPr>
          <w:rFonts w:ascii="宋体" w:hAnsi="宋体" w:hint="eastAsia"/>
          <w:szCs w:val="21"/>
        </w:rPr>
      </w:pPr>
      <w:r>
        <w:rPr>
          <w:rFonts w:ascii="宋体" w:hAnsi="宋体" w:hint="eastAsia"/>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w:t>
      </w:r>
      <w:r>
        <w:rPr>
          <w:rFonts w:ascii="宋体" w:hAnsi="宋体" w:hint="eastAsia"/>
          <w:szCs w:val="21"/>
        </w:rPr>
        <w:lastRenderedPageBreak/>
        <w:t>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A436352" w14:textId="77777777" w:rsidR="00980B4C" w:rsidRDefault="003140D0">
      <w:pPr>
        <w:spacing w:after="120" w:line="440" w:lineRule="exact"/>
        <w:ind w:firstLineChars="200" w:firstLine="420"/>
        <w:rPr>
          <w:rFonts w:ascii="宋体" w:hAnsi="宋体" w:hint="eastAsia"/>
          <w:szCs w:val="21"/>
        </w:rPr>
      </w:pPr>
      <w:r>
        <w:rPr>
          <w:rFonts w:ascii="宋体" w:hAnsi="宋体" w:hint="eastAsia"/>
          <w:szCs w:val="21"/>
        </w:rPr>
        <w:t>如法律、行政法规或监管部门取消或变更上述规定，如适用于本基金，基金管理人在履行适当程序后，本基金可不受上述规定的限制或以变更后的规定为准。</w:t>
      </w:r>
    </w:p>
    <w:p w14:paraId="06462D37"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如法律、法规或《基金合同》有关于基金从事关联交易的规定，基金管理人和基金托管人事先相互提供与本机构有控股关系的股东、与本机构有其他重大利害关系的公司名单及有关关联方发行的证券清单，基金管理人有责任确保其向基金托管人提供的关联交易名单的真实性、准确性、完整性，并负责及时将更新后的名单发送给基金托管人。基金管理人的关联方名单变更后基金管理人应及时发送基金托管人，经基金托管人确认后，新的关联交易名单开始生效。基金托管人仅按基金管理人提供的基金关联方名单为限，进行监督。如果基金托管人在运作中严格遵循了监督流程，基金管理人仍违规进行关联交易，并造成基金资产损失的，由基金管理人承担责任。</w:t>
      </w:r>
    </w:p>
    <w:p w14:paraId="4D414429"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5.基金托管人</w:t>
      </w:r>
      <w:r>
        <w:rPr>
          <w:rFonts w:ascii="宋体" w:hAnsi="宋体" w:cs="宋体" w:hint="eastAsia"/>
          <w:kern w:val="0"/>
          <w:szCs w:val="21"/>
        </w:rPr>
        <w:t>依据有关法律法规的规定和《基金合同》的约定</w:t>
      </w:r>
      <w:r>
        <w:rPr>
          <w:rFonts w:ascii="宋体" w:hAnsi="宋体" w:hint="eastAsia"/>
          <w:szCs w:val="21"/>
        </w:rPr>
        <w:t>对基金管理人参与银行间债券市场进行监督。</w:t>
      </w:r>
    </w:p>
    <w:p w14:paraId="5BE0C70A"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基金管理人应在基金投资运作之前向基金托管人提供符合法律法规及行业标准的、经慎重选择的、本基金适用的银行间债券市场交易对手名单，并约定各交易对手所适用的交易结算方式。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协议进行结算。</w:t>
      </w:r>
    </w:p>
    <w:p w14:paraId="5940A4EC"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基金管理人有责任控制交易对手的资信风险，由于交易对手的资信风险引起的损失，基金管理人应当负责向相关责任人追偿。基金托管人不承担由此引发的责任及损失。</w:t>
      </w:r>
    </w:p>
    <w:p w14:paraId="2003C6DB"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6. 基金托管人依据有关法律法规的规定和《基金合同》的约定，对基金银行存款业务进行监督。</w:t>
      </w:r>
    </w:p>
    <w:p w14:paraId="4BF08039" w14:textId="77777777" w:rsidR="00980B4C" w:rsidRDefault="003140D0">
      <w:pPr>
        <w:spacing w:line="440" w:lineRule="exact"/>
        <w:ind w:firstLineChars="215" w:firstLine="451"/>
        <w:rPr>
          <w:rFonts w:ascii="宋体" w:hAnsi="宋体" w:hint="eastAsia"/>
          <w:kern w:val="0"/>
          <w:szCs w:val="21"/>
        </w:rPr>
      </w:pPr>
      <w:r>
        <w:rPr>
          <w:rFonts w:ascii="宋体" w:hAnsi="宋体" w:hint="eastAsia"/>
          <w:szCs w:val="21"/>
        </w:rPr>
        <w:t>基金管理人应当加强对基金投资银行存款风险的评估与研究，严格测算与控制投资银行存款的风险敞口，针对不同类型存款银行建立相关投资限制制度。</w:t>
      </w:r>
      <w:r>
        <w:rPr>
          <w:rFonts w:ascii="宋体" w:hAnsi="宋体" w:hint="eastAsia"/>
          <w:kern w:val="0"/>
          <w:szCs w:val="21"/>
        </w:rPr>
        <w:t>对于基金投资的银行存款，由于存款银行发生信用风险事件而造成损失时，应先由基金管理人负责赔偿，之后有权向相关责任人进行追偿。如果基金托管人在运作过程中遵循</w:t>
      </w:r>
      <w:r>
        <w:rPr>
          <w:rFonts w:ascii="宋体" w:hAnsi="宋体" w:cs="宋体" w:hint="eastAsia"/>
          <w:kern w:val="0"/>
          <w:szCs w:val="21"/>
        </w:rPr>
        <w:t>有关法律法规的规定和《基金合同》的约定</w:t>
      </w:r>
      <w:r>
        <w:rPr>
          <w:rFonts w:ascii="宋体" w:hAnsi="宋体" w:hint="eastAsia"/>
          <w:kern w:val="0"/>
          <w:szCs w:val="21"/>
        </w:rPr>
        <w:t>监督流程，则对于由于存款银行信用风险引起的损失，不承担赔偿责任。</w:t>
      </w:r>
    </w:p>
    <w:p w14:paraId="6473DB2E" w14:textId="77777777" w:rsidR="00980B4C" w:rsidRDefault="003140D0">
      <w:pPr>
        <w:spacing w:line="440" w:lineRule="exact"/>
        <w:ind w:firstLineChars="215" w:firstLine="451"/>
        <w:rPr>
          <w:rFonts w:ascii="宋体" w:hAnsi="宋体" w:hint="eastAsia"/>
          <w:szCs w:val="21"/>
        </w:rPr>
      </w:pPr>
      <w:r>
        <w:rPr>
          <w:rFonts w:ascii="宋体" w:hAnsi="宋体" w:hint="eastAsia"/>
          <w:szCs w:val="21"/>
        </w:rPr>
        <w:t>7.基金托管人对基金投资流通受限证券的监督</w:t>
      </w:r>
    </w:p>
    <w:p w14:paraId="4BAC50B2" w14:textId="77777777" w:rsidR="00980B4C" w:rsidRDefault="003140D0">
      <w:pPr>
        <w:spacing w:line="440" w:lineRule="exact"/>
        <w:ind w:firstLineChars="215" w:firstLine="451"/>
        <w:rPr>
          <w:rFonts w:ascii="宋体" w:hAnsi="宋体" w:hint="eastAsia"/>
          <w:szCs w:val="21"/>
        </w:rPr>
      </w:pPr>
      <w:r>
        <w:rPr>
          <w:rFonts w:ascii="宋体" w:hAnsi="宋体" w:hint="eastAsia"/>
          <w:szCs w:val="21"/>
        </w:rPr>
        <w:lastRenderedPageBreak/>
        <w:t>如下所指“流通受限证券”与本协议以及基金合同所指“流动性受限资产”定义存在不同。就流动性受限资产定义，请参照基金合同的释义部分。</w:t>
      </w:r>
    </w:p>
    <w:p w14:paraId="2CA0A67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基金管理人投资流通受限证券，应事先根据中国证监会相关规定，明确基金投资流通受限证券的比例，制订严格的投资决策流程和风险控制制度，防范流动性风险、法律风险和操作风险等各种风险。</w:t>
      </w:r>
    </w:p>
    <w:p w14:paraId="2A1EE8F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（1）本基金投资的流通受限证券须为经中国证监会批准的非公开发行股票、公开发行股票网下配售部分等在发行时明确一定期限锁定期的可交易</w:t>
      </w:r>
      <w:proofErr w:type="gramStart"/>
      <w:r>
        <w:rPr>
          <w:rFonts w:ascii="宋体" w:hAnsi="宋体" w:hint="eastAsia"/>
          <w:szCs w:val="21"/>
        </w:rPr>
        <w:t>证券,</w:t>
      </w:r>
      <w:proofErr w:type="gramEnd"/>
      <w:r>
        <w:rPr>
          <w:rFonts w:ascii="宋体" w:hAnsi="宋体" w:hint="eastAsia"/>
          <w:szCs w:val="21"/>
        </w:rPr>
        <w:t>不包括由于发布重大消息或其他原因而临时停牌的证券、已发行未上市证券、回购交易中的质押券等流通受限证券。本基金不投资有锁定期但锁定期不明确的证券。</w:t>
      </w:r>
    </w:p>
    <w:p w14:paraId="7EDD0FD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01B6AF5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出现困难时，基金管理人应保证提供足额现金确保基金的支付结算，并承担所有损失。对本基金因投资流通受限证券导致的流动性风险，基金托管人不承担任何责任。如因基金管理人原因导致本基金出现损失的，基金托管人不承担任何责任。</w:t>
      </w:r>
    </w:p>
    <w:p w14:paraId="587046AF"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管理人应在基金投资非公开发行股票后两个交易日内，在中国证监会规定媒介披露所投资非公开发行股票的名称、数量、总成本、账面价值，以及总成本和账面价值占基金资产净值的比例、锁定期等信息。</w:t>
      </w:r>
    </w:p>
    <w:p w14:paraId="6654916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5559ECA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如基金管理人未遵守相关制度、流动性风险处置方案以及投资额度和比例限制要求，导致基金出现风险使基金托管人承担赔偿责任的，若基金托管人此前已切实履行监督职责的，基金管理人应赔偿基金托管人由此遭受的损失。</w:t>
      </w:r>
    </w:p>
    <w:p w14:paraId="75D7FE1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（4）本基金投资非公开发行股票，基金管理人应至少于执行投资指令之前两个工作日</w:t>
      </w:r>
      <w:r>
        <w:rPr>
          <w:rFonts w:ascii="宋体" w:hAnsi="宋体" w:hint="eastAsia"/>
          <w:szCs w:val="21"/>
        </w:rPr>
        <w:lastRenderedPageBreak/>
        <w:t>将有关资料书面提交基金托管人，并保证向基金托管人提供的有关资料真实、准确、完整。有关资料如有调整，基金管理人应及时提供调整后的资料。上述书面资料包括但不限于：</w:t>
      </w:r>
    </w:p>
    <w:p w14:paraId="7A3C4A4A"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1）中国证监会批准发行非公开发行股票的批准文件。</w:t>
      </w:r>
    </w:p>
    <w:p w14:paraId="75FAFC1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2）有关非公开发行股票的发行数量、发行价格、锁定期等发行资料。</w:t>
      </w:r>
    </w:p>
    <w:p w14:paraId="38A58D9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3）基金拟认购的数量、价格、总成本、账面价值。</w:t>
      </w:r>
    </w:p>
    <w:p w14:paraId="4234C8B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4）该基金投资流通受限证券的投资额度和投资比例控制</w:t>
      </w:r>
    </w:p>
    <w:p w14:paraId="7E051AE6"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5）</w:t>
      </w:r>
      <w:r>
        <w:rPr>
          <w:rFonts w:ascii="宋体" w:hAnsi="宋体" w:cs="宋体" w:hint="eastAsia"/>
          <w:color w:val="000000"/>
          <w:kern w:val="0"/>
          <w:szCs w:val="21"/>
        </w:rPr>
        <w:t>基金托管人应按照《关于基金投资非公开发行股票等流通受限证券有关问题的通知》规定，对基金管理人是否遵守法律法规进行监督，并审核基金管理人提供的有关书面信息。</w:t>
      </w:r>
      <w:r>
        <w:rPr>
          <w:rFonts w:ascii="宋体" w:hAnsi="宋体" w:hint="eastAsia"/>
          <w:szCs w:val="21"/>
        </w:rPr>
        <w:t>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若基金管理人不提供或提供后经基金托管人评估认为可能存在无法消除的风险，基金托管人有权拒绝执行有关指令。因拒绝执行该指令造成基金财产损失的，基金托管人不承担任何责任，并有权报告中国证监会。</w:t>
      </w:r>
    </w:p>
    <w:p w14:paraId="24E5E484"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如基金管理人和基金托管人无法就上述问题达成一致，应及时上报中国证监会请求解决。基金托管人履行了本协议规定的监督职责后，不承担任何责任。</w:t>
      </w:r>
    </w:p>
    <w:p w14:paraId="227C5247" w14:textId="77777777" w:rsidR="00980B4C" w:rsidRDefault="003140D0">
      <w:pPr>
        <w:widowControl/>
        <w:spacing w:line="360" w:lineRule="auto"/>
        <w:ind w:firstLineChars="200" w:firstLine="420"/>
        <w:jc w:val="left"/>
        <w:rPr>
          <w:rFonts w:ascii="宋体" w:hAnsi="宋体" w:hint="eastAsia"/>
          <w:szCs w:val="21"/>
        </w:rPr>
      </w:pPr>
      <w:r>
        <w:rPr>
          <w:rFonts w:ascii="宋体" w:hAnsi="宋体" w:hint="eastAsia"/>
          <w:szCs w:val="21"/>
        </w:rPr>
        <w:t>(5)相关法律法规对基金投资流通受限证券有新规定的，从其规定。</w:t>
      </w:r>
    </w:p>
    <w:p w14:paraId="166D3BB9" w14:textId="77777777" w:rsidR="00980B4C" w:rsidRDefault="003140D0">
      <w:pPr>
        <w:spacing w:after="120" w:line="360" w:lineRule="auto"/>
        <w:ind w:firstLineChars="200" w:firstLine="420"/>
        <w:rPr>
          <w:rFonts w:ascii="宋体" w:hAnsi="宋体" w:hint="eastAsia"/>
          <w:szCs w:val="21"/>
        </w:rPr>
      </w:pPr>
      <w:r>
        <w:rPr>
          <w:rFonts w:ascii="宋体" w:hAnsi="宋体"/>
          <w:szCs w:val="21"/>
        </w:rPr>
        <w:t>8</w:t>
      </w:r>
      <w:r>
        <w:rPr>
          <w:rFonts w:ascii="宋体" w:hAnsi="宋体" w:hint="eastAsia"/>
          <w:szCs w:val="21"/>
        </w:rPr>
        <w:t>.基金参与融资及转融通证券出借业务，基金管理人应当遵守审慎经营原则，配备技术系统和专业人员，制定科学合理的投资策略和风险管理制度，完善业务流程，有效防范和控制风险。基金托管人将对基金参与融资及转融通证券出借业务进行监督和复核。</w:t>
      </w:r>
    </w:p>
    <w:p w14:paraId="7798D815"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（二）基金托管人应当依照法律法规和基金合同约定，加强对侧袋机制启用、特定资产处置和信息披露等方面的复核和监督。</w:t>
      </w:r>
    </w:p>
    <w:p w14:paraId="3DA6A074"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如基金托管人经评估认为不满足监管机构规定和基金合同约定实施条件的，基金管理人不得启用侧袋机制。</w:t>
      </w:r>
    </w:p>
    <w:p w14:paraId="3C6661AD" w14:textId="474EF64A" w:rsidR="00980B4C" w:rsidRDefault="003140D0">
      <w:pPr>
        <w:spacing w:after="120" w:line="360" w:lineRule="auto"/>
        <w:ind w:firstLineChars="200" w:firstLine="420"/>
        <w:rPr>
          <w:rFonts w:ascii="宋体" w:hAnsi="宋体" w:hint="eastAsia"/>
          <w:szCs w:val="21"/>
        </w:rPr>
      </w:pPr>
      <w:r>
        <w:rPr>
          <w:rFonts w:ascii="宋体" w:hAnsi="宋体" w:hint="eastAsia"/>
          <w:szCs w:val="21"/>
        </w:rPr>
        <w:t>（三）基金托管人应当对定期报告有关业绩比较基准的披露内容进行复核</w:t>
      </w:r>
      <w:r w:rsidR="00CE2251">
        <w:rPr>
          <w:rFonts w:ascii="宋体" w:hAnsi="宋体" w:hint="eastAsia"/>
          <w:szCs w:val="21"/>
        </w:rPr>
        <w:t>。</w:t>
      </w:r>
    </w:p>
    <w:p w14:paraId="3EBDF407"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（四）基金托管人应当对业绩比较基准的选取、变更进行监督。基金托管人在基金合同审核过程中，应当重点关注业绩比较基准的代表性和客观性。基金托管人发现业绩比较基准</w:t>
      </w:r>
      <w:r>
        <w:rPr>
          <w:rFonts w:ascii="宋体" w:hAnsi="宋体" w:hint="eastAsia"/>
          <w:szCs w:val="21"/>
        </w:rPr>
        <w:lastRenderedPageBreak/>
        <w:t>与本基金主要的投资目标、投资范围、投资策略、投资比例、投资风格不匹配的，应当及时提醒基金管理人。法律法规有最新要求的，按最新要求执行。</w:t>
      </w:r>
    </w:p>
    <w:p w14:paraId="184783A4" w14:textId="3B4B5AB6" w:rsidR="00980B4C" w:rsidRDefault="003140D0">
      <w:pPr>
        <w:spacing w:after="120" w:line="360" w:lineRule="auto"/>
        <w:ind w:firstLineChars="200" w:firstLine="420"/>
        <w:rPr>
          <w:rFonts w:ascii="宋体" w:hAnsi="宋体" w:hint="eastAsia"/>
          <w:szCs w:val="21"/>
        </w:rPr>
      </w:pPr>
      <w:bookmarkStart w:id="15" w:name="_Toc382819074"/>
      <w:r>
        <w:rPr>
          <w:rFonts w:ascii="宋体" w:hAnsi="宋体" w:hint="eastAsia"/>
          <w:szCs w:val="21"/>
        </w:rPr>
        <w:t>（五）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bookmarkEnd w:id="15"/>
    </w:p>
    <w:p w14:paraId="0A91EEEB" w14:textId="54E3CC30" w:rsidR="00980B4C" w:rsidRDefault="003140D0">
      <w:pPr>
        <w:spacing w:after="120" w:line="360" w:lineRule="auto"/>
        <w:ind w:firstLineChars="200" w:firstLine="420"/>
        <w:rPr>
          <w:rFonts w:ascii="宋体" w:hAnsi="宋体" w:hint="eastAsia"/>
          <w:szCs w:val="21"/>
        </w:rPr>
      </w:pPr>
      <w:bookmarkStart w:id="16" w:name="_Toc382819075"/>
      <w:r>
        <w:rPr>
          <w:rFonts w:ascii="宋体" w:hAnsi="宋体" w:hint="eastAsia"/>
          <w:szCs w:val="21"/>
        </w:rPr>
        <w:t>（六）基金托管人发现基金管理人的投资运作及其他运作违反《基金法》、《基金合同》、基金托管协议等有关规定时，应及时以书面形式通知基金管理人限期纠正，基金管理人收到通知后应在下一个工作日及时核对，并以书面形式向基金托管人发出回函，进行解释或举证。</w:t>
      </w:r>
      <w:bookmarkEnd w:id="16"/>
    </w:p>
    <w:p w14:paraId="1B8753A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1.在限期内，基金托管人有权随时对通知事项进行复查，督促基金管理人改正。基金管理人对基金托管人通知的违规事项未能在限期内纠正的，基金托管人应报告中国证监会。</w:t>
      </w:r>
    </w:p>
    <w:p w14:paraId="31A14D44"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2.基金管理人应积极配合和协助基金托管人依照法律法规、《基金合同》和本托管协议对基金业务的监督和核查，对基金托管人发出的书面提示，必须在规定时间内答复基金托管人并改正，或就基金托管人的疑义进行解释或举证，对基金托管人按照法律法规、《基金合同》和本托管协议的要求需向中国证监会报送基金监督报告的，基金管理人应积极配合提供相关数据资料和制度等。</w:t>
      </w:r>
    </w:p>
    <w:p w14:paraId="141DFF80"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3.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5DDF8426"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4.对于必须于估值完成后方可获知的监控指标或依据交易程序已经成交的投资指令，基金托管人发现该投资指令违反法律法规或者违反《基金合同》约定的，应当立即通知基金管理人，并报告中国证监会。基金管理人的上述违规失信行为给基金财产或基金份额持有人造成的损失，由基金管理人承担。</w:t>
      </w:r>
    </w:p>
    <w:p w14:paraId="62DD9DEA"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5.基金托管人发现基金管理人有重大违规行为，应立即报告中国证监会，同时通知基金管理人限期纠正。基金管理人的上述违规失信行为给基金财产或基金份额持有人造成的损失，由基金管理人承担。</w:t>
      </w:r>
    </w:p>
    <w:p w14:paraId="6AFFFA5D" w14:textId="77777777" w:rsidR="00980B4C" w:rsidRDefault="003140D0">
      <w:pPr>
        <w:spacing w:line="440" w:lineRule="exact"/>
        <w:ind w:firstLineChars="200" w:firstLine="420"/>
        <w:rPr>
          <w:rFonts w:ascii="宋体" w:hAnsi="宋体" w:hint="eastAsia"/>
          <w:szCs w:val="21"/>
        </w:rPr>
      </w:pPr>
      <w:r>
        <w:rPr>
          <w:rFonts w:ascii="宋体" w:hAnsi="宋体" w:hint="eastAsia"/>
          <w:szCs w:val="21"/>
        </w:rPr>
        <w:t>基金管理人无正当理由，拒绝、阻挠基金托管人根据本协议规定行使监督权，或采取拖延、欺诈等手段妨碍基金托管人进行有效监督，情节严重或经基金托管人提出警告仍不改正的，基金托管人应报告中国证监会。基金管理人的上述违规失信行为给基金财产或基金份额持有人造成的损失，由基金管理人承担。</w:t>
      </w:r>
    </w:p>
    <w:p w14:paraId="7934B240" w14:textId="77777777" w:rsidR="00980B4C" w:rsidRDefault="00980B4C">
      <w:pPr>
        <w:spacing w:line="440" w:lineRule="exact"/>
        <w:ind w:firstLineChars="200" w:firstLine="420"/>
        <w:rPr>
          <w:rFonts w:ascii="宋体" w:hAnsi="宋体" w:hint="eastAsia"/>
          <w:szCs w:val="21"/>
        </w:rPr>
      </w:pPr>
    </w:p>
    <w:p w14:paraId="75A733D0" w14:textId="77777777" w:rsidR="00980B4C" w:rsidRDefault="003140D0">
      <w:pPr>
        <w:spacing w:beforeLines="100" w:before="312" w:afterLines="100" w:after="312" w:line="240" w:lineRule="atLeast"/>
        <w:jc w:val="center"/>
        <w:outlineLvl w:val="0"/>
        <w:rPr>
          <w:rFonts w:ascii="宋体" w:hAnsi="宋体" w:hint="eastAsia"/>
        </w:rPr>
      </w:pPr>
      <w:bookmarkStart w:id="17" w:name="_Toc382819076"/>
      <w:r>
        <w:rPr>
          <w:rFonts w:ascii="宋体" w:hAnsi="宋体" w:hint="eastAsia"/>
          <w:b/>
          <w:sz w:val="24"/>
        </w:rPr>
        <w:t>三、基金管理人对基金托管人的业务核查</w:t>
      </w:r>
      <w:bookmarkEnd w:id="17"/>
    </w:p>
    <w:p w14:paraId="2A7BA86D"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对基金托管人履行托管职责情况进行核查，核查事项包括但不限于基金托管人是否安全保管基金财产、是否分别开设基金财产的资金账户和证券账户及投资所需其他账户、是否复核基金管理人计算的基金资产净值和各类基金份额净值、是否根据基金管理人指令办理清算交收、进行相关信息披露和监督基金投资运作等行为。</w:t>
      </w:r>
    </w:p>
    <w:p w14:paraId="64F92CC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463867B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基金托管人应积极配合基金管理人的核查行为，包括但不限于：提交相关资料以供基金管理人核查托管财产的完整性和真实性，在规定时间内答复基金管理人并改正。</w:t>
      </w:r>
    </w:p>
    <w:p w14:paraId="7CF00755" w14:textId="77777777" w:rsidR="00980B4C" w:rsidRDefault="003140D0">
      <w:pPr>
        <w:spacing w:line="360" w:lineRule="auto"/>
        <w:ind w:firstLineChars="200" w:firstLine="420"/>
        <w:rPr>
          <w:rFonts w:ascii="宋体" w:hAnsi="宋体" w:hint="eastAsia"/>
          <w:szCs w:val="21"/>
        </w:rPr>
      </w:pPr>
      <w:bookmarkStart w:id="18" w:name="_Toc382818598"/>
      <w:bookmarkStart w:id="19" w:name="_Toc382819077"/>
      <w:r>
        <w:rPr>
          <w:rFonts w:ascii="宋体" w:hAnsi="宋体" w:hint="eastAsia"/>
          <w:szCs w:val="21"/>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8"/>
      <w:bookmarkEnd w:id="19"/>
    </w:p>
    <w:p w14:paraId="1F5653FF" w14:textId="77777777" w:rsidR="00980B4C" w:rsidRDefault="00980B4C">
      <w:pPr>
        <w:spacing w:line="360" w:lineRule="auto"/>
        <w:ind w:firstLineChars="200" w:firstLine="420"/>
        <w:rPr>
          <w:rFonts w:ascii="宋体" w:hAnsi="宋体" w:hint="eastAsia"/>
          <w:szCs w:val="21"/>
        </w:rPr>
      </w:pPr>
    </w:p>
    <w:p w14:paraId="4DE12AE3" w14:textId="77777777" w:rsidR="00980B4C" w:rsidRDefault="003140D0">
      <w:pPr>
        <w:spacing w:beforeLines="100" w:before="312" w:afterLines="100" w:after="312" w:line="240" w:lineRule="atLeast"/>
        <w:jc w:val="center"/>
        <w:outlineLvl w:val="0"/>
        <w:rPr>
          <w:rFonts w:ascii="宋体" w:hAnsi="宋体" w:hint="eastAsia"/>
        </w:rPr>
      </w:pPr>
      <w:bookmarkStart w:id="20" w:name="_Toc382819078"/>
      <w:r>
        <w:rPr>
          <w:rFonts w:ascii="宋体" w:hAnsi="宋体" w:hint="eastAsia"/>
          <w:b/>
          <w:sz w:val="24"/>
        </w:rPr>
        <w:t>四、基金财产保管</w:t>
      </w:r>
      <w:bookmarkEnd w:id="20"/>
    </w:p>
    <w:p w14:paraId="52372AB8" w14:textId="77777777" w:rsidR="00980B4C" w:rsidRDefault="003140D0">
      <w:pPr>
        <w:pStyle w:val="2"/>
        <w:keepNext w:val="0"/>
        <w:keepLines w:val="0"/>
        <w:autoSpaceDE w:val="0"/>
        <w:autoSpaceDN w:val="0"/>
        <w:adjustRightInd w:val="0"/>
        <w:spacing w:before="0" w:after="0" w:line="360" w:lineRule="auto"/>
        <w:ind w:firstLineChars="150" w:firstLine="315"/>
        <w:textAlignment w:val="baseline"/>
        <w:rPr>
          <w:rFonts w:ascii="宋体" w:eastAsia="宋体" w:hAnsi="宋体" w:hint="eastAsia"/>
          <w:b w:val="0"/>
          <w:bCs w:val="0"/>
          <w:sz w:val="21"/>
          <w:szCs w:val="21"/>
        </w:rPr>
      </w:pPr>
      <w:bookmarkStart w:id="21" w:name="_Toc382819079"/>
      <w:r>
        <w:rPr>
          <w:rFonts w:ascii="宋体" w:eastAsia="宋体" w:hAnsi="宋体" w:hint="eastAsia"/>
          <w:b w:val="0"/>
          <w:bCs w:val="0"/>
          <w:sz w:val="21"/>
          <w:szCs w:val="21"/>
        </w:rPr>
        <w:t>（一）基金财产保管的原则</w:t>
      </w:r>
      <w:bookmarkEnd w:id="21"/>
    </w:p>
    <w:p w14:paraId="296EB00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1.基金财产应独立于基金管理人、基金托管人的固有财产。</w:t>
      </w:r>
    </w:p>
    <w:p w14:paraId="1663FEE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基金托管人应按本协议规定安全保管托管财产。未经基金管理人的指令，不得自行运用、处分、分配基金的任何财产（基金托管人主动扣收的汇划费及依据本协议扣划的托管费等费用除外）。基金托管人不对处于自身实际控制之外的账户及财产承担责任。</w:t>
      </w:r>
    </w:p>
    <w:p w14:paraId="1537595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3.基金托管人按照规定为托管的基金财产开设资金账户和证券账户及投资所需其他账户。</w:t>
      </w:r>
    </w:p>
    <w:p w14:paraId="076A00A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lastRenderedPageBreak/>
        <w:t>4.基金托管人对所托管的不同基金财产分别设置账户，与基金托管人的其他业务和其他基金的托管业务实行严格的分账管理，确保基金财产的完整与独立。</w:t>
      </w:r>
    </w:p>
    <w:p w14:paraId="08A8793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423EE555" w14:textId="77777777" w:rsidR="00980B4C" w:rsidRDefault="003140D0">
      <w:pPr>
        <w:spacing w:line="360" w:lineRule="auto"/>
        <w:ind w:firstLineChars="200" w:firstLine="420"/>
        <w:rPr>
          <w:rFonts w:ascii="宋体" w:hAnsi="宋体" w:hint="eastAsia"/>
          <w:szCs w:val="21"/>
        </w:rPr>
      </w:pPr>
      <w:r>
        <w:rPr>
          <w:rFonts w:ascii="宋体" w:hAnsi="宋体"/>
          <w:szCs w:val="21"/>
        </w:rPr>
        <w:t>6</w:t>
      </w:r>
      <w:r>
        <w:rPr>
          <w:rFonts w:ascii="宋体" w:hAnsi="宋体" w:hint="eastAsia"/>
          <w:szCs w:val="21"/>
        </w:rPr>
        <w:t>.基金托管人对因为基金管理人投资产生的存放或存管在基金托管人以外机构的基金资产，或交由期货公司负责清算交收的基金资产（包括但不限于期货保证金账户内的资金、期货合约等）及其收益，由于该等机构或该机构会员单位等本协议当事人外第三方的欺诈、疏忽、过失或破产等原因给基金资产造成的损失等不承担责任。</w:t>
      </w:r>
    </w:p>
    <w:p w14:paraId="01F0CA1F" w14:textId="77777777" w:rsidR="00980B4C" w:rsidRDefault="003140D0">
      <w:pPr>
        <w:spacing w:line="360" w:lineRule="auto"/>
        <w:ind w:firstLineChars="200" w:firstLine="420"/>
        <w:rPr>
          <w:rFonts w:ascii="宋体" w:hAnsi="宋体" w:hint="eastAsia"/>
          <w:szCs w:val="21"/>
        </w:rPr>
      </w:pPr>
      <w:r>
        <w:rPr>
          <w:rFonts w:ascii="宋体" w:hAnsi="宋体"/>
          <w:szCs w:val="21"/>
        </w:rPr>
        <w:t>7</w:t>
      </w:r>
      <w:r>
        <w:rPr>
          <w:rFonts w:ascii="宋体" w:hAnsi="宋体" w:hint="eastAsia"/>
          <w:szCs w:val="21"/>
        </w:rPr>
        <w:t>.除依据法律法规和基金合同的规定外，基金托管人不得委托第三人托管基金财产。</w:t>
      </w:r>
    </w:p>
    <w:p w14:paraId="0D86AB61"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22" w:name="_Toc382819080"/>
      <w:r>
        <w:rPr>
          <w:rFonts w:ascii="宋体" w:eastAsia="宋体" w:hAnsi="宋体" w:hint="eastAsia"/>
          <w:b w:val="0"/>
          <w:bCs w:val="0"/>
          <w:sz w:val="21"/>
          <w:szCs w:val="21"/>
        </w:rPr>
        <w:t>（二）募集资金的验证</w:t>
      </w:r>
      <w:bookmarkEnd w:id="22"/>
    </w:p>
    <w:p w14:paraId="026970DA"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募集期内销售机构按销售与服务代理协议的约定，将认购资金划入基金管理人在具有托管资格的商业银行开设的“基金募集专户”。该账户由基金管理人开立并管理。基金募集期满，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14:paraId="221AFFB0" w14:textId="77777777" w:rsidR="00980B4C" w:rsidRDefault="003140D0">
      <w:pPr>
        <w:spacing w:line="360" w:lineRule="auto"/>
        <w:ind w:firstLineChars="200" w:firstLine="420"/>
        <w:rPr>
          <w:rFonts w:ascii="宋体" w:hAnsi="宋体" w:cs="Arial" w:hint="eastAsia"/>
          <w:szCs w:val="21"/>
        </w:rPr>
      </w:pPr>
      <w:r>
        <w:rPr>
          <w:rFonts w:ascii="宋体" w:hAnsi="宋体" w:cs="Arial" w:hint="eastAsia"/>
          <w:szCs w:val="21"/>
        </w:rPr>
        <w:t>若基金募集期限届满，未能达到《基金合同》备案的条件，由基金管理人按规定办理退款事宜，基金托管人应提供必要的协助。</w:t>
      </w:r>
    </w:p>
    <w:p w14:paraId="00CFC807"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23" w:name="_Toc382819081"/>
      <w:r>
        <w:rPr>
          <w:rFonts w:ascii="宋体" w:eastAsia="宋体" w:hAnsi="宋体" w:hint="eastAsia"/>
          <w:b w:val="0"/>
          <w:bCs w:val="0"/>
          <w:sz w:val="21"/>
          <w:szCs w:val="21"/>
        </w:rPr>
        <w:t>（三）基金资产托管专户的开立和管理</w:t>
      </w:r>
      <w:bookmarkEnd w:id="23"/>
    </w:p>
    <w:p w14:paraId="3E396AC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托管人以基金的名义在其营业机构开设资产托管专户（或称“托管账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14:paraId="3BC2B4B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2.本基金的一切货币收支活动，均需通过基金托管人或基金的资产托管专户进行。基金</w:t>
      </w:r>
      <w:r>
        <w:rPr>
          <w:rFonts w:ascii="宋体" w:hAnsi="宋体" w:hint="eastAsia"/>
          <w:szCs w:val="21"/>
        </w:rPr>
        <w:lastRenderedPageBreak/>
        <w:t>的资产托管专户的开立和使用，限于满足开展本基金业务的需要。资产托管专户不得用于存取现金或开立网银转账等功能。除因本基金业务需要，基金托管人和基金管理人不得假借本基金的名义开立其他任何银行账户；亦不得使用以基金名义开立的银行账户进行本基金业务以外的活动。</w:t>
      </w:r>
    </w:p>
    <w:p w14:paraId="379B433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3.资产托管专户的管理应符合《人民币银行结算账户管理办法》、《人民币利率管理规定》、《支付结算办法》以及银行业监督管理机构的其他有关规定。</w:t>
      </w:r>
    </w:p>
    <w:p w14:paraId="5A6E8F69"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24" w:name="_Toc382819082"/>
      <w:r>
        <w:rPr>
          <w:rFonts w:ascii="宋体" w:eastAsia="宋体" w:hAnsi="宋体" w:hint="eastAsia"/>
          <w:b w:val="0"/>
          <w:bCs w:val="0"/>
          <w:sz w:val="21"/>
          <w:szCs w:val="21"/>
        </w:rPr>
        <w:t>（四）基金证券账户与结算备付金账户的开设和管理</w:t>
      </w:r>
      <w:bookmarkEnd w:id="24"/>
    </w:p>
    <w:p w14:paraId="5E80A7B4"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1．基金托管人以基金托管人和本基金联名的方式在中国证券登记结算有限责任公司上海分公司/深圳分公司开立专门的证券账户。</w:t>
      </w:r>
    </w:p>
    <w:p w14:paraId="08AE883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2AABBDE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3.基金证券账户的开立基金托管人负责，账户资产的管理和运用由基金管理人负责。</w:t>
      </w:r>
    </w:p>
    <w:p w14:paraId="19A13BA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基金托管人以基金托管人的名义在中国证券登记结算有限责任公司上海分公司/深圳分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597A75B8"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25" w:name="_Toc382819083"/>
      <w:r>
        <w:rPr>
          <w:rFonts w:ascii="宋体" w:eastAsia="宋体" w:hAnsi="宋体" w:hint="eastAsia"/>
          <w:b w:val="0"/>
          <w:bCs w:val="0"/>
          <w:sz w:val="21"/>
          <w:szCs w:val="21"/>
        </w:rPr>
        <w:t>（五）银行间市场债券托管和资金结算专户的开立和管理及市场准入备案</w:t>
      </w:r>
      <w:bookmarkEnd w:id="25"/>
    </w:p>
    <w:p w14:paraId="4A02FDF1" w14:textId="77777777" w:rsidR="00980B4C" w:rsidRDefault="003140D0">
      <w:pPr>
        <w:spacing w:line="360" w:lineRule="auto"/>
        <w:ind w:firstLineChars="200" w:firstLine="420"/>
        <w:rPr>
          <w:rFonts w:ascii="宋体" w:hAnsi="宋体" w:hint="eastAsia"/>
          <w:szCs w:val="21"/>
        </w:rPr>
      </w:pPr>
      <w:bookmarkStart w:id="26" w:name="_Toc382819084"/>
      <w:r>
        <w:rPr>
          <w:rFonts w:ascii="宋体" w:hAnsi="宋体" w:hint="eastAsia"/>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bookmarkEnd w:id="26"/>
    </w:p>
    <w:p w14:paraId="6FD4E82E"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szCs w:val="21"/>
        </w:rPr>
      </w:pPr>
      <w:r>
        <w:rPr>
          <w:rFonts w:ascii="宋体" w:eastAsia="宋体" w:hAnsi="宋体" w:hint="eastAsia"/>
          <w:b w:val="0"/>
          <w:bCs w:val="0"/>
          <w:sz w:val="21"/>
          <w:szCs w:val="21"/>
        </w:rPr>
        <w:t>（六）其他账户的开设和管理</w:t>
      </w:r>
    </w:p>
    <w:p w14:paraId="55DC208D"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1、因业务发展而需要开立的其它账户，可以根据《基金合同》或有关法律法规的规定，经基金管理人和基金托管人协商一致后，由基金托管人负责为基金开立。新账户按有关规则使用并管理。</w:t>
      </w:r>
    </w:p>
    <w:p w14:paraId="78D9942A"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2、法律、法规等有关规定对相关账户的开立和管理另有规定的，从其规定办理。</w:t>
      </w:r>
    </w:p>
    <w:p w14:paraId="4E161262"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27" w:name="_Toc382819085"/>
      <w:r>
        <w:rPr>
          <w:rFonts w:ascii="宋体" w:eastAsia="宋体" w:hAnsi="宋体" w:hint="eastAsia"/>
          <w:b w:val="0"/>
          <w:bCs w:val="0"/>
          <w:sz w:val="21"/>
          <w:szCs w:val="21"/>
        </w:rPr>
        <w:lastRenderedPageBreak/>
        <w:t>（七）基金投资银行存款账户的开立和管理</w:t>
      </w:r>
      <w:bookmarkEnd w:id="27"/>
    </w:p>
    <w:p w14:paraId="3FCC0EA5"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1</w:t>
      </w:r>
      <w:r>
        <w:rPr>
          <w:rFonts w:ascii="宋体" w:hAnsi="宋体"/>
          <w:szCs w:val="21"/>
        </w:rPr>
        <w:t>.</w:t>
      </w:r>
      <w:r>
        <w:rPr>
          <w:rFonts w:ascii="宋体" w:hAnsi="宋体" w:hint="eastAsia"/>
          <w:szCs w:val="21"/>
        </w:rPr>
        <w:t>基金投资银行定期存款应由基金管理人与存款银行总行或其授权分行签订总体合作协议，并将资金存放于存款银行总行或其授权分行指定的分支机构。</w:t>
      </w:r>
    </w:p>
    <w:p w14:paraId="125AB001"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2</w:t>
      </w:r>
      <w:r>
        <w:rPr>
          <w:rFonts w:ascii="宋体" w:hAnsi="宋体"/>
          <w:szCs w:val="21"/>
        </w:rPr>
        <w:t>.</w:t>
      </w:r>
      <w:r>
        <w:rPr>
          <w:rFonts w:ascii="宋体" w:hAnsi="宋体" w:hint="eastAsia"/>
          <w:szCs w:val="21"/>
        </w:rPr>
        <w:t>存款账户必须以基金名义开立，账户名称为基金名称，存款账户开户文件上加盖预留印鉴及基金管理人公章。</w:t>
      </w:r>
    </w:p>
    <w:p w14:paraId="3C1EC498"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3</w:t>
      </w:r>
      <w:r>
        <w:rPr>
          <w:rFonts w:ascii="宋体" w:hAnsi="宋体"/>
          <w:szCs w:val="21"/>
        </w:rPr>
        <w:t>.</w:t>
      </w:r>
      <w:r>
        <w:rPr>
          <w:rFonts w:ascii="宋体" w:hAnsi="宋体" w:hint="eastAsia"/>
          <w:szCs w:val="21"/>
        </w:rPr>
        <w:t>本基金投资银行存款时，基金管理人应当与存款银行签订具体存款协议，明确存款的类型、期限、利率、金额、账号、对账方式、支取方式、账户管理等细则。</w:t>
      </w:r>
    </w:p>
    <w:p w14:paraId="0368D7D6"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4</w:t>
      </w:r>
      <w:r>
        <w:rPr>
          <w:rFonts w:ascii="宋体" w:hAnsi="宋体"/>
          <w:szCs w:val="21"/>
        </w:rPr>
        <w:t>.</w:t>
      </w:r>
      <w:r>
        <w:rPr>
          <w:rFonts w:ascii="宋体" w:hAnsi="宋体" w:hint="eastAsia"/>
          <w:szCs w:val="21"/>
        </w:rPr>
        <w:t>为防范特殊情况下的流动性风险，定期存款协议中应当约定提前支取条款。</w:t>
      </w:r>
    </w:p>
    <w:p w14:paraId="682CCD55" w14:textId="77777777" w:rsidR="00980B4C" w:rsidRDefault="003140D0">
      <w:pPr>
        <w:tabs>
          <w:tab w:val="left" w:pos="4680"/>
        </w:tabs>
        <w:spacing w:line="360" w:lineRule="auto"/>
        <w:ind w:firstLineChars="200" w:firstLine="420"/>
        <w:rPr>
          <w:rFonts w:ascii="宋体" w:hAnsi="宋体" w:hint="eastAsia"/>
          <w:szCs w:val="21"/>
        </w:rPr>
      </w:pPr>
      <w:bookmarkStart w:id="28" w:name="_Toc382819086"/>
      <w:r>
        <w:rPr>
          <w:rFonts w:ascii="宋体" w:hAnsi="宋体" w:hint="eastAsia"/>
          <w:szCs w:val="21"/>
        </w:rPr>
        <w:t>5</w:t>
      </w:r>
      <w:r>
        <w:rPr>
          <w:rFonts w:ascii="宋体" w:hAnsi="宋体"/>
          <w:szCs w:val="21"/>
        </w:rPr>
        <w:t>.</w:t>
      </w:r>
      <w:r>
        <w:rPr>
          <w:rFonts w:ascii="宋体" w:hAnsi="宋体" w:hint="eastAsia"/>
          <w:szCs w:val="21"/>
        </w:rPr>
        <w:t>基金所投资定期存款存续期间，基金管理人、基金托管人应当与存款银行建立定期对账机制，确保基金银行存款业务账目及核对的真实、准确。</w:t>
      </w:r>
      <w:bookmarkEnd w:id="28"/>
    </w:p>
    <w:p w14:paraId="19CE369C"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29" w:name="_Toc382819087"/>
      <w:r>
        <w:rPr>
          <w:rFonts w:ascii="宋体" w:eastAsia="宋体" w:hAnsi="宋体" w:hint="eastAsia"/>
          <w:b w:val="0"/>
          <w:bCs w:val="0"/>
          <w:sz w:val="21"/>
          <w:szCs w:val="21"/>
        </w:rPr>
        <w:t>（八）基金财产投资的有关实物证券、银行定期存款存单等有价凭证的保管</w:t>
      </w:r>
      <w:bookmarkEnd w:id="29"/>
    </w:p>
    <w:p w14:paraId="1711B46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财产投资的有关实物证券由基金托管人存放于基金托管人的保管库；其中实物证券也可存入中央国债登记结算有限责任公司、中国证券登记结算有限责任公司上海分公司/深圳分公司、银行间市场清算所股份有限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14:paraId="1D426999"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b w:val="0"/>
          <w:bCs w:val="0"/>
          <w:szCs w:val="21"/>
        </w:rPr>
      </w:pPr>
      <w:r>
        <w:rPr>
          <w:rFonts w:ascii="宋体" w:eastAsia="宋体" w:hAnsi="宋体" w:hint="eastAsia"/>
          <w:b w:val="0"/>
          <w:bCs w:val="0"/>
          <w:sz w:val="21"/>
          <w:szCs w:val="21"/>
        </w:rPr>
        <w:t>（九）与基金财产有关的重大合同的保管</w:t>
      </w:r>
    </w:p>
    <w:p w14:paraId="17D9E36F"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管期限不低于法律法规规定的最低年限。基金管理人未将相关合同送达基金托管人的，基金托管人对相关合同不承担保管责任。</w:t>
      </w:r>
    </w:p>
    <w:p w14:paraId="1CF6CC6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对于无法取得二份以上的正本的，基金管理人应向基金托管人提供与合同原件核对一致的并加盖基金管理人公章的合同传真件或复印件，未经双方协商一致，合同原件不得转移。</w:t>
      </w:r>
    </w:p>
    <w:p w14:paraId="430D46CB" w14:textId="77777777" w:rsidR="00980B4C" w:rsidRDefault="00980B4C">
      <w:pPr>
        <w:spacing w:line="360" w:lineRule="auto"/>
        <w:ind w:firstLineChars="200" w:firstLine="420"/>
        <w:rPr>
          <w:rFonts w:ascii="宋体" w:hAnsi="宋体" w:hint="eastAsia"/>
          <w:szCs w:val="21"/>
        </w:rPr>
      </w:pPr>
    </w:p>
    <w:p w14:paraId="6F61A160" w14:textId="77777777" w:rsidR="00980B4C" w:rsidRDefault="003140D0">
      <w:pPr>
        <w:spacing w:beforeLines="100" w:before="312" w:afterLines="100" w:after="312" w:line="240" w:lineRule="atLeast"/>
        <w:jc w:val="center"/>
        <w:outlineLvl w:val="0"/>
        <w:rPr>
          <w:rFonts w:ascii="宋体" w:hAnsi="宋体" w:hint="eastAsia"/>
        </w:rPr>
      </w:pPr>
      <w:bookmarkStart w:id="30" w:name="_Toc382819088"/>
      <w:r>
        <w:rPr>
          <w:rFonts w:ascii="宋体" w:hAnsi="宋体" w:hint="eastAsia"/>
          <w:b/>
          <w:sz w:val="24"/>
        </w:rPr>
        <w:lastRenderedPageBreak/>
        <w:t>五、指令的发送、确认和执行</w:t>
      </w:r>
      <w:bookmarkEnd w:id="30"/>
    </w:p>
    <w:p w14:paraId="0F78D298" w14:textId="77777777" w:rsidR="00980B4C" w:rsidRDefault="003140D0">
      <w:pPr>
        <w:spacing w:line="360" w:lineRule="auto"/>
        <w:ind w:firstLineChars="200" w:firstLine="420"/>
        <w:rPr>
          <w:rFonts w:ascii="宋体" w:hAnsi="宋体" w:hint="eastAsia"/>
          <w:szCs w:val="21"/>
        </w:rPr>
      </w:pPr>
      <w:bookmarkStart w:id="31" w:name="_Toc382819089"/>
      <w:r>
        <w:rPr>
          <w:rFonts w:ascii="宋体" w:hAnsi="宋体" w:hint="eastAsia"/>
          <w:szCs w:val="21"/>
        </w:rPr>
        <w:t>基金管理人在运用基金财产时向基金托管人发送资金划拨及其他款项付款指令，基金托管人执行基金管理人合法合规且符合本协议相关约定的指令、办理基金名下的资金往来等有关事项。</w:t>
      </w:r>
      <w:bookmarkEnd w:id="31"/>
    </w:p>
    <w:p w14:paraId="2933C84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基金管理人发送的指令包括电子指令、纸质指令以及双方约定的其他方式发送的指令。</w:t>
      </w:r>
    </w:p>
    <w:p w14:paraId="4297AC2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管理人在启用电子指令前，应与托管人另行签署托管电子指令直连协议或网上托管服务协议。管理人在发送纸质指令前，应根据双方约定的方式提供传真号、发送指令附件的邮箱地址以及指令确认人员及其联系方式。</w:t>
      </w:r>
    </w:p>
    <w:p w14:paraId="4FB34162"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32" w:name="_Toc382819090"/>
      <w:r>
        <w:rPr>
          <w:rFonts w:ascii="宋体" w:eastAsia="宋体" w:hAnsi="宋体" w:hint="eastAsia"/>
          <w:b w:val="0"/>
          <w:bCs w:val="0"/>
          <w:sz w:val="21"/>
          <w:szCs w:val="21"/>
        </w:rPr>
        <w:t>（一）基金管理人对发送指令人员（即被授权人）的书面授权</w:t>
      </w:r>
      <w:bookmarkEnd w:id="32"/>
    </w:p>
    <w:p w14:paraId="2AE02CD0" w14:textId="77777777" w:rsidR="00980B4C" w:rsidRDefault="003140D0">
      <w:pPr>
        <w:spacing w:line="360" w:lineRule="auto"/>
        <w:ind w:firstLineChars="200" w:firstLine="420"/>
        <w:rPr>
          <w:rFonts w:ascii="宋体" w:hAnsi="宋体" w:hint="eastAsia"/>
          <w:szCs w:val="21"/>
        </w:rPr>
      </w:pPr>
      <w:bookmarkStart w:id="33" w:name="_Toc382818601"/>
      <w:bookmarkStart w:id="34" w:name="_Toc382819091"/>
      <w:r>
        <w:t>基金管理人应事先向基金托管人提供书面</w:t>
      </w:r>
      <w:r>
        <w:rPr>
          <w:rFonts w:hint="eastAsia"/>
        </w:rPr>
        <w:t>的划款指令</w:t>
      </w:r>
      <w:r>
        <w:t>授权</w:t>
      </w:r>
      <w:r>
        <w:rPr>
          <w:rFonts w:hint="eastAsia"/>
        </w:rPr>
        <w:t>书（以下简称“授权书”）</w:t>
      </w:r>
      <w:r>
        <w:t>，指定指令的被授权人及被授权印鉴，授权</w:t>
      </w:r>
      <w:r>
        <w:rPr>
          <w:rFonts w:hint="eastAsia"/>
        </w:rPr>
        <w:t>书</w:t>
      </w:r>
      <w:r>
        <w:t>的内容包括被授权人的名单、签章样本、权限</w:t>
      </w:r>
      <w:r>
        <w:rPr>
          <w:rFonts w:hint="eastAsia"/>
        </w:rPr>
        <w:t>、</w:t>
      </w:r>
      <w:r>
        <w:t>预留印鉴</w:t>
      </w:r>
      <w:r>
        <w:rPr>
          <w:rFonts w:hint="eastAsia"/>
        </w:rPr>
        <w:t>和</w:t>
      </w:r>
      <w:r>
        <w:t>生效时间。</w:t>
      </w:r>
      <w:r>
        <w:rPr>
          <w:rFonts w:ascii="宋体" w:hAnsi="宋体" w:hint="eastAsia"/>
          <w:szCs w:val="21"/>
        </w:rPr>
        <w:t>基金管理人的划款指令授权书由基金管理人的法定代表人或其授权代理人签署并加盖公章，若由授权代理人签署的，还应附上法定代表人的授权书。</w:t>
      </w:r>
      <w:r>
        <w:t>基金管理人</w:t>
      </w:r>
      <w:r>
        <w:rPr>
          <w:rFonts w:ascii="宋体" w:hAnsi="宋体" w:hint="eastAsia"/>
          <w:szCs w:val="21"/>
        </w:rPr>
        <w:t>应保证其提供的划款指令授权书中被授权人个人信息已获得被授权人的同意。基金托管人在收到授权书当日回函或回电向基金管理人确认。</w:t>
      </w:r>
      <w:bookmarkEnd w:id="33"/>
      <w:bookmarkEnd w:id="34"/>
    </w:p>
    <w:p w14:paraId="7523E3BA"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35" w:name="_Toc382819092"/>
      <w:r>
        <w:rPr>
          <w:rFonts w:ascii="宋体" w:eastAsia="宋体" w:hAnsi="宋体" w:hint="eastAsia"/>
          <w:b w:val="0"/>
          <w:bCs w:val="0"/>
          <w:sz w:val="21"/>
          <w:szCs w:val="21"/>
        </w:rPr>
        <w:t>（二）指令的内容</w:t>
      </w:r>
      <w:bookmarkEnd w:id="35"/>
    </w:p>
    <w:p w14:paraId="7CE4514D"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1．指令是指基金管理人在运用基金财产时向基金托管人发送的付款指令（含赎回、分红付款、回购到期付款指令等）以及其它资金划拨的指令等，证券交易所证券投资的资金结算不需要基金管理人发送指令，基金托管人根据相关登记结算公司向基金托管人发送的结算数据进行资金结算。</w:t>
      </w:r>
    </w:p>
    <w:p w14:paraId="5E0FE531"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2．基金管理人发给基金托管人的指令应写明付款账号、付款户名、开户行、收款账号、收款户名、开户行、款项事由、支付时间、到账时间、金额、账户等，加盖预留印鉴并有被授权人签章。</w:t>
      </w:r>
    </w:p>
    <w:p w14:paraId="22D86A22"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36" w:name="_Toc382819093"/>
      <w:r>
        <w:rPr>
          <w:rFonts w:ascii="宋体" w:eastAsia="宋体" w:hAnsi="宋体" w:hint="eastAsia"/>
          <w:b w:val="0"/>
          <w:bCs w:val="0"/>
          <w:sz w:val="21"/>
          <w:szCs w:val="21"/>
        </w:rPr>
        <w:t>（三）指令的发送、确认和执行的时间和程序</w:t>
      </w:r>
      <w:bookmarkEnd w:id="36"/>
    </w:p>
    <w:p w14:paraId="636C7251"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1.指令由基金管理人通过电子指令等双方约定的方式向基金托管人发送。基金管理人有义务在发送指令后及时与基金托管人进行确认，因基金管理人未能及时与基金托管人进行指令</w:t>
      </w:r>
      <w:proofErr w:type="gramStart"/>
      <w:r>
        <w:rPr>
          <w:rFonts w:ascii="宋体" w:hAnsi="宋体" w:hint="eastAsia"/>
          <w:szCs w:val="21"/>
        </w:rPr>
        <w:t>确认,</w:t>
      </w:r>
      <w:proofErr w:type="gramEnd"/>
      <w:r>
        <w:rPr>
          <w:rFonts w:ascii="宋体" w:hAnsi="宋体" w:hint="eastAsia"/>
          <w:szCs w:val="21"/>
        </w:rPr>
        <w:t>致使资金未能及时到账所造成的损失，基金托管人不承担任何责任。基金托管人依照“授权书”规定的方法确认指令有效后，方可执行指令。对于被授权人发出的指令，基金管理人不得否认其效力。基金管理人应按照《基金法》、有关法律法规和《基金合同》的规</w:t>
      </w:r>
      <w:r>
        <w:rPr>
          <w:rFonts w:ascii="宋体" w:hAnsi="宋体" w:hint="eastAsia"/>
          <w:szCs w:val="21"/>
        </w:rPr>
        <w:lastRenderedPageBreak/>
        <w:t>定，在其合法的经营权限和交易权限内发送划款指令，被授权人应按照其授权权限发送划款指令。基金管理人在发送指令时，应为基金托管人留出执行指令所必需的时间。由一般划款指令（不含实时逐笔全额结算（以下简称RTGS）交收指令、新股、新债、增发等申购指令）应在15点（指令截止时间）前提交托管人，如基金管理人要求当天某一时点到账，则指令需提前2个工作小时(工作时间9点至</w:t>
      </w:r>
      <w:proofErr w:type="gramStart"/>
      <w:r>
        <w:rPr>
          <w:rFonts w:ascii="宋体" w:hAnsi="宋体" w:hint="eastAsia"/>
          <w:szCs w:val="21"/>
        </w:rPr>
        <w:t>11点30分,</w:t>
      </w:r>
      <w:proofErr w:type="gramEnd"/>
      <w:r>
        <w:rPr>
          <w:rFonts w:ascii="宋体" w:hAnsi="宋体" w:hint="eastAsia"/>
          <w:szCs w:val="21"/>
        </w:rPr>
        <w:t>13点至17</w:t>
      </w:r>
      <w:proofErr w:type="gramStart"/>
      <w:r>
        <w:rPr>
          <w:rFonts w:ascii="宋体" w:hAnsi="宋体" w:hint="eastAsia"/>
          <w:szCs w:val="21"/>
        </w:rPr>
        <w:t>点)</w:t>
      </w:r>
      <w:proofErr w:type="gramEnd"/>
      <w:r>
        <w:rPr>
          <w:rFonts w:ascii="宋体" w:hAnsi="宋体" w:hint="eastAsia"/>
          <w:szCs w:val="21"/>
        </w:rPr>
        <w:t>提交基金托管人。管理人在上述截止时间之后发送的划款</w:t>
      </w:r>
      <w:proofErr w:type="gramStart"/>
      <w:r>
        <w:rPr>
          <w:rFonts w:ascii="宋体" w:hAnsi="宋体" w:hint="eastAsia"/>
          <w:szCs w:val="21"/>
        </w:rPr>
        <w:t>指令,</w:t>
      </w:r>
      <w:proofErr w:type="gramEnd"/>
      <w:r>
        <w:rPr>
          <w:rFonts w:ascii="宋体" w:hAnsi="宋体" w:hint="eastAsia"/>
          <w:szCs w:val="21"/>
        </w:rPr>
        <w:t>托管人尽力配合执行。</w:t>
      </w:r>
    </w:p>
    <w:p w14:paraId="526A70B4"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2.新股、新债、增发等申购指令，基金管理人须在申购前1个工作日向基金托管人发送指令，如需在申购当日下达指令，基金管理人应为基金托管人留出执行指令所必需的时间，指令最迟不得晚于上午11：00点（指令截止时间）提交基金托管人。</w:t>
      </w:r>
    </w:p>
    <w:p w14:paraId="58729D14"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3.如划款指令中给予基金托管人的划拨时间小于2个工作小时或晚于前述指令截至时间的，基金托管人应尽力在指定时间内完成资金</w:t>
      </w:r>
      <w:proofErr w:type="gramStart"/>
      <w:r>
        <w:rPr>
          <w:rFonts w:ascii="宋体" w:hAnsi="宋体" w:hint="eastAsia"/>
          <w:szCs w:val="21"/>
        </w:rPr>
        <w:t>划拨,</w:t>
      </w:r>
      <w:proofErr w:type="gramEnd"/>
      <w:r>
        <w:rPr>
          <w:rFonts w:ascii="宋体" w:hAnsi="宋体" w:hint="eastAsia"/>
          <w:szCs w:val="21"/>
        </w:rPr>
        <w:t>但不承担因时间不足导致执行失败的责任。</w:t>
      </w:r>
    </w:p>
    <w:p w14:paraId="4000F37D"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4.基金管理人原因造成的指令传输不及时、未能留出足够划款所需时间，致使资金未能及时到账所造成的损失由基金管理人承担。</w:t>
      </w:r>
    </w:p>
    <w:p w14:paraId="7F89D97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5.指令到达基金托管人后，基金托管人应指定专人及时对指令的要素是否齐全、印鉴与被授权人是否与预留的授权文件内容相符进行检查，如发现问题或有疑问应及时通知基金管理人，并有权立即将指令退还给基金管理人，要求其重新下达有效指令。</w:t>
      </w:r>
    </w:p>
    <w:p w14:paraId="6668F9B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6.基金管理人向基金托管人下达指令时，应确保相关托管账户有足够的资金余额，对基金管理人在没有充足资金的情况下向基金托管人发出的指令，基金托管人有权不予执行，并立即通知基金管理人，基金托管人不承担因为不执行该指令而造成损失的任何责任。</w:t>
      </w:r>
    </w:p>
    <w:p w14:paraId="64406D3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7、指令未执行前基金管理人可以撤销，</w:t>
      </w:r>
      <w:r>
        <w:t>基金管理人</w:t>
      </w:r>
      <w:r>
        <w:rPr>
          <w:rFonts w:hint="eastAsia"/>
        </w:rPr>
        <w:t>需</w:t>
      </w:r>
      <w:r>
        <w:t>在原指令上注明</w:t>
      </w:r>
      <w:r>
        <w:t>“</w:t>
      </w:r>
      <w:r>
        <w:t>作废</w:t>
      </w:r>
      <w:r>
        <w:t>”</w:t>
      </w:r>
      <w:r>
        <w:t>并</w:t>
      </w:r>
      <w:r>
        <w:rPr>
          <w:rFonts w:hint="eastAsia"/>
        </w:rPr>
        <w:t>以双方认可的方式</w:t>
      </w:r>
      <w:r>
        <w:t>通知基金托管人</w:t>
      </w:r>
      <w:r>
        <w:rPr>
          <w:rFonts w:ascii="宋体" w:hAnsi="宋体" w:hint="eastAsia"/>
          <w:szCs w:val="21"/>
        </w:rPr>
        <w:t>。基金托管人将尽力协助撤销指令，但基金管理人理解且接受受限于客观情况，基金托管人无法保证基金管理人的指令一定可以撤销，基金托管人不承担指令未被撤销的一切责任与后果。</w:t>
      </w:r>
    </w:p>
    <w:p w14:paraId="16ABD139"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37" w:name="_Toc382819094"/>
      <w:r>
        <w:rPr>
          <w:rFonts w:ascii="宋体" w:eastAsia="宋体" w:hAnsi="宋体" w:hint="eastAsia"/>
          <w:b w:val="0"/>
          <w:bCs w:val="0"/>
          <w:sz w:val="21"/>
          <w:szCs w:val="21"/>
        </w:rPr>
        <w:t>（四）基金管理人发送错误指令的情形和处理程序</w:t>
      </w:r>
      <w:bookmarkEnd w:id="37"/>
    </w:p>
    <w:p w14:paraId="5886282F" w14:textId="77777777" w:rsidR="00980B4C" w:rsidRDefault="003140D0">
      <w:pPr>
        <w:spacing w:after="120" w:line="360" w:lineRule="auto"/>
        <w:ind w:firstLineChars="200" w:firstLine="420"/>
        <w:rPr>
          <w:rFonts w:ascii="宋体" w:hAnsi="宋体" w:hint="eastAsia"/>
          <w:szCs w:val="21"/>
        </w:rPr>
      </w:pPr>
      <w:r>
        <w:rPr>
          <w:rFonts w:ascii="宋体" w:hAnsi="宋体" w:hint="eastAsia"/>
          <w:szCs w:val="21"/>
        </w:rPr>
        <w:t>1.基金管理人发送错误指令的情形包括但不限于指令发送人员无权或超越权限发送指令及交割信息错误，指令中重要信息模糊不清或不</w:t>
      </w:r>
      <w:proofErr w:type="gramStart"/>
      <w:r>
        <w:rPr>
          <w:rFonts w:ascii="宋体" w:hAnsi="宋体" w:hint="eastAsia"/>
          <w:szCs w:val="21"/>
        </w:rPr>
        <w:t>全,</w:t>
      </w:r>
      <w:proofErr w:type="gramEnd"/>
      <w:r>
        <w:rPr>
          <w:rFonts w:ascii="宋体" w:hAnsi="宋体" w:hint="eastAsia"/>
          <w:szCs w:val="21"/>
        </w:rPr>
        <w:t>指令违反法律法规和《基金合同》及本协议约定等。</w:t>
      </w:r>
    </w:p>
    <w:p w14:paraId="2DC080EC" w14:textId="77777777" w:rsidR="00980B4C" w:rsidRDefault="003140D0">
      <w:pPr>
        <w:spacing w:line="360" w:lineRule="auto"/>
        <w:ind w:firstLineChars="200" w:firstLine="420"/>
        <w:rPr>
          <w:rFonts w:ascii="宋体" w:hAnsi="宋体" w:hint="eastAsia"/>
          <w:szCs w:val="21"/>
          <w:lang w:val="zh-CN"/>
        </w:rPr>
      </w:pPr>
      <w:r>
        <w:rPr>
          <w:rFonts w:ascii="宋体" w:hAnsi="宋体" w:hint="eastAsia"/>
          <w:szCs w:val="21"/>
        </w:rPr>
        <w:lastRenderedPageBreak/>
        <w:t>2.基金托管人在履行监督职能时，如发现基金管理人的指令错误，有权拒绝执行，并及时以书面形式通知基金管理人改正，基金管理人收到通知后应及时核对，并以书面形式对基金托管人发出回函确认。如需撤销指令，基金管理人应出具书面说明，并加盖预留印鉴。</w:t>
      </w:r>
    </w:p>
    <w:p w14:paraId="4D1E9C26"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38" w:name="_Toc382819095"/>
      <w:r>
        <w:rPr>
          <w:rFonts w:ascii="宋体" w:eastAsia="宋体" w:hAnsi="宋体" w:hint="eastAsia"/>
          <w:b w:val="0"/>
          <w:bCs w:val="0"/>
          <w:sz w:val="21"/>
          <w:szCs w:val="21"/>
        </w:rPr>
        <w:t>（五）基金托管人未按照基金管理人指令执行的处理方法</w:t>
      </w:r>
      <w:bookmarkEnd w:id="38"/>
    </w:p>
    <w:p w14:paraId="2A59436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除本协议另有约定外，基金托管人由于自身原因造成未按照或者未及时按照基金管理人发送的符合本协议约定的、按照正常交易程序已经生效的指令执行，给基金份额持有人造成损失的，应负责赔偿相应的直接损失。</w:t>
      </w:r>
    </w:p>
    <w:p w14:paraId="3D7BD24F"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39" w:name="_Toc382819096"/>
      <w:r>
        <w:rPr>
          <w:rFonts w:ascii="宋体" w:eastAsia="宋体" w:hAnsi="宋体" w:hint="eastAsia"/>
          <w:b w:val="0"/>
          <w:bCs w:val="0"/>
          <w:sz w:val="21"/>
          <w:szCs w:val="21"/>
        </w:rPr>
        <w:t>（六）更换被授权人的程序</w:t>
      </w:r>
      <w:bookmarkEnd w:id="39"/>
    </w:p>
    <w:p w14:paraId="523FFF42"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更换被授权人、更改或终止对被授权人的授权范围的，必须提前至少一个交易日，发送扫描件或其他基金托管人和基金管理人书面确认的方式向基金托管人发出加盖基金管理人公章，并由法定代表人或其授权代理人签字或盖章的被授权人变更通知，同时电话或</w:t>
      </w:r>
      <w:r>
        <w:rPr>
          <w:rFonts w:hint="eastAsia"/>
        </w:rPr>
        <w:t>双方认可的方式</w:t>
      </w:r>
      <w:r>
        <w:rPr>
          <w:rFonts w:ascii="宋体" w:hAnsi="宋体" w:hint="eastAsia"/>
          <w:szCs w:val="21"/>
        </w:rPr>
        <w:t>通知基金托管人。变更通知应载明生效时间，并提供新的被授权人的签章样本。基金托管人收到变更通知当日将通过电话向基金管理人确认。授权变更于变更通知载明的生效时间起生效。若变更通知载明的生效时间早于基金托管人收到变更通知时间，则授权变更于基金托管人收到变更通知时生效。被授权人变更通知生效前，基金托管人仍应按原约定执行指令，基金管理人不得否认其效力。基金管理人在此后三个工作日内将被授权人变更通知的正本送交基金托管人。如果基金管理人授权人员名单、权限有变化时，未能按本协议约定及时通知基金托管人并预留新的印鉴和签章样本而导致基金份额持有人受损的，基金托管人不承担任何形式的责任。基金托管人更换接收基金管理人指令的人员，应提前通过邮件、传真或录音电话等方式通知基金管理人。基金管理人和基金托管人对授权文件负有保密义务，其内容不得向授权人、被授权人及相关操作人员以外的任何人泄露，但法律法规或有权机关另有要求的除外。</w:t>
      </w:r>
    </w:p>
    <w:p w14:paraId="7C3069A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（七）其它事项</w:t>
      </w:r>
    </w:p>
    <w:p w14:paraId="6852345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基金管理人承担下达违法、违规或违反《基金合同》和本协议约定的指令所导致的责任。基金托管人对执行基金管理人的按照正常交易程序已经生效的指令对基金财产造成的损失不承担赔偿责任。</w:t>
      </w:r>
    </w:p>
    <w:p w14:paraId="34AEAD12" w14:textId="77777777" w:rsidR="00980B4C" w:rsidRDefault="00980B4C">
      <w:pPr>
        <w:spacing w:line="360" w:lineRule="auto"/>
        <w:ind w:firstLineChars="200" w:firstLine="420"/>
        <w:rPr>
          <w:rFonts w:ascii="宋体" w:hAnsi="宋体" w:hint="eastAsia"/>
          <w:szCs w:val="21"/>
        </w:rPr>
      </w:pPr>
    </w:p>
    <w:p w14:paraId="2C325F9C" w14:textId="77777777" w:rsidR="00980B4C" w:rsidRDefault="003140D0">
      <w:pPr>
        <w:spacing w:beforeLines="100" w:before="312" w:afterLines="100" w:after="312" w:line="240" w:lineRule="atLeast"/>
        <w:jc w:val="center"/>
        <w:outlineLvl w:val="0"/>
        <w:rPr>
          <w:rFonts w:ascii="宋体" w:hAnsi="宋体" w:hint="eastAsia"/>
        </w:rPr>
      </w:pPr>
      <w:bookmarkStart w:id="40" w:name="_Toc382819097"/>
      <w:r>
        <w:rPr>
          <w:rFonts w:ascii="宋体" w:hAnsi="宋体" w:hint="eastAsia"/>
          <w:b/>
          <w:sz w:val="24"/>
        </w:rPr>
        <w:t>六、交易及清算交收安排</w:t>
      </w:r>
      <w:bookmarkEnd w:id="40"/>
    </w:p>
    <w:p w14:paraId="238AB5DF"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41" w:name="_Toc382819098"/>
      <w:r>
        <w:rPr>
          <w:rFonts w:ascii="宋体" w:eastAsia="宋体" w:hAnsi="宋体" w:hint="eastAsia"/>
          <w:b w:val="0"/>
          <w:bCs w:val="0"/>
          <w:sz w:val="21"/>
          <w:szCs w:val="21"/>
        </w:rPr>
        <w:t>（一）选择代理证券、期货买卖的证券、期货经营机构的标准和程序</w:t>
      </w:r>
      <w:bookmarkEnd w:id="41"/>
    </w:p>
    <w:p w14:paraId="1B6FE97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lastRenderedPageBreak/>
        <w:t>基金管理人应设计选择证券买卖的证券经营机构的标准和程序。基金管理人负责选择证券经营机构，租用其交易单元作为基金的专用交易单元。基金管理人和被选中的证券经营机构签订委托协议，基金管理人应提前通知基金托管人，并依据基金托管人要求提供相关资料，以便基金托管人申请办理接收结算数据手续。基金管理人应根据有关规定，在基金的中期报告和年度报告中将所选证券经营机构的有关情况及交易信息予以披露，并将该等情况及基金交易单元号、佣金费率等基本信息以及变更情况在基金成立及后续变更时及时以书面形式通知基金托管人。</w:t>
      </w:r>
    </w:p>
    <w:p w14:paraId="2F5BDEE2"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负责选择代理本基金期货交易的期货经营机构，并与其签订期货经纪合同，其他事宜根据法律法规、《基金合同》的相关规定执行，若无明确规定的，可参照有关证券买卖、证券经营机构选择的规则执行。</w:t>
      </w:r>
    </w:p>
    <w:p w14:paraId="72825279"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42" w:name="_Toc382819099"/>
      <w:r>
        <w:rPr>
          <w:rFonts w:ascii="宋体" w:eastAsia="宋体" w:hAnsi="宋体" w:hint="eastAsia"/>
          <w:b w:val="0"/>
          <w:bCs w:val="0"/>
          <w:sz w:val="21"/>
          <w:szCs w:val="21"/>
        </w:rPr>
        <w:t>（二）基金投资证券后的清算交收安排</w:t>
      </w:r>
      <w:bookmarkStart w:id="43" w:name="_Toc382819100"/>
      <w:bookmarkEnd w:id="42"/>
    </w:p>
    <w:p w14:paraId="0CA2EC03" w14:textId="77777777" w:rsidR="00980B4C" w:rsidRDefault="003140D0">
      <w:pPr>
        <w:pStyle w:val="a0"/>
        <w:spacing w:line="360" w:lineRule="auto"/>
        <w:jc w:val="left"/>
        <w:rPr>
          <w:rFonts w:ascii="宋体" w:hAnsi="宋体" w:hint="eastAsia"/>
          <w:szCs w:val="21"/>
        </w:rPr>
      </w:pPr>
      <w:r>
        <w:rPr>
          <w:rFonts w:ascii="宋体" w:hAnsi="宋体" w:hint="eastAsia"/>
          <w:szCs w:val="21"/>
        </w:rPr>
        <w:t>1、本基金投资于证券发生的所有场内、场外交易的资金清算交割，全部由基金托管人负责办理。</w:t>
      </w:r>
      <w:bookmarkStart w:id="44" w:name="_Toc382819101"/>
      <w:bookmarkEnd w:id="43"/>
    </w:p>
    <w:p w14:paraId="6144F2E6" w14:textId="77777777" w:rsidR="00980B4C" w:rsidRDefault="003140D0">
      <w:pPr>
        <w:pStyle w:val="a0"/>
        <w:spacing w:line="360" w:lineRule="auto"/>
        <w:jc w:val="left"/>
        <w:rPr>
          <w:rFonts w:ascii="宋体" w:hAnsi="宋体" w:hint="eastAsia"/>
          <w:szCs w:val="21"/>
        </w:rPr>
      </w:pPr>
      <w:r>
        <w:rPr>
          <w:rFonts w:ascii="宋体" w:hAnsi="宋体" w:hint="eastAsia"/>
          <w:szCs w:val="21"/>
        </w:rPr>
        <w:t>2、本基金投资于场内交易的投资品种前，基金管理人和基金托管人应当另行签署托管银行证券资金结算协议（若有）。</w:t>
      </w:r>
      <w:bookmarkEnd w:id="44"/>
    </w:p>
    <w:p w14:paraId="2D274A28" w14:textId="77777777" w:rsidR="00980B4C" w:rsidRDefault="003140D0">
      <w:pPr>
        <w:pStyle w:val="a0"/>
        <w:spacing w:line="360" w:lineRule="auto"/>
        <w:jc w:val="left"/>
        <w:rPr>
          <w:rFonts w:ascii="宋体" w:hAnsi="宋体" w:hint="eastAsia"/>
          <w:szCs w:val="21"/>
        </w:rPr>
      </w:pPr>
      <w:r>
        <w:rPr>
          <w:rFonts w:ascii="宋体" w:hAnsi="宋体" w:hint="eastAsia"/>
          <w:szCs w:val="21"/>
        </w:rPr>
        <w:t>3、本基金投资于R</w:t>
      </w:r>
      <w:r>
        <w:rPr>
          <w:rFonts w:ascii="宋体" w:hAnsi="宋体"/>
          <w:szCs w:val="21"/>
        </w:rPr>
        <w:t>TGS</w:t>
      </w:r>
      <w:r>
        <w:rPr>
          <w:rFonts w:ascii="宋体" w:hAnsi="宋体" w:hint="eastAsia"/>
          <w:szCs w:val="21"/>
        </w:rPr>
        <w:t>交收的投资品种时，基金管理人应遵守基金托管人提前以告客户书形式提供的书面通知。</w:t>
      </w:r>
    </w:p>
    <w:p w14:paraId="5754A9E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4、银行间债券券款对付结算</w:t>
      </w:r>
    </w:p>
    <w:p w14:paraId="66063CA2"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基金管理人应及时将银行间市场清算所股份有限公司、</w:t>
      </w:r>
      <w:r>
        <w:rPr>
          <w:rFonts w:ascii="宋体" w:hAnsi="宋体"/>
          <w:szCs w:val="21"/>
        </w:rPr>
        <w:t>中央国债登记结算有限责任公司</w:t>
      </w:r>
      <w:r>
        <w:rPr>
          <w:rFonts w:ascii="宋体" w:hAnsi="宋体" w:hint="eastAsia"/>
          <w:szCs w:val="21"/>
        </w:rPr>
        <w:t>划款指令按相关规定提交基金托管人，基金管理人应为基金托管人留出执行指令所必需的时间。</w:t>
      </w:r>
    </w:p>
    <w:p w14:paraId="1851048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基金管理人应根据</w:t>
      </w:r>
      <w:r>
        <w:rPr>
          <w:rFonts w:ascii="宋体" w:hAnsi="宋体"/>
          <w:szCs w:val="21"/>
        </w:rPr>
        <w:t>中央国债登记结算有限责任公司</w:t>
      </w:r>
      <w:r>
        <w:rPr>
          <w:rFonts w:ascii="宋体" w:hAnsi="宋体" w:hint="eastAsia"/>
          <w:szCs w:val="21"/>
        </w:rPr>
        <w:t>、银行间市场清算所股份有限公司提供的查询功能，实时跟踪交易结算情况、证券与资金到账与余额变动情况，便于监控结算过程，做好资金与交易匹配的前端控制。</w:t>
      </w:r>
    </w:p>
    <w:p w14:paraId="77272AD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5、定期投资</w:t>
      </w:r>
    </w:p>
    <w:p w14:paraId="34A39A1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基金管理人与存款行签订的存款协议条款格式应在定期存款起息日的当日发送给基金托管人，</w:t>
      </w:r>
      <w:r>
        <w:rPr>
          <w:rFonts w:ascii="宋体" w:hAnsi="宋体" w:cs="Arial" w:hint="eastAsia"/>
          <w:color w:val="000000"/>
          <w:szCs w:val="21"/>
        </w:rPr>
        <w:t>基金管理人应将</w:t>
      </w:r>
      <w:r>
        <w:rPr>
          <w:rFonts w:ascii="宋体" w:hAnsi="宋体" w:hint="eastAsia"/>
          <w:szCs w:val="21"/>
        </w:rPr>
        <w:t>定期存款的划款指令及存款协议盖章版（传真件或扫描件）/同业存款成交单按法律法规、基金合同及托管协议的规定提交基金托管人，指令发出后，基金管理人应及时以电话或其他双方认可的方式向基金托管人确认。对于基金管理人依约定程序发出的指令，基金管理人不得否认其效力。</w:t>
      </w:r>
    </w:p>
    <w:p w14:paraId="035AC39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lastRenderedPageBreak/>
        <w:t>基金管理人在发送投资指令时，应为基金托管人执行投资指令留出执行指令所必需的时间。投资指令传输不及时、未能留出足够的划款时间，导致资金未能及时到账所造成的损失由基金管理人承担。</w:t>
      </w:r>
    </w:p>
    <w:p w14:paraId="4C0F296A"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存款银行无法在存入当日17点前向基金托管人送达存款证实书的，基金管理人应敦促存款银行将存款证实扫描件发送至基金托管人。存款证实书送达托管人后，基金托管人负责保管存款证实书原件。基金托管人仅对存款证实书进行形式审核，形式审核内容为账户名称、起息日、到期日、金额、利率。基金托管人不对存款证实书真实性承担审核职责。</w:t>
      </w:r>
    </w:p>
    <w:p w14:paraId="7CB4970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基金管理人与存款银行签订的存款协议，应包括：</w:t>
      </w:r>
    </w:p>
    <w:p w14:paraId="3711F6DA"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（1）存款银行为托管资产办理定期存款业务的存款账户开立、资金存入和支取提供必要的支持和高效的结算服务。</w:t>
      </w:r>
    </w:p>
    <w:p w14:paraId="4737DBD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存款银行为托管资产所投资的定期存款的存款证明文件提供上门服务，即：定期存款资金到账后，存款银行派授权代理人将“存款证实书”（以下简称“证实书”）妥善送至基金托管人处。“证实书”移交给基金托管人之前，因“证实书”丢失、损毁而造成的一切损失由存款银行承担。</w:t>
      </w:r>
    </w:p>
    <w:p w14:paraId="44F9AE5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（3）定期存款到期日前或提前支取日前，存款银行应派授权代理人前往基金托管人处提取“证实书”。“证实书”移交给存款行授权代理人之后，因“证实书”丢失、损毁而造成的一切损失由存款银行承担。</w:t>
      </w:r>
    </w:p>
    <w:p w14:paraId="39A2BE7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存款银行应至少提前一个工作日向基金托管人提供对前述授权代理人办理相关事务的书面授权书。授权代理人提供上门服务时，应出示有效身份证或工作证。</w:t>
      </w:r>
    </w:p>
    <w:p w14:paraId="33709F5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（4）存款银行应保证及时支付存款本金和利息，于支取当日将本息划付至本基金开立在基金托管人（上海浦东发展银行）处的托管账户， 并列明账户的开户行、账号、户名、大额支付号。存款银行应确认，定期存款的本息只能划入开立在托管人的相应托管账户或经托管人确认的指定账户。上述指定收款账户信息如需变更，必须经基金托管人书面同意。</w:t>
      </w:r>
    </w:p>
    <w:p w14:paraId="029C84A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（5）存款银行应为定期存款业务提供定期对账服务。首次对账应不晚于存款资金存入后的一个自然月。除首次对账外，对账频率不少于每半年一次。存款银行应配合基金托管人对“证实书”的书面征询。</w:t>
      </w:r>
    </w:p>
    <w:p w14:paraId="4998A95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（6）在存款存续期内，“证实书”的预留印鉴发生变更的，存款银行应配合办理变更手续。</w:t>
      </w:r>
    </w:p>
    <w:p w14:paraId="00A4754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（7）存款不得被质押，相应存款证明文件不得用于背书和转让。</w:t>
      </w:r>
    </w:p>
    <w:p w14:paraId="4034D28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6、本基金拟投资于期货交易市场前，基金管理人、期货经营机构及基金托管人应当另</w:t>
      </w:r>
      <w:r>
        <w:rPr>
          <w:rFonts w:ascii="宋体" w:hAnsi="宋体" w:hint="eastAsia"/>
          <w:szCs w:val="21"/>
        </w:rPr>
        <w:lastRenderedPageBreak/>
        <w:t>行签署股指期货投资托管协议。</w:t>
      </w:r>
    </w:p>
    <w:p w14:paraId="457D70CA" w14:textId="77777777" w:rsidR="00980B4C" w:rsidRDefault="003140D0">
      <w:pPr>
        <w:spacing w:line="360" w:lineRule="auto"/>
        <w:ind w:firstLine="420"/>
        <w:rPr>
          <w:rFonts w:ascii="宋体" w:hAnsi="宋体" w:hint="eastAsia"/>
          <w:szCs w:val="21"/>
        </w:rPr>
      </w:pPr>
      <w:r>
        <w:rPr>
          <w:rFonts w:ascii="Segoe UI" w:hAnsi="Segoe UI" w:cs="Segoe UI" w:hint="eastAsia"/>
          <w:color w:val="000000"/>
          <w:szCs w:val="21"/>
        </w:rPr>
        <w:t>7</w:t>
      </w:r>
      <w:r>
        <w:rPr>
          <w:rFonts w:ascii="Segoe UI" w:hAnsi="Segoe UI" w:cs="Segoe UI"/>
          <w:color w:val="000000"/>
          <w:szCs w:val="21"/>
        </w:rPr>
        <w:t>、</w:t>
      </w:r>
      <w:r>
        <w:rPr>
          <w:rFonts w:ascii="宋体" w:hAnsi="宋体" w:hint="eastAsia"/>
          <w:szCs w:val="21"/>
        </w:rPr>
        <w:t>基金参与港股通交易的清算交收安排</w:t>
      </w:r>
    </w:p>
    <w:p w14:paraId="785CE253" w14:textId="77777777" w:rsidR="00980B4C" w:rsidRDefault="003140D0">
      <w:pPr>
        <w:spacing w:line="360" w:lineRule="auto"/>
        <w:ind w:firstLine="420"/>
        <w:rPr>
          <w:rFonts w:ascii="宋体" w:hAnsi="宋体" w:hint="eastAsia"/>
          <w:szCs w:val="21"/>
        </w:rPr>
      </w:pPr>
      <w:r>
        <w:rPr>
          <w:rFonts w:ascii="宋体" w:hAnsi="宋体" w:hint="eastAsia"/>
          <w:szCs w:val="21"/>
        </w:rPr>
        <w:t>基金参与港股通交易的，基金管理人应保证在</w:t>
      </w:r>
      <w:r>
        <w:rPr>
          <w:rFonts w:ascii="宋体" w:hAnsi="宋体"/>
          <w:szCs w:val="21"/>
        </w:rPr>
        <w:t>T+1日9：30之前有足够的头寸用于港股通T+1日公司行动、证券组合费和风控资金的交收，在T+1日14：00之前有足够的头寸用于港股通T+2日交易资金的交收</w:t>
      </w:r>
      <w:r>
        <w:rPr>
          <w:rFonts w:ascii="宋体" w:hAnsi="宋体" w:hint="eastAsia"/>
          <w:szCs w:val="21"/>
        </w:rPr>
        <w:t>。对于T日港股通交易清算结果为净应付的，基金托管人于T+1日10：00扣收应付资金。对于T日港股通交易清算结果为净应收的，基金托管人在与中国证券登记结算有限责任公司完成净应收资金交割后，于T+3日上午12:00前返还应收资金。若因非基金托管人原因造成净应收资金划付延迟的，基金托管人不承担任何责任。</w:t>
      </w:r>
    </w:p>
    <w:p w14:paraId="1E638E67" w14:textId="77777777" w:rsidR="00980B4C" w:rsidRDefault="003140D0">
      <w:pPr>
        <w:spacing w:line="360" w:lineRule="auto"/>
        <w:ind w:firstLine="420"/>
        <w:rPr>
          <w:rFonts w:ascii="宋体" w:hAnsi="宋体" w:hint="eastAsia"/>
          <w:szCs w:val="21"/>
        </w:rPr>
      </w:pPr>
      <w:r>
        <w:rPr>
          <w:rFonts w:ascii="宋体" w:hAnsi="宋体" w:hint="eastAsia"/>
          <w:szCs w:val="21"/>
        </w:rPr>
        <w:t>如由于基金管理人的过错导致港股通交收失败，由此给托管人、托管人托管的其他资产组合造成的经济损失，由基金管理人承担。如由于非基金管理人和基金托管人的原因导致港股通交收失败，由此给基金资产组合造成的经济损失，可先由基金管理人垫付，由基金管理人向过错人追偿。</w:t>
      </w:r>
    </w:p>
    <w:p w14:paraId="6C5ACFD2"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45" w:name="_Toc382819102"/>
      <w:r>
        <w:rPr>
          <w:rFonts w:ascii="宋体" w:eastAsia="宋体" w:hAnsi="宋体" w:hint="eastAsia"/>
          <w:b w:val="0"/>
          <w:bCs w:val="0"/>
          <w:sz w:val="21"/>
          <w:szCs w:val="21"/>
        </w:rPr>
        <w:t>（三）可用资金余额的确认</w:t>
      </w:r>
      <w:bookmarkEnd w:id="45"/>
    </w:p>
    <w:p w14:paraId="72E39349" w14:textId="77777777" w:rsidR="00980B4C" w:rsidRDefault="003140D0">
      <w:pPr>
        <w:spacing w:line="360" w:lineRule="auto"/>
        <w:ind w:firstLineChars="200" w:firstLine="420"/>
      </w:pPr>
      <w:r>
        <w:rPr>
          <w:rFonts w:ascii="宋体" w:hAnsi="宋体" w:hint="eastAsia"/>
          <w:szCs w:val="21"/>
        </w:rPr>
        <w:t>基金托管人应于每个工作日下午1</w:t>
      </w:r>
      <w:r>
        <w:rPr>
          <w:rFonts w:ascii="宋体" w:hAnsi="宋体"/>
          <w:szCs w:val="21"/>
        </w:rPr>
        <w:t>7</w:t>
      </w:r>
      <w:r>
        <w:rPr>
          <w:rFonts w:ascii="宋体" w:hAnsi="宋体" w:hint="eastAsia"/>
          <w:szCs w:val="21"/>
        </w:rPr>
        <w:t>：3</w:t>
      </w:r>
      <w:r>
        <w:rPr>
          <w:rFonts w:ascii="宋体" w:hAnsi="宋体"/>
          <w:szCs w:val="21"/>
        </w:rPr>
        <w:t>0</w:t>
      </w:r>
      <w:r>
        <w:rPr>
          <w:rFonts w:ascii="宋体" w:hAnsi="宋体" w:hint="eastAsia"/>
          <w:szCs w:val="21"/>
        </w:rPr>
        <w:t>前将托管账户的可用资金余额以双方认可的方式提供给基金管理人。</w:t>
      </w:r>
    </w:p>
    <w:p w14:paraId="1F965C38"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b w:val="0"/>
          <w:bCs w:val="0"/>
          <w:szCs w:val="21"/>
        </w:rPr>
      </w:pPr>
      <w:r>
        <w:rPr>
          <w:rFonts w:ascii="宋体" w:eastAsia="宋体" w:hAnsi="宋体" w:hint="eastAsia"/>
          <w:b w:val="0"/>
          <w:bCs w:val="0"/>
          <w:sz w:val="21"/>
          <w:szCs w:val="21"/>
        </w:rPr>
        <w:t>（四）交易记录、资金、证券账目的核对</w:t>
      </w:r>
    </w:p>
    <w:p w14:paraId="665C9E31"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1、交易记录的核对</w:t>
      </w:r>
    </w:p>
    <w:p w14:paraId="0A2DB371"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基金管理人和基金托管人按日进行交易记录的核对。对外披露净值之前，必须保证当天所有实际交易记录与基金会计账簿上的交易记录一致。</w:t>
      </w:r>
    </w:p>
    <w:p w14:paraId="1649B046"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2、资金账目的核对</w:t>
      </w:r>
    </w:p>
    <w:p w14:paraId="23FC2614"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资金账目包括基金的银行存款等会计资料。资金账目由基金托管人每日进行账实核对，基金管理人复核托管人提供的可用头寸表核对资金余额。银行存款账户每日核对，做到账账相符、账实相符。</w:t>
      </w:r>
    </w:p>
    <w:p w14:paraId="1B4D8D08"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3、证券账目的核对</w:t>
      </w:r>
    </w:p>
    <w:p w14:paraId="0928357D"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证券账目是指以基金名义开立的证券交易账户和实物托管账户中的证券种类、数量和金额。基金管理人和基金托管人每日核对证券账目余额。证券交易所证券账目每交易日结束后核对一次，银行间市场证券账目每月末核对一次，确保账实相符。</w:t>
      </w:r>
    </w:p>
    <w:p w14:paraId="6698BE1F"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b w:val="0"/>
          <w:szCs w:val="21"/>
        </w:rPr>
      </w:pPr>
      <w:r>
        <w:rPr>
          <w:rFonts w:ascii="宋体" w:eastAsia="宋体" w:hAnsi="宋体" w:hint="eastAsia"/>
          <w:b w:val="0"/>
          <w:bCs w:val="0"/>
          <w:sz w:val="21"/>
          <w:szCs w:val="21"/>
        </w:rPr>
        <w:t>（五）基金申购、赎回、转换业务处理的基本规定</w:t>
      </w:r>
    </w:p>
    <w:p w14:paraId="0CC29091"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1、基金管理人可根据实际情况依法决定本基金开始办理申购的具体日期，基金管理人自基金合同生效后3个月内开始办理赎回，办理时间以公告为准。基金份额申购、赎回的</w:t>
      </w:r>
      <w:r>
        <w:rPr>
          <w:rFonts w:ascii="宋体" w:hAnsi="宋体" w:hint="eastAsia"/>
          <w:szCs w:val="21"/>
        </w:rPr>
        <w:lastRenderedPageBreak/>
        <w:t>确认、清算由基金管理人或其委托的注册登记机构负责。</w:t>
      </w:r>
    </w:p>
    <w:p w14:paraId="1F30D455"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2、基金管理人应在每个交易日按本协议相关规定向基金托管人发送基金管理人确认的申购、赎回和转换开放式基金的有关数据，并对上述数据的真实、准确、完整性负责。基金托管人应及时查收申购及转入资金的到账情况并根据基金管理人指令及时划付赎回及转出款项。基金管理人应保证本基金（或本基金管理人委托）的注册登记机构每个工作日15:00 前向基金托管人发送前一开放日的上述有关数据，并保证相关数据的准确、完整。</w:t>
      </w:r>
    </w:p>
    <w:p w14:paraId="2F4E8990"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3、基金管理人通过与基金托管人建立的共同约定的数据传送系统发送申购赎回等有关数据，如因各种原因，该系统无法正常发送，双方可协商解决处理方式。由此引起基金或本协议一方损失的，由系统无法正常传送数据的一方承担赔偿责任，但不可抗力导致的情形除外；若由双方共同引起，根据各自过错程度承担相应责任。基金管理人向基金托管人发送的数据，双方各自按有关规定保存。</w:t>
      </w:r>
    </w:p>
    <w:p w14:paraId="73001421"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4、基金管理人应保证其发送的注册登记数据的接口规范与基金托管人的接口规范保持一致。</w:t>
      </w:r>
    </w:p>
    <w:p w14:paraId="65112661"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5、基金注册登记清算专用账户的开立和管理</w:t>
      </w:r>
    </w:p>
    <w:p w14:paraId="5DFA42C2"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为满足申购、赎回等资金汇划的需要，基金管理人应开立用于基金申购、赎回等资金清算的基金注册登记清算专用账户。</w:t>
      </w:r>
    </w:p>
    <w:p w14:paraId="64DFFF6A" w14:textId="77777777" w:rsidR="00980B4C" w:rsidRDefault="003140D0">
      <w:pPr>
        <w:tabs>
          <w:tab w:val="left" w:pos="4680"/>
        </w:tabs>
        <w:spacing w:line="360" w:lineRule="auto"/>
        <w:ind w:firstLineChars="200" w:firstLine="420"/>
        <w:jc w:val="left"/>
        <w:rPr>
          <w:rFonts w:ascii="宋体" w:hAnsi="宋体" w:hint="eastAsia"/>
          <w:kern w:val="21"/>
          <w:szCs w:val="21"/>
        </w:rPr>
      </w:pPr>
      <w:r>
        <w:rPr>
          <w:rFonts w:ascii="宋体" w:hAnsi="宋体" w:hint="eastAsia"/>
          <w:szCs w:val="21"/>
        </w:rPr>
        <w:t>6、</w:t>
      </w:r>
      <w:r>
        <w:rPr>
          <w:rFonts w:ascii="宋体" w:hAnsi="宋体" w:hint="eastAsia"/>
          <w:kern w:val="21"/>
          <w:szCs w:val="21"/>
        </w:rPr>
        <w:t>对于基金申购过程中产生的应收资产，应由基金管理人负责与有关当事人确定到账日期并通知基金托管人，到账日基金资产没有到达基金托管人处的，基金托管人应及时通知基金管理人采取措施进行催收，由此给基金造成损失的，基金管理人应负责向有关当事人追偿基金的损失，</w:t>
      </w:r>
      <w:r>
        <w:rPr>
          <w:rFonts w:ascii="宋体" w:hAnsi="宋体" w:hint="eastAsia"/>
          <w:szCs w:val="21"/>
        </w:rPr>
        <w:t>基金托管人不承担任何责任</w:t>
      </w:r>
      <w:r>
        <w:rPr>
          <w:rFonts w:ascii="宋体" w:hAnsi="宋体" w:hint="eastAsia"/>
          <w:kern w:val="21"/>
          <w:szCs w:val="21"/>
        </w:rPr>
        <w:t>。</w:t>
      </w:r>
    </w:p>
    <w:p w14:paraId="005677C7"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7、赎回资金的支付</w:t>
      </w:r>
    </w:p>
    <w:p w14:paraId="103DC0D9"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基金托管人在根据基金管理人指令支付赎回款时，如托管专户中本基金有足够的资金，基金托管人应按《基金合同》和本协议的规定支付；如托管专户中本基金有足额的资金且基金托管人有足够合理的时间进行划款，而基金托管人未及时执行合法合规的指令的，责任由基金托管人承担，但不可抗力导致的情形除外。因托管专户中本基金没有足够的资金，导致基金托管人不能按时支付，如是基金管理人的原因造成，责任由基金管理人承担，基金托管人不承担垫款义务；如是除基金管理人、基金托管人外的第三方原因造成的，责任由第三方承担，基金托管人不承担垫款义务，若给基金份额持有人造成损失的，基金托管人负有配合基金管理人向第三方追偿的义务。</w:t>
      </w:r>
    </w:p>
    <w:p w14:paraId="2C1BF71D"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8、资金支付执行和责任界定</w:t>
      </w:r>
    </w:p>
    <w:p w14:paraId="47E3D0CF"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lastRenderedPageBreak/>
        <w:t xml:space="preserve"> 除申购款项到达基金托管人处的基金账户需双方按约定方式对账外，净额划出、赎回资金支付时，应按照本协议相关规定执行。若本协议没有规定的按双方协商一致内容执行。</w:t>
      </w:r>
    </w:p>
    <w:p w14:paraId="09CE66E0"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基金管理人和基金托管人应采取所有必要措施确保申购和赎回等资金在本协议相关规定的时间内划到指定账户。但由于基金管理人和基金托管人之外的第三方原因、不可抗力原因导致资金不能按时到账的，基金管理人和基金托管人不承担由此产生的责任。如因此给基金造成损失的，基金管理人应负责向第三方追偿，基金托管人有义务协助追偿。</w:t>
      </w:r>
    </w:p>
    <w:p w14:paraId="4E4D5267"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9、暂停赎回和巨额赎回处理</w:t>
      </w:r>
    </w:p>
    <w:p w14:paraId="075F07A6"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基金管理人应严格按照相关法律法规以及《基金合同》的规定，对暂停赎回的情形进行相应处理，并在发生暂停赎回的当日及时以双方认可的形式通知基金托管人。基金管理人应严格按照相关法律法规以及《基金合同》的规定，对巨额赎回的情形进行相应处理，并在决定部分延期赎回的当日及时以双方认可的形式通知基金托管人。</w:t>
      </w:r>
    </w:p>
    <w:p w14:paraId="63B510B1"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b w:val="0"/>
          <w:szCs w:val="21"/>
        </w:rPr>
      </w:pPr>
      <w:r>
        <w:rPr>
          <w:rFonts w:ascii="宋体" w:eastAsia="宋体" w:hAnsi="宋体" w:hint="eastAsia"/>
          <w:b w:val="0"/>
          <w:bCs w:val="0"/>
          <w:sz w:val="21"/>
          <w:szCs w:val="21"/>
        </w:rPr>
        <w:t>（六）申购赎回资金结算</w:t>
      </w:r>
    </w:p>
    <w:p w14:paraId="344E48A4"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1、</w:t>
      </w:r>
      <w:r>
        <w:rPr>
          <w:rFonts w:hint="eastAsia"/>
        </w:rPr>
        <w:t>基金管理人应保证本基金（或本基金管理人委托）的注册登记机构每个工作日</w:t>
      </w:r>
      <w:r>
        <w:rPr>
          <w:rFonts w:hint="eastAsia"/>
        </w:rPr>
        <w:t>15</w:t>
      </w:r>
      <w:r>
        <w:rPr>
          <w:rFonts w:hint="eastAsia"/>
        </w:rPr>
        <w:t>：</w:t>
      </w:r>
      <w:r>
        <w:rPr>
          <w:rFonts w:hint="eastAsia"/>
        </w:rPr>
        <w:t>00</w:t>
      </w:r>
      <w:r>
        <w:rPr>
          <w:rFonts w:hint="eastAsia"/>
        </w:rPr>
        <w:t>前向基金托管人发送前一开放日</w:t>
      </w:r>
      <w:r>
        <w:rPr>
          <w:rFonts w:ascii="宋体" w:hAnsi="宋体" w:hint="eastAsia"/>
          <w:szCs w:val="21"/>
        </w:rPr>
        <w:t>投资人申购、赎回、转换等基金的确认数据，并保证相关数据的准确、完整。基金管理人和基金托管人据此进行申购的基金会计处理。</w:t>
      </w:r>
    </w:p>
    <w:p w14:paraId="3A459C76"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T日申购、赎回申请的对应款项均在交收日进行交收。基金托管账户与“基金清算账户”间的资金结算遵循“全额清算、净额交收”的原则，每日按照托管账户应收资金与应付资金的差额来确定当日托管账户净应收额或净应付额，以此确定资金交收额。如存在托管账户净应收额时，基金管理人应在当日 15:00 之前从基金清算账户划到基金托管账户，基金托管人在资金到账后应立即通知基金管理人，并将有关书面凭证传真给基金管理人进行账务管理；如存在托管账户净应付额时，基金管理人应在当日将划款指令发送给基金托管人，基金托管人按基金管理人的划款指令将托管账户净应付额在12:00 之前划往基金清算账户，基金托管人在资金划出后立即通知基金管理人，并将有关书面凭证交给基金管理人进行账务管理。</w:t>
      </w:r>
    </w:p>
    <w:p w14:paraId="1B902F64"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t>当存在托管账户净应付额时，如基金托管账户有足够的资金，基金托管人应按时拨付；因基金托管账户没有足够的资金，导致基金托管人不能按时拨付，基金托管人应及时通知基金管理人，如系基金管理人的原因造成，责任由基金管理人承担，基金托管人不承担垫款义务。</w:t>
      </w:r>
    </w:p>
    <w:p w14:paraId="0576BE9D"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b w:val="0"/>
          <w:bCs w:val="0"/>
          <w:szCs w:val="21"/>
        </w:rPr>
      </w:pPr>
      <w:r>
        <w:rPr>
          <w:rFonts w:ascii="宋体" w:eastAsia="宋体" w:hAnsi="宋体" w:hint="eastAsia"/>
          <w:b w:val="0"/>
          <w:bCs w:val="0"/>
          <w:sz w:val="21"/>
          <w:szCs w:val="21"/>
        </w:rPr>
        <w:t>（七）基金转换</w:t>
      </w:r>
    </w:p>
    <w:p w14:paraId="377B31C0" w14:textId="77777777" w:rsidR="00980B4C" w:rsidRDefault="003140D0">
      <w:pPr>
        <w:tabs>
          <w:tab w:val="left" w:pos="4680"/>
        </w:tabs>
        <w:spacing w:line="360" w:lineRule="auto"/>
        <w:ind w:firstLineChars="200" w:firstLine="420"/>
        <w:jc w:val="left"/>
        <w:rPr>
          <w:rFonts w:ascii="宋体" w:hAnsi="宋体" w:hint="eastAsia"/>
          <w:szCs w:val="21"/>
        </w:rPr>
      </w:pPr>
      <w:r>
        <w:rPr>
          <w:rFonts w:ascii="宋体" w:hAnsi="宋体" w:hint="eastAsia"/>
          <w:szCs w:val="21"/>
        </w:rPr>
        <w:lastRenderedPageBreak/>
        <w:t>基金管理人与基金托管人按照相关法律法规、《基金合同》、以及本协议的规定办理基金转换。</w:t>
      </w:r>
    </w:p>
    <w:p w14:paraId="0C306CBE"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szCs w:val="21"/>
        </w:rPr>
      </w:pPr>
      <w:r>
        <w:rPr>
          <w:rFonts w:ascii="宋体" w:eastAsia="宋体" w:hAnsi="宋体"/>
          <w:b w:val="0"/>
          <w:bCs w:val="0"/>
          <w:sz w:val="21"/>
          <w:szCs w:val="21"/>
        </w:rPr>
        <w:t>(八)基金出现超买或超卖的责任认定及处理程序</w:t>
      </w:r>
    </w:p>
    <w:p w14:paraId="38C86E4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托管人在履行监督职能时，如果发现基金投资证券过程中出现超买或超卖现象，应立即提醒基金管理人，由基金管理人负责解决，由此给基金及基金托管人造成的损失由基金管理人承担。如果非因基金托管人原因发生超买行为，基金管理人必须于T+1日上午11时之前划拨资金，用以完成清算交收。</w:t>
      </w:r>
    </w:p>
    <w:p w14:paraId="7C3B1E36" w14:textId="77777777" w:rsidR="00980B4C" w:rsidRDefault="00980B4C">
      <w:pPr>
        <w:spacing w:line="360" w:lineRule="auto"/>
        <w:ind w:firstLineChars="200" w:firstLine="420"/>
        <w:rPr>
          <w:rFonts w:ascii="宋体" w:hAnsi="宋体" w:hint="eastAsia"/>
          <w:szCs w:val="21"/>
        </w:rPr>
      </w:pPr>
    </w:p>
    <w:p w14:paraId="0302F2F5" w14:textId="77777777" w:rsidR="00980B4C" w:rsidRDefault="003140D0">
      <w:pPr>
        <w:spacing w:beforeLines="100" w:before="312" w:afterLines="100" w:after="312" w:line="240" w:lineRule="atLeast"/>
        <w:jc w:val="center"/>
        <w:outlineLvl w:val="0"/>
        <w:rPr>
          <w:rFonts w:ascii="宋体" w:hAnsi="宋体" w:hint="eastAsia"/>
        </w:rPr>
      </w:pPr>
      <w:bookmarkStart w:id="46" w:name="_Toc382819103"/>
      <w:r>
        <w:rPr>
          <w:rFonts w:ascii="宋体" w:hAnsi="宋体" w:hint="eastAsia"/>
          <w:b/>
          <w:sz w:val="24"/>
        </w:rPr>
        <w:t>七、基金资产净值计算和会计核算</w:t>
      </w:r>
      <w:bookmarkEnd w:id="46"/>
    </w:p>
    <w:p w14:paraId="232F65DD"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47" w:name="_Toc382819104"/>
      <w:r>
        <w:rPr>
          <w:rFonts w:ascii="宋体" w:eastAsia="宋体" w:hAnsi="宋体" w:hint="eastAsia"/>
          <w:b w:val="0"/>
          <w:bCs w:val="0"/>
          <w:sz w:val="21"/>
          <w:szCs w:val="21"/>
        </w:rPr>
        <w:t>（一）基金资产净值的计算</w:t>
      </w:r>
      <w:r>
        <w:rPr>
          <w:rFonts w:ascii="宋体" w:eastAsia="宋体" w:hAnsi="宋体" w:hint="eastAsia"/>
          <w:sz w:val="21"/>
          <w:szCs w:val="21"/>
        </w:rPr>
        <w:t>、</w:t>
      </w:r>
      <w:r>
        <w:rPr>
          <w:rFonts w:ascii="宋体" w:eastAsia="宋体" w:hAnsi="宋体" w:hint="eastAsia"/>
          <w:b w:val="0"/>
          <w:bCs w:val="0"/>
          <w:sz w:val="21"/>
          <w:szCs w:val="21"/>
        </w:rPr>
        <w:t>复核的时间和程序</w:t>
      </w:r>
      <w:bookmarkEnd w:id="47"/>
    </w:p>
    <w:p w14:paraId="6C63A65A"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1</w:t>
      </w:r>
      <w:r>
        <w:rPr>
          <w:rFonts w:ascii="宋体" w:hAnsi="宋体"/>
          <w:szCs w:val="21"/>
        </w:rPr>
        <w:t>.</w:t>
      </w:r>
      <w:r>
        <w:rPr>
          <w:rFonts w:ascii="宋体" w:hAnsi="宋体" w:hint="eastAsia"/>
          <w:szCs w:val="21"/>
        </w:rPr>
        <w:t>基金资产净值是指基金资产总值减去基金负债后的价值。各类基金份额净值是按照每个估值日闭市后，各类基金资产净值除以当日该类基金份额的余额数量计算，均精确到0.0001元，小数点后第5位四舍五入，由此产生的误差计入基金财产。基金管理人可以设立大额赎回情形下的净值精度应急调整机制。为避免基金份额持有人利益因基金份额净值的小数点保留精度受到不利影响，基金管理人可提高基金份额净值的精度。法律法规另有规定的，从其规定。</w:t>
      </w:r>
    </w:p>
    <w:p w14:paraId="45F1BE16"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2</w:t>
      </w:r>
      <w:r>
        <w:rPr>
          <w:rFonts w:ascii="宋体" w:hAnsi="宋体"/>
          <w:szCs w:val="21"/>
        </w:rPr>
        <w:t>.</w:t>
      </w:r>
      <w:r>
        <w:rPr>
          <w:rFonts w:ascii="宋体" w:hAnsi="宋体" w:hint="eastAsia"/>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的计算结果对外予以公布。每个估值日，基金管理人应对基金资产估值。但基金管理人根据法律法规或基金合同的规定暂停估值时除外。估值原则应符合《基金合同》、《证券投资基金会计核算业务指引》及其他法律、法规的规定。</w:t>
      </w:r>
      <w:r>
        <w:rPr>
          <w:rFonts w:ascii="宋体" w:hAnsi="宋体" w:cs="宋体" w:hint="eastAsia"/>
          <w:color w:val="000000"/>
          <w:kern w:val="0"/>
          <w:szCs w:val="21"/>
        </w:rPr>
        <w:t>基金管理人每个估值日对基金资产估值后，将各类基金份额的基金份额净值结果发送基金托管人，经基金托管人复核无误后，由基金管理人按规定对外公布。</w:t>
      </w:r>
    </w:p>
    <w:p w14:paraId="66162157"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3</w:t>
      </w:r>
      <w:r>
        <w:rPr>
          <w:rFonts w:ascii="宋体" w:hAnsi="宋体"/>
          <w:szCs w:val="21"/>
        </w:rPr>
        <w:t>.</w:t>
      </w:r>
      <w:r>
        <w:rPr>
          <w:rFonts w:ascii="宋体" w:hAnsi="宋体" w:hint="eastAsia"/>
          <w:szCs w:val="21"/>
        </w:rPr>
        <w:t>根据《基金法》，基金管理人计算并公告基金资产净值，基金托管人复核、审查基金管理人计算的基金资产净值。本基金的会计责任方是基金管理人，就与本基金有关的会计问题，如经相关各方在平等基础上充分讨论后，仍无法达成一致的意见，按照基金管理人对基金资产净值的计算结果对外予以公布。</w:t>
      </w:r>
    </w:p>
    <w:p w14:paraId="7A09EE27" w14:textId="77777777" w:rsidR="00980B4C" w:rsidRDefault="003140D0">
      <w:pPr>
        <w:tabs>
          <w:tab w:val="left" w:pos="900"/>
        </w:tabs>
        <w:spacing w:line="360" w:lineRule="auto"/>
        <w:ind w:right="28" w:firstLineChars="200" w:firstLine="420"/>
        <w:rPr>
          <w:rFonts w:ascii="宋体" w:hAnsi="宋体" w:hint="eastAsia"/>
          <w:szCs w:val="21"/>
        </w:rPr>
      </w:pPr>
      <w:r>
        <w:rPr>
          <w:rFonts w:ascii="宋体" w:hAnsi="宋体" w:hint="eastAsia"/>
          <w:szCs w:val="21"/>
        </w:rPr>
        <w:t>法律法规以及监管部门有强制规定的，从其规定。如有新增事项，按国家最新规定估值。</w:t>
      </w:r>
      <w:bookmarkStart w:id="48" w:name="_Toc382819105"/>
    </w:p>
    <w:p w14:paraId="6A024F6B" w14:textId="77777777" w:rsidR="00980B4C" w:rsidRDefault="003140D0">
      <w:pPr>
        <w:tabs>
          <w:tab w:val="left" w:pos="900"/>
        </w:tabs>
        <w:spacing w:line="360" w:lineRule="auto"/>
        <w:ind w:right="28" w:firstLineChars="200" w:firstLine="420"/>
        <w:rPr>
          <w:rFonts w:ascii="宋体" w:hAnsi="宋体" w:hint="eastAsia"/>
          <w:szCs w:val="21"/>
        </w:rPr>
      </w:pPr>
      <w:r>
        <w:rPr>
          <w:rFonts w:ascii="宋体" w:hAnsi="宋体" w:hint="eastAsia"/>
          <w:szCs w:val="21"/>
        </w:rPr>
        <w:t>（二）基金资产估值</w:t>
      </w:r>
      <w:bookmarkEnd w:id="48"/>
    </w:p>
    <w:p w14:paraId="75ADA272" w14:textId="77777777" w:rsidR="00980B4C" w:rsidRDefault="003140D0">
      <w:pPr>
        <w:tabs>
          <w:tab w:val="left" w:pos="900"/>
        </w:tabs>
        <w:spacing w:line="360" w:lineRule="auto"/>
        <w:ind w:right="28" w:firstLineChars="200" w:firstLine="420"/>
        <w:rPr>
          <w:rFonts w:ascii="宋体" w:hAnsi="宋体" w:hint="eastAsia"/>
          <w:szCs w:val="21"/>
        </w:rPr>
      </w:pPr>
      <w:r>
        <w:rPr>
          <w:rFonts w:ascii="宋体" w:hAnsi="宋体" w:hint="eastAsia"/>
          <w:szCs w:val="21"/>
        </w:rPr>
        <w:lastRenderedPageBreak/>
        <w:t>估值原则应符合《基金合同》、《证券投资基金会计核算业务指引》、《企业会计准则》及其他法律法规的规定的约定。</w:t>
      </w:r>
    </w:p>
    <w:p w14:paraId="213DE2CE"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当相关法律法规或《基金合同》规定的估值方法不能客观反映基金财产公允价值时，基金管理人可根据具体情况，并与基金托管人商定后，按最能反映公允价值的价格估值。</w:t>
      </w:r>
    </w:p>
    <w:p w14:paraId="5E32C82F" w14:textId="77777777" w:rsidR="00980B4C" w:rsidRDefault="003140D0">
      <w:pPr>
        <w:pStyle w:val="2"/>
        <w:keepNext w:val="0"/>
        <w:keepLines w:val="0"/>
        <w:autoSpaceDE w:val="0"/>
        <w:autoSpaceDN w:val="0"/>
        <w:adjustRightInd w:val="0"/>
        <w:spacing w:before="0" w:after="0" w:line="440" w:lineRule="atLeast"/>
        <w:ind w:firstLineChars="200" w:firstLine="420"/>
        <w:textAlignment w:val="baseline"/>
        <w:rPr>
          <w:rFonts w:ascii="宋体" w:hAnsi="宋体" w:hint="eastAsia"/>
          <w:szCs w:val="21"/>
        </w:rPr>
      </w:pPr>
      <w:r>
        <w:rPr>
          <w:rFonts w:ascii="宋体" w:eastAsia="宋体" w:hAnsi="宋体" w:hint="eastAsia"/>
          <w:b w:val="0"/>
          <w:bCs w:val="0"/>
          <w:sz w:val="21"/>
          <w:szCs w:val="21"/>
        </w:rPr>
        <w:t>（三）实施侧袋机制期间的基金资产估值</w:t>
      </w:r>
    </w:p>
    <w:p w14:paraId="5D369AA0"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本基金实施侧袋机制的，应根据本部分的约定对主袋账户资产进行估值并披露主袋账户的基金净值信息，暂停披露侧袋账户份额净值。</w:t>
      </w:r>
      <w:bookmarkStart w:id="49" w:name="_Toc382819106"/>
    </w:p>
    <w:p w14:paraId="12D6C704" w14:textId="77777777" w:rsidR="00980B4C" w:rsidRDefault="003140D0">
      <w:pPr>
        <w:spacing w:line="440" w:lineRule="atLeast"/>
        <w:ind w:right="28" w:firstLineChars="200" w:firstLine="420"/>
        <w:rPr>
          <w:rFonts w:ascii="宋体" w:hAnsi="宋体" w:hint="eastAsia"/>
          <w:b/>
          <w:bCs/>
          <w:szCs w:val="21"/>
        </w:rPr>
      </w:pPr>
      <w:r>
        <w:rPr>
          <w:rFonts w:ascii="宋体" w:hAnsi="宋体" w:hint="eastAsia"/>
          <w:szCs w:val="21"/>
        </w:rPr>
        <w:t>（四）估值错误处理</w:t>
      </w:r>
      <w:bookmarkEnd w:id="49"/>
    </w:p>
    <w:p w14:paraId="549DA497" w14:textId="77777777" w:rsidR="00980B4C" w:rsidRDefault="003140D0">
      <w:pPr>
        <w:spacing w:line="440" w:lineRule="atLeast"/>
        <w:ind w:right="28" w:firstLineChars="200" w:firstLine="420"/>
        <w:rPr>
          <w:rFonts w:ascii="宋体" w:hAnsi="宋体" w:hint="eastAsia"/>
          <w:szCs w:val="21"/>
        </w:rPr>
      </w:pPr>
      <w:bookmarkStart w:id="50" w:name="_Toc382819107"/>
      <w:r>
        <w:rPr>
          <w:rFonts w:ascii="宋体" w:hAnsi="宋体" w:hint="eastAsia"/>
          <w:szCs w:val="21"/>
        </w:rPr>
        <w:t>1.当任一类别基金份额净值小数点后</w:t>
      </w:r>
      <w:r>
        <w:rPr>
          <w:rFonts w:ascii="宋体" w:hAnsi="宋体"/>
          <w:szCs w:val="21"/>
        </w:rPr>
        <w:t>4位以内</w:t>
      </w:r>
      <w:proofErr w:type="gramStart"/>
      <w:r>
        <w:rPr>
          <w:rFonts w:ascii="宋体" w:hAnsi="宋体"/>
          <w:szCs w:val="21"/>
        </w:rPr>
        <w:t>(含第4位)</w:t>
      </w:r>
      <w:proofErr w:type="gramEnd"/>
      <w:r>
        <w:rPr>
          <w:rFonts w:ascii="宋体" w:hAnsi="宋体" w:hint="eastAsia"/>
          <w:szCs w:val="21"/>
        </w:rPr>
        <w:t>发生估值错误时，视为该类基金份额净值错误；任一类基金份额净值计算出现错误时，基金管理人应当立即予以纠正，通报基金托管人，并采取合理的措施防止损失进一步扩大；错误偏差达到该类基金份额净值的0.25%时，基金管理人应当通报基金托管人并报中国证监会备案；错误偏差达到基金份额净值的0.5%时，基金管理人应当公告，通报基金托管人，并报中国证监会备案；当发生净值计算错误时，由基金管理人负责处理，由此给基金份额持有人和基金造成损失的，按照基金合同和本协议约定的估值错误处理原则和程序进行处理。</w:t>
      </w:r>
      <w:bookmarkEnd w:id="50"/>
    </w:p>
    <w:p w14:paraId="3EC02147" w14:textId="77777777" w:rsidR="00980B4C" w:rsidRDefault="003140D0">
      <w:pPr>
        <w:spacing w:line="440" w:lineRule="atLeast"/>
        <w:ind w:right="28" w:firstLineChars="200" w:firstLine="420"/>
        <w:rPr>
          <w:rFonts w:ascii="宋体" w:hAnsi="宋体" w:hint="eastAsia"/>
          <w:szCs w:val="21"/>
        </w:rPr>
      </w:pPr>
      <w:bookmarkStart w:id="51" w:name="_Toc382819108"/>
      <w:r>
        <w:rPr>
          <w:rFonts w:ascii="宋体" w:hAnsi="宋体" w:hint="eastAsia"/>
          <w:szCs w:val="21"/>
        </w:rPr>
        <w:t>2.当因基金管理人和基金托管人原因致使基金份额净值计算差错给基金和基金份额持有人造成损失需要进行赔偿时，基金管理人和基金托管人应根据实际情况界定双方承担的责任，经确认后按以下条款进行赔偿：</w:t>
      </w:r>
      <w:bookmarkEnd w:id="51"/>
    </w:p>
    <w:p w14:paraId="6BC97443" w14:textId="77777777" w:rsidR="00980B4C" w:rsidRDefault="003140D0">
      <w:pPr>
        <w:spacing w:line="440" w:lineRule="atLeast"/>
        <w:ind w:right="28" w:firstLineChars="200" w:firstLine="420"/>
        <w:rPr>
          <w:rFonts w:ascii="宋体" w:hAnsi="宋体" w:hint="eastAsia"/>
          <w:szCs w:val="21"/>
        </w:rPr>
      </w:pPr>
      <w:bookmarkStart w:id="52" w:name="_Toc382819109"/>
      <w:r>
        <w:rPr>
          <w:rFonts w:ascii="宋体" w:hAnsi="宋体" w:hint="eastAsia"/>
          <w:szCs w:val="21"/>
        </w:rPr>
        <w:t>（1）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2A7E1585"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w:t>
      </w:r>
      <w:r>
        <w:rPr>
          <w:rFonts w:ascii="宋体" w:hAnsi="宋体"/>
          <w:szCs w:val="21"/>
        </w:rPr>
        <w:t>2</w:t>
      </w:r>
      <w:r>
        <w:rPr>
          <w:rFonts w:ascii="宋体" w:hAnsi="宋体" w:hint="eastAsia"/>
          <w:szCs w:val="21"/>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14:paraId="420C4770"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w:t>
      </w:r>
      <w:r>
        <w:rPr>
          <w:rFonts w:ascii="宋体" w:hAnsi="宋体"/>
          <w:szCs w:val="21"/>
        </w:rPr>
        <w:t>3</w:t>
      </w:r>
      <w:r>
        <w:rPr>
          <w:rFonts w:ascii="宋体" w:hAnsi="宋体" w:hint="eastAsia"/>
          <w:szCs w:val="21"/>
        </w:rPr>
        <w:t>）由于基金管理人提供的信息错误（包括但不限于基金申购或赎回金额等），导致基金份额净值计算错误而引起的基金份额持有人和基金财产的损失，由基金管理人负责赔付。</w:t>
      </w:r>
      <w:bookmarkStart w:id="53" w:name="_Toc382819110"/>
      <w:bookmarkEnd w:id="52"/>
    </w:p>
    <w:p w14:paraId="6C1D6F66"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3.</w:t>
      </w:r>
      <w:r>
        <w:rPr>
          <w:rFonts w:ascii="宋体" w:hAnsi="宋体"/>
          <w:szCs w:val="21"/>
        </w:rPr>
        <w:t xml:space="preserve"> </w:t>
      </w:r>
      <w:r>
        <w:rPr>
          <w:rFonts w:ascii="宋体" w:hAnsi="宋体" w:hint="eastAsia"/>
          <w:szCs w:val="21"/>
        </w:rPr>
        <w:t>由于不可抗力原因，或由于证券、期货交易所、指数编制机构、证券经纪机构（如涉及）及登记结算公司等</w:t>
      </w:r>
      <w:bookmarkStart w:id="54" w:name="_Hlk184291786"/>
      <w:r>
        <w:rPr>
          <w:rFonts w:ascii="宋体" w:hAnsi="宋体" w:hint="eastAsia"/>
          <w:szCs w:val="21"/>
        </w:rPr>
        <w:t>第三方</w:t>
      </w:r>
      <w:bookmarkEnd w:id="54"/>
      <w:r>
        <w:rPr>
          <w:rFonts w:ascii="宋体" w:hAnsi="宋体" w:hint="eastAsia"/>
          <w:szCs w:val="21"/>
        </w:rPr>
        <w:t>机构发送的数据错误原因，</w:t>
      </w:r>
      <w:bookmarkStart w:id="55" w:name="_Hlk184291806"/>
      <w:r>
        <w:rPr>
          <w:rFonts w:ascii="宋体" w:hAnsi="宋体" w:hint="eastAsia"/>
          <w:szCs w:val="21"/>
        </w:rPr>
        <w:t>或由于国家会计政策变更、市场规则变更等非基金管理人与基金托管人</w:t>
      </w:r>
      <w:bookmarkEnd w:id="55"/>
      <w:r>
        <w:rPr>
          <w:rFonts w:ascii="宋体" w:hAnsi="宋体" w:hint="eastAsia"/>
          <w:szCs w:val="21"/>
        </w:rPr>
        <w:t>原因，基金管理人和基金托管人虽然已经采取必要、适当、合理的措施进行检查，但是未能发现该错误而造成的基金资产估值错误，基金管理人、基金托管人免除赔偿责任。但基金管理人、基金托管人应积极采取必要的措施消除或减轻由</w:t>
      </w:r>
      <w:r>
        <w:rPr>
          <w:rFonts w:ascii="宋体" w:hAnsi="宋体" w:hint="eastAsia"/>
          <w:szCs w:val="21"/>
        </w:rPr>
        <w:lastRenderedPageBreak/>
        <w:t>此造成的影响。</w:t>
      </w:r>
      <w:bookmarkStart w:id="56" w:name="_Toc382819111"/>
      <w:bookmarkEnd w:id="53"/>
    </w:p>
    <w:p w14:paraId="4047827B"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4.基金管理人和基金托管人由于各自技术系统设置而产生的净值计算尾差，以基金管理人计算结果为准。</w:t>
      </w:r>
      <w:bookmarkStart w:id="57" w:name="_Toc382819112"/>
      <w:bookmarkEnd w:id="56"/>
    </w:p>
    <w:p w14:paraId="12658E37"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5.前述内容如法律法规或者监管部门另有规定的，从其规定。如果行业另有通行做法，在不违背法律法规且不损害投资者利益的前提下，双方当事人应本着平等和保护基金份额持有人利益的原则进行协商。</w:t>
      </w:r>
      <w:bookmarkStart w:id="58" w:name="_Toc382819113"/>
      <w:bookmarkEnd w:id="57"/>
    </w:p>
    <w:p w14:paraId="5D0D8C2D" w14:textId="77777777" w:rsidR="00980B4C" w:rsidRDefault="003140D0">
      <w:pPr>
        <w:spacing w:line="440" w:lineRule="atLeast"/>
        <w:ind w:right="28" w:firstLineChars="200" w:firstLine="420"/>
        <w:rPr>
          <w:rFonts w:ascii="宋体" w:hAnsi="宋体" w:hint="eastAsia"/>
          <w:b/>
          <w:bCs/>
          <w:szCs w:val="21"/>
        </w:rPr>
      </w:pPr>
      <w:r>
        <w:rPr>
          <w:rFonts w:ascii="宋体" w:hAnsi="宋体" w:hint="eastAsia"/>
          <w:szCs w:val="21"/>
        </w:rPr>
        <w:t>（五）暂停估值与公告基金份额净值的情形</w:t>
      </w:r>
      <w:bookmarkStart w:id="59" w:name="_Toc382819114"/>
      <w:bookmarkEnd w:id="58"/>
    </w:p>
    <w:p w14:paraId="6BC77D07"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1．基金投资所涉及的证券、期货交易市场或外汇市场遇法定节假日或因其他原因暂停营业时；</w:t>
      </w:r>
      <w:bookmarkStart w:id="60" w:name="_Toc382819115"/>
      <w:bookmarkEnd w:id="59"/>
    </w:p>
    <w:p w14:paraId="5F1457D9"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2．因不可抗力或其他情形致使基金管理人、基金托管人无法准确评估基金资产价值时；</w:t>
      </w:r>
      <w:bookmarkEnd w:id="60"/>
    </w:p>
    <w:p w14:paraId="2A7B05A9" w14:textId="77777777" w:rsidR="00980B4C" w:rsidRDefault="003140D0">
      <w:pPr>
        <w:spacing w:line="440" w:lineRule="atLeast"/>
        <w:ind w:right="28" w:firstLineChars="200" w:firstLine="420"/>
        <w:rPr>
          <w:rFonts w:ascii="宋体" w:hAnsi="宋体" w:hint="eastAsia"/>
          <w:szCs w:val="21"/>
        </w:rPr>
      </w:pPr>
      <w:r>
        <w:rPr>
          <w:rFonts w:ascii="宋体" w:hAnsi="宋体"/>
          <w:szCs w:val="21"/>
        </w:rPr>
        <w:t>3</w:t>
      </w:r>
      <w:r>
        <w:rPr>
          <w:rFonts w:ascii="宋体" w:hAnsi="宋体" w:hint="eastAsia"/>
          <w:szCs w:val="21"/>
        </w:rPr>
        <w:t>．当特定资产占前一估值日基金资产净值</w:t>
      </w:r>
      <w:r>
        <w:rPr>
          <w:rFonts w:ascii="宋体" w:hAnsi="宋体"/>
          <w:szCs w:val="21"/>
        </w:rPr>
        <w:t>50%</w:t>
      </w:r>
      <w:r>
        <w:rPr>
          <w:rFonts w:ascii="宋体" w:hAnsi="宋体" w:hint="eastAsia"/>
          <w:szCs w:val="21"/>
        </w:rPr>
        <w:t>以上的，经与基金托管人协商确认后，基金管理人应当暂停估值；</w:t>
      </w:r>
    </w:p>
    <w:p w14:paraId="4C94F877"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4</w:t>
      </w:r>
      <w:r>
        <w:rPr>
          <w:rFonts w:ascii="宋体" w:hAnsi="宋体"/>
          <w:szCs w:val="21"/>
        </w:rPr>
        <w:t>.</w:t>
      </w:r>
      <w:r>
        <w:rPr>
          <w:rFonts w:ascii="宋体" w:hAnsi="宋体" w:hint="eastAsia"/>
          <w:szCs w:val="21"/>
        </w:rPr>
        <w:t xml:space="preserve"> 法律法规、中国证监会和《基金合同》认定的其他情形。</w:t>
      </w:r>
      <w:bookmarkStart w:id="61" w:name="_Toc382819116"/>
    </w:p>
    <w:p w14:paraId="0A0CBF6E"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（六）基金账册的建立</w:t>
      </w:r>
      <w:bookmarkEnd w:id="61"/>
    </w:p>
    <w:p w14:paraId="26189C67" w14:textId="77777777" w:rsidR="00980B4C" w:rsidRDefault="003140D0">
      <w:pPr>
        <w:spacing w:line="440" w:lineRule="atLeast"/>
        <w:ind w:right="28" w:firstLineChars="200" w:firstLine="420"/>
        <w:rPr>
          <w:rFonts w:ascii="宋体" w:hAnsi="宋体" w:hint="eastAsia"/>
          <w:szCs w:val="21"/>
        </w:rPr>
      </w:pPr>
      <w:r>
        <w:rPr>
          <w:rFonts w:ascii="宋体" w:hAnsi="宋体" w:hint="eastAsia"/>
          <w:szCs w:val="21"/>
        </w:rPr>
        <w:t>1.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1934F32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14:paraId="1F613A46"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bookmarkStart w:id="62" w:name="_Toc382819117"/>
      <w:r>
        <w:rPr>
          <w:rFonts w:ascii="宋体" w:eastAsia="宋体" w:hAnsi="宋体" w:hint="eastAsia"/>
          <w:b w:val="0"/>
          <w:bCs w:val="0"/>
          <w:sz w:val="21"/>
          <w:szCs w:val="21"/>
        </w:rPr>
        <w:t>（七）基金定期报告的编制和复核</w:t>
      </w:r>
      <w:bookmarkEnd w:id="62"/>
    </w:p>
    <w:p w14:paraId="700542C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1.基金财务报表由基金管理人和基金托管人每月分别独立编制。月度报表的编制，应于每月终了后5个工作日内完成。</w:t>
      </w:r>
    </w:p>
    <w:p w14:paraId="14DED03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基金管理人在季度结束之日起15个工作日内完成季度报告编制并公告；在上半年结束之日起两个月内完成中期报告编制并公告；在每年结束之日起三个月内完成年度报告编制并公告。</w:t>
      </w:r>
    </w:p>
    <w:p w14:paraId="42E6894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3.基金管理人在5个工作日内完成月度报告，在月度报告完成当日，以双方约定的方式</w:t>
      </w:r>
      <w:r>
        <w:rPr>
          <w:rFonts w:ascii="宋体" w:hAnsi="宋体" w:hint="eastAsia"/>
          <w:szCs w:val="21"/>
        </w:rPr>
        <w:lastRenderedPageBreak/>
        <w:t>将有关报告提供基金托管人复核；基金托管人在3个工作日内进行复核，并将复核结果按照约定方式及时通知基金管理人。基金管理人在7个工作日内完成季度报告，在季度报告完成当日，将有关报告提供基金托管人复核，基金托管人在收到后7个工作日内进行复核，并将复核结果按照约定方式通知基金管理人。基金管理人在30日内完成中期报告，在半年中期报告完成当日，将有关报告提供基金托管人复核，基金托管人在收到后30日内进行复核，并将复核结果按照约定方式通知基金管理人。基金管理人在45日内完成年度报告，在年度报告完成当日，将有关报告提供基金托管人复核，基金托管人在收到后45日内复核，并将复核结果按照约定方式通知基金管理人。</w:t>
      </w:r>
    </w:p>
    <w:p w14:paraId="212C29BA"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4.基金托管人在复核过程中，发现相关各方的报表存在不符时，基金管理人和基金托管人应共同查明原因，进行调整，调整以相关各方认可的账务处理方式为准。</w:t>
      </w:r>
      <w:r>
        <w:rPr>
          <w:rFonts w:ascii="宋体" w:hAnsi="宋体" w:hint="eastAsia"/>
          <w:kern w:val="44"/>
          <w:szCs w:val="21"/>
        </w:rPr>
        <w:t>如果基金管理人与基金托管人不能于应当发布公告之日之前就相关报表达成一致，基金管理人有权按照其编制的报表对外发布公告，基金托管人有权就相关情况报中国证监会备案。</w:t>
      </w:r>
    </w:p>
    <w:p w14:paraId="3649975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5.基金定期报告应当在公开披露的第2个工作日，分别报中国证监会和基金管理人主要办公场所所在地中国证监会派出机构备案。</w:t>
      </w:r>
    </w:p>
    <w:p w14:paraId="4040BFF9" w14:textId="77777777" w:rsidR="00980B4C" w:rsidRDefault="00980B4C">
      <w:pPr>
        <w:spacing w:line="360" w:lineRule="auto"/>
        <w:ind w:firstLineChars="200" w:firstLine="420"/>
        <w:rPr>
          <w:rFonts w:ascii="宋体" w:hAnsi="宋体" w:hint="eastAsia"/>
          <w:szCs w:val="21"/>
        </w:rPr>
      </w:pPr>
    </w:p>
    <w:p w14:paraId="0F119099" w14:textId="77777777" w:rsidR="00980B4C" w:rsidRDefault="003140D0">
      <w:pPr>
        <w:spacing w:line="500" w:lineRule="atLeast"/>
        <w:jc w:val="center"/>
        <w:outlineLvl w:val="0"/>
        <w:rPr>
          <w:rFonts w:ascii="宋体" w:hAnsi="宋体" w:hint="eastAsia"/>
        </w:rPr>
      </w:pPr>
      <w:bookmarkStart w:id="63" w:name="_Toc382819118"/>
      <w:r>
        <w:rPr>
          <w:rFonts w:ascii="宋体" w:hAnsi="宋体" w:hint="eastAsia"/>
          <w:b/>
          <w:sz w:val="24"/>
        </w:rPr>
        <w:t>八、基金收益分配</w:t>
      </w:r>
      <w:bookmarkEnd w:id="63"/>
    </w:p>
    <w:p w14:paraId="2FE4E898"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cs="Arial" w:hint="eastAsia"/>
          <w:kern w:val="0"/>
          <w:sz w:val="21"/>
          <w:szCs w:val="21"/>
        </w:rPr>
      </w:pPr>
      <w:bookmarkStart w:id="64" w:name="_Toc382819119"/>
      <w:r>
        <w:rPr>
          <w:rFonts w:ascii="宋体" w:eastAsia="宋体" w:hAnsi="宋体" w:hint="eastAsia"/>
          <w:b w:val="0"/>
          <w:bCs w:val="0"/>
          <w:sz w:val="21"/>
          <w:szCs w:val="21"/>
        </w:rPr>
        <w:t>（一）基金收益分配的原则</w:t>
      </w:r>
      <w:bookmarkEnd w:id="64"/>
    </w:p>
    <w:p w14:paraId="7BBBCCBB"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基金收益分配是指将该基金可供分配利润按收益分配方案确定的分配金额和比例根据持有该基金份额的数量按比例向该基金份额持有人进行分配。</w:t>
      </w:r>
    </w:p>
    <w:p w14:paraId="6EAA2701"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收益分配应该符合《基金合同》关于收益分配原则的规定。</w:t>
      </w:r>
      <w:bookmarkStart w:id="65" w:name="_Toc382819120"/>
    </w:p>
    <w:p w14:paraId="10A741FC"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eastAsia="宋体" w:hAnsi="宋体" w:hint="eastAsia"/>
          <w:b w:val="0"/>
          <w:bCs w:val="0"/>
          <w:sz w:val="21"/>
          <w:szCs w:val="21"/>
        </w:rPr>
      </w:pPr>
      <w:r>
        <w:rPr>
          <w:rFonts w:ascii="宋体" w:eastAsia="宋体" w:hAnsi="宋体" w:hint="eastAsia"/>
          <w:b w:val="0"/>
          <w:bCs w:val="0"/>
          <w:sz w:val="21"/>
          <w:szCs w:val="21"/>
        </w:rPr>
        <w:t>（二）基金收益分配方案的制定和实施程序</w:t>
      </w:r>
      <w:bookmarkEnd w:id="65"/>
    </w:p>
    <w:p w14:paraId="7B9B1452"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基金收益分配方案由基金管理人根据《基金合同》的相关规定制定。</w:t>
      </w:r>
    </w:p>
    <w:p w14:paraId="07677B57"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基金收益分配方案由基金管理人拟定，并由基金托管人复核，依据《信息披露办法》的相关规定在规定媒介公告；如果基金管理人与基金托管人不能于收益分配日之前就收益分配方案达成一致，基金托管人有义务将收益分配方案及相关情况的说明提交中国证监会备案并书面通知基金管理人，在上述文件提交完毕之日起基金管理人有权利对外公告其拟订的收益分配方案，且基金托管人有义务协助基金管理人实施该收益分配方案，但有证据证明该方案违反法律法规及《基金合同》的除外。</w:t>
      </w:r>
    </w:p>
    <w:p w14:paraId="27F35B4D" w14:textId="77777777" w:rsidR="00980B4C" w:rsidRDefault="003140D0">
      <w:pPr>
        <w:pStyle w:val="2"/>
        <w:keepNext w:val="0"/>
        <w:keepLines w:val="0"/>
        <w:autoSpaceDE w:val="0"/>
        <w:autoSpaceDN w:val="0"/>
        <w:adjustRightInd w:val="0"/>
        <w:spacing w:before="0" w:after="0" w:line="360" w:lineRule="auto"/>
        <w:ind w:firstLineChars="200" w:firstLine="420"/>
        <w:textAlignment w:val="baseline"/>
        <w:rPr>
          <w:rFonts w:ascii="宋体" w:hAnsi="宋体" w:hint="eastAsia"/>
          <w:szCs w:val="21"/>
        </w:rPr>
      </w:pPr>
      <w:r>
        <w:rPr>
          <w:rFonts w:ascii="宋体" w:eastAsia="宋体" w:hAnsi="宋体" w:hint="eastAsia"/>
          <w:b w:val="0"/>
          <w:bCs w:val="0"/>
          <w:sz w:val="21"/>
          <w:szCs w:val="21"/>
        </w:rPr>
        <w:t>（三）实施侧袋机制期间的收益分配</w:t>
      </w:r>
    </w:p>
    <w:p w14:paraId="3E025045" w14:textId="77777777" w:rsidR="00980B4C" w:rsidRDefault="003140D0">
      <w:pPr>
        <w:spacing w:line="360" w:lineRule="auto"/>
        <w:jc w:val="center"/>
        <w:rPr>
          <w:rFonts w:ascii="宋体" w:hAnsi="宋体" w:hint="eastAsia"/>
          <w:szCs w:val="21"/>
        </w:rPr>
      </w:pPr>
      <w:r>
        <w:rPr>
          <w:rFonts w:ascii="宋体" w:hAnsi="宋体" w:hint="eastAsia"/>
          <w:szCs w:val="21"/>
        </w:rPr>
        <w:lastRenderedPageBreak/>
        <w:t>本基金实施侧袋机制的，侧袋账户不进行收益分配，详见招募说明书的规定。</w:t>
      </w:r>
      <w:bookmarkStart w:id="66" w:name="_Toc382819121"/>
    </w:p>
    <w:p w14:paraId="79CE42DA" w14:textId="77777777" w:rsidR="00980B4C" w:rsidRDefault="00980B4C">
      <w:pPr>
        <w:spacing w:line="360" w:lineRule="auto"/>
        <w:jc w:val="center"/>
        <w:rPr>
          <w:rFonts w:ascii="宋体" w:hAnsi="宋体" w:hint="eastAsia"/>
          <w:szCs w:val="21"/>
        </w:rPr>
      </w:pPr>
    </w:p>
    <w:p w14:paraId="78E79296" w14:textId="77777777" w:rsidR="00980B4C" w:rsidRDefault="003140D0">
      <w:pPr>
        <w:spacing w:line="500" w:lineRule="atLeast"/>
        <w:jc w:val="center"/>
        <w:outlineLvl w:val="0"/>
        <w:rPr>
          <w:rFonts w:ascii="宋体" w:hAnsi="宋体" w:hint="eastAsia"/>
        </w:rPr>
      </w:pPr>
      <w:r>
        <w:rPr>
          <w:rFonts w:ascii="宋体" w:hAnsi="宋体" w:hint="eastAsia"/>
          <w:b/>
          <w:sz w:val="24"/>
        </w:rPr>
        <w:t>九、信息披露</w:t>
      </w:r>
      <w:bookmarkEnd w:id="66"/>
    </w:p>
    <w:p w14:paraId="66EF8C2F"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eastAsia="宋体" w:hAnsi="宋体" w:cs="Arial" w:hint="eastAsia"/>
          <w:b w:val="0"/>
          <w:kern w:val="0"/>
          <w:sz w:val="21"/>
          <w:szCs w:val="21"/>
        </w:rPr>
      </w:pPr>
      <w:bookmarkStart w:id="67" w:name="_Toc382819122"/>
      <w:r>
        <w:rPr>
          <w:rFonts w:ascii="宋体" w:eastAsia="宋体" w:hAnsi="宋体" w:hint="eastAsia"/>
          <w:b w:val="0"/>
          <w:sz w:val="21"/>
          <w:szCs w:val="21"/>
        </w:rPr>
        <w:t>（一）</w:t>
      </w:r>
      <w:r>
        <w:rPr>
          <w:rFonts w:ascii="宋体" w:eastAsia="宋体" w:hAnsi="宋体" w:cs="Arial" w:hint="eastAsia"/>
          <w:b w:val="0"/>
          <w:kern w:val="0"/>
          <w:sz w:val="21"/>
          <w:szCs w:val="21"/>
        </w:rPr>
        <w:t>保密义务</w:t>
      </w:r>
      <w:bookmarkEnd w:id="67"/>
    </w:p>
    <w:p w14:paraId="0EE1E57B"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除按照《基金法》、《信息披露办法》、《流动性风险管理规定》、《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14:paraId="0B2D6392" w14:textId="77777777" w:rsidR="00980B4C" w:rsidRDefault="003140D0">
      <w:pPr>
        <w:pStyle w:val="a7"/>
        <w:ind w:firstLineChars="200" w:firstLine="420"/>
        <w:rPr>
          <w:rFonts w:ascii="宋体" w:hAnsi="宋体" w:hint="eastAsia"/>
          <w:szCs w:val="21"/>
        </w:rPr>
      </w:pPr>
      <w:r>
        <w:rPr>
          <w:rFonts w:ascii="宋体" w:hAnsi="宋体" w:hint="eastAsia"/>
          <w:szCs w:val="21"/>
        </w:rPr>
        <w:t>1.非因基金管理人和基金托管人的原因导致保密信息被披露、泄露或公开；</w:t>
      </w:r>
    </w:p>
    <w:p w14:paraId="6751A13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2.基金管理人和基金托管人为遵守和服从法院判决或裁定、仲裁裁决或中国证监会等监管机构的命令、决定所做出的信息披露或公开。</w:t>
      </w:r>
    </w:p>
    <w:p w14:paraId="41A3B31F"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（二）信息披露的内容</w:t>
      </w:r>
    </w:p>
    <w:p w14:paraId="401B7FCF"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1.基金管理人和基金托管人应根据相关法律法规、《基金合同》的规定各自承担相应的信息披露职责。基金管理人和基金托管人负有积极配合、互相督促、彼此监督、保证其履行按照法定方式和时限披露的义务。</w:t>
      </w:r>
    </w:p>
    <w:p w14:paraId="7A02EFFA"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2.本基金的信息披露主要包括基金招募说明书、《基金合同》、基金托管协议、基金产品资料概要、基金份额发售公告、《基金合同》生效公告、</w:t>
      </w:r>
      <w:r>
        <w:rPr>
          <w:rFonts w:ascii="宋体" w:hAnsi="宋体" w:cs="Arial" w:hint="eastAsia"/>
          <w:szCs w:val="21"/>
        </w:rPr>
        <w:t>基金净值信息、基金份额申购、赎回价格、</w:t>
      </w:r>
      <w:r>
        <w:rPr>
          <w:rFonts w:ascii="宋体" w:hAnsi="宋体" w:hint="eastAsia"/>
          <w:szCs w:val="21"/>
        </w:rPr>
        <w:t>基金定期报告（包括基金年度报告、基金中期报告和基金季度报告</w:t>
      </w:r>
      <w:r>
        <w:rPr>
          <w:rFonts w:ascii="宋体" w:hAnsi="宋体" w:cs="Arial" w:hint="eastAsia"/>
          <w:szCs w:val="21"/>
        </w:rPr>
        <w:t>（含资产组合季度报告）</w:t>
      </w:r>
      <w:r>
        <w:rPr>
          <w:rFonts w:ascii="宋体" w:hAnsi="宋体" w:hint="eastAsia"/>
          <w:szCs w:val="21"/>
        </w:rPr>
        <w:t>）、临时报告、澄清公告、基金份额持有人大会决议、清算报告、</w:t>
      </w:r>
      <w:r>
        <w:rPr>
          <w:rFonts w:ascii="宋体" w:hAnsi="宋体" w:cs="Arial" w:hint="eastAsia"/>
          <w:szCs w:val="21"/>
        </w:rPr>
        <w:t>基金投资股指期货的信息披露、基金投资国债期货的信息披露、基金投资股票期权的信息披露、基金投资资产支持证券的信息披露、基金参与融资、转融通证券出借业务的信息披露</w:t>
      </w:r>
      <w:proofErr w:type="gramStart"/>
      <w:r>
        <w:rPr>
          <w:rFonts w:ascii="宋体" w:hAnsi="宋体" w:cs="Arial" w:hint="eastAsia"/>
          <w:szCs w:val="21"/>
        </w:rPr>
        <w:t>、</w:t>
      </w:r>
      <w:r>
        <w:rPr>
          <w:rFonts w:ascii="宋体" w:hAnsi="宋体" w:hint="eastAsia"/>
          <w:szCs w:val="21"/>
        </w:rPr>
        <w:t>、</w:t>
      </w:r>
      <w:proofErr w:type="gramEnd"/>
      <w:r>
        <w:rPr>
          <w:rFonts w:ascii="宋体" w:hAnsi="宋体" w:hint="eastAsia"/>
          <w:szCs w:val="21"/>
        </w:rPr>
        <w:t>实施侧袋机制期间的信息披露、投资港股通标的股票的信息披露等其他必要的公告文件，由基金管理人拟定并负责公布。</w:t>
      </w:r>
    </w:p>
    <w:p w14:paraId="5DBD4A79"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3.基金管理人与基金托管人应严格遵守《基金合同》所规定的信息披露要求。基金净值信息、各类基金份额净值、各类基金份额申购赎回价格、基金定期报告和更新的招募说明书、基金产品资料概要、基金清算报告等公开披露的相关基金信息按有关规定需经基金托管人复核的，须由基金托管人进行复核、审查，并向基金管理人进行书面或电子确认。相关信息经基金托管人复核无误后方可公布。其他不需经基金托管人复核的信息披露内容，应及时告知</w:t>
      </w:r>
      <w:r>
        <w:rPr>
          <w:rFonts w:ascii="宋体" w:hAnsi="宋体" w:hint="eastAsia"/>
          <w:szCs w:val="21"/>
        </w:rPr>
        <w:lastRenderedPageBreak/>
        <w:t>基金托管人。年度报告中的财务报告部分，应当经过符合《中华人民共和国证券法》规定的会计师事务所审计后，方可披露。</w:t>
      </w:r>
    </w:p>
    <w:p w14:paraId="41DED927" w14:textId="77777777" w:rsidR="00980B4C" w:rsidRDefault="003140D0">
      <w:pPr>
        <w:tabs>
          <w:tab w:val="left" w:pos="4680"/>
        </w:tabs>
        <w:spacing w:line="360" w:lineRule="auto"/>
        <w:ind w:firstLineChars="200" w:firstLine="420"/>
        <w:rPr>
          <w:rFonts w:ascii="宋体" w:hAnsi="宋体" w:hint="eastAsia"/>
          <w:szCs w:val="21"/>
        </w:rPr>
      </w:pPr>
      <w:bookmarkStart w:id="68" w:name="_Toc382819123"/>
      <w:r>
        <w:rPr>
          <w:rFonts w:ascii="宋体" w:hAnsi="宋体" w:hint="eastAsia"/>
          <w:szCs w:val="21"/>
        </w:rPr>
        <w:t>4.基金管理人应当在中国证监会规定的时间内，将应予披露的基金信息通过符合中国证监会规定条件的报刊及《信息披露办法》规定的互联网网站等媒介披露。根据法律法规应由基金托管人公开披露的信息，基金托管人将通过规定报刊或基金托管人的互联网网站公开披露。</w:t>
      </w:r>
      <w:bookmarkEnd w:id="68"/>
    </w:p>
    <w:p w14:paraId="1D3D74CD"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eastAsia="宋体" w:hAnsi="宋体" w:hint="eastAsia"/>
          <w:b w:val="0"/>
          <w:sz w:val="21"/>
          <w:szCs w:val="21"/>
        </w:rPr>
      </w:pPr>
      <w:bookmarkStart w:id="69" w:name="_Toc382819124"/>
      <w:r>
        <w:rPr>
          <w:rFonts w:ascii="宋体" w:eastAsia="宋体" w:hAnsi="宋体" w:hint="eastAsia"/>
          <w:b w:val="0"/>
          <w:sz w:val="21"/>
          <w:szCs w:val="21"/>
        </w:rPr>
        <w:t>（三）基金管理人和基金托管人在信息披露中的职责和信息披露程序</w:t>
      </w:r>
      <w:bookmarkEnd w:id="69"/>
    </w:p>
    <w:p w14:paraId="59B6A8D3"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1.职责</w:t>
      </w:r>
    </w:p>
    <w:p w14:paraId="4F778403"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基金托管人和基金管理人在信息披露过程中应以保护基金份额持有人利益为宗旨，诚实信用，严守秘密。基金管理人负责办理应由基金管理人负责的与基金有关的信息披露事宜，对于本条第（二）款规定的应由基金托管人复核的事项，应提前通知基金托管人，基金托管人应在接到通知后的规定时间内予以书面答复。</w:t>
      </w:r>
    </w:p>
    <w:p w14:paraId="37104D5E"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2.程序</w:t>
      </w:r>
    </w:p>
    <w:p w14:paraId="0774E6AB"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按有关规定须经基金托管人复核的信息披露文件，由基金管理人起草，并经基金托管人复核后由基金管理人公告。</w:t>
      </w:r>
    </w:p>
    <w:p w14:paraId="2AC1E798"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发生《基金合同》中规定需要披露的事项时，按《基金合同》规定公告。</w:t>
      </w:r>
    </w:p>
    <w:p w14:paraId="6BDE71E8" w14:textId="77777777" w:rsidR="00980B4C" w:rsidRDefault="003140D0">
      <w:pPr>
        <w:tabs>
          <w:tab w:val="left" w:pos="4680"/>
        </w:tabs>
        <w:spacing w:line="360" w:lineRule="auto"/>
        <w:ind w:firstLineChars="200" w:firstLine="420"/>
        <w:rPr>
          <w:rFonts w:ascii="宋体" w:hAnsi="宋体" w:hint="eastAsia"/>
          <w:szCs w:val="21"/>
        </w:rPr>
      </w:pPr>
      <w:r>
        <w:rPr>
          <w:rFonts w:ascii="宋体" w:hAnsi="宋体" w:hint="eastAsia"/>
          <w:szCs w:val="21"/>
        </w:rPr>
        <w:t>3.信息文本的存放</w:t>
      </w:r>
    </w:p>
    <w:p w14:paraId="4FC4BA41" w14:textId="77777777" w:rsidR="00980B4C" w:rsidRDefault="003140D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依法必须披露的信息发布后，基金管理人、基金托管人应当按照相关法律法规规定将信息置备于各自住所，供社会公众查阅、复制。投资者在支付工本费后可以获得上述文件的复制件或复印件。</w:t>
      </w:r>
    </w:p>
    <w:p w14:paraId="492A3BE2" w14:textId="77777777" w:rsidR="00980B4C" w:rsidRDefault="003140D0">
      <w:pPr>
        <w:autoSpaceDE w:val="0"/>
        <w:autoSpaceDN w:val="0"/>
        <w:adjustRightInd w:val="0"/>
        <w:spacing w:line="360" w:lineRule="auto"/>
        <w:ind w:firstLineChars="200" w:firstLine="420"/>
        <w:rPr>
          <w:rFonts w:ascii="宋体" w:hAnsi="宋体" w:hint="eastAsia"/>
          <w:szCs w:val="21"/>
        </w:rPr>
      </w:pPr>
      <w:r>
        <w:rPr>
          <w:rFonts w:ascii="宋体" w:hAnsi="宋体" w:hint="eastAsia"/>
          <w:szCs w:val="21"/>
        </w:rPr>
        <w:t>基金管理人和基金托管人应保证文本的内容与所公告的内容完全一致。</w:t>
      </w:r>
    </w:p>
    <w:p w14:paraId="744838FF" w14:textId="77777777" w:rsidR="00980B4C" w:rsidRDefault="003140D0">
      <w:pPr>
        <w:adjustRightInd w:val="0"/>
        <w:snapToGrid w:val="0"/>
        <w:spacing w:line="360" w:lineRule="auto"/>
        <w:ind w:firstLineChars="200" w:firstLine="420"/>
        <w:rPr>
          <w:rFonts w:ascii="宋体" w:hAnsi="宋体" w:hint="eastAsia"/>
          <w:szCs w:val="21"/>
        </w:rPr>
      </w:pPr>
      <w:r>
        <w:rPr>
          <w:rFonts w:ascii="宋体" w:hAnsi="宋体" w:hint="eastAsia"/>
          <w:szCs w:val="21"/>
        </w:rPr>
        <w:t>4.暂停</w:t>
      </w:r>
      <w:r>
        <w:rPr>
          <w:rFonts w:ascii="宋体" w:hAnsi="宋体" w:cs="Arial" w:hint="eastAsia"/>
          <w:szCs w:val="21"/>
        </w:rPr>
        <w:t>或延迟披露基金相关信息</w:t>
      </w:r>
      <w:r>
        <w:rPr>
          <w:rFonts w:ascii="宋体" w:hAnsi="宋体" w:hint="eastAsia"/>
          <w:szCs w:val="21"/>
        </w:rPr>
        <w:t>的情形</w:t>
      </w:r>
    </w:p>
    <w:p w14:paraId="11BF7E0F" w14:textId="77777777" w:rsidR="00980B4C" w:rsidRDefault="003140D0">
      <w:pPr>
        <w:adjustRightInd w:val="0"/>
        <w:snapToGrid w:val="0"/>
        <w:spacing w:line="360" w:lineRule="auto"/>
        <w:ind w:firstLineChars="200" w:firstLine="420"/>
        <w:rPr>
          <w:rFonts w:ascii="宋体" w:hAnsi="宋体" w:hint="eastAsia"/>
          <w:szCs w:val="21"/>
        </w:rPr>
      </w:pPr>
      <w:r>
        <w:rPr>
          <w:rFonts w:ascii="宋体" w:hAnsi="宋体" w:hint="eastAsia"/>
          <w:szCs w:val="21"/>
        </w:rPr>
        <w:t>（1）基金投资涉及的证券、</w:t>
      </w:r>
      <w:r>
        <w:rPr>
          <w:rFonts w:ascii="宋体" w:hAnsi="宋体"/>
          <w:szCs w:val="21"/>
        </w:rPr>
        <w:t>期货</w:t>
      </w:r>
      <w:r>
        <w:rPr>
          <w:rFonts w:ascii="宋体" w:hAnsi="宋体" w:hint="eastAsia"/>
          <w:szCs w:val="21"/>
        </w:rPr>
        <w:t>交易所或外汇市场遇法定节假日或因其他原因暂停</w:t>
      </w:r>
      <w:r>
        <w:rPr>
          <w:rFonts w:ascii="宋体" w:hAnsi="宋体"/>
          <w:szCs w:val="21"/>
        </w:rPr>
        <w:t>营业</w:t>
      </w:r>
      <w:r>
        <w:rPr>
          <w:rFonts w:ascii="宋体" w:hAnsi="宋体" w:hint="eastAsia"/>
          <w:szCs w:val="21"/>
        </w:rPr>
        <w:t>时；</w:t>
      </w:r>
    </w:p>
    <w:p w14:paraId="7A53BCD1" w14:textId="77777777" w:rsidR="00980B4C" w:rsidRDefault="003140D0">
      <w:pPr>
        <w:pStyle w:val="af4"/>
        <w:adjustRightInd w:val="0"/>
        <w:snapToGrid w:val="0"/>
        <w:spacing w:afterLines="0" w:after="0"/>
        <w:ind w:firstLine="420"/>
        <w:rPr>
          <w:rFonts w:ascii="宋体" w:hAnsi="宋体" w:hint="eastAsia"/>
          <w:sz w:val="21"/>
          <w:szCs w:val="21"/>
        </w:rPr>
      </w:pPr>
      <w:r>
        <w:rPr>
          <w:rFonts w:ascii="宋体" w:hAnsi="宋体" w:hint="eastAsia"/>
          <w:sz w:val="21"/>
          <w:szCs w:val="21"/>
        </w:rPr>
        <w:t>（2）因不可抗力或其他情形致使基金管理人、基金托管人无法准确评估基金资产价值时；</w:t>
      </w:r>
    </w:p>
    <w:p w14:paraId="797FA70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（3）基金暂停估值的情形；</w:t>
      </w:r>
    </w:p>
    <w:p w14:paraId="31383A6C"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w:t>
      </w:r>
      <w:r>
        <w:rPr>
          <w:rFonts w:ascii="宋体" w:hAnsi="宋体"/>
          <w:szCs w:val="21"/>
        </w:rPr>
        <w:t>4</w:t>
      </w:r>
      <w:r>
        <w:rPr>
          <w:rFonts w:ascii="宋体" w:hAnsi="宋体" w:hint="eastAsia"/>
          <w:szCs w:val="21"/>
        </w:rPr>
        <w:t>）法律法规规定、中国证监会和《基金合同》认定的其他情形。</w:t>
      </w:r>
    </w:p>
    <w:p w14:paraId="55260A97" w14:textId="77777777" w:rsidR="00980B4C" w:rsidRDefault="00980B4C">
      <w:pPr>
        <w:spacing w:line="360" w:lineRule="auto"/>
        <w:ind w:right="28" w:firstLineChars="200" w:firstLine="420"/>
        <w:rPr>
          <w:rFonts w:ascii="宋体" w:hAnsi="宋体" w:hint="eastAsia"/>
          <w:szCs w:val="21"/>
        </w:rPr>
      </w:pPr>
    </w:p>
    <w:p w14:paraId="2F711607" w14:textId="77777777" w:rsidR="00980B4C" w:rsidRDefault="003140D0">
      <w:pPr>
        <w:spacing w:line="500" w:lineRule="atLeast"/>
        <w:jc w:val="center"/>
        <w:outlineLvl w:val="0"/>
        <w:rPr>
          <w:rFonts w:ascii="宋体" w:hAnsi="宋体" w:hint="eastAsia"/>
        </w:rPr>
      </w:pPr>
      <w:bookmarkStart w:id="70" w:name="_Toc382819125"/>
      <w:r>
        <w:rPr>
          <w:rFonts w:ascii="宋体" w:hAnsi="宋体" w:hint="eastAsia"/>
          <w:b/>
          <w:sz w:val="24"/>
        </w:rPr>
        <w:t>十、基金费用</w:t>
      </w:r>
      <w:bookmarkEnd w:id="70"/>
    </w:p>
    <w:p w14:paraId="2066D5D9"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lastRenderedPageBreak/>
        <w:t>基金费用按照《基金合同》的约定计提和支付。</w:t>
      </w:r>
      <w:bookmarkStart w:id="71" w:name="_Toc382819126"/>
    </w:p>
    <w:p w14:paraId="2426AE5D"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（一）基金管理人的管理费</w:t>
      </w:r>
    </w:p>
    <w:p w14:paraId="7AFBF907"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本基金的管理费按前一日基金资产净值的0.</w:t>
      </w:r>
      <w:r>
        <w:rPr>
          <w:rFonts w:ascii="宋体" w:hAnsi="宋体"/>
          <w:szCs w:val="21"/>
        </w:rPr>
        <w:t>50</w:t>
      </w:r>
      <w:r>
        <w:rPr>
          <w:rFonts w:ascii="宋体" w:hAnsi="宋体" w:hint="eastAsia"/>
          <w:szCs w:val="21"/>
        </w:rPr>
        <w:t>*%年费率计提。管理费的计算方法如下：</w:t>
      </w:r>
    </w:p>
    <w:p w14:paraId="2F8D7A2E"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H＝E×0.</w:t>
      </w:r>
      <w:r>
        <w:rPr>
          <w:rFonts w:ascii="宋体" w:hAnsi="宋体"/>
          <w:szCs w:val="21"/>
        </w:rPr>
        <w:t>50</w:t>
      </w:r>
      <w:r>
        <w:rPr>
          <w:rFonts w:ascii="宋体" w:hAnsi="宋体" w:hint="eastAsia"/>
          <w:szCs w:val="21"/>
        </w:rPr>
        <w:t>%÷当年天数</w:t>
      </w:r>
    </w:p>
    <w:p w14:paraId="6194FB45"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H为每日应计提的基金管理费</w:t>
      </w:r>
    </w:p>
    <w:p w14:paraId="2B7867A0"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E为前一日的基金资产净值</w:t>
      </w:r>
    </w:p>
    <w:p w14:paraId="452C2BA2"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基金管理费每日计提，逐日累计至每月月末，按月支付，经基金管理人与基金托管人双方核对无误后，基金托管人按照与基金管理人协商一致的方式于次月前5个工作日内从基金财产中一次性支付给基金管理人。若遇法定节假日、公休日等，支付日期顺延。</w:t>
      </w:r>
    </w:p>
    <w:p w14:paraId="4A92BCC5"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（二）基金托管人的托管费</w:t>
      </w:r>
    </w:p>
    <w:p w14:paraId="7A60A003"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本基金的托管费按前一日基金资产净值的</w:t>
      </w:r>
      <w:r>
        <w:rPr>
          <w:rFonts w:ascii="宋体" w:hAnsi="宋体"/>
          <w:szCs w:val="21"/>
        </w:rPr>
        <w:t>0.10%</w:t>
      </w:r>
      <w:r>
        <w:rPr>
          <w:rFonts w:ascii="宋体" w:hAnsi="宋体" w:hint="eastAsia"/>
          <w:szCs w:val="21"/>
        </w:rPr>
        <w:t>的年费率计提。托管费的计算方法如下：</w:t>
      </w:r>
    </w:p>
    <w:p w14:paraId="67E79A1C" w14:textId="77777777" w:rsidR="00980B4C" w:rsidRDefault="003140D0">
      <w:pPr>
        <w:spacing w:line="360" w:lineRule="auto"/>
        <w:ind w:right="28" w:firstLineChars="200" w:firstLine="420"/>
        <w:rPr>
          <w:rFonts w:ascii="宋体" w:hAnsi="宋体" w:hint="eastAsia"/>
          <w:szCs w:val="21"/>
        </w:rPr>
      </w:pPr>
      <w:r>
        <w:rPr>
          <w:rFonts w:ascii="宋体" w:hAnsi="宋体"/>
          <w:szCs w:val="21"/>
        </w:rPr>
        <w:t>H</w:t>
      </w:r>
      <w:r>
        <w:rPr>
          <w:rFonts w:ascii="宋体" w:hAnsi="宋体" w:hint="eastAsia"/>
          <w:szCs w:val="21"/>
        </w:rPr>
        <w:t>＝</w:t>
      </w:r>
      <w:r>
        <w:rPr>
          <w:rFonts w:ascii="宋体" w:hAnsi="宋体"/>
          <w:szCs w:val="21"/>
        </w:rPr>
        <w:t>E</w:t>
      </w:r>
      <w:r>
        <w:rPr>
          <w:rFonts w:ascii="宋体" w:hAnsi="宋体" w:hint="eastAsia"/>
          <w:szCs w:val="21"/>
        </w:rPr>
        <w:t>×</w:t>
      </w:r>
      <w:r>
        <w:rPr>
          <w:rFonts w:ascii="宋体" w:hAnsi="宋体"/>
          <w:szCs w:val="21"/>
        </w:rPr>
        <w:t>0.10%</w:t>
      </w:r>
      <w:r>
        <w:rPr>
          <w:rFonts w:ascii="宋体" w:hAnsi="宋体" w:hint="eastAsia"/>
          <w:szCs w:val="21"/>
        </w:rPr>
        <w:t>÷当年天数</w:t>
      </w:r>
    </w:p>
    <w:p w14:paraId="3B100A4D" w14:textId="77777777" w:rsidR="00980B4C" w:rsidRDefault="003140D0">
      <w:pPr>
        <w:spacing w:line="360" w:lineRule="auto"/>
        <w:ind w:right="28" w:firstLineChars="200" w:firstLine="420"/>
        <w:rPr>
          <w:rFonts w:ascii="宋体" w:hAnsi="宋体" w:hint="eastAsia"/>
          <w:szCs w:val="21"/>
        </w:rPr>
      </w:pPr>
      <w:r>
        <w:rPr>
          <w:rFonts w:ascii="宋体" w:hAnsi="宋体"/>
          <w:szCs w:val="21"/>
        </w:rPr>
        <w:t>H</w:t>
      </w:r>
      <w:r>
        <w:rPr>
          <w:rFonts w:ascii="宋体" w:hAnsi="宋体" w:hint="eastAsia"/>
          <w:szCs w:val="21"/>
        </w:rPr>
        <w:t>为每日应计提的基金托管费</w:t>
      </w:r>
    </w:p>
    <w:p w14:paraId="7167F58D" w14:textId="77777777" w:rsidR="00980B4C" w:rsidRDefault="003140D0">
      <w:pPr>
        <w:spacing w:line="360" w:lineRule="auto"/>
        <w:ind w:right="28" w:firstLineChars="200" w:firstLine="420"/>
        <w:rPr>
          <w:rFonts w:ascii="宋体" w:hAnsi="宋体" w:hint="eastAsia"/>
          <w:szCs w:val="21"/>
        </w:rPr>
      </w:pPr>
      <w:r>
        <w:rPr>
          <w:rFonts w:ascii="宋体" w:hAnsi="宋体"/>
          <w:szCs w:val="21"/>
        </w:rPr>
        <w:t>E</w:t>
      </w:r>
      <w:r>
        <w:rPr>
          <w:rFonts w:ascii="宋体" w:hAnsi="宋体" w:hint="eastAsia"/>
          <w:szCs w:val="21"/>
        </w:rPr>
        <w:t>为前一日的基金资产净值</w:t>
      </w:r>
    </w:p>
    <w:p w14:paraId="3C440A4C"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基金托管费每日计提，逐日累计至每月月末，按月支付，经基金管理人与基金托管人双方核对无误后，基金托管人按照与基金管理人协商一致的方式于次月前5个工作日内从基金财产中一次性支取。若遇法定节假日、公休日等，支取日期顺延。</w:t>
      </w:r>
    </w:p>
    <w:p w14:paraId="194BEAFD"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（三）销售服务费</w:t>
      </w:r>
    </w:p>
    <w:p w14:paraId="1082BC8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本基金</w:t>
      </w:r>
      <w:r>
        <w:rPr>
          <w:rFonts w:ascii="宋体" w:hAnsi="宋体"/>
          <w:szCs w:val="21"/>
        </w:rPr>
        <w:t>A</w:t>
      </w:r>
      <w:r>
        <w:rPr>
          <w:rFonts w:ascii="宋体" w:hAnsi="宋体" w:hint="eastAsia"/>
          <w:szCs w:val="21"/>
        </w:rPr>
        <w:t>类基金份额不收取销售服务费，</w:t>
      </w:r>
      <w:r>
        <w:rPr>
          <w:rFonts w:ascii="宋体" w:hAnsi="宋体"/>
          <w:szCs w:val="21"/>
        </w:rPr>
        <w:t>C</w:t>
      </w:r>
      <w:r>
        <w:rPr>
          <w:rFonts w:ascii="宋体" w:hAnsi="宋体" w:hint="eastAsia"/>
          <w:szCs w:val="21"/>
        </w:rPr>
        <w:t>类基金份额的销售服务费年费率为</w:t>
      </w:r>
      <w:r>
        <w:rPr>
          <w:rFonts w:ascii="宋体" w:hAnsi="宋体"/>
          <w:szCs w:val="21"/>
        </w:rPr>
        <w:t>0.20%</w:t>
      </w:r>
      <w:r>
        <w:rPr>
          <w:rFonts w:ascii="宋体" w:hAnsi="宋体" w:hint="eastAsia"/>
          <w:szCs w:val="21"/>
        </w:rPr>
        <w:t>。本基金销售服务费按前一日</w:t>
      </w:r>
      <w:r>
        <w:rPr>
          <w:rFonts w:ascii="宋体" w:hAnsi="宋体"/>
          <w:szCs w:val="21"/>
        </w:rPr>
        <w:t>C</w:t>
      </w:r>
      <w:r>
        <w:rPr>
          <w:rFonts w:ascii="宋体" w:hAnsi="宋体" w:hint="eastAsia"/>
          <w:szCs w:val="21"/>
        </w:rPr>
        <w:t>类基金份额的基金资产净值的</w:t>
      </w:r>
      <w:r>
        <w:rPr>
          <w:rFonts w:ascii="宋体" w:hAnsi="宋体"/>
          <w:szCs w:val="21"/>
        </w:rPr>
        <w:t>0.20%</w:t>
      </w:r>
      <w:r>
        <w:rPr>
          <w:rFonts w:ascii="宋体" w:hAnsi="宋体" w:hint="eastAsia"/>
          <w:szCs w:val="21"/>
        </w:rPr>
        <w:t>年费率计提。计算方法如下：</w:t>
      </w:r>
    </w:p>
    <w:p w14:paraId="02879855" w14:textId="77777777" w:rsidR="00980B4C" w:rsidRDefault="003140D0">
      <w:pPr>
        <w:spacing w:line="360" w:lineRule="auto"/>
        <w:ind w:firstLineChars="200" w:firstLine="420"/>
        <w:rPr>
          <w:rFonts w:ascii="宋体" w:hAnsi="宋体" w:hint="eastAsia"/>
          <w:szCs w:val="21"/>
        </w:rPr>
      </w:pPr>
      <w:r>
        <w:rPr>
          <w:rFonts w:ascii="宋体" w:hAnsi="宋体"/>
          <w:szCs w:val="21"/>
        </w:rPr>
        <w:t>H</w:t>
      </w:r>
      <w:r>
        <w:rPr>
          <w:rFonts w:ascii="宋体" w:hAnsi="宋体" w:hint="eastAsia"/>
          <w:szCs w:val="21"/>
        </w:rPr>
        <w:t>＝</w:t>
      </w:r>
      <w:r>
        <w:rPr>
          <w:rFonts w:ascii="宋体" w:hAnsi="宋体"/>
          <w:szCs w:val="21"/>
        </w:rPr>
        <w:t>E</w:t>
      </w:r>
      <w:r>
        <w:rPr>
          <w:rFonts w:ascii="宋体" w:hAnsi="宋体" w:hint="eastAsia"/>
          <w:szCs w:val="21"/>
        </w:rPr>
        <w:t>×</w:t>
      </w:r>
      <w:r>
        <w:rPr>
          <w:rFonts w:ascii="宋体" w:hAnsi="宋体"/>
          <w:szCs w:val="21"/>
        </w:rPr>
        <w:t>0.20%</w:t>
      </w:r>
      <w:r>
        <w:rPr>
          <w:rFonts w:ascii="宋体" w:hAnsi="宋体" w:hint="eastAsia"/>
          <w:szCs w:val="21"/>
        </w:rPr>
        <w:t>÷当年天数</w:t>
      </w:r>
    </w:p>
    <w:p w14:paraId="26EBB013" w14:textId="77777777" w:rsidR="00980B4C" w:rsidRDefault="003140D0">
      <w:pPr>
        <w:spacing w:line="360" w:lineRule="auto"/>
        <w:ind w:firstLineChars="200" w:firstLine="420"/>
        <w:rPr>
          <w:rFonts w:ascii="宋体" w:hAnsi="宋体" w:hint="eastAsia"/>
          <w:szCs w:val="21"/>
        </w:rPr>
      </w:pPr>
      <w:r>
        <w:rPr>
          <w:rFonts w:ascii="宋体" w:hAnsi="宋体"/>
          <w:szCs w:val="21"/>
        </w:rPr>
        <w:t>H</w:t>
      </w:r>
      <w:r>
        <w:rPr>
          <w:rFonts w:ascii="宋体" w:hAnsi="宋体" w:hint="eastAsia"/>
          <w:szCs w:val="21"/>
        </w:rPr>
        <w:t>为</w:t>
      </w:r>
      <w:r>
        <w:rPr>
          <w:rFonts w:ascii="宋体" w:hAnsi="宋体"/>
          <w:szCs w:val="21"/>
        </w:rPr>
        <w:t>C</w:t>
      </w:r>
      <w:r>
        <w:rPr>
          <w:rFonts w:ascii="宋体" w:hAnsi="宋体" w:hint="eastAsia"/>
          <w:szCs w:val="21"/>
        </w:rPr>
        <w:t>类基金份额每日应计提的销售服务费</w:t>
      </w:r>
    </w:p>
    <w:p w14:paraId="3ACE8F6A" w14:textId="77777777" w:rsidR="00980B4C" w:rsidRDefault="003140D0">
      <w:pPr>
        <w:spacing w:line="360" w:lineRule="auto"/>
        <w:ind w:firstLineChars="200" w:firstLine="420"/>
        <w:rPr>
          <w:rFonts w:ascii="宋体" w:hAnsi="宋体" w:hint="eastAsia"/>
          <w:szCs w:val="21"/>
        </w:rPr>
      </w:pPr>
      <w:r>
        <w:rPr>
          <w:rFonts w:ascii="宋体" w:hAnsi="宋体"/>
          <w:szCs w:val="21"/>
        </w:rPr>
        <w:t>E</w:t>
      </w:r>
      <w:r>
        <w:rPr>
          <w:rFonts w:ascii="宋体" w:hAnsi="宋体" w:hint="eastAsia"/>
          <w:szCs w:val="21"/>
        </w:rPr>
        <w:t>为</w:t>
      </w:r>
      <w:r>
        <w:rPr>
          <w:rFonts w:ascii="宋体" w:hAnsi="宋体"/>
          <w:szCs w:val="21"/>
        </w:rPr>
        <w:t>C</w:t>
      </w:r>
      <w:r>
        <w:rPr>
          <w:rFonts w:ascii="宋体" w:hAnsi="宋体" w:hint="eastAsia"/>
          <w:szCs w:val="21"/>
        </w:rPr>
        <w:t>类基金份额前一日基金资产净值</w:t>
      </w:r>
    </w:p>
    <w:p w14:paraId="21609D1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（1）基金管理人直销机构：</w:t>
      </w:r>
    </w:p>
    <w:p w14:paraId="12765A9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对于C类基金份额收取的销售服务费，在投资人赎回基金份额或基金合同终止时随赎回款或清算款一并返还给投资人。若遇法定节假日、休息日或不可抗力等致使无法按时支付的，顺延至最近可支付日支付。</w:t>
      </w:r>
    </w:p>
    <w:p w14:paraId="617D016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（2）其他销售机构：</w:t>
      </w:r>
    </w:p>
    <w:p w14:paraId="13ACBEDE" w14:textId="421D1FA2" w:rsidR="00980B4C" w:rsidRDefault="003140D0">
      <w:pPr>
        <w:spacing w:line="360" w:lineRule="auto"/>
        <w:ind w:firstLineChars="200" w:firstLine="420"/>
        <w:rPr>
          <w:rFonts w:ascii="宋体" w:hAnsi="宋体" w:hint="eastAsia"/>
          <w:szCs w:val="21"/>
        </w:rPr>
      </w:pPr>
      <w:r>
        <w:rPr>
          <w:rFonts w:ascii="宋体" w:hAnsi="宋体" w:hint="eastAsia"/>
          <w:szCs w:val="21"/>
        </w:rPr>
        <w:t>对于投资人持续持有期限未超过一年（即365天）的C类基金份额收取的销售服务费，</w:t>
      </w:r>
      <w:r>
        <w:rPr>
          <w:rFonts w:ascii="宋体" w:hAnsi="宋体" w:hint="eastAsia"/>
          <w:szCs w:val="21"/>
        </w:rPr>
        <w:lastRenderedPageBreak/>
        <w:t>销售服务费每日计提，逐日累计至每月月末，按月支付，经基金管理人与基金托管人双方核对无误后，基金托管人按照与基金管理人协商一致的方式于次月前5个工作日内从基金财产中一次性支付给基金管理人并由基金管理人代付给各基金销售机构。若遇法定节假日、公休日等，支付日期顺延。</w:t>
      </w:r>
    </w:p>
    <w:p w14:paraId="6522FF52" w14:textId="72536DA7" w:rsidR="00980B4C" w:rsidRDefault="003140D0">
      <w:pPr>
        <w:spacing w:line="360" w:lineRule="auto"/>
        <w:ind w:firstLineChars="202" w:firstLine="426"/>
      </w:pPr>
      <w:r>
        <w:rPr>
          <w:rFonts w:ascii="宋体" w:hAnsi="宋体" w:hint="eastAsia"/>
          <w:b/>
          <w:bCs/>
          <w:szCs w:val="21"/>
        </w:rPr>
        <w:t>对于持续持有期限超过一年（即</w:t>
      </w:r>
      <w:r>
        <w:rPr>
          <w:rFonts w:ascii="宋体" w:hAnsi="宋体"/>
          <w:b/>
          <w:bCs/>
          <w:szCs w:val="21"/>
        </w:rPr>
        <w:t>365</w:t>
      </w:r>
      <w:r>
        <w:rPr>
          <w:rFonts w:ascii="宋体" w:hAnsi="宋体" w:hint="eastAsia"/>
          <w:b/>
          <w:bCs/>
          <w:szCs w:val="21"/>
        </w:rPr>
        <w:t>天）的</w:t>
      </w:r>
      <w:r>
        <w:rPr>
          <w:rFonts w:ascii="宋体" w:hAnsi="宋体"/>
          <w:b/>
          <w:bCs/>
          <w:szCs w:val="21"/>
        </w:rPr>
        <w:t>C</w:t>
      </w:r>
      <w:r>
        <w:rPr>
          <w:rFonts w:ascii="宋体" w:hAnsi="宋体" w:hint="eastAsia"/>
          <w:b/>
          <w:bCs/>
          <w:szCs w:val="21"/>
        </w:rPr>
        <w:t>类基金份额继续收取的销售服务费，在投资人赎回基金份额或基金合同终止时，随赎回款或清算款一并返还给投资人。若遇法定节假日、休息日或不可抗力等致使无法按时支付的，顺延至最近可支付日支付。</w:t>
      </w:r>
    </w:p>
    <w:p w14:paraId="0AA9E13B"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（四）实施侧袋机制期间的基金费用</w:t>
      </w:r>
    </w:p>
    <w:p w14:paraId="32325240" w14:textId="77777777" w:rsidR="00980B4C" w:rsidRDefault="003140D0">
      <w:pPr>
        <w:spacing w:line="360" w:lineRule="auto"/>
        <w:ind w:right="28" w:firstLineChars="200" w:firstLine="420"/>
        <w:rPr>
          <w:rFonts w:ascii="宋体" w:hAnsi="宋体" w:hint="eastAsia"/>
          <w:szCs w:val="21"/>
        </w:rPr>
      </w:pPr>
      <w:r>
        <w:rPr>
          <w:rFonts w:ascii="宋体" w:hAnsi="宋体" w:hint="eastAsia"/>
          <w:szCs w:val="21"/>
        </w:rPr>
        <w:t>本基金实施侧袋机制的，与侧袋账户有关的费用可以从侧袋账户中列支，但应待侧袋账户资产变现后方可列支，有关费用可酌情收取或减免，但不得收取管理费，详见招募说明书的规定。</w:t>
      </w:r>
    </w:p>
    <w:p w14:paraId="4F8A3578" w14:textId="77777777" w:rsidR="00980B4C" w:rsidRDefault="00980B4C">
      <w:pPr>
        <w:spacing w:line="360" w:lineRule="auto"/>
        <w:ind w:right="28" w:firstLineChars="200" w:firstLine="420"/>
        <w:rPr>
          <w:rFonts w:ascii="宋体" w:hAnsi="宋体" w:hint="eastAsia"/>
          <w:szCs w:val="21"/>
        </w:rPr>
      </w:pPr>
    </w:p>
    <w:p w14:paraId="04321CBB" w14:textId="77777777" w:rsidR="00980B4C" w:rsidRDefault="003140D0">
      <w:pPr>
        <w:spacing w:line="360" w:lineRule="auto"/>
        <w:jc w:val="center"/>
        <w:outlineLvl w:val="0"/>
        <w:rPr>
          <w:rFonts w:ascii="宋体" w:hAnsi="宋体" w:hint="eastAsia"/>
        </w:rPr>
      </w:pPr>
      <w:r>
        <w:rPr>
          <w:rFonts w:ascii="宋体" w:hAnsi="宋体" w:hint="eastAsia"/>
          <w:b/>
          <w:sz w:val="24"/>
        </w:rPr>
        <w:t>十一、基金份额持有人名册的保管</w:t>
      </w:r>
      <w:bookmarkEnd w:id="71"/>
    </w:p>
    <w:p w14:paraId="1184E72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管理人妥善保管的基金份额持有人名册，包括《基金合同》生效日、《基金合同》终止日、基金份额持有人大会权利登记日、每年6月30日、12月31日的基金份额持有人名册。基金份额持有人名册的内容必须包括基金份额持有人的名称和持有的基金份额。</w:t>
      </w:r>
    </w:p>
    <w:p w14:paraId="32A3DBD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基金份额持有人名册由基金的</w:t>
      </w:r>
      <w:r>
        <w:rPr>
          <w:rFonts w:ascii="宋体" w:hAnsi="宋体" w:cs="Arial" w:hint="eastAsia"/>
          <w:szCs w:val="21"/>
        </w:rPr>
        <w:t>基金注册登记机构根据基金管理人的指令编制和保管</w:t>
      </w:r>
      <w:r>
        <w:rPr>
          <w:rFonts w:ascii="宋体" w:hAnsi="宋体" w:hint="eastAsia"/>
          <w:szCs w:val="21"/>
        </w:rPr>
        <w:t>，基金管理人应按照目前相关规则保管基金份额持有人名册。保管方式可以采用电子或文档的形式。保管期限不低于法律法规规定的最低年限。</w:t>
      </w:r>
    </w:p>
    <w:p w14:paraId="5335B4CD"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在基金托管人编制中期报告和年报前，基金管理人应将每年6月30日、12月31日的基金份额持有人名册送交基金托管人，文件方式可以采用电子或文档的形式并且保证其的真实、准确、完整。基金托管人应妥善保管，不得将持有人名册用于基金托管业务以外的其他用途。</w:t>
      </w:r>
    </w:p>
    <w:p w14:paraId="4E65F350" w14:textId="77777777" w:rsidR="00980B4C" w:rsidRDefault="00980B4C">
      <w:pPr>
        <w:spacing w:line="360" w:lineRule="auto"/>
        <w:ind w:firstLineChars="200" w:firstLine="420"/>
        <w:rPr>
          <w:rFonts w:ascii="宋体" w:hAnsi="宋体" w:cs="Arial" w:hint="eastAsia"/>
          <w:szCs w:val="21"/>
        </w:rPr>
      </w:pPr>
    </w:p>
    <w:p w14:paraId="383431E8" w14:textId="77777777" w:rsidR="00980B4C" w:rsidRDefault="003140D0">
      <w:pPr>
        <w:spacing w:line="360" w:lineRule="auto"/>
        <w:jc w:val="center"/>
        <w:outlineLvl w:val="0"/>
        <w:rPr>
          <w:rFonts w:ascii="宋体" w:hAnsi="宋体" w:hint="eastAsia"/>
        </w:rPr>
      </w:pPr>
      <w:bookmarkStart w:id="72" w:name="_Toc382819127"/>
      <w:r>
        <w:rPr>
          <w:rFonts w:ascii="宋体" w:hAnsi="宋体" w:hint="eastAsia"/>
          <w:b/>
          <w:sz w:val="24"/>
        </w:rPr>
        <w:t>十二、基金有关文件和档案的保存</w:t>
      </w:r>
      <w:bookmarkEnd w:id="72"/>
    </w:p>
    <w:p w14:paraId="456B760F"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（一）档案保存</w:t>
      </w:r>
    </w:p>
    <w:p w14:paraId="469D030D" w14:textId="77777777" w:rsidR="00980B4C" w:rsidRDefault="003140D0">
      <w:pPr>
        <w:spacing w:line="360" w:lineRule="auto"/>
        <w:ind w:firstLineChars="200" w:firstLine="420"/>
        <w:rPr>
          <w:rFonts w:ascii="宋体" w:hAnsi="宋体" w:cs="Arial" w:hint="eastAsia"/>
          <w:szCs w:val="21"/>
        </w:rPr>
      </w:pPr>
      <w:r>
        <w:rPr>
          <w:rFonts w:ascii="宋体" w:hAnsi="宋体" w:cs="Arial" w:hint="eastAsia"/>
          <w:szCs w:val="21"/>
        </w:rPr>
        <w:t>基金管理人和基金托管人应按各自职责完整保存本基金的基金账册、原始凭证、记账凭证、交易记录、公告、重要合同等相关资料，承担保密义务并按规定的期限保管。基金管理人应保存基金财产管理业务活动的记录、账册、报表和其他相关资料，基金托管人应保存基金托管业务活动的记录、账册、报表和其他相关资料。保管期限不低于法律法规规定的最低</w:t>
      </w:r>
      <w:r>
        <w:rPr>
          <w:rFonts w:ascii="宋体" w:hAnsi="宋体" w:cs="Arial" w:hint="eastAsia"/>
          <w:szCs w:val="21"/>
        </w:rPr>
        <w:lastRenderedPageBreak/>
        <w:t>年限。</w:t>
      </w:r>
    </w:p>
    <w:p w14:paraId="108AEF41"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（二）合同档案的建立</w:t>
      </w:r>
    </w:p>
    <w:p w14:paraId="3D0948CF" w14:textId="77777777" w:rsidR="00980B4C" w:rsidRDefault="003140D0">
      <w:pPr>
        <w:spacing w:line="360" w:lineRule="auto"/>
        <w:ind w:firstLineChars="200" w:firstLine="420"/>
        <w:rPr>
          <w:rFonts w:ascii="宋体" w:hAnsi="宋体" w:cs="Arial" w:hint="eastAsia"/>
          <w:szCs w:val="21"/>
        </w:rPr>
      </w:pPr>
      <w:r>
        <w:rPr>
          <w:rFonts w:ascii="宋体" w:hAnsi="宋体" w:cs="Arial" w:hint="eastAsia"/>
          <w:szCs w:val="21"/>
        </w:rPr>
        <w:t>1、基金管理人或基金托管人在签署与本基金有关的合同文本后，应及时按相关法律法规及本协议的规定将合同正本或副本提交对方。</w:t>
      </w:r>
    </w:p>
    <w:p w14:paraId="283B0FE2" w14:textId="77777777" w:rsidR="00980B4C" w:rsidRDefault="003140D0">
      <w:pPr>
        <w:spacing w:line="360" w:lineRule="auto"/>
        <w:ind w:firstLineChars="200" w:firstLine="420"/>
        <w:rPr>
          <w:rFonts w:ascii="宋体" w:hAnsi="宋体" w:cs="Arial" w:hint="eastAsia"/>
          <w:szCs w:val="21"/>
        </w:rPr>
      </w:pPr>
      <w:r>
        <w:rPr>
          <w:rFonts w:ascii="宋体" w:hAnsi="宋体" w:cs="Arial" w:hint="eastAsia"/>
          <w:szCs w:val="21"/>
        </w:rPr>
        <w:t>2、基金管理人和基金托管人应按各自职责保管就基金资产对外签署的全部合同的正本。</w:t>
      </w:r>
    </w:p>
    <w:p w14:paraId="7CDD0D0A"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（三）变更与协助</w:t>
      </w:r>
    </w:p>
    <w:p w14:paraId="474A44D3" w14:textId="77777777" w:rsidR="00980B4C" w:rsidRDefault="003140D0">
      <w:pPr>
        <w:spacing w:line="360" w:lineRule="auto"/>
        <w:ind w:firstLineChars="200" w:firstLine="420"/>
        <w:rPr>
          <w:rFonts w:ascii="宋体" w:hAnsi="宋体" w:cs="Arial" w:hint="eastAsia"/>
          <w:szCs w:val="21"/>
        </w:rPr>
      </w:pPr>
      <w:r>
        <w:rPr>
          <w:rFonts w:ascii="宋体" w:hAnsi="宋体" w:cs="Arial" w:hint="eastAsia"/>
          <w:szCs w:val="21"/>
        </w:rPr>
        <w:t>若基金管理人和基金托管人发生变更，未变更的一方有义务协助变更后的接任人接收相应文件。</w:t>
      </w:r>
    </w:p>
    <w:p w14:paraId="073F26CD" w14:textId="77777777" w:rsidR="00980B4C" w:rsidRDefault="00980B4C">
      <w:pPr>
        <w:spacing w:line="360" w:lineRule="auto"/>
        <w:ind w:firstLineChars="200" w:firstLine="420"/>
        <w:rPr>
          <w:rFonts w:ascii="宋体" w:hAnsi="宋体" w:hint="eastAsia"/>
          <w:szCs w:val="21"/>
        </w:rPr>
      </w:pPr>
    </w:p>
    <w:p w14:paraId="1CC03947" w14:textId="77777777" w:rsidR="00980B4C" w:rsidRDefault="003140D0">
      <w:pPr>
        <w:spacing w:line="360" w:lineRule="auto"/>
        <w:jc w:val="center"/>
        <w:outlineLvl w:val="0"/>
        <w:rPr>
          <w:rFonts w:ascii="宋体" w:hAnsi="宋体" w:hint="eastAsia"/>
        </w:rPr>
      </w:pPr>
      <w:bookmarkStart w:id="73" w:name="_Toc382819128"/>
      <w:r>
        <w:rPr>
          <w:rFonts w:ascii="宋体" w:hAnsi="宋体" w:hint="eastAsia"/>
          <w:b/>
          <w:sz w:val="24"/>
        </w:rPr>
        <w:t>十三、基金管理人和基金托管人的更换</w:t>
      </w:r>
      <w:bookmarkEnd w:id="73"/>
    </w:p>
    <w:p w14:paraId="1562121E"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eastAsia="宋体" w:hAnsi="宋体" w:hint="eastAsia"/>
          <w:b w:val="0"/>
          <w:sz w:val="21"/>
          <w:szCs w:val="21"/>
        </w:rPr>
      </w:pPr>
      <w:bookmarkStart w:id="74" w:name="_Toc382819129"/>
      <w:r>
        <w:rPr>
          <w:rFonts w:ascii="宋体" w:eastAsia="宋体" w:hAnsi="宋体" w:hint="eastAsia"/>
          <w:b w:val="0"/>
          <w:sz w:val="21"/>
          <w:szCs w:val="21"/>
        </w:rPr>
        <w:t>（一）基金管理人的更换</w:t>
      </w:r>
      <w:bookmarkEnd w:id="74"/>
    </w:p>
    <w:p w14:paraId="6E5DBAA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1.基金管理人的更换条件</w:t>
      </w:r>
    </w:p>
    <w:p w14:paraId="1CCE638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有下列情形之一的，基金管理人职责终止：</w:t>
      </w:r>
    </w:p>
    <w:p w14:paraId="34CCD0D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 被依法取消基金管理资格；</w:t>
      </w:r>
    </w:p>
    <w:p w14:paraId="307494AF"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 被基金份额持有人大会解任；</w:t>
      </w:r>
    </w:p>
    <w:p w14:paraId="0378C97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 依法解散、被依法撤销或被依法宣告破产；</w:t>
      </w:r>
    </w:p>
    <w:p w14:paraId="4BD6273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 法律法规、中国证监会规定的和《基金合同》规定的其它情形。</w:t>
      </w:r>
    </w:p>
    <w:p w14:paraId="71AC016F"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2.更换基金管理人的程序</w:t>
      </w:r>
    </w:p>
    <w:p w14:paraId="6EBFFAF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(1)提名：新任基金管理人由基金托管人或由单独或合计持有</w:t>
      </w:r>
      <w:r>
        <w:rPr>
          <w:rFonts w:ascii="宋体" w:hAnsi="宋体"/>
          <w:szCs w:val="21"/>
        </w:rPr>
        <w:t>10%</w:t>
      </w:r>
      <w:r>
        <w:rPr>
          <w:rFonts w:ascii="宋体" w:hAnsi="宋体" w:hint="eastAsia"/>
          <w:szCs w:val="21"/>
        </w:rPr>
        <w:t>以上（含</w:t>
      </w:r>
      <w:r>
        <w:rPr>
          <w:rFonts w:ascii="宋体" w:hAnsi="宋体"/>
          <w:szCs w:val="21"/>
        </w:rPr>
        <w:t>10%</w:t>
      </w:r>
      <w:r>
        <w:rPr>
          <w:rFonts w:ascii="宋体" w:hAnsi="宋体" w:hint="eastAsia"/>
          <w:szCs w:val="21"/>
        </w:rPr>
        <w:t>）基金份额的基金份额持有人提名；</w:t>
      </w:r>
    </w:p>
    <w:p w14:paraId="560B57C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2</w:t>
      </w:r>
      <w:r>
        <w:rPr>
          <w:rFonts w:ascii="宋体" w:hAnsi="宋体" w:hint="eastAsia"/>
          <w:szCs w:val="21"/>
        </w:rPr>
        <w:t>)决议：基金份额持有人大会在基金管理人职责终止后</w:t>
      </w:r>
      <w:r>
        <w:rPr>
          <w:rFonts w:ascii="宋体" w:hAnsi="宋体"/>
          <w:szCs w:val="21"/>
        </w:rPr>
        <w:t>6</w:t>
      </w:r>
      <w:r>
        <w:rPr>
          <w:rFonts w:ascii="宋体" w:hAnsi="宋体" w:hint="eastAsia"/>
          <w:szCs w:val="21"/>
        </w:rPr>
        <w:t>个月内对被提名的基金管理人形成决议，该决议需经参加大会的基金份额持有人所持表决权的三分之二以上（含三分之二）表决通过，决议自表决通过之日起生效；</w:t>
      </w:r>
    </w:p>
    <w:p w14:paraId="0C325D5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3</w:t>
      </w:r>
      <w:r>
        <w:rPr>
          <w:rFonts w:ascii="宋体" w:hAnsi="宋体" w:hint="eastAsia"/>
          <w:szCs w:val="21"/>
        </w:rPr>
        <w:t>)临时基金管理人：新任基金管理人产生之前，由中国证监会指定临时基金管理人；</w:t>
      </w:r>
    </w:p>
    <w:p w14:paraId="0334488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4</w:t>
      </w:r>
      <w:r>
        <w:rPr>
          <w:rFonts w:ascii="宋体" w:hAnsi="宋体" w:hint="eastAsia"/>
          <w:szCs w:val="21"/>
        </w:rPr>
        <w:t>)备案：基金份额持有人大会更换基金管理人的决议须报中国证监会备案；</w:t>
      </w:r>
    </w:p>
    <w:p w14:paraId="07CEF5B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5</w:t>
      </w:r>
      <w:r>
        <w:rPr>
          <w:rFonts w:ascii="宋体" w:hAnsi="宋体" w:hint="eastAsia"/>
          <w:szCs w:val="21"/>
        </w:rPr>
        <w:t>)公告：基金管理人更换后，由基金托管人在更换基金管理人的基金份额持有人大会决议生效后</w:t>
      </w:r>
      <w:r>
        <w:rPr>
          <w:rFonts w:ascii="宋体" w:hAnsi="宋体"/>
          <w:szCs w:val="21"/>
        </w:rPr>
        <w:t>2</w:t>
      </w:r>
      <w:r>
        <w:rPr>
          <w:rFonts w:ascii="宋体" w:hAnsi="宋体" w:hint="eastAsia"/>
          <w:szCs w:val="21"/>
        </w:rPr>
        <w:t>日内在规定媒介公告；</w:t>
      </w:r>
    </w:p>
    <w:p w14:paraId="29B4B6A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6</w:t>
      </w:r>
      <w:r>
        <w:rPr>
          <w:rFonts w:ascii="宋体" w:hAnsi="宋体" w:hint="eastAsia"/>
          <w:szCs w:val="21"/>
        </w:rPr>
        <w:t>)交接：基金管理人职责终止的，基金管理人应妥善保管基金管理业务资料，及时向临时基金管理人或新任基金管理人办理基金管理业务的移交手续，临时基金管理人或新任基金管理人应及时接收。新任基金管理人或临时基金管理人应与基金托管人核对基金资产总值</w:t>
      </w:r>
      <w:r>
        <w:rPr>
          <w:rFonts w:ascii="宋体" w:hAnsi="宋体" w:hint="eastAsia"/>
          <w:szCs w:val="21"/>
        </w:rPr>
        <w:lastRenderedPageBreak/>
        <w:t>和净值；</w:t>
      </w:r>
    </w:p>
    <w:p w14:paraId="14CF573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7</w:t>
      </w:r>
      <w:r>
        <w:rPr>
          <w:rFonts w:ascii="宋体" w:hAnsi="宋体" w:hint="eastAsia"/>
          <w:szCs w:val="21"/>
        </w:rPr>
        <w:t>)审计：基金管理人职责终止的，应当按照法律法规规定聘请符合《中华人民共和国证券法》规定的会计师事务所对基金财产进行审计，并将审计结果予以公告，同时报中国证监会备案，审计费用从基金财产中列支；</w:t>
      </w:r>
    </w:p>
    <w:p w14:paraId="715077B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8</w:t>
      </w:r>
      <w:r>
        <w:rPr>
          <w:rFonts w:ascii="宋体" w:hAnsi="宋体" w:hint="eastAsia"/>
          <w:szCs w:val="21"/>
        </w:rPr>
        <w:t>)基金名称变更：基金管理人更换后，如果原任或新任基金管理人要求，应按其要求替换或删除基金名称中与原基金管理人有关的名称字样。</w:t>
      </w:r>
    </w:p>
    <w:p w14:paraId="370D43D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原任基金管理人职责终止后，新任基金管理人或临时基金管理人接受基金管理业务前，原任基金管理人和基金托管人需采取审慎措施确保基金财产的安全，不对基金份额持有人的利益造成损失，并有义务协助新任基金管理人或临时基金管理人尽快恢复基金财产的投资运作。</w:t>
      </w:r>
    </w:p>
    <w:p w14:paraId="12F072B0"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eastAsia="宋体" w:hAnsi="宋体" w:hint="eastAsia"/>
          <w:b w:val="0"/>
          <w:sz w:val="21"/>
          <w:szCs w:val="21"/>
        </w:rPr>
      </w:pPr>
      <w:bookmarkStart w:id="75" w:name="_Toc382819130"/>
      <w:r>
        <w:rPr>
          <w:rFonts w:ascii="宋体" w:eastAsia="宋体" w:hAnsi="宋体" w:hint="eastAsia"/>
          <w:b w:val="0"/>
          <w:sz w:val="21"/>
          <w:szCs w:val="21"/>
        </w:rPr>
        <w:t>（二）基金托管人的更换</w:t>
      </w:r>
      <w:bookmarkEnd w:id="75"/>
    </w:p>
    <w:p w14:paraId="2D6C8CC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1.基金托管人的更换条件</w:t>
      </w:r>
    </w:p>
    <w:p w14:paraId="386162A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有下列情形之一的，基金托管人职责终止：</w:t>
      </w:r>
    </w:p>
    <w:p w14:paraId="0B1312B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 被依法取消基金托管人资格；</w:t>
      </w:r>
    </w:p>
    <w:p w14:paraId="75C0B83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 被基金份额持有人大会解任；</w:t>
      </w:r>
    </w:p>
    <w:p w14:paraId="7D68CEE1"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 依法解散、被依法撤销或被依法宣告破产；</w:t>
      </w:r>
    </w:p>
    <w:p w14:paraId="38D57BF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 法律法规和《基金合同》规定的其它情形。</w:t>
      </w:r>
    </w:p>
    <w:p w14:paraId="7101475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2.更换基金托管人的程序</w:t>
      </w:r>
    </w:p>
    <w:p w14:paraId="591A863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(1)提名：新任基金托管人由基金管理人或由单独或合计持有10%以上（含10%）基金份额的基金份额持有人提名；</w:t>
      </w:r>
    </w:p>
    <w:p w14:paraId="699B82A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14:paraId="0DF14ED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(3)临时基金托管人：新任基金托管人产生之前，由中国证监会指定临时基金托管人；</w:t>
      </w:r>
    </w:p>
    <w:p w14:paraId="7D6A4AB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(4)备案：基金份额持有人大会更换基金托管人的决议须报中国证监会备案；</w:t>
      </w:r>
    </w:p>
    <w:p w14:paraId="71C1730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5</w:t>
      </w:r>
      <w:r>
        <w:rPr>
          <w:rFonts w:ascii="宋体" w:hAnsi="宋体" w:hint="eastAsia"/>
          <w:szCs w:val="21"/>
        </w:rPr>
        <w:t>)公告：基金托管人更换后，由基金管理人在更换基金托管人的基金份额持有人大会决议生效后2日内在规定媒介公告；</w:t>
      </w:r>
    </w:p>
    <w:p w14:paraId="25668286"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w:t>
      </w:r>
      <w:r>
        <w:rPr>
          <w:rFonts w:ascii="宋体" w:hAnsi="宋体"/>
          <w:szCs w:val="21"/>
        </w:rPr>
        <w:t>6</w:t>
      </w:r>
      <w:r>
        <w:rPr>
          <w:rFonts w:ascii="宋体" w:hAnsi="宋体" w:hint="eastAsia"/>
          <w:szCs w:val="21"/>
        </w:rPr>
        <w:t>)交接：基金托管人职责终止的，应当妥善保管基金财产和基金托管业务资料，及时办理基金财产和基金托管业务的移交手续，新任基金托管人或者临时基金托管人应当及时接收。新任基金托管人或临时基金托管人与基金管理人核对基金资产总值和净值；</w:t>
      </w:r>
    </w:p>
    <w:p w14:paraId="68AA2452"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lastRenderedPageBreak/>
        <w:t>(</w:t>
      </w:r>
      <w:r>
        <w:rPr>
          <w:rFonts w:ascii="宋体" w:hAnsi="宋体"/>
          <w:szCs w:val="21"/>
        </w:rPr>
        <w:t>7</w:t>
      </w:r>
      <w:r>
        <w:rPr>
          <w:rFonts w:ascii="宋体" w:hAnsi="宋体" w:hint="eastAsia"/>
          <w:szCs w:val="21"/>
        </w:rPr>
        <w:t>)审计：基金托管人职责终止的，应当按照法律法规规定聘请符合《中华人民共和国证券法》规定的会计师事务所对基金财产进行审计，并将审计结果予以公告，同时报中国证监会备案，审计费用从基金财产中列支。</w:t>
      </w:r>
    </w:p>
    <w:p w14:paraId="62404F3B"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3.原基金托管人职责终止后，新任基金托管人或临时基金托管人接受基金财产和基金托管业务前，原基金托管人和基金管理人需采取审慎措施确保基金财产的安全，不对基金份额持有人的利益造成损失，并有义务协助新任基金托管人或临时基金托管人尽快交接基金资产。</w:t>
      </w:r>
    </w:p>
    <w:p w14:paraId="582C646C"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（三）</w:t>
      </w:r>
      <w:r>
        <w:rPr>
          <w:rFonts w:ascii="宋体" w:eastAsia="宋体" w:hAnsi="宋体"/>
          <w:b w:val="0"/>
          <w:sz w:val="21"/>
          <w:szCs w:val="21"/>
        </w:rPr>
        <w:tab/>
      </w:r>
      <w:r>
        <w:rPr>
          <w:rFonts w:ascii="宋体" w:eastAsia="宋体" w:hAnsi="宋体" w:hint="eastAsia"/>
          <w:b w:val="0"/>
          <w:sz w:val="21"/>
          <w:szCs w:val="21"/>
        </w:rPr>
        <w:t>基金管理人和基金托管人的同时更换程序</w:t>
      </w:r>
    </w:p>
    <w:p w14:paraId="3A1562D8" w14:textId="77777777" w:rsidR="00980B4C" w:rsidRDefault="003140D0">
      <w:pPr>
        <w:spacing w:line="360" w:lineRule="auto"/>
        <w:ind w:firstLineChars="225" w:firstLine="473"/>
        <w:rPr>
          <w:rFonts w:ascii="宋体" w:hAnsi="宋体" w:hint="eastAsia"/>
          <w:bCs/>
          <w:szCs w:val="21"/>
        </w:rPr>
      </w:pPr>
      <w:r>
        <w:rPr>
          <w:rFonts w:ascii="宋体" w:hAnsi="宋体" w:hint="eastAsia"/>
          <w:szCs w:val="21"/>
        </w:rPr>
        <w:t>同时更换</w:t>
      </w:r>
      <w:r>
        <w:rPr>
          <w:rFonts w:ascii="宋体" w:hAnsi="宋体" w:hint="eastAsia"/>
          <w:bCs/>
          <w:szCs w:val="21"/>
        </w:rPr>
        <w:t>基金管理人和基金托管人，分别按照上述基金管理人和基金托管人更换程序进行。</w:t>
      </w:r>
    </w:p>
    <w:p w14:paraId="617DC99D" w14:textId="77777777" w:rsidR="00980B4C" w:rsidRDefault="00980B4C">
      <w:pPr>
        <w:spacing w:line="360" w:lineRule="auto"/>
        <w:ind w:firstLineChars="225" w:firstLine="473"/>
        <w:rPr>
          <w:rFonts w:ascii="宋体" w:hAnsi="宋体" w:hint="eastAsia"/>
          <w:szCs w:val="21"/>
        </w:rPr>
      </w:pPr>
    </w:p>
    <w:p w14:paraId="31AC8160" w14:textId="77777777" w:rsidR="00980B4C" w:rsidRDefault="003140D0">
      <w:pPr>
        <w:spacing w:line="360" w:lineRule="auto"/>
        <w:jc w:val="center"/>
        <w:outlineLvl w:val="0"/>
        <w:rPr>
          <w:rFonts w:ascii="宋体" w:hAnsi="宋体" w:hint="eastAsia"/>
        </w:rPr>
      </w:pPr>
      <w:bookmarkStart w:id="76" w:name="_Toc382819131"/>
      <w:r>
        <w:rPr>
          <w:rFonts w:ascii="宋体" w:hAnsi="宋体" w:hint="eastAsia"/>
          <w:b/>
          <w:sz w:val="24"/>
        </w:rPr>
        <w:t>十四、禁止行为</w:t>
      </w:r>
      <w:bookmarkEnd w:id="76"/>
    </w:p>
    <w:p w14:paraId="41EC0496"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托管协议当事人禁止从事的行为，包括但不限于：</w:t>
      </w:r>
    </w:p>
    <w:p w14:paraId="1678B7A0"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（一）基金管理人、基金托管人将其固有财产或者他人财产混同于基金财产从事证券投资。</w:t>
      </w:r>
    </w:p>
    <w:p w14:paraId="30293364"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（二）基金管理人、基金托管人不公平地对待其管理或托管的不同基金财产。</w:t>
      </w:r>
    </w:p>
    <w:p w14:paraId="37A55AFF"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（三）基金管理人、基金托管人利用基金财产为基金份额持有人以外的第三人牟取利益。</w:t>
      </w:r>
    </w:p>
    <w:p w14:paraId="5DA0B00B"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（四）基金管理人、基金托管人向基金份额持有人违规承诺收益或者承担损失。</w:t>
      </w:r>
    </w:p>
    <w:p w14:paraId="788E73CE"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（五）基金管理人、基金托管人对他人泄露基金经营过程中任何尚未按法律法规规定的方式公开披露的信息。</w:t>
      </w:r>
    </w:p>
    <w:p w14:paraId="0BFD8F90"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（六）基金管理人在没有充足资金的情况下向基金托管人发出投资指令和赎回、分红资金的划拨指令，或违规向基金托管人发出指令。</w:t>
      </w:r>
    </w:p>
    <w:p w14:paraId="1979462E"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（七）基金托管人对基金管理人的符合本协议约定的有效指令拖延或拒绝执行。</w:t>
      </w:r>
    </w:p>
    <w:p w14:paraId="5C861565"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 xml:space="preserve">（八）基金管理人、基金托管人在行政上、财务上不独立，其高级基金管理人员相互兼职。 </w:t>
      </w:r>
    </w:p>
    <w:p w14:paraId="1EEFB6DC"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 xml:space="preserve">（九）基金托管人私自动用或处分基金资产，根据基金管理人的合法指令、基金合同或托管协议的规定进行处分的除外。 </w:t>
      </w:r>
    </w:p>
    <w:p w14:paraId="6D46D05D"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（十）基金管理人、基金托管人不得利用基金财产用于下列投资或者活动：</w:t>
      </w:r>
    </w:p>
    <w:p w14:paraId="50B473B3"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t>承销证券；</w:t>
      </w:r>
    </w:p>
    <w:p w14:paraId="35C773DE"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lastRenderedPageBreak/>
        <w:t>违法规定向他人贷款或者提供担保；</w:t>
      </w:r>
    </w:p>
    <w:p w14:paraId="3FB4DD52"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t>从事承担无限责任的投资；</w:t>
      </w:r>
    </w:p>
    <w:p w14:paraId="189B6C2E"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t>买卖其他基金份额，但是法律法规或中国证监会另有规定的除外；</w:t>
      </w:r>
    </w:p>
    <w:p w14:paraId="1D91EEF0"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t>向其基金管理人、基金托管人出资</w:t>
      </w:r>
    </w:p>
    <w:p w14:paraId="028838F2"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t>从事内幕交易、操纵证券交易价格及其他不正当的证券交易活动；</w:t>
      </w:r>
    </w:p>
    <w:p w14:paraId="3EFD4187" w14:textId="77777777" w:rsidR="00980B4C" w:rsidRDefault="003140D0">
      <w:pPr>
        <w:pStyle w:val="af5"/>
        <w:numPr>
          <w:ilvl w:val="0"/>
          <w:numId w:val="2"/>
        </w:numPr>
        <w:spacing w:line="360" w:lineRule="auto"/>
        <w:ind w:firstLineChars="0"/>
        <w:rPr>
          <w:rFonts w:ascii="宋体" w:hAnsi="宋体" w:hint="eastAsia"/>
          <w:szCs w:val="21"/>
        </w:rPr>
      </w:pPr>
      <w:r>
        <w:rPr>
          <w:rFonts w:ascii="宋体" w:hAnsi="宋体" w:hint="eastAsia"/>
          <w:szCs w:val="21"/>
        </w:rPr>
        <w:t>法律、行政法规和中国证监会规定禁止的其他活动。</w:t>
      </w:r>
    </w:p>
    <w:p w14:paraId="14C7B8EE" w14:textId="77777777" w:rsidR="00980B4C" w:rsidRDefault="003140D0">
      <w:pPr>
        <w:spacing w:line="360" w:lineRule="auto"/>
        <w:ind w:firstLineChars="225" w:firstLine="473"/>
        <w:rPr>
          <w:rFonts w:ascii="宋体" w:hAnsi="宋体" w:hint="eastAsia"/>
          <w:szCs w:val="21"/>
        </w:rPr>
      </w:pPr>
      <w:r>
        <w:rPr>
          <w:rFonts w:ascii="宋体" w:hAnsi="宋体" w:hint="eastAsia"/>
          <w:szCs w:val="21"/>
        </w:rPr>
        <w:t>（十一）法律法规和基金合同禁止的其他行为，以及依照法律法规有关规定，由中国证监会规定禁止基金管理人、基金托管人从事的其他行为。法律、行政法规或监管部门取消或变更上述禁止性规定，如适用于本基金，基金管理人有权在履行适当程序后按照法律法规或监管部门调整或修改后的规定执行，并应向投资者履行信息披露义务。</w:t>
      </w:r>
    </w:p>
    <w:p w14:paraId="4D0E479F" w14:textId="77777777" w:rsidR="00980B4C" w:rsidRDefault="00980B4C">
      <w:pPr>
        <w:spacing w:line="360" w:lineRule="auto"/>
        <w:ind w:firstLineChars="225" w:firstLine="473"/>
        <w:rPr>
          <w:rFonts w:ascii="宋体" w:hAnsi="宋体" w:hint="eastAsia"/>
          <w:szCs w:val="21"/>
        </w:rPr>
      </w:pPr>
    </w:p>
    <w:p w14:paraId="37DE6B57" w14:textId="77777777" w:rsidR="00980B4C" w:rsidRDefault="003140D0">
      <w:pPr>
        <w:spacing w:line="360" w:lineRule="auto"/>
        <w:jc w:val="center"/>
        <w:outlineLvl w:val="0"/>
        <w:rPr>
          <w:rFonts w:ascii="宋体" w:hAnsi="宋体" w:hint="eastAsia"/>
        </w:rPr>
      </w:pPr>
      <w:bookmarkStart w:id="77" w:name="_Toc382819132"/>
      <w:r>
        <w:rPr>
          <w:rFonts w:ascii="宋体" w:hAnsi="宋体" w:hint="eastAsia"/>
          <w:b/>
          <w:sz w:val="24"/>
        </w:rPr>
        <w:t>十五、基金托管协议的变更、终止与基金财产的清算</w:t>
      </w:r>
      <w:bookmarkEnd w:id="77"/>
    </w:p>
    <w:p w14:paraId="6AC8B481"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（一）托管协议的变更与终止</w:t>
      </w:r>
    </w:p>
    <w:p w14:paraId="30C1B924"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1.托管协议的变更程序</w:t>
      </w:r>
    </w:p>
    <w:p w14:paraId="12E872B9" w14:textId="77777777" w:rsidR="00980B4C" w:rsidRDefault="003140D0">
      <w:pPr>
        <w:autoSpaceDE w:val="0"/>
        <w:autoSpaceDN w:val="0"/>
        <w:adjustRightInd w:val="0"/>
        <w:spacing w:line="360" w:lineRule="auto"/>
        <w:ind w:firstLineChars="200" w:firstLine="444"/>
        <w:jc w:val="left"/>
        <w:rPr>
          <w:rFonts w:ascii="宋体" w:hAnsi="宋体" w:hint="eastAsia"/>
          <w:spacing w:val="6"/>
          <w:szCs w:val="21"/>
        </w:rPr>
      </w:pPr>
      <w:r>
        <w:rPr>
          <w:rFonts w:ascii="宋体" w:hAnsi="宋体" w:hint="eastAsia"/>
          <w:spacing w:val="6"/>
          <w:szCs w:val="21"/>
        </w:rPr>
        <w:t>本协议双方当事人经协商一致，可以对协议的内容进行变更。变更后的托管协议，其内容不得与《基金合同》的规定有任何冲突，并需</w:t>
      </w:r>
      <w:r>
        <w:rPr>
          <w:rFonts w:ascii="宋体" w:hAnsi="宋体" w:hint="eastAsia"/>
          <w:szCs w:val="21"/>
        </w:rPr>
        <w:t>经基金管理人、基金托管人加盖公章或合同专用章以及双方法定代表人或授权代理人签字（或盖章）确认</w:t>
      </w:r>
      <w:r>
        <w:rPr>
          <w:rFonts w:ascii="宋体" w:hAnsi="宋体" w:hint="eastAsia"/>
          <w:spacing w:val="6"/>
          <w:szCs w:val="21"/>
        </w:rPr>
        <w:t>。</w:t>
      </w:r>
    </w:p>
    <w:p w14:paraId="7A85D21C"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2.基金托管协议终止的情形</w:t>
      </w:r>
    </w:p>
    <w:p w14:paraId="7ADA7122" w14:textId="77777777" w:rsidR="00980B4C" w:rsidRDefault="003140D0">
      <w:pPr>
        <w:autoSpaceDE w:val="0"/>
        <w:autoSpaceDN w:val="0"/>
        <w:adjustRightInd w:val="0"/>
        <w:spacing w:line="360" w:lineRule="auto"/>
        <w:ind w:firstLineChars="200" w:firstLine="444"/>
        <w:jc w:val="left"/>
        <w:rPr>
          <w:rFonts w:ascii="宋体" w:hAnsi="宋体" w:hint="eastAsia"/>
          <w:spacing w:val="6"/>
          <w:szCs w:val="21"/>
        </w:rPr>
      </w:pPr>
      <w:r>
        <w:rPr>
          <w:rFonts w:ascii="宋体" w:hAnsi="宋体" w:hint="eastAsia"/>
          <w:spacing w:val="6"/>
          <w:szCs w:val="21"/>
        </w:rPr>
        <w:t>发生以下情况，本托管协议终止：</w:t>
      </w:r>
    </w:p>
    <w:p w14:paraId="29331406" w14:textId="77777777" w:rsidR="00980B4C" w:rsidRDefault="003140D0">
      <w:pPr>
        <w:autoSpaceDE w:val="0"/>
        <w:autoSpaceDN w:val="0"/>
        <w:adjustRightInd w:val="0"/>
        <w:spacing w:line="360" w:lineRule="auto"/>
        <w:ind w:firstLineChars="200" w:firstLine="444"/>
        <w:jc w:val="left"/>
        <w:rPr>
          <w:rFonts w:ascii="宋体" w:hAnsi="宋体" w:hint="eastAsia"/>
          <w:spacing w:val="6"/>
          <w:szCs w:val="21"/>
        </w:rPr>
      </w:pPr>
      <w:r>
        <w:rPr>
          <w:rFonts w:ascii="宋体" w:hAnsi="宋体" w:hint="eastAsia"/>
          <w:spacing w:val="6"/>
          <w:szCs w:val="21"/>
        </w:rPr>
        <w:t>（1）《基金合同》终止；</w:t>
      </w:r>
    </w:p>
    <w:p w14:paraId="2793E899" w14:textId="77777777" w:rsidR="00980B4C" w:rsidRDefault="003140D0">
      <w:pPr>
        <w:autoSpaceDE w:val="0"/>
        <w:autoSpaceDN w:val="0"/>
        <w:adjustRightInd w:val="0"/>
        <w:spacing w:line="360" w:lineRule="auto"/>
        <w:ind w:firstLineChars="200" w:firstLine="444"/>
        <w:jc w:val="left"/>
        <w:rPr>
          <w:rFonts w:ascii="宋体" w:hAnsi="宋体" w:hint="eastAsia"/>
          <w:spacing w:val="6"/>
          <w:szCs w:val="21"/>
        </w:rPr>
      </w:pPr>
      <w:r>
        <w:rPr>
          <w:rFonts w:ascii="宋体" w:hAnsi="宋体" w:hint="eastAsia"/>
          <w:spacing w:val="6"/>
          <w:szCs w:val="21"/>
        </w:rPr>
        <w:t>（2）基金托管人解散、依法被撤销、破产或有其他基金托管人接管基金资产；</w:t>
      </w:r>
    </w:p>
    <w:p w14:paraId="704EF4D2" w14:textId="77777777" w:rsidR="00980B4C" w:rsidRDefault="003140D0">
      <w:pPr>
        <w:autoSpaceDE w:val="0"/>
        <w:autoSpaceDN w:val="0"/>
        <w:adjustRightInd w:val="0"/>
        <w:spacing w:line="360" w:lineRule="auto"/>
        <w:ind w:firstLineChars="200" w:firstLine="444"/>
        <w:jc w:val="left"/>
        <w:rPr>
          <w:rFonts w:ascii="宋体" w:hAnsi="宋体" w:hint="eastAsia"/>
          <w:spacing w:val="6"/>
          <w:szCs w:val="21"/>
        </w:rPr>
      </w:pPr>
      <w:r>
        <w:rPr>
          <w:rFonts w:ascii="宋体" w:hAnsi="宋体" w:hint="eastAsia"/>
          <w:spacing w:val="6"/>
          <w:szCs w:val="21"/>
        </w:rPr>
        <w:t>（3）基金管理人解散、依法被撤销、破产或有其他基金管理人接管基金管理权；</w:t>
      </w:r>
    </w:p>
    <w:p w14:paraId="201301D2" w14:textId="77777777" w:rsidR="00980B4C" w:rsidRDefault="003140D0">
      <w:pPr>
        <w:autoSpaceDE w:val="0"/>
        <w:autoSpaceDN w:val="0"/>
        <w:adjustRightInd w:val="0"/>
        <w:spacing w:line="360" w:lineRule="auto"/>
        <w:ind w:firstLineChars="200" w:firstLine="444"/>
        <w:jc w:val="left"/>
        <w:rPr>
          <w:rFonts w:ascii="宋体" w:hAnsi="宋体" w:hint="eastAsia"/>
          <w:spacing w:val="6"/>
          <w:szCs w:val="21"/>
        </w:rPr>
      </w:pPr>
      <w:r>
        <w:rPr>
          <w:rFonts w:ascii="宋体" w:hAnsi="宋体" w:hint="eastAsia"/>
          <w:spacing w:val="6"/>
          <w:szCs w:val="21"/>
        </w:rPr>
        <w:t>（4）发生法律法规或《基金合同》规定的终止事项。</w:t>
      </w:r>
    </w:p>
    <w:p w14:paraId="14398D90"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（二）基金财产的清算</w:t>
      </w:r>
    </w:p>
    <w:p w14:paraId="7EF89098"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1.基金财产清算小组：自出现《基金合同》终止事由之日起30个工作日内成立清算小组，基金管理人组织基金财产清算小组并在中国证监会的监督下进行基金清算。</w:t>
      </w:r>
    </w:p>
    <w:p w14:paraId="20D01BC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w:t>
      </w:r>
      <w:r>
        <w:rPr>
          <w:rFonts w:ascii="宋体" w:hAnsi="宋体" w:hint="eastAsia"/>
          <w:kern w:val="0"/>
          <w:szCs w:val="21"/>
        </w:rPr>
        <w:t>在基金财产清算小组接管基金财产之前，基金管理人和基金托管人应按照《基金合同》和本托管协议的规定继续履行保护基金财产安全的职责。</w:t>
      </w:r>
    </w:p>
    <w:p w14:paraId="6AC6147A"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3.基金财产清算小组组成：基金财产清算小组成员由基金管理人、基金托管人、符合《中</w:t>
      </w:r>
      <w:r>
        <w:rPr>
          <w:rFonts w:ascii="宋体" w:hAnsi="宋体" w:hint="eastAsia"/>
          <w:szCs w:val="21"/>
        </w:rPr>
        <w:lastRenderedPageBreak/>
        <w:t>华人民共和国证券法》规定的注册会计师、律师以及中国证监会指定的人员组成。基金财产清算小组可以聘用必要的工作人员。</w:t>
      </w:r>
    </w:p>
    <w:p w14:paraId="4C0C8A3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4.基金财产清算小组职责：基金财产清算小组负责基金财产的保管、清理、估价、变现和分配。基金财产清算小组可以依法进行必要的民事活动。</w:t>
      </w:r>
    </w:p>
    <w:p w14:paraId="181EA65D" w14:textId="77777777" w:rsidR="00980B4C" w:rsidRDefault="003140D0">
      <w:pPr>
        <w:tabs>
          <w:tab w:val="left" w:pos="6435"/>
        </w:tabs>
        <w:spacing w:line="360" w:lineRule="auto"/>
        <w:ind w:firstLineChars="200" w:firstLine="420"/>
        <w:rPr>
          <w:rFonts w:ascii="宋体" w:hAnsi="宋体" w:hint="eastAsia"/>
          <w:szCs w:val="21"/>
        </w:rPr>
      </w:pPr>
      <w:r>
        <w:rPr>
          <w:rFonts w:ascii="宋体" w:hAnsi="宋体" w:hint="eastAsia"/>
          <w:szCs w:val="21"/>
        </w:rPr>
        <w:t>5.基金财产清算程序：</w:t>
      </w:r>
      <w:r>
        <w:rPr>
          <w:rFonts w:ascii="宋体" w:hAnsi="宋体" w:hint="eastAsia"/>
          <w:szCs w:val="21"/>
        </w:rPr>
        <w:tab/>
      </w:r>
    </w:p>
    <w:p w14:paraId="6AE0FD79"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（1）《基金合同》终止情形出现时，由基金财产清算小组统一接管基金；</w:t>
      </w:r>
    </w:p>
    <w:p w14:paraId="5468F3EE"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（2）对基金财产和债权债务进行清理和确认；</w:t>
      </w:r>
    </w:p>
    <w:p w14:paraId="5962DDB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（3）对基金财产进行估值和变现；</w:t>
      </w:r>
    </w:p>
    <w:p w14:paraId="40E13AD5"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（4）制作清算报告；</w:t>
      </w:r>
    </w:p>
    <w:p w14:paraId="1B9AC67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（5）</w:t>
      </w:r>
      <w:r>
        <w:rPr>
          <w:rFonts w:ascii="宋体" w:hAnsi="宋体" w:hint="eastAsia"/>
          <w:bCs/>
          <w:szCs w:val="21"/>
        </w:rPr>
        <w:t>聘请会计师事务所对清算报告进行外部审计，聘请律师事务所对清算报告出具法律意见书；</w:t>
      </w:r>
    </w:p>
    <w:p w14:paraId="1BBB6DFD" w14:textId="77777777" w:rsidR="00980B4C" w:rsidRDefault="003140D0">
      <w:pPr>
        <w:spacing w:line="360" w:lineRule="auto"/>
        <w:ind w:firstLineChars="200" w:firstLine="420"/>
        <w:rPr>
          <w:rFonts w:ascii="宋体" w:hAnsi="宋体" w:hint="eastAsia"/>
          <w:kern w:val="0"/>
          <w:szCs w:val="21"/>
        </w:rPr>
      </w:pPr>
      <w:r>
        <w:rPr>
          <w:rFonts w:ascii="宋体" w:hAnsi="宋体" w:hint="eastAsia"/>
          <w:szCs w:val="21"/>
        </w:rPr>
        <w:t>（6）将清算报告报中国证监会备案并公告；</w:t>
      </w:r>
    </w:p>
    <w:p w14:paraId="0077385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（7）</w:t>
      </w:r>
      <w:r>
        <w:rPr>
          <w:rFonts w:ascii="宋体" w:hAnsi="宋体" w:hint="eastAsia"/>
          <w:bCs/>
          <w:szCs w:val="21"/>
        </w:rPr>
        <w:t>对基金剩余财产进行分配；</w:t>
      </w:r>
    </w:p>
    <w:p w14:paraId="78B90245"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6.清算费用</w:t>
      </w:r>
    </w:p>
    <w:p w14:paraId="6C9918C3"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清算费用是指基金清算小组在进行基金清算过程中发生的所有合理费用，清算费用由基金清算小组优先从基金财产中支付。</w:t>
      </w:r>
    </w:p>
    <w:p w14:paraId="4857D46B"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7.基金财产按下列顺序清偿：</w:t>
      </w:r>
    </w:p>
    <w:p w14:paraId="6C7CF625"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(1)支付清算费用；</w:t>
      </w:r>
    </w:p>
    <w:p w14:paraId="10FBCB27"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(2)交纳所欠税款；</w:t>
      </w:r>
    </w:p>
    <w:p w14:paraId="26AD4540"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(3)清偿基金债务；</w:t>
      </w:r>
    </w:p>
    <w:p w14:paraId="604676EC" w14:textId="77777777" w:rsidR="00980B4C" w:rsidRDefault="003140D0">
      <w:pPr>
        <w:adjustRightInd w:val="0"/>
        <w:snapToGrid w:val="0"/>
        <w:spacing w:line="360" w:lineRule="auto"/>
        <w:ind w:firstLineChars="200" w:firstLine="420"/>
        <w:rPr>
          <w:rFonts w:ascii="宋体" w:hAnsi="宋体" w:cs="Arial" w:hint="eastAsia"/>
          <w:szCs w:val="21"/>
        </w:rPr>
      </w:pPr>
      <w:r>
        <w:rPr>
          <w:rFonts w:ascii="宋体" w:hAnsi="宋体" w:cs="Arial" w:hint="eastAsia"/>
          <w:szCs w:val="21"/>
        </w:rPr>
        <w:t>(4)按基金份额持有人持有的基金份额比例进行分配。</w:t>
      </w:r>
    </w:p>
    <w:p w14:paraId="0A4D314D" w14:textId="77777777" w:rsidR="00980B4C" w:rsidRDefault="003140D0">
      <w:pPr>
        <w:spacing w:line="360" w:lineRule="auto"/>
        <w:ind w:firstLineChars="200" w:firstLine="420"/>
        <w:rPr>
          <w:rFonts w:ascii="宋体" w:hAnsi="宋体" w:cs="Arial" w:hint="eastAsia"/>
          <w:szCs w:val="21"/>
        </w:rPr>
      </w:pPr>
      <w:r>
        <w:rPr>
          <w:rFonts w:ascii="宋体" w:hAnsi="宋体" w:cs="Arial" w:hint="eastAsia"/>
          <w:szCs w:val="21"/>
        </w:rPr>
        <w:t>基金财产未按前款</w:t>
      </w:r>
      <w:proofErr w:type="gramStart"/>
      <w:r>
        <w:rPr>
          <w:rFonts w:ascii="宋体" w:hAnsi="宋体" w:cs="Arial" w:hint="eastAsia"/>
          <w:szCs w:val="21"/>
        </w:rPr>
        <w:t>(1)</w:t>
      </w:r>
      <w:proofErr w:type="gramEnd"/>
      <w:r>
        <w:rPr>
          <w:rFonts w:ascii="宋体" w:hAnsi="宋体" w:cs="Arial" w:hint="eastAsia"/>
          <w:szCs w:val="21"/>
        </w:rPr>
        <w:t>－</w:t>
      </w:r>
      <w:proofErr w:type="gramStart"/>
      <w:r>
        <w:rPr>
          <w:rFonts w:ascii="宋体" w:hAnsi="宋体" w:cs="Arial" w:hint="eastAsia"/>
          <w:szCs w:val="21"/>
        </w:rPr>
        <w:t>(3)</w:t>
      </w:r>
      <w:proofErr w:type="gramEnd"/>
      <w:r>
        <w:rPr>
          <w:rFonts w:ascii="宋体" w:hAnsi="宋体" w:cs="Arial" w:hint="eastAsia"/>
          <w:szCs w:val="21"/>
        </w:rPr>
        <w:t>项规定清偿前，不分配给基金份额持有人。</w:t>
      </w:r>
    </w:p>
    <w:p w14:paraId="4E690A39" w14:textId="4A8B8361" w:rsidR="00980B4C" w:rsidRDefault="003140D0">
      <w:pPr>
        <w:spacing w:line="360" w:lineRule="auto"/>
        <w:ind w:firstLineChars="200" w:firstLine="420"/>
        <w:rPr>
          <w:rFonts w:ascii="宋体" w:hAnsi="宋体" w:cs="Arial" w:hint="eastAsia"/>
          <w:szCs w:val="21"/>
        </w:rPr>
      </w:pPr>
      <w:bookmarkStart w:id="78" w:name="_Hlk218596369"/>
      <w:r>
        <w:rPr>
          <w:rFonts w:ascii="宋体" w:hAnsi="宋体" w:cs="Arial" w:hint="eastAsia"/>
          <w:szCs w:val="21"/>
        </w:rPr>
        <w:t>其中，对于投资者通过直销机构认购</w:t>
      </w:r>
      <w:r>
        <w:rPr>
          <w:rFonts w:ascii="宋体" w:hAnsi="宋体" w:cs="Arial"/>
          <w:szCs w:val="21"/>
        </w:rPr>
        <w:t>/</w:t>
      </w:r>
      <w:r>
        <w:rPr>
          <w:rFonts w:ascii="宋体" w:hAnsi="宋体" w:cs="Arial" w:hint="eastAsia"/>
          <w:szCs w:val="21"/>
        </w:rPr>
        <w:t>申购的或者通过其他销售机构认购</w:t>
      </w:r>
      <w:r>
        <w:rPr>
          <w:rFonts w:ascii="宋体" w:hAnsi="宋体" w:cs="Arial"/>
          <w:szCs w:val="21"/>
        </w:rPr>
        <w:t>/</w:t>
      </w:r>
      <w:r>
        <w:rPr>
          <w:rFonts w:ascii="宋体" w:hAnsi="宋体" w:cs="Arial" w:hint="eastAsia"/>
          <w:szCs w:val="21"/>
        </w:rPr>
        <w:t>申购且持续持有期限超过一年（即</w:t>
      </w:r>
      <w:r>
        <w:rPr>
          <w:rFonts w:ascii="宋体" w:hAnsi="宋体" w:cs="Arial"/>
          <w:szCs w:val="21"/>
        </w:rPr>
        <w:t>365</w:t>
      </w:r>
      <w:r>
        <w:rPr>
          <w:rFonts w:ascii="宋体" w:hAnsi="宋体" w:cs="Arial" w:hint="eastAsia"/>
          <w:szCs w:val="21"/>
        </w:rPr>
        <w:t>天）的</w:t>
      </w:r>
      <w:r>
        <w:rPr>
          <w:rFonts w:ascii="宋体" w:hAnsi="宋体" w:cs="Arial"/>
          <w:szCs w:val="21"/>
        </w:rPr>
        <w:t>C</w:t>
      </w:r>
      <w:r>
        <w:rPr>
          <w:rFonts w:ascii="宋体" w:hAnsi="宋体" w:cs="Arial" w:hint="eastAsia"/>
          <w:szCs w:val="21"/>
        </w:rPr>
        <w:t>类基金份额，直销计提的销售服务费和其他销售机构持有超过一年后计提的销售服务费将在基金合同终止时随剩余资产分配款项一并返还给投资者。</w:t>
      </w:r>
      <w:bookmarkEnd w:id="78"/>
    </w:p>
    <w:p w14:paraId="2EBA0FD7"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t>（三）基金财产清算的公告</w:t>
      </w:r>
    </w:p>
    <w:p w14:paraId="32FE6A7F"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14:paraId="6548573C" w14:textId="77777777" w:rsidR="00980B4C" w:rsidRDefault="003140D0">
      <w:pPr>
        <w:pStyle w:val="2"/>
        <w:keepNext w:val="0"/>
        <w:keepLines w:val="0"/>
        <w:tabs>
          <w:tab w:val="left" w:pos="1080"/>
        </w:tabs>
        <w:autoSpaceDE w:val="0"/>
        <w:autoSpaceDN w:val="0"/>
        <w:adjustRightInd w:val="0"/>
        <w:spacing w:before="0" w:after="0" w:line="360" w:lineRule="auto"/>
        <w:ind w:firstLineChars="196" w:firstLine="412"/>
        <w:textAlignment w:val="baseline"/>
        <w:rPr>
          <w:rFonts w:ascii="宋体" w:hAnsi="宋体" w:hint="eastAsia"/>
          <w:szCs w:val="21"/>
        </w:rPr>
      </w:pPr>
      <w:r>
        <w:rPr>
          <w:rFonts w:ascii="宋体" w:eastAsia="宋体" w:hAnsi="宋体" w:hint="eastAsia"/>
          <w:b w:val="0"/>
          <w:sz w:val="21"/>
          <w:szCs w:val="21"/>
        </w:rPr>
        <w:lastRenderedPageBreak/>
        <w:t>（四）基金财产清算账册及文件的保存</w:t>
      </w:r>
    </w:p>
    <w:p w14:paraId="2347957B" w14:textId="77777777" w:rsidR="00980B4C" w:rsidRDefault="003140D0">
      <w:pPr>
        <w:spacing w:line="360" w:lineRule="auto"/>
        <w:ind w:firstLine="200"/>
        <w:rPr>
          <w:rFonts w:ascii="宋体" w:hAnsi="宋体" w:hint="eastAsia"/>
          <w:szCs w:val="21"/>
        </w:rPr>
      </w:pPr>
      <w:r>
        <w:rPr>
          <w:rFonts w:ascii="宋体" w:hAnsi="宋体" w:hint="eastAsia"/>
          <w:szCs w:val="21"/>
        </w:rPr>
        <w:t>基金财产清算账册及有关文件由基金托管人保存不低于法律</w:t>
      </w:r>
      <w:r>
        <w:rPr>
          <w:rFonts w:ascii="宋体" w:hAnsi="宋体"/>
          <w:szCs w:val="21"/>
        </w:rPr>
        <w:t>法规规定的最低期限</w:t>
      </w:r>
      <w:r>
        <w:rPr>
          <w:rFonts w:ascii="宋体" w:hAnsi="宋体" w:hint="eastAsia"/>
          <w:szCs w:val="21"/>
        </w:rPr>
        <w:t>。</w:t>
      </w:r>
    </w:p>
    <w:p w14:paraId="0C3E4CC1" w14:textId="77777777" w:rsidR="00980B4C" w:rsidRDefault="00980B4C">
      <w:pPr>
        <w:spacing w:line="360" w:lineRule="auto"/>
        <w:ind w:firstLine="200"/>
        <w:rPr>
          <w:rFonts w:ascii="宋体" w:hAnsi="宋体" w:hint="eastAsia"/>
          <w:szCs w:val="21"/>
        </w:rPr>
      </w:pPr>
    </w:p>
    <w:p w14:paraId="4D133D03" w14:textId="77777777" w:rsidR="00980B4C" w:rsidRDefault="003140D0">
      <w:pPr>
        <w:spacing w:line="500" w:lineRule="atLeast"/>
        <w:jc w:val="center"/>
        <w:outlineLvl w:val="0"/>
        <w:rPr>
          <w:rFonts w:ascii="宋体" w:hAnsi="宋体" w:hint="eastAsia"/>
        </w:rPr>
      </w:pPr>
      <w:bookmarkStart w:id="79" w:name="_Toc382819133"/>
      <w:r>
        <w:rPr>
          <w:rFonts w:ascii="宋体" w:hAnsi="宋体" w:hint="eastAsia"/>
          <w:b/>
          <w:sz w:val="24"/>
        </w:rPr>
        <w:t>十六、违约责任</w:t>
      </w:r>
      <w:bookmarkEnd w:id="79"/>
    </w:p>
    <w:p w14:paraId="76187F11" w14:textId="77777777" w:rsidR="00980B4C" w:rsidRDefault="003140D0">
      <w:pPr>
        <w:spacing w:line="360" w:lineRule="auto"/>
        <w:ind w:firstLineChars="200" w:firstLine="420"/>
        <w:rPr>
          <w:bCs/>
          <w:szCs w:val="21"/>
        </w:rPr>
      </w:pPr>
      <w:r>
        <w:rPr>
          <w:rFonts w:ascii="宋体" w:hAnsi="宋体" w:hint="eastAsia"/>
          <w:szCs w:val="21"/>
        </w:rPr>
        <w:t>（一）如果由于基金管理人或基金托管人的过错，不履行本协议或者违反本协议约定的，有过错的一方应当承担违约责任，给另一方当事人造成损失的，应就直接损失进行赔偿。如果由于双方的过错，不履行本协议或者违反本协议约定的，应根据实际情况，由双方分别承担各自应负的违约责任</w:t>
      </w:r>
      <w:r>
        <w:rPr>
          <w:rFonts w:hint="eastAsia"/>
          <w:bCs/>
          <w:szCs w:val="21"/>
        </w:rPr>
        <w:t>，给基金财产或者基金份额持有人造成损害的，应当分别对各自的行为依法承担赔偿责任；因共同行为给基金财产或者基金份额持有人造成损害的，应当承担连带赔偿责任。对损失的赔偿，仅限于直接损失。</w:t>
      </w:r>
      <w:r>
        <w:rPr>
          <w:rFonts w:ascii="宋体" w:hAnsi="宋体" w:hint="eastAsia"/>
          <w:szCs w:val="21"/>
        </w:rPr>
        <w:t>但是发生下列情况，当事人免责：</w:t>
      </w:r>
    </w:p>
    <w:p w14:paraId="24CFAD5B"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1.基金管理人及基金托管人按照当时有效的法律法规或中国证监会的规定作为或不作为而造成的损失等；</w:t>
      </w:r>
    </w:p>
    <w:p w14:paraId="4E3A5167"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2.在没有欺诈或过失的情况下，基金管理人由于按照《基金合同》规定的投资原则而行使或不行使其投资权而造成的损失等；</w:t>
      </w:r>
    </w:p>
    <w:p w14:paraId="2E51B1FD"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3. 发生自然灾害等不可抗力情形。</w:t>
      </w:r>
    </w:p>
    <w:p w14:paraId="0F25FB06" w14:textId="77777777" w:rsidR="00980B4C" w:rsidRDefault="003140D0">
      <w:pPr>
        <w:spacing w:line="360" w:lineRule="auto"/>
        <w:ind w:firstLineChars="200" w:firstLine="420"/>
        <w:rPr>
          <w:bCs/>
          <w:szCs w:val="21"/>
        </w:rPr>
      </w:pPr>
      <w:r>
        <w:rPr>
          <w:rFonts w:ascii="宋体" w:hAnsi="宋体" w:hint="eastAsia"/>
          <w:szCs w:val="21"/>
        </w:rPr>
        <w:t>（三）</w:t>
      </w:r>
      <w:r>
        <w:rPr>
          <w:rFonts w:hint="eastAsia"/>
          <w:bCs/>
          <w:szCs w:val="21"/>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3F1BCCED" w14:textId="77777777" w:rsidR="00980B4C" w:rsidRDefault="003140D0">
      <w:pPr>
        <w:spacing w:line="360" w:lineRule="auto"/>
        <w:ind w:firstLineChars="200" w:firstLine="420"/>
        <w:rPr>
          <w:rFonts w:ascii="宋体" w:hAnsi="宋体" w:hint="eastAsia"/>
          <w:szCs w:val="21"/>
          <w:lang w:val="zh-CN"/>
        </w:rPr>
      </w:pPr>
      <w:r>
        <w:rPr>
          <w:rFonts w:ascii="宋体" w:hAnsi="宋体" w:hint="eastAsia"/>
          <w:szCs w:val="21"/>
          <w:lang w:val="zh-CN"/>
        </w:rPr>
        <w:t>（四）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或减轻由此造成的影响。</w:t>
      </w:r>
    </w:p>
    <w:p w14:paraId="28917F55" w14:textId="77777777" w:rsidR="00980B4C" w:rsidRDefault="00980B4C">
      <w:pPr>
        <w:spacing w:line="360" w:lineRule="auto"/>
        <w:ind w:firstLineChars="200" w:firstLine="420"/>
        <w:rPr>
          <w:rFonts w:ascii="宋体" w:hAnsi="宋体" w:hint="eastAsia"/>
          <w:szCs w:val="21"/>
          <w:lang w:val="zh-CN"/>
        </w:rPr>
      </w:pPr>
    </w:p>
    <w:p w14:paraId="70CEB48C" w14:textId="77777777" w:rsidR="00980B4C" w:rsidRDefault="003140D0">
      <w:pPr>
        <w:spacing w:line="500" w:lineRule="atLeast"/>
        <w:jc w:val="center"/>
        <w:outlineLvl w:val="0"/>
        <w:rPr>
          <w:rFonts w:ascii="宋体" w:hAnsi="宋体" w:hint="eastAsia"/>
        </w:rPr>
      </w:pPr>
      <w:bookmarkStart w:id="80" w:name="_Toc382819134"/>
      <w:r>
        <w:rPr>
          <w:rFonts w:ascii="宋体" w:hAnsi="宋体" w:hint="eastAsia"/>
          <w:b/>
          <w:sz w:val="24"/>
        </w:rPr>
        <w:t>十七、适用法律及争议解决方式</w:t>
      </w:r>
      <w:bookmarkEnd w:id="80"/>
    </w:p>
    <w:p w14:paraId="44F14270" w14:textId="77777777" w:rsidR="00980B4C" w:rsidRDefault="003140D0">
      <w:pPr>
        <w:spacing w:line="360" w:lineRule="auto"/>
        <w:ind w:firstLineChars="200" w:firstLine="420"/>
        <w:rPr>
          <w:rFonts w:ascii="宋体" w:hAnsi="宋体" w:hint="eastAsia"/>
          <w:szCs w:val="21"/>
          <w:lang w:val="zh-CN"/>
        </w:rPr>
      </w:pPr>
      <w:r>
        <w:rPr>
          <w:rFonts w:ascii="宋体" w:hAnsi="宋体" w:hint="eastAsia"/>
          <w:szCs w:val="21"/>
          <w:lang w:val="zh-CN"/>
        </w:rPr>
        <w:t>各方当事人同意，因本协议而产生的或与本协议有关的一切争议，如经友好协商未能解决的，任何一方均有权将争议提交中国国际经济贸易仲裁委员会，按照其届时有效的仲裁规则进行仲裁，仲裁地点为北京市。仲裁裁决是终局性的，并对仲裁各方当事人具有约束力，除非仲裁裁决另有规定，仲裁费用由败诉方承担。</w:t>
      </w:r>
    </w:p>
    <w:p w14:paraId="768EABF5" w14:textId="77777777" w:rsidR="00980B4C" w:rsidRDefault="003140D0">
      <w:pPr>
        <w:spacing w:line="360" w:lineRule="auto"/>
        <w:ind w:firstLineChars="200" w:firstLine="420"/>
        <w:rPr>
          <w:rFonts w:ascii="宋体" w:hAnsi="宋体" w:hint="eastAsia"/>
          <w:szCs w:val="21"/>
          <w:lang w:val="zh-CN"/>
        </w:rPr>
      </w:pPr>
      <w:r>
        <w:rPr>
          <w:rFonts w:ascii="宋体" w:hAnsi="宋体" w:hint="eastAsia"/>
          <w:szCs w:val="21"/>
          <w:lang w:val="zh-CN"/>
        </w:rPr>
        <w:lastRenderedPageBreak/>
        <w:t>争议处理期间，各方当事人应恪守各自的职责，继续忠实、勤勉、尽责地履行基金合同和本协议规定的义务，维护基金份额持有人的合法权益。</w:t>
      </w:r>
    </w:p>
    <w:p w14:paraId="5A67DE13" w14:textId="77777777" w:rsidR="00980B4C" w:rsidRDefault="003140D0">
      <w:pPr>
        <w:spacing w:line="360" w:lineRule="auto"/>
        <w:ind w:firstLineChars="200" w:firstLine="420"/>
        <w:rPr>
          <w:rFonts w:ascii="宋体" w:hAnsi="宋体" w:hint="eastAsia"/>
          <w:szCs w:val="21"/>
        </w:rPr>
      </w:pPr>
      <w:r>
        <w:rPr>
          <w:rFonts w:ascii="宋体" w:hAnsi="宋体" w:hint="eastAsia"/>
          <w:szCs w:val="21"/>
          <w:lang w:val="zh-CN"/>
        </w:rPr>
        <w:t>本协议受中国法律（为本协议之目的，不包括香港特别行政区、澳门特别行政区和台湾地区法律）管辖并从其解释。</w:t>
      </w:r>
    </w:p>
    <w:p w14:paraId="5DBF5358" w14:textId="77777777" w:rsidR="00980B4C" w:rsidRDefault="00980B4C">
      <w:pPr>
        <w:spacing w:line="360" w:lineRule="auto"/>
        <w:ind w:firstLineChars="200" w:firstLine="420"/>
        <w:rPr>
          <w:rFonts w:ascii="宋体" w:hAnsi="宋体" w:hint="eastAsia"/>
          <w:szCs w:val="21"/>
        </w:rPr>
      </w:pPr>
    </w:p>
    <w:p w14:paraId="0FED4C03" w14:textId="77777777" w:rsidR="00980B4C" w:rsidRDefault="003140D0">
      <w:pPr>
        <w:spacing w:line="500" w:lineRule="atLeast"/>
        <w:jc w:val="center"/>
        <w:outlineLvl w:val="0"/>
        <w:rPr>
          <w:rFonts w:ascii="宋体" w:hAnsi="宋体" w:hint="eastAsia"/>
        </w:rPr>
      </w:pPr>
      <w:bookmarkStart w:id="81" w:name="_Toc382819135"/>
      <w:r>
        <w:rPr>
          <w:rFonts w:ascii="宋体" w:hAnsi="宋体" w:hint="eastAsia"/>
          <w:b/>
          <w:sz w:val="24"/>
        </w:rPr>
        <w:t>十八、基金托管协议的效力和文本</w:t>
      </w:r>
      <w:bookmarkEnd w:id="81"/>
    </w:p>
    <w:p w14:paraId="1D89B7EE" w14:textId="77777777" w:rsidR="00980B4C" w:rsidRDefault="003140D0">
      <w:pPr>
        <w:pStyle w:val="a7"/>
        <w:rPr>
          <w:rFonts w:ascii="宋体" w:hAnsi="宋体" w:hint="eastAsia"/>
          <w:szCs w:val="21"/>
        </w:rPr>
      </w:pPr>
      <w:r>
        <w:rPr>
          <w:rFonts w:ascii="宋体" w:hAnsi="宋体" w:hint="eastAsia"/>
          <w:szCs w:val="21"/>
        </w:rPr>
        <w:t>（一）</w:t>
      </w:r>
      <w:r>
        <w:rPr>
          <w:rFonts w:ascii="宋体" w:hAnsi="宋体" w:cs="Arial" w:hint="eastAsia"/>
          <w:kern w:val="44"/>
          <w:szCs w:val="21"/>
        </w:rPr>
        <w:t>本协议经基金管理人、基金托管人双方加盖公章或合同专用章以及双方法定代表人或授权代表签字或盖章后成立</w:t>
      </w:r>
      <w:r>
        <w:rPr>
          <w:rFonts w:ascii="宋体" w:hAnsi="宋体" w:hint="eastAsia"/>
          <w:szCs w:val="21"/>
        </w:rPr>
        <w:t>。本协议以中国证监会注册的文本为正式文本。基金管理人应确保报送证监会注册/备案的文本与双方签署的文本一致</w:t>
      </w:r>
    </w:p>
    <w:p w14:paraId="4761D8B6" w14:textId="77777777" w:rsidR="00980B4C" w:rsidRDefault="003140D0">
      <w:pPr>
        <w:pStyle w:val="a7"/>
        <w:rPr>
          <w:rFonts w:ascii="宋体" w:hAnsi="宋体" w:hint="eastAsia"/>
          <w:szCs w:val="21"/>
        </w:rPr>
      </w:pPr>
      <w:r>
        <w:rPr>
          <w:rFonts w:ascii="宋体" w:hAnsi="宋体" w:hint="eastAsia"/>
          <w:szCs w:val="21"/>
        </w:rPr>
        <w:t>（二）本协议自本协议成立且《基金合同》生效之日起生效，有效期自其生效之日起至该基金财产清算结果报中国证监会备案并公告之日止。如发生第十五条约定的其他情形的，则自相应情形发生时终止。本协议约定与《基金合同》不一致的，以本协议为准。</w:t>
      </w:r>
    </w:p>
    <w:p w14:paraId="0FC3A140"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（三）本协议自生效之日起对各当事人具有同等的法律约束力。</w:t>
      </w:r>
    </w:p>
    <w:p w14:paraId="5F0DD3A3" w14:textId="77777777" w:rsidR="00980B4C" w:rsidRDefault="003140D0">
      <w:pPr>
        <w:spacing w:line="360" w:lineRule="auto"/>
        <w:ind w:firstLineChars="200" w:firstLine="420"/>
        <w:rPr>
          <w:rFonts w:ascii="宋体" w:hAnsi="宋体" w:hint="eastAsia"/>
          <w:szCs w:val="21"/>
        </w:rPr>
      </w:pPr>
      <w:r>
        <w:rPr>
          <w:rFonts w:ascii="宋体" w:hAnsi="宋体" w:hint="eastAsia"/>
          <w:szCs w:val="21"/>
        </w:rPr>
        <w:t>（四）本协议正本一式三份，除上报有关监管机构一份外，基金管理人、基金托管人各持有一份，每份具有同等的法律效力。</w:t>
      </w:r>
    </w:p>
    <w:p w14:paraId="307D07AE" w14:textId="77777777" w:rsidR="00980B4C" w:rsidRDefault="00980B4C">
      <w:pPr>
        <w:spacing w:line="360" w:lineRule="auto"/>
        <w:ind w:firstLineChars="200" w:firstLine="420"/>
        <w:rPr>
          <w:rFonts w:ascii="宋体" w:hAnsi="宋体" w:hint="eastAsia"/>
          <w:szCs w:val="21"/>
        </w:rPr>
      </w:pPr>
    </w:p>
    <w:p w14:paraId="479C7487" w14:textId="77777777" w:rsidR="00980B4C" w:rsidRDefault="003140D0">
      <w:pPr>
        <w:spacing w:line="500" w:lineRule="atLeast"/>
        <w:jc w:val="center"/>
        <w:outlineLvl w:val="0"/>
        <w:rPr>
          <w:rFonts w:ascii="宋体" w:hAnsi="宋体" w:hint="eastAsia"/>
        </w:rPr>
      </w:pPr>
      <w:r>
        <w:rPr>
          <w:rFonts w:ascii="宋体" w:hAnsi="宋体"/>
          <w:b/>
          <w:sz w:val="24"/>
        </w:rPr>
        <w:t xml:space="preserve"> </w:t>
      </w:r>
      <w:bookmarkStart w:id="82" w:name="_Toc382819136"/>
      <w:r>
        <w:rPr>
          <w:rFonts w:ascii="宋体" w:hAnsi="宋体" w:hint="eastAsia"/>
          <w:b/>
          <w:sz w:val="24"/>
        </w:rPr>
        <w:t>十九、其他事项</w:t>
      </w:r>
      <w:bookmarkEnd w:id="82"/>
    </w:p>
    <w:p w14:paraId="582F4279" w14:textId="77777777" w:rsidR="00980B4C" w:rsidRDefault="003140D0">
      <w:pPr>
        <w:pStyle w:val="a7"/>
        <w:rPr>
          <w:rFonts w:ascii="宋体" w:hAnsi="宋体" w:hint="eastAsia"/>
          <w:szCs w:val="21"/>
        </w:rPr>
      </w:pPr>
      <w:r>
        <w:rPr>
          <w:rFonts w:ascii="宋体" w:hAnsi="宋体" w:hint="eastAsia"/>
          <w:szCs w:val="21"/>
        </w:rPr>
        <w:t>（一）双方在此确认，双方均已充分了解和知悉各方反对其员工利用职务之便谋取任何形式利益之立场，并承诺将本着廉洁公平原则避免此类情形，不向对方的员工私自提供任何形式的回扣、礼金、有价证券、贵重物品、各种奖励、私人费用补偿、私人旅游、高消费娱乐等不当利益。</w:t>
      </w:r>
    </w:p>
    <w:p w14:paraId="2815F739" w14:textId="77777777" w:rsidR="00980B4C" w:rsidRDefault="003140D0">
      <w:pPr>
        <w:pStyle w:val="a7"/>
        <w:rPr>
          <w:rFonts w:ascii="宋体" w:hAnsi="宋体" w:hint="eastAsia"/>
          <w:szCs w:val="21"/>
        </w:rPr>
      </w:pPr>
      <w:r>
        <w:rPr>
          <w:rFonts w:ascii="宋体" w:hAnsi="宋体" w:hint="eastAsia"/>
          <w:szCs w:val="21"/>
        </w:rPr>
        <w:t>（二）反洗钱义务</w:t>
      </w:r>
    </w:p>
    <w:p w14:paraId="6DBA0252" w14:textId="77777777" w:rsidR="00980B4C" w:rsidRDefault="003140D0">
      <w:pPr>
        <w:pStyle w:val="a7"/>
        <w:rPr>
          <w:rFonts w:ascii="宋体" w:hAnsi="宋体" w:hint="eastAsia"/>
          <w:szCs w:val="21"/>
        </w:rPr>
      </w:pPr>
      <w:r>
        <w:rPr>
          <w:rFonts w:ascii="宋体" w:hAnsi="宋体" w:hint="eastAsia"/>
          <w:szCs w:val="21"/>
        </w:rPr>
        <w:t>基金管理人承诺自愿遵守反洗钱反恐怖融资法律法规，不参与涉嫌洗钱、恐怖融资、扩散融资等违法犯罪活动；主动配合基金托管人进行客户身份识别与尽职调查，提供真实、准确、完整客户资料，遵守各方反洗钱与反恐怖融资相关管理规定。如基金管理人信息（包括但不限于名称、法定代表人、住所、经营范围等）发生变化时，应当及时告知基金托管人。基金托管人若具备合理理由怀疑基金管理人涉嫌洗钱、恐怖融资的，有权按照中国人民银行反洗钱监管规定采取必要管控措施，或单方面终止本协议且不执行基金管理人的交易指令。</w:t>
      </w:r>
    </w:p>
    <w:p w14:paraId="13F801F9" w14:textId="77777777" w:rsidR="00980B4C" w:rsidRDefault="003140D0">
      <w:pPr>
        <w:pStyle w:val="a7"/>
        <w:rPr>
          <w:rFonts w:ascii="宋体" w:hAnsi="宋体" w:hint="eastAsia"/>
          <w:szCs w:val="21"/>
        </w:rPr>
      </w:pPr>
      <w:r>
        <w:rPr>
          <w:rFonts w:ascii="宋体" w:hAnsi="宋体" w:hint="eastAsia"/>
          <w:szCs w:val="21"/>
        </w:rPr>
        <w:t>基金管理人确认并同意，基金托管人有权根据适用的反洗钱法律法规规定及内部管理要</w:t>
      </w:r>
      <w:r>
        <w:rPr>
          <w:rFonts w:ascii="宋体" w:hAnsi="宋体" w:hint="eastAsia"/>
          <w:szCs w:val="21"/>
        </w:rPr>
        <w:lastRenderedPageBreak/>
        <w:t>求对基金管理人及本协议项下合作所涉及的交易等进行洗钱风险评估，若基金管理人违反银行反洗钱管理规定，或基金托管人具备合理理由怀疑基金管理人及/或本协议项下业务涉嫌参与联合国安理会、反洗钱金融行动特别工作组、中国、美国、欧盟、英国、新加坡等国际组织或国家认定的洗钱、 制裁、恐怖融资或大规模杀伤性武器扩散融资活动、出口管制、或逃税等违法违规行为的，基金托管人有权按照中国人民银行反洗钱监管规定等规定及内部管理规定等采取必要的管控措施。同时，基金托管人有权不经通知基金管理人，直接限制、暂停本协议项下全部或部分业务，有权终止本协议，并有权要求基金管理人承担因此给基金托管人造成的所有损失。</w:t>
      </w:r>
    </w:p>
    <w:p w14:paraId="2C705C70" w14:textId="77777777" w:rsidR="00980B4C" w:rsidRDefault="003140D0">
      <w:pPr>
        <w:pStyle w:val="a7"/>
        <w:rPr>
          <w:rFonts w:ascii="宋体" w:hAnsi="宋体" w:hint="eastAsia"/>
          <w:szCs w:val="21"/>
        </w:rPr>
      </w:pPr>
      <w:r>
        <w:rPr>
          <w:rFonts w:ascii="宋体" w:hAnsi="宋体" w:hint="eastAsia"/>
          <w:szCs w:val="21"/>
        </w:rPr>
        <w:t>（三）通知</w:t>
      </w:r>
    </w:p>
    <w:p w14:paraId="6D970A41" w14:textId="77777777" w:rsidR="00980B4C" w:rsidRDefault="003140D0">
      <w:pPr>
        <w:spacing w:line="360" w:lineRule="auto"/>
        <w:ind w:firstLineChars="171" w:firstLine="359"/>
        <w:rPr>
          <w:rFonts w:ascii="宋体" w:hAnsi="宋体" w:hint="eastAsia"/>
          <w:szCs w:val="21"/>
        </w:rPr>
      </w:pPr>
      <w:r>
        <w:rPr>
          <w:rFonts w:ascii="宋体" w:hAnsi="宋体" w:hint="eastAsia"/>
          <w:szCs w:val="21"/>
        </w:rPr>
        <w:t>1</w:t>
      </w:r>
      <w:r>
        <w:rPr>
          <w:rFonts w:ascii="宋体" w:hAnsi="宋体"/>
          <w:szCs w:val="21"/>
        </w:rPr>
        <w:t>.</w:t>
      </w:r>
      <w:r>
        <w:rPr>
          <w:rFonts w:ascii="宋体" w:hAnsi="宋体" w:hint="eastAsia"/>
          <w:szCs w:val="21"/>
        </w:rPr>
        <w:t>除本协议另有约定外，其他与本协议有关的通知应以书面形式作出，并送达至协议约定的地址，如果相关信息发生变动，变动的一方应当在变动发生之日起五（5）日书面通知其他各方。</w:t>
      </w:r>
    </w:p>
    <w:p w14:paraId="56714A16" w14:textId="77777777" w:rsidR="00980B4C" w:rsidRDefault="003140D0">
      <w:pPr>
        <w:spacing w:line="360" w:lineRule="auto"/>
        <w:ind w:firstLineChars="171" w:firstLine="359"/>
        <w:rPr>
          <w:rFonts w:ascii="宋体" w:hAnsi="宋体" w:hint="eastAsia"/>
          <w:szCs w:val="21"/>
        </w:rPr>
      </w:pPr>
      <w:r>
        <w:rPr>
          <w:rFonts w:ascii="宋体" w:hAnsi="宋体" w:hint="eastAsia"/>
          <w:szCs w:val="21"/>
        </w:rPr>
        <w:t>2由本协议一方以专人递送给另一方，或以邮递方式发出。该等通知以专人递送，于递交时视为送达；以邮递方式发出，于收件人签收时视为送达；以电子邮件方式发出，收件方服务器接收视为送达。</w:t>
      </w:r>
    </w:p>
    <w:p w14:paraId="53340C2D" w14:textId="77777777" w:rsidR="00980B4C" w:rsidRDefault="003140D0">
      <w:pPr>
        <w:spacing w:line="360" w:lineRule="auto"/>
        <w:ind w:firstLineChars="171" w:firstLine="359"/>
        <w:rPr>
          <w:rFonts w:ascii="宋体" w:hAnsi="宋体" w:hint="eastAsia"/>
          <w:szCs w:val="21"/>
        </w:rPr>
      </w:pPr>
      <w:r>
        <w:rPr>
          <w:rFonts w:ascii="宋体" w:hAnsi="宋体" w:hint="eastAsia"/>
          <w:szCs w:val="21"/>
        </w:rPr>
        <w:t>3任何一方在任何时间改变接收通知所用的地址都应立即将该变更通过本协议约定或各方认可的方式通知另一方；如果该变更通知未能送达，递交给上述收件人或地址的通知或联络应视为被正常发送和接收。</w:t>
      </w:r>
    </w:p>
    <w:p w14:paraId="0EC4008E" w14:textId="77777777" w:rsidR="00980B4C" w:rsidRDefault="003140D0">
      <w:pPr>
        <w:spacing w:line="360" w:lineRule="auto"/>
        <w:ind w:firstLineChars="171" w:firstLine="359"/>
        <w:rPr>
          <w:rFonts w:ascii="宋体" w:hAnsi="宋体" w:hint="eastAsia"/>
          <w:szCs w:val="21"/>
        </w:rPr>
      </w:pPr>
      <w:r>
        <w:rPr>
          <w:rFonts w:ascii="宋体" w:hAnsi="宋体" w:hint="eastAsia"/>
          <w:szCs w:val="21"/>
        </w:rPr>
        <w:t>4各方确认，本协议首页列明的各方地址为其有效的送达地址。对本协议项下所发生的任何诉讼（包括一审、二审和再审等任何诉讼程序和执行程序）过程中对其发出的函件、传票、通知等法律文书，只要以邮寄或本协议约定或各方认可的方式发送至本协议首页列明的送达地址即视为送达，具体送达日期适用《民事诉讼法》中关于送达日期的规定。上述邮寄送达地址的变更非经提前通知另一方，不发生法律效力，本协议中确认的送达地址仍然视为有效的送达地址。</w:t>
      </w:r>
    </w:p>
    <w:p w14:paraId="1055F1C6" w14:textId="77777777" w:rsidR="00980B4C" w:rsidRDefault="003140D0">
      <w:pPr>
        <w:pStyle w:val="a7"/>
        <w:rPr>
          <w:rFonts w:ascii="宋体" w:hAnsi="宋体" w:hint="eastAsia"/>
          <w:szCs w:val="21"/>
        </w:rPr>
      </w:pPr>
      <w:r>
        <w:rPr>
          <w:rFonts w:ascii="宋体" w:hAnsi="宋体" w:hint="eastAsia"/>
          <w:szCs w:val="21"/>
        </w:rPr>
        <w:t>（四）本协议未尽事宜，当事人依据《基金合同》以及有关法律、法规和规定协商办理。</w:t>
      </w:r>
    </w:p>
    <w:p w14:paraId="4C28F685" w14:textId="77777777" w:rsidR="00980B4C" w:rsidRDefault="00980B4C">
      <w:pPr>
        <w:pStyle w:val="a7"/>
        <w:rPr>
          <w:rFonts w:ascii="宋体" w:hAnsi="宋体" w:hint="eastAsia"/>
          <w:szCs w:val="21"/>
        </w:rPr>
      </w:pPr>
    </w:p>
    <w:p w14:paraId="44ACBA6B" w14:textId="405C9FF8" w:rsidR="00980B4C" w:rsidRDefault="003140D0">
      <w:pPr>
        <w:spacing w:line="360" w:lineRule="auto"/>
        <w:ind w:right="26"/>
        <w:rPr>
          <w:rFonts w:ascii="宋体" w:hAnsi="宋体" w:hint="eastAsia"/>
          <w:b/>
          <w:bCs/>
          <w:szCs w:val="21"/>
        </w:rPr>
      </w:pPr>
      <w:r>
        <w:rPr>
          <w:rFonts w:ascii="宋体" w:hAnsi="宋体" w:hint="eastAsia"/>
          <w:szCs w:val="21"/>
        </w:rPr>
        <w:t>（本页以下无正文）</w:t>
      </w:r>
    </w:p>
    <w:p w14:paraId="343F6ECB" w14:textId="317A5B26" w:rsidR="003202AE" w:rsidRDefault="003140D0">
      <w:pPr>
        <w:spacing w:line="360" w:lineRule="auto"/>
        <w:ind w:right="26"/>
        <w:rPr>
          <w:rFonts w:ascii="宋体" w:hAnsi="宋体" w:hint="eastAsia"/>
          <w:b/>
          <w:bCs/>
          <w:szCs w:val="21"/>
        </w:rPr>
      </w:pPr>
      <w:r>
        <w:rPr>
          <w:rFonts w:ascii="宋体" w:hAnsi="宋体" w:hint="eastAsia"/>
          <w:b/>
          <w:bCs/>
          <w:szCs w:val="21"/>
        </w:rPr>
        <w:t xml:space="preserve">    </w:t>
      </w:r>
    </w:p>
    <w:p w14:paraId="3E078D75" w14:textId="77777777" w:rsidR="003202AE" w:rsidRDefault="003202AE">
      <w:pPr>
        <w:widowControl/>
        <w:jc w:val="left"/>
        <w:rPr>
          <w:rFonts w:ascii="宋体" w:hAnsi="宋体" w:hint="eastAsia"/>
          <w:b/>
          <w:bCs/>
          <w:szCs w:val="21"/>
        </w:rPr>
      </w:pPr>
      <w:r>
        <w:rPr>
          <w:rFonts w:ascii="宋体" w:hAnsi="宋体" w:hint="eastAsia"/>
          <w:b/>
          <w:bCs/>
          <w:szCs w:val="21"/>
        </w:rPr>
        <w:br w:type="page"/>
      </w:r>
    </w:p>
    <w:p w14:paraId="6AAC0522" w14:textId="46CFF0A0" w:rsidR="003202AE" w:rsidRDefault="003202AE" w:rsidP="003202AE">
      <w:pPr>
        <w:spacing w:line="360" w:lineRule="auto"/>
        <w:ind w:right="26"/>
        <w:rPr>
          <w:rFonts w:ascii="宋体" w:hAnsi="宋体" w:hint="eastAsia"/>
          <w:b/>
          <w:szCs w:val="21"/>
        </w:rPr>
      </w:pPr>
      <w:r>
        <w:rPr>
          <w:rFonts w:ascii="宋体" w:hAnsi="宋体" w:hint="eastAsia"/>
          <w:b/>
          <w:bCs/>
          <w:szCs w:val="21"/>
        </w:rPr>
        <w:lastRenderedPageBreak/>
        <w:t xml:space="preserve">    </w:t>
      </w:r>
      <w:r>
        <w:rPr>
          <w:rFonts w:ascii="宋体" w:hAnsi="宋体" w:hint="eastAsia"/>
          <w:b/>
          <w:szCs w:val="21"/>
        </w:rPr>
        <w:t>本协议由下述双方于</w:t>
      </w:r>
      <w:r w:rsidR="0005663F" w:rsidRPr="0005663F">
        <w:rPr>
          <w:rFonts w:ascii="宋体" w:hAnsi="宋体"/>
          <w:b/>
          <w:szCs w:val="21"/>
          <w:u w:val="single"/>
        </w:rPr>
        <w:t>____</w:t>
      </w:r>
      <w:r w:rsidR="0005663F">
        <w:rPr>
          <w:rFonts w:ascii="宋体" w:hAnsi="宋体" w:hint="eastAsia"/>
          <w:b/>
          <w:szCs w:val="21"/>
          <w:u w:val="single"/>
        </w:rPr>
        <w:t>2026</w:t>
      </w:r>
      <w:r w:rsidR="0005663F" w:rsidRPr="0005663F">
        <w:rPr>
          <w:rFonts w:ascii="宋体" w:hAnsi="宋体"/>
          <w:b/>
          <w:szCs w:val="21"/>
          <w:u w:val="single"/>
        </w:rPr>
        <w:t>_____</w:t>
      </w:r>
      <w:r w:rsidR="0005663F" w:rsidRPr="0005663F">
        <w:rPr>
          <w:rFonts w:ascii="宋体" w:hAnsi="宋体"/>
          <w:b/>
          <w:szCs w:val="21"/>
        </w:rPr>
        <w:t>年</w:t>
      </w:r>
      <w:r w:rsidR="0005663F" w:rsidRPr="0005663F">
        <w:rPr>
          <w:rFonts w:ascii="宋体" w:hAnsi="宋体"/>
          <w:b/>
          <w:szCs w:val="21"/>
          <w:u w:val="single"/>
        </w:rPr>
        <w:t>___</w:t>
      </w:r>
      <w:r w:rsidR="0005663F">
        <w:rPr>
          <w:rFonts w:ascii="宋体" w:hAnsi="宋体" w:hint="eastAsia"/>
          <w:b/>
          <w:szCs w:val="21"/>
          <w:u w:val="single"/>
        </w:rPr>
        <w:t>10</w:t>
      </w:r>
      <w:r w:rsidR="0005663F" w:rsidRPr="0005663F">
        <w:rPr>
          <w:rFonts w:ascii="宋体" w:hAnsi="宋体"/>
          <w:b/>
          <w:szCs w:val="21"/>
          <w:u w:val="single"/>
        </w:rPr>
        <w:t>___</w:t>
      </w:r>
      <w:r w:rsidR="0005663F" w:rsidRPr="0005663F">
        <w:rPr>
          <w:rFonts w:ascii="宋体" w:hAnsi="宋体"/>
          <w:b/>
          <w:szCs w:val="21"/>
        </w:rPr>
        <w:t>月</w:t>
      </w:r>
      <w:r w:rsidR="0005663F" w:rsidRPr="0005663F">
        <w:rPr>
          <w:rFonts w:ascii="宋体" w:hAnsi="宋体"/>
          <w:b/>
          <w:szCs w:val="21"/>
          <w:u w:val="single"/>
        </w:rPr>
        <w:t>__</w:t>
      </w:r>
      <w:r w:rsidR="0005663F">
        <w:rPr>
          <w:rFonts w:ascii="宋体" w:hAnsi="宋体" w:hint="eastAsia"/>
          <w:b/>
          <w:szCs w:val="21"/>
          <w:u w:val="single"/>
        </w:rPr>
        <w:t>16</w:t>
      </w:r>
      <w:r w:rsidR="0005663F" w:rsidRPr="0005663F">
        <w:rPr>
          <w:rFonts w:ascii="宋体" w:hAnsi="宋体"/>
          <w:b/>
          <w:szCs w:val="21"/>
          <w:u w:val="single"/>
        </w:rPr>
        <w:t>__</w:t>
      </w:r>
      <w:r w:rsidR="0005663F" w:rsidRPr="0005663F">
        <w:rPr>
          <w:rFonts w:ascii="宋体" w:hAnsi="宋体"/>
          <w:b/>
          <w:szCs w:val="21"/>
        </w:rPr>
        <w:t>日</w:t>
      </w:r>
      <w:r>
        <w:rPr>
          <w:rFonts w:ascii="宋体" w:hAnsi="宋体" w:hint="eastAsia"/>
          <w:b/>
          <w:szCs w:val="21"/>
        </w:rPr>
        <w:t>签署。双方确认，在签署本协议时，双方已就全部条款进行了详细地说明和讨论，双方对协议的全部条款均无疑义，并对本协议中当事人有关权利义务和责任限制或免除条款的法律含义有准确无误的理解。</w:t>
      </w:r>
    </w:p>
    <w:p w14:paraId="644DE176" w14:textId="77777777" w:rsidR="003202AE" w:rsidRDefault="003202AE" w:rsidP="003202AE">
      <w:pPr>
        <w:spacing w:line="360" w:lineRule="auto"/>
        <w:ind w:right="26"/>
        <w:rPr>
          <w:rFonts w:ascii="宋体" w:hAnsi="宋体" w:hint="eastAsia"/>
          <w:szCs w:val="21"/>
        </w:rPr>
      </w:pPr>
    </w:p>
    <w:p w14:paraId="1ACF4C3A" w14:textId="77777777" w:rsidR="003202AE" w:rsidRDefault="003202AE" w:rsidP="003202AE">
      <w:pPr>
        <w:spacing w:line="360" w:lineRule="auto"/>
        <w:ind w:right="26"/>
        <w:rPr>
          <w:rFonts w:ascii="宋体" w:hAnsi="宋体" w:hint="eastAsia"/>
          <w:szCs w:val="21"/>
        </w:rPr>
      </w:pPr>
    </w:p>
    <w:tbl>
      <w:tblPr>
        <w:tblW w:w="0" w:type="auto"/>
        <w:tblLook w:val="04A0" w:firstRow="1" w:lastRow="0" w:firstColumn="1" w:lastColumn="0" w:noHBand="0" w:noVBand="1"/>
      </w:tblPr>
      <w:tblGrid>
        <w:gridCol w:w="4153"/>
        <w:gridCol w:w="4153"/>
      </w:tblGrid>
      <w:tr w:rsidR="003202AE" w:rsidRPr="001B5B01" w14:paraId="573A064D" w14:textId="77777777" w:rsidTr="00170D8E">
        <w:tc>
          <w:tcPr>
            <w:tcW w:w="4261" w:type="dxa"/>
          </w:tcPr>
          <w:p w14:paraId="1DAC172D" w14:textId="77777777" w:rsidR="003202AE" w:rsidRPr="001B5B01" w:rsidRDefault="003202AE" w:rsidP="00170D8E">
            <w:pPr>
              <w:spacing w:line="360" w:lineRule="auto"/>
              <w:ind w:right="26"/>
              <w:rPr>
                <w:rFonts w:ascii="宋体" w:hAnsi="宋体" w:hint="eastAsia"/>
                <w:b/>
                <w:bCs/>
                <w:szCs w:val="21"/>
              </w:rPr>
            </w:pPr>
            <w:r w:rsidRPr="001B5B01">
              <w:rPr>
                <w:rFonts w:ascii="宋体" w:hAnsi="宋体" w:hint="eastAsia"/>
                <w:b/>
                <w:szCs w:val="21"/>
              </w:rPr>
              <w:t>基金管理人</w:t>
            </w:r>
            <w:r w:rsidRPr="001B5B01">
              <w:rPr>
                <w:rFonts w:ascii="宋体" w:hAnsi="宋体" w:hint="eastAsia"/>
                <w:b/>
                <w:bCs/>
                <w:szCs w:val="21"/>
              </w:rPr>
              <w:t>：</w:t>
            </w:r>
          </w:p>
          <w:p w14:paraId="6E01E579" w14:textId="77777777" w:rsidR="003202AE" w:rsidRPr="001B5B01" w:rsidRDefault="003202AE" w:rsidP="00170D8E">
            <w:pPr>
              <w:spacing w:line="360" w:lineRule="auto"/>
              <w:ind w:right="26"/>
              <w:rPr>
                <w:rFonts w:ascii="宋体" w:hAnsi="宋体" w:hint="eastAsia"/>
                <w:szCs w:val="21"/>
              </w:rPr>
            </w:pPr>
            <w:r w:rsidRPr="00DD2D17">
              <w:rPr>
                <w:rFonts w:ascii="宋体" w:hAnsi="宋体" w:hint="eastAsia"/>
                <w:b/>
                <w:szCs w:val="21"/>
              </w:rPr>
              <w:t>天弘基金管理有限公司</w:t>
            </w:r>
          </w:p>
        </w:tc>
        <w:tc>
          <w:tcPr>
            <w:tcW w:w="4261" w:type="dxa"/>
          </w:tcPr>
          <w:p w14:paraId="59CD41C6" w14:textId="77777777" w:rsidR="003202AE" w:rsidRPr="001B5B01" w:rsidRDefault="003202AE" w:rsidP="00170D8E">
            <w:pPr>
              <w:spacing w:line="360" w:lineRule="auto"/>
              <w:ind w:right="26"/>
              <w:rPr>
                <w:rFonts w:ascii="宋体" w:hAnsi="宋体" w:hint="eastAsia"/>
                <w:b/>
                <w:szCs w:val="21"/>
              </w:rPr>
            </w:pPr>
            <w:r w:rsidRPr="001B5B01">
              <w:rPr>
                <w:rFonts w:ascii="宋体" w:hAnsi="宋体" w:hint="eastAsia"/>
                <w:b/>
                <w:szCs w:val="21"/>
              </w:rPr>
              <w:t>基金托管人：</w:t>
            </w:r>
          </w:p>
          <w:p w14:paraId="32613BA5" w14:textId="77777777" w:rsidR="003202AE" w:rsidRPr="001B5B01" w:rsidRDefault="003202AE" w:rsidP="00170D8E">
            <w:pPr>
              <w:spacing w:line="360" w:lineRule="auto"/>
              <w:ind w:right="26"/>
              <w:rPr>
                <w:rFonts w:ascii="宋体" w:hAnsi="宋体" w:hint="eastAsia"/>
                <w:szCs w:val="21"/>
              </w:rPr>
            </w:pPr>
            <w:r w:rsidRPr="001B5B01">
              <w:rPr>
                <w:rFonts w:ascii="宋体" w:hAnsi="宋体" w:hint="eastAsia"/>
                <w:b/>
                <w:szCs w:val="21"/>
              </w:rPr>
              <w:t>上海浦东发展银行股份有限公司</w:t>
            </w:r>
          </w:p>
        </w:tc>
      </w:tr>
      <w:tr w:rsidR="003202AE" w:rsidRPr="001B5B01" w14:paraId="1C6EDF33" w14:textId="77777777" w:rsidTr="00170D8E">
        <w:tc>
          <w:tcPr>
            <w:tcW w:w="4261" w:type="dxa"/>
          </w:tcPr>
          <w:p w14:paraId="68109E3F" w14:textId="77777777" w:rsidR="003202AE" w:rsidRPr="001B5B01" w:rsidRDefault="003202AE" w:rsidP="00170D8E">
            <w:pPr>
              <w:spacing w:line="360" w:lineRule="auto"/>
              <w:ind w:right="26"/>
              <w:rPr>
                <w:rFonts w:ascii="宋体" w:hAnsi="宋体" w:hint="eastAsia"/>
                <w:b/>
                <w:szCs w:val="21"/>
              </w:rPr>
            </w:pPr>
            <w:r w:rsidRPr="001B5B01">
              <w:rPr>
                <w:rFonts w:ascii="宋体" w:hAnsi="宋体" w:hint="eastAsia"/>
                <w:b/>
                <w:szCs w:val="21"/>
              </w:rPr>
              <w:t>（公章或合同专用章）</w:t>
            </w:r>
          </w:p>
          <w:p w14:paraId="6093D4C4" w14:textId="77777777" w:rsidR="003202AE" w:rsidRPr="001B5B01" w:rsidRDefault="003202AE" w:rsidP="00170D8E">
            <w:pPr>
              <w:spacing w:line="360" w:lineRule="auto"/>
              <w:ind w:right="26"/>
              <w:rPr>
                <w:rFonts w:ascii="宋体" w:hAnsi="宋体" w:hint="eastAsia"/>
                <w:szCs w:val="21"/>
              </w:rPr>
            </w:pPr>
          </w:p>
          <w:p w14:paraId="2256430A" w14:textId="77777777" w:rsidR="003202AE" w:rsidRPr="001B5B01" w:rsidRDefault="003202AE" w:rsidP="00170D8E">
            <w:pPr>
              <w:spacing w:line="360" w:lineRule="auto"/>
              <w:ind w:right="26"/>
              <w:rPr>
                <w:rFonts w:ascii="宋体" w:hAnsi="宋体" w:hint="eastAsia"/>
                <w:szCs w:val="21"/>
              </w:rPr>
            </w:pPr>
          </w:p>
        </w:tc>
        <w:tc>
          <w:tcPr>
            <w:tcW w:w="4261" w:type="dxa"/>
          </w:tcPr>
          <w:p w14:paraId="62569652" w14:textId="77777777" w:rsidR="003202AE" w:rsidRPr="001B5B01" w:rsidRDefault="003202AE" w:rsidP="00170D8E">
            <w:pPr>
              <w:spacing w:line="360" w:lineRule="auto"/>
              <w:ind w:right="26"/>
              <w:rPr>
                <w:rFonts w:ascii="宋体" w:hAnsi="宋体" w:hint="eastAsia"/>
                <w:b/>
                <w:szCs w:val="21"/>
              </w:rPr>
            </w:pPr>
            <w:r w:rsidRPr="001B5B01">
              <w:rPr>
                <w:rFonts w:ascii="宋体" w:hAnsi="宋体" w:hint="eastAsia"/>
                <w:b/>
                <w:szCs w:val="21"/>
              </w:rPr>
              <w:t>（公章或合同专用章）</w:t>
            </w:r>
          </w:p>
          <w:p w14:paraId="2ED1B0C4" w14:textId="77777777" w:rsidR="003202AE" w:rsidRPr="001B5B01" w:rsidRDefault="003202AE" w:rsidP="00170D8E">
            <w:pPr>
              <w:spacing w:line="360" w:lineRule="auto"/>
              <w:ind w:right="26"/>
              <w:rPr>
                <w:rFonts w:ascii="宋体" w:hAnsi="宋体" w:hint="eastAsia"/>
                <w:szCs w:val="21"/>
              </w:rPr>
            </w:pPr>
          </w:p>
          <w:p w14:paraId="3D771509" w14:textId="77777777" w:rsidR="003202AE" w:rsidRPr="001B5B01" w:rsidRDefault="003202AE" w:rsidP="00170D8E">
            <w:pPr>
              <w:spacing w:line="360" w:lineRule="auto"/>
              <w:ind w:right="26"/>
              <w:rPr>
                <w:rFonts w:ascii="宋体" w:hAnsi="宋体" w:hint="eastAsia"/>
                <w:szCs w:val="21"/>
              </w:rPr>
            </w:pPr>
          </w:p>
        </w:tc>
      </w:tr>
      <w:tr w:rsidR="003202AE" w:rsidRPr="001B5B01" w14:paraId="053F9E29" w14:textId="77777777" w:rsidTr="00170D8E">
        <w:tc>
          <w:tcPr>
            <w:tcW w:w="4261" w:type="dxa"/>
          </w:tcPr>
          <w:p w14:paraId="647574B4" w14:textId="77777777" w:rsidR="003202AE" w:rsidRPr="001B5B01" w:rsidRDefault="003202AE" w:rsidP="00170D8E">
            <w:pPr>
              <w:spacing w:line="360" w:lineRule="auto"/>
              <w:ind w:right="26"/>
              <w:rPr>
                <w:rFonts w:ascii="宋体" w:hAnsi="宋体" w:hint="eastAsia"/>
                <w:szCs w:val="21"/>
              </w:rPr>
            </w:pPr>
            <w:r w:rsidRPr="001B5B01">
              <w:rPr>
                <w:rFonts w:ascii="宋体" w:hAnsi="宋体" w:hint="eastAsia"/>
                <w:b/>
                <w:szCs w:val="21"/>
              </w:rPr>
              <w:t>法定代表人或授权代表：</w:t>
            </w:r>
          </w:p>
        </w:tc>
        <w:tc>
          <w:tcPr>
            <w:tcW w:w="4261" w:type="dxa"/>
          </w:tcPr>
          <w:p w14:paraId="090AFAAE" w14:textId="77777777" w:rsidR="003202AE" w:rsidRPr="001B5B01" w:rsidRDefault="003202AE" w:rsidP="00170D8E">
            <w:pPr>
              <w:spacing w:line="360" w:lineRule="auto"/>
              <w:ind w:right="26"/>
              <w:rPr>
                <w:rFonts w:ascii="宋体" w:hAnsi="宋体" w:hint="eastAsia"/>
                <w:szCs w:val="21"/>
              </w:rPr>
            </w:pPr>
            <w:r w:rsidRPr="001B5B01">
              <w:rPr>
                <w:rFonts w:ascii="宋体" w:hAnsi="宋体" w:hint="eastAsia"/>
                <w:b/>
                <w:szCs w:val="21"/>
              </w:rPr>
              <w:t>法定代表人或授权代表：</w:t>
            </w:r>
          </w:p>
        </w:tc>
      </w:tr>
      <w:tr w:rsidR="003202AE" w:rsidRPr="001B5B01" w14:paraId="66B377E4" w14:textId="77777777" w:rsidTr="00170D8E">
        <w:tc>
          <w:tcPr>
            <w:tcW w:w="4261" w:type="dxa"/>
          </w:tcPr>
          <w:p w14:paraId="74A3402A" w14:textId="77777777" w:rsidR="003202AE" w:rsidRPr="001B5B01" w:rsidRDefault="003202AE" w:rsidP="00170D8E">
            <w:pPr>
              <w:spacing w:line="360" w:lineRule="auto"/>
              <w:ind w:right="26"/>
              <w:rPr>
                <w:rFonts w:ascii="宋体" w:hAnsi="宋体" w:hint="eastAsia"/>
                <w:b/>
                <w:szCs w:val="21"/>
              </w:rPr>
            </w:pPr>
            <w:r w:rsidRPr="001B5B01">
              <w:rPr>
                <w:rFonts w:ascii="宋体" w:hAnsi="宋体" w:hint="eastAsia"/>
                <w:b/>
                <w:szCs w:val="21"/>
              </w:rPr>
              <w:t>（签字或盖章）</w:t>
            </w:r>
          </w:p>
          <w:p w14:paraId="35E19115" w14:textId="77777777" w:rsidR="003202AE" w:rsidRPr="001B5B01" w:rsidRDefault="003202AE" w:rsidP="00170D8E">
            <w:pPr>
              <w:spacing w:line="360" w:lineRule="auto"/>
              <w:ind w:right="26"/>
              <w:rPr>
                <w:rFonts w:ascii="宋体" w:hAnsi="宋体" w:hint="eastAsia"/>
                <w:szCs w:val="21"/>
              </w:rPr>
            </w:pPr>
          </w:p>
        </w:tc>
        <w:tc>
          <w:tcPr>
            <w:tcW w:w="4261" w:type="dxa"/>
          </w:tcPr>
          <w:p w14:paraId="298795FE" w14:textId="77777777" w:rsidR="003202AE" w:rsidRPr="001B5B01" w:rsidRDefault="003202AE" w:rsidP="00170D8E">
            <w:pPr>
              <w:spacing w:line="360" w:lineRule="auto"/>
              <w:ind w:right="26"/>
              <w:rPr>
                <w:rFonts w:ascii="宋体" w:hAnsi="宋体" w:hint="eastAsia"/>
                <w:b/>
                <w:szCs w:val="21"/>
              </w:rPr>
            </w:pPr>
            <w:r w:rsidRPr="001B5B01">
              <w:rPr>
                <w:rFonts w:ascii="宋体" w:hAnsi="宋体" w:hint="eastAsia"/>
                <w:b/>
                <w:szCs w:val="21"/>
              </w:rPr>
              <w:t>（签字或盖章）</w:t>
            </w:r>
          </w:p>
          <w:p w14:paraId="5191F010" w14:textId="77777777" w:rsidR="003202AE" w:rsidRPr="001B5B01" w:rsidRDefault="003202AE" w:rsidP="00170D8E">
            <w:pPr>
              <w:spacing w:line="360" w:lineRule="auto"/>
              <w:ind w:right="26"/>
              <w:rPr>
                <w:rFonts w:ascii="宋体" w:hAnsi="宋体" w:hint="eastAsia"/>
                <w:szCs w:val="21"/>
              </w:rPr>
            </w:pPr>
          </w:p>
        </w:tc>
      </w:tr>
      <w:tr w:rsidR="003202AE" w:rsidRPr="001B5B01" w14:paraId="4C58582A" w14:textId="77777777" w:rsidTr="00170D8E">
        <w:tc>
          <w:tcPr>
            <w:tcW w:w="4261" w:type="dxa"/>
          </w:tcPr>
          <w:p w14:paraId="0E0B5D1E" w14:textId="77777777" w:rsidR="003202AE" w:rsidRPr="001B5B01" w:rsidRDefault="003202AE" w:rsidP="00170D8E">
            <w:pPr>
              <w:spacing w:line="360" w:lineRule="auto"/>
              <w:ind w:right="26"/>
              <w:rPr>
                <w:rFonts w:ascii="宋体" w:hAnsi="宋体" w:hint="eastAsia"/>
                <w:szCs w:val="21"/>
              </w:rPr>
            </w:pPr>
          </w:p>
        </w:tc>
        <w:tc>
          <w:tcPr>
            <w:tcW w:w="4261" w:type="dxa"/>
          </w:tcPr>
          <w:p w14:paraId="650001F7" w14:textId="77777777" w:rsidR="003202AE" w:rsidRPr="001B5B01" w:rsidRDefault="003202AE" w:rsidP="00170D8E">
            <w:pPr>
              <w:spacing w:line="360" w:lineRule="auto"/>
              <w:ind w:right="26"/>
              <w:rPr>
                <w:rFonts w:ascii="宋体" w:hAnsi="宋体" w:hint="eastAsia"/>
                <w:szCs w:val="21"/>
              </w:rPr>
            </w:pPr>
          </w:p>
        </w:tc>
      </w:tr>
    </w:tbl>
    <w:p w14:paraId="743B31A0" w14:textId="77777777" w:rsidR="003202AE" w:rsidRDefault="003202AE" w:rsidP="003202AE">
      <w:pPr>
        <w:spacing w:line="360" w:lineRule="auto"/>
        <w:ind w:right="26"/>
        <w:rPr>
          <w:rFonts w:ascii="宋体" w:hAnsi="宋体" w:hint="eastAsia"/>
          <w:szCs w:val="21"/>
        </w:rPr>
      </w:pPr>
    </w:p>
    <w:p w14:paraId="1DEBB652" w14:textId="77777777" w:rsidR="003202AE" w:rsidRDefault="003202AE" w:rsidP="003202AE">
      <w:pPr>
        <w:spacing w:line="360" w:lineRule="auto"/>
        <w:ind w:right="26"/>
        <w:rPr>
          <w:rFonts w:ascii="宋体" w:hAnsi="宋体" w:hint="eastAsia"/>
          <w:szCs w:val="21"/>
        </w:rPr>
      </w:pPr>
    </w:p>
    <w:p w14:paraId="76BE308B" w14:textId="77777777" w:rsidR="003202AE" w:rsidRPr="00E47959" w:rsidRDefault="003202AE" w:rsidP="003202AE"/>
    <w:p w14:paraId="6BB8F420" w14:textId="77777777" w:rsidR="00980B4C" w:rsidRDefault="00980B4C">
      <w:pPr>
        <w:spacing w:line="360" w:lineRule="auto"/>
        <w:ind w:right="26"/>
        <w:rPr>
          <w:rFonts w:ascii="宋体" w:hAnsi="宋体" w:hint="eastAsia"/>
          <w:szCs w:val="21"/>
        </w:rPr>
      </w:pPr>
    </w:p>
    <w:p w14:paraId="008A2ABB" w14:textId="77777777" w:rsidR="00980B4C" w:rsidRDefault="00980B4C"/>
    <w:sectPr w:rsidR="00980B4C">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B20D" w14:textId="77777777" w:rsidR="00FE4328" w:rsidRDefault="00FE4328">
      <w:r>
        <w:separator/>
      </w:r>
    </w:p>
  </w:endnote>
  <w:endnote w:type="continuationSeparator" w:id="0">
    <w:p w14:paraId="477B3978" w14:textId="77777777" w:rsidR="00FE4328" w:rsidRDefault="00FE4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896057"/>
      <w:docPartObj>
        <w:docPartGallery w:val="Page Numbers (Bottom of Page)"/>
        <w:docPartUnique/>
      </w:docPartObj>
    </w:sdtPr>
    <w:sdtContent>
      <w:p w14:paraId="6AA18D81" w14:textId="0D6B9BA4" w:rsidR="00D4219B" w:rsidRDefault="00D4219B">
        <w:pPr>
          <w:pStyle w:val="ab"/>
          <w:jc w:val="center"/>
        </w:pPr>
        <w:r>
          <w:fldChar w:fldCharType="begin"/>
        </w:r>
        <w:r>
          <w:instrText>PAGE   \* MERGEFORMAT</w:instrText>
        </w:r>
        <w:r>
          <w:fldChar w:fldCharType="separate"/>
        </w:r>
        <w:r w:rsidR="002641D9" w:rsidRPr="002641D9">
          <w:rPr>
            <w:noProof/>
            <w:lang w:val="zh-CN"/>
          </w:rPr>
          <w:t>2</w:t>
        </w:r>
        <w:r>
          <w:fldChar w:fldCharType="end"/>
        </w:r>
      </w:p>
    </w:sdtContent>
  </w:sdt>
  <w:p w14:paraId="635BC5CD" w14:textId="77777777" w:rsidR="00980B4C" w:rsidRDefault="00980B4C">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051397"/>
      <w:docPartObj>
        <w:docPartGallery w:val="Page Numbers (Bottom of Page)"/>
        <w:docPartUnique/>
      </w:docPartObj>
    </w:sdtPr>
    <w:sdtContent>
      <w:p w14:paraId="6E3D8F0A" w14:textId="79CF279D" w:rsidR="00D4219B" w:rsidRDefault="00D4219B">
        <w:pPr>
          <w:pStyle w:val="ab"/>
          <w:jc w:val="center"/>
        </w:pPr>
        <w:r>
          <w:fldChar w:fldCharType="begin"/>
        </w:r>
        <w:r>
          <w:instrText>PAGE   \* MERGEFORMAT</w:instrText>
        </w:r>
        <w:r>
          <w:fldChar w:fldCharType="separate"/>
        </w:r>
        <w:r w:rsidR="002641D9" w:rsidRPr="002641D9">
          <w:rPr>
            <w:noProof/>
            <w:lang w:val="zh-CN"/>
          </w:rPr>
          <w:t>1</w:t>
        </w:r>
        <w:r>
          <w:fldChar w:fldCharType="end"/>
        </w:r>
      </w:p>
    </w:sdtContent>
  </w:sdt>
  <w:p w14:paraId="344E6804" w14:textId="77777777" w:rsidR="00D4219B" w:rsidRDefault="00D4219B">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E75F" w14:textId="441A41D4" w:rsidR="00980B4C" w:rsidRDefault="003140D0">
    <w:pPr>
      <w:pStyle w:val="ab"/>
      <w:jc w:val="center"/>
    </w:pPr>
    <w:r>
      <w:fldChar w:fldCharType="begin"/>
    </w:r>
    <w:r>
      <w:instrText>PAGE   \* MERGEFORMAT</w:instrText>
    </w:r>
    <w:r>
      <w:fldChar w:fldCharType="separate"/>
    </w:r>
    <w:r w:rsidR="002641D9" w:rsidRPr="002641D9">
      <w:rPr>
        <w:noProof/>
        <w:lang w:val="zh-CN"/>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A68BF" w14:textId="77777777" w:rsidR="00FE4328" w:rsidRDefault="00FE4328">
      <w:r>
        <w:separator/>
      </w:r>
    </w:p>
  </w:footnote>
  <w:footnote w:type="continuationSeparator" w:id="0">
    <w:p w14:paraId="77667290" w14:textId="77777777" w:rsidR="00FE4328" w:rsidRDefault="00FE4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5F57" w14:textId="7C741C70" w:rsidR="00980B4C" w:rsidRPr="002641D9" w:rsidRDefault="00964E46" w:rsidP="002641D9">
    <w:pPr>
      <w:pBdr>
        <w:bottom w:val="thickThinLargeGap" w:sz="24" w:space="1" w:color="auto"/>
      </w:pBdr>
      <w:tabs>
        <w:tab w:val="center" w:pos="4153"/>
        <w:tab w:val="right" w:pos="8306"/>
      </w:tabs>
      <w:snapToGrid w:val="0"/>
      <w:jc w:val="right"/>
    </w:pPr>
    <w:r w:rsidRPr="00964E46">
      <w:rPr>
        <w:rFonts w:ascii="Calibri" w:hAnsi="Calibri"/>
        <w:noProof/>
      </w:rPr>
      <w:drawing>
        <wp:anchor distT="0" distB="0" distL="114300" distR="114300" simplePos="0" relativeHeight="251661312" behindDoc="0" locked="0" layoutInCell="1" allowOverlap="1" wp14:anchorId="7FBF953E" wp14:editId="73CD5F5C">
          <wp:simplePos x="0" y="0"/>
          <wp:positionH relativeFrom="column">
            <wp:posOffset>-3810</wp:posOffset>
          </wp:positionH>
          <wp:positionV relativeFrom="paragraph">
            <wp:posOffset>-124460</wp:posOffset>
          </wp:positionV>
          <wp:extent cx="2105025" cy="276225"/>
          <wp:effectExtent l="0" t="0" r="9525" b="952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4E46">
      <w:rPr>
        <w:rFonts w:ascii="宋体" w:hAnsi="宋体" w:hint="eastAsia"/>
        <w:szCs w:val="21"/>
      </w:rPr>
      <w:t>托管协议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DFF9" w14:textId="0EE002DD" w:rsidR="00980B4C" w:rsidRDefault="00964E46" w:rsidP="002641D9">
    <w:pPr>
      <w:pBdr>
        <w:bottom w:val="thickThinLargeGap" w:sz="24" w:space="1" w:color="auto"/>
      </w:pBdr>
      <w:tabs>
        <w:tab w:val="center" w:pos="4153"/>
        <w:tab w:val="right" w:pos="8306"/>
      </w:tabs>
      <w:snapToGrid w:val="0"/>
      <w:jc w:val="right"/>
    </w:pPr>
    <w:r w:rsidRPr="00964E46">
      <w:rPr>
        <w:rFonts w:ascii="Calibri" w:hAnsi="Calibri"/>
        <w:noProof/>
      </w:rPr>
      <w:drawing>
        <wp:anchor distT="0" distB="0" distL="114300" distR="114300" simplePos="0" relativeHeight="251659264" behindDoc="0" locked="0" layoutInCell="1" allowOverlap="1" wp14:anchorId="3D497CDD" wp14:editId="47480DA4">
          <wp:simplePos x="0" y="0"/>
          <wp:positionH relativeFrom="column">
            <wp:posOffset>-3810</wp:posOffset>
          </wp:positionH>
          <wp:positionV relativeFrom="paragraph">
            <wp:posOffset>-124460</wp:posOffset>
          </wp:positionV>
          <wp:extent cx="2105025" cy="276225"/>
          <wp:effectExtent l="0" t="0" r="9525"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4E46">
      <w:rPr>
        <w:rFonts w:ascii="宋体" w:hAnsi="宋体" w:hint="eastAsia"/>
        <w:szCs w:val="21"/>
      </w:rPr>
      <w:t>托管协议</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538E2"/>
    <w:multiLevelType w:val="multilevel"/>
    <w:tmpl w:val="266538E2"/>
    <w:lvl w:ilvl="0">
      <w:start w:val="1"/>
      <w:numFmt w:val="chineseCountingThousand"/>
      <w:pStyle w:val="1"/>
      <w:lvlText w:val="第%1章  "/>
      <w:lvlJc w:val="left"/>
      <w:pPr>
        <w:tabs>
          <w:tab w:val="left" w:pos="1922"/>
        </w:tabs>
        <w:ind w:left="0" w:firstLine="482"/>
      </w:pPr>
      <w:rPr>
        <w:rFonts w:hint="eastAsia"/>
      </w:rPr>
    </w:lvl>
    <w:lvl w:ilvl="1">
      <w:start w:val="1"/>
      <w:numFmt w:val="chineseCountingThousand"/>
      <w:lvlText w:val="第%2节  "/>
      <w:lvlJc w:val="left"/>
      <w:pPr>
        <w:tabs>
          <w:tab w:val="left" w:pos="1922"/>
        </w:tabs>
        <w:ind w:left="0" w:firstLine="482"/>
      </w:pPr>
      <w:rPr>
        <w:rFonts w:hint="eastAsia"/>
      </w:rPr>
    </w:lvl>
    <w:lvl w:ilvl="2">
      <w:start w:val="1"/>
      <w:numFmt w:val="chineseCountingThousand"/>
      <w:pStyle w:val="3"/>
      <w:suff w:val="nothing"/>
      <w:lvlText w:val="%3、"/>
      <w:lvlJc w:val="left"/>
      <w:pPr>
        <w:ind w:left="0" w:firstLine="482"/>
      </w:pPr>
      <w:rPr>
        <w:rFonts w:ascii="黑体" w:eastAsia="黑体" w:hint="eastAsia"/>
        <w:b/>
        <w:i w:val="0"/>
        <w:sz w:val="24"/>
      </w:rPr>
    </w:lvl>
    <w:lvl w:ilvl="3">
      <w:start w:val="1"/>
      <w:numFmt w:val="chineseCountingThousand"/>
      <w:pStyle w:val="4"/>
      <w:suff w:val="nothing"/>
      <w:lvlText w:val="(%4)"/>
      <w:lvlJc w:val="left"/>
      <w:pPr>
        <w:ind w:left="0" w:firstLine="482"/>
      </w:pPr>
      <w:rPr>
        <w:rFonts w:ascii="仿宋_GB2312" w:eastAsia="仿宋_GB2312" w:hint="eastAsia"/>
        <w:b w:val="0"/>
        <w:i w:val="0"/>
        <w:sz w:val="24"/>
      </w:rPr>
    </w:lvl>
    <w:lvl w:ilvl="4">
      <w:start w:val="1"/>
      <w:numFmt w:val="decimal"/>
      <w:pStyle w:val="5"/>
      <w:suff w:val="nothing"/>
      <w:lvlText w:val="%5."/>
      <w:lvlJc w:val="left"/>
      <w:pPr>
        <w:ind w:left="0" w:firstLine="527"/>
      </w:pPr>
      <w:rPr>
        <w:rFonts w:ascii="仿宋_GB2312" w:eastAsia="仿宋_GB2312" w:hint="eastAsia"/>
        <w:b w:val="0"/>
        <w:i w:val="0"/>
        <w:sz w:val="24"/>
      </w:rPr>
    </w:lvl>
    <w:lvl w:ilvl="5">
      <w:start w:val="1"/>
      <w:numFmt w:val="decimal"/>
      <w:pStyle w:val="6"/>
      <w:suff w:val="nothing"/>
      <w:lvlText w:val="(%6)"/>
      <w:lvlJc w:val="left"/>
      <w:pPr>
        <w:ind w:left="0" w:firstLine="482"/>
      </w:pPr>
      <w:rPr>
        <w:rFonts w:ascii="仿宋_GB2312" w:eastAsia="仿宋_GB2312" w:hint="eastAsia"/>
        <w:b w:val="0"/>
        <w:i w:val="0"/>
        <w:sz w:val="24"/>
      </w:rPr>
    </w:lvl>
    <w:lvl w:ilvl="6">
      <w:start w:val="1"/>
      <w:numFmt w:val="bullet"/>
      <w:pStyle w:val="7"/>
      <w:lvlText w:val="①"/>
      <w:lvlJc w:val="left"/>
      <w:pPr>
        <w:tabs>
          <w:tab w:val="left" w:pos="2835"/>
        </w:tabs>
        <w:ind w:left="2835" w:hanging="426"/>
      </w:pPr>
      <w:rPr>
        <w:rFonts w:ascii="宋体" w:eastAsia="宋体"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1" w15:restartNumberingAfterBreak="0">
    <w:nsid w:val="367903F8"/>
    <w:multiLevelType w:val="multilevel"/>
    <w:tmpl w:val="367903F8"/>
    <w:lvl w:ilvl="0">
      <w:start w:val="1"/>
      <w:numFmt w:val="decimal"/>
      <w:lvlText w:val="%1."/>
      <w:lvlJc w:val="left"/>
      <w:pPr>
        <w:ind w:left="893" w:hanging="420"/>
      </w:pPr>
    </w:lvl>
    <w:lvl w:ilvl="1">
      <w:start w:val="1"/>
      <w:numFmt w:val="lowerLetter"/>
      <w:lvlText w:val="%2)"/>
      <w:lvlJc w:val="left"/>
      <w:pPr>
        <w:ind w:left="1313" w:hanging="420"/>
      </w:pPr>
    </w:lvl>
    <w:lvl w:ilvl="2">
      <w:start w:val="1"/>
      <w:numFmt w:val="lowerRoman"/>
      <w:lvlText w:val="%3."/>
      <w:lvlJc w:val="right"/>
      <w:pPr>
        <w:ind w:left="1733" w:hanging="420"/>
      </w:pPr>
    </w:lvl>
    <w:lvl w:ilvl="3">
      <w:start w:val="1"/>
      <w:numFmt w:val="decimal"/>
      <w:lvlText w:val="%4."/>
      <w:lvlJc w:val="left"/>
      <w:pPr>
        <w:ind w:left="2153" w:hanging="420"/>
      </w:pPr>
    </w:lvl>
    <w:lvl w:ilvl="4">
      <w:start w:val="1"/>
      <w:numFmt w:val="lowerLetter"/>
      <w:lvlText w:val="%5)"/>
      <w:lvlJc w:val="left"/>
      <w:pPr>
        <w:ind w:left="2573" w:hanging="420"/>
      </w:pPr>
    </w:lvl>
    <w:lvl w:ilvl="5">
      <w:start w:val="1"/>
      <w:numFmt w:val="lowerRoman"/>
      <w:lvlText w:val="%6."/>
      <w:lvlJc w:val="right"/>
      <w:pPr>
        <w:ind w:left="2993" w:hanging="420"/>
      </w:pPr>
    </w:lvl>
    <w:lvl w:ilvl="6">
      <w:start w:val="1"/>
      <w:numFmt w:val="decimal"/>
      <w:lvlText w:val="%7."/>
      <w:lvlJc w:val="left"/>
      <w:pPr>
        <w:ind w:left="3413" w:hanging="420"/>
      </w:pPr>
    </w:lvl>
    <w:lvl w:ilvl="7">
      <w:start w:val="1"/>
      <w:numFmt w:val="lowerLetter"/>
      <w:lvlText w:val="%8)"/>
      <w:lvlJc w:val="left"/>
      <w:pPr>
        <w:ind w:left="3833" w:hanging="420"/>
      </w:pPr>
    </w:lvl>
    <w:lvl w:ilvl="8">
      <w:start w:val="1"/>
      <w:numFmt w:val="lowerRoman"/>
      <w:lvlText w:val="%9."/>
      <w:lvlJc w:val="right"/>
      <w:pPr>
        <w:ind w:left="4253" w:hanging="420"/>
      </w:pPr>
    </w:lvl>
  </w:abstractNum>
  <w:num w:numId="1" w16cid:durableId="1610548063">
    <w:abstractNumId w:val="0"/>
  </w:num>
  <w:num w:numId="2" w16cid:durableId="748624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B06"/>
    <w:rsid w:val="00014998"/>
    <w:rsid w:val="000246AC"/>
    <w:rsid w:val="00024DDA"/>
    <w:rsid w:val="0002519F"/>
    <w:rsid w:val="00050C79"/>
    <w:rsid w:val="0005201B"/>
    <w:rsid w:val="00053197"/>
    <w:rsid w:val="0005663F"/>
    <w:rsid w:val="0006509E"/>
    <w:rsid w:val="00067030"/>
    <w:rsid w:val="00070C46"/>
    <w:rsid w:val="0007675C"/>
    <w:rsid w:val="00080622"/>
    <w:rsid w:val="0008166B"/>
    <w:rsid w:val="00086C61"/>
    <w:rsid w:val="00090B2E"/>
    <w:rsid w:val="0009788B"/>
    <w:rsid w:val="000A061E"/>
    <w:rsid w:val="000A2B8D"/>
    <w:rsid w:val="000C0815"/>
    <w:rsid w:val="000C0A65"/>
    <w:rsid w:val="000D2DA7"/>
    <w:rsid w:val="000D4F33"/>
    <w:rsid w:val="000E7AE1"/>
    <w:rsid w:val="000F1EB1"/>
    <w:rsid w:val="000F581B"/>
    <w:rsid w:val="001037C6"/>
    <w:rsid w:val="001059EB"/>
    <w:rsid w:val="00106548"/>
    <w:rsid w:val="00110AF4"/>
    <w:rsid w:val="001142CF"/>
    <w:rsid w:val="00126AE4"/>
    <w:rsid w:val="00127074"/>
    <w:rsid w:val="00135B9F"/>
    <w:rsid w:val="0014246D"/>
    <w:rsid w:val="00157A01"/>
    <w:rsid w:val="00162C4A"/>
    <w:rsid w:val="0016302A"/>
    <w:rsid w:val="00170D13"/>
    <w:rsid w:val="001737CC"/>
    <w:rsid w:val="00177C69"/>
    <w:rsid w:val="00190962"/>
    <w:rsid w:val="001A1969"/>
    <w:rsid w:val="001B5B01"/>
    <w:rsid w:val="001B7DCA"/>
    <w:rsid w:val="001C483E"/>
    <w:rsid w:val="001C5433"/>
    <w:rsid w:val="001E0A82"/>
    <w:rsid w:val="001E0B51"/>
    <w:rsid w:val="001F013E"/>
    <w:rsid w:val="001F01B5"/>
    <w:rsid w:val="001F1025"/>
    <w:rsid w:val="001F5830"/>
    <w:rsid w:val="001F7684"/>
    <w:rsid w:val="00203F42"/>
    <w:rsid w:val="00207C59"/>
    <w:rsid w:val="00221B2B"/>
    <w:rsid w:val="00230CA9"/>
    <w:rsid w:val="0023482D"/>
    <w:rsid w:val="00235289"/>
    <w:rsid w:val="002400B3"/>
    <w:rsid w:val="002571C9"/>
    <w:rsid w:val="002618B2"/>
    <w:rsid w:val="002641D9"/>
    <w:rsid w:val="002755B8"/>
    <w:rsid w:val="00276C95"/>
    <w:rsid w:val="002947E2"/>
    <w:rsid w:val="00295400"/>
    <w:rsid w:val="00296AF1"/>
    <w:rsid w:val="002A105E"/>
    <w:rsid w:val="002A2EE0"/>
    <w:rsid w:val="002B38DA"/>
    <w:rsid w:val="002B3A1B"/>
    <w:rsid w:val="002C1EAB"/>
    <w:rsid w:val="002C7C71"/>
    <w:rsid w:val="002F2E0C"/>
    <w:rsid w:val="002F42EB"/>
    <w:rsid w:val="003033B4"/>
    <w:rsid w:val="003140D0"/>
    <w:rsid w:val="0031729E"/>
    <w:rsid w:val="003202AE"/>
    <w:rsid w:val="00325B47"/>
    <w:rsid w:val="00327DA9"/>
    <w:rsid w:val="0036635C"/>
    <w:rsid w:val="00382975"/>
    <w:rsid w:val="00390475"/>
    <w:rsid w:val="003A2B06"/>
    <w:rsid w:val="003B73BF"/>
    <w:rsid w:val="003B7EFD"/>
    <w:rsid w:val="003C0A80"/>
    <w:rsid w:val="003C0C16"/>
    <w:rsid w:val="003C3043"/>
    <w:rsid w:val="003C7984"/>
    <w:rsid w:val="003C79A0"/>
    <w:rsid w:val="003E1C92"/>
    <w:rsid w:val="00400D1A"/>
    <w:rsid w:val="00410E16"/>
    <w:rsid w:val="00411554"/>
    <w:rsid w:val="00420F01"/>
    <w:rsid w:val="0042654C"/>
    <w:rsid w:val="004315E0"/>
    <w:rsid w:val="0044266C"/>
    <w:rsid w:val="00447CE4"/>
    <w:rsid w:val="0045217A"/>
    <w:rsid w:val="00471AA8"/>
    <w:rsid w:val="00485F0F"/>
    <w:rsid w:val="004863D2"/>
    <w:rsid w:val="004A2E55"/>
    <w:rsid w:val="004B443C"/>
    <w:rsid w:val="004B54F0"/>
    <w:rsid w:val="004C3AF6"/>
    <w:rsid w:val="004C5AC8"/>
    <w:rsid w:val="004E3487"/>
    <w:rsid w:val="004E4CB4"/>
    <w:rsid w:val="004E6AE3"/>
    <w:rsid w:val="004F0F53"/>
    <w:rsid w:val="004F1E31"/>
    <w:rsid w:val="004F25BD"/>
    <w:rsid w:val="004F5CDF"/>
    <w:rsid w:val="004F755E"/>
    <w:rsid w:val="00505A18"/>
    <w:rsid w:val="00506788"/>
    <w:rsid w:val="00512CAB"/>
    <w:rsid w:val="005134AB"/>
    <w:rsid w:val="00517827"/>
    <w:rsid w:val="00525E69"/>
    <w:rsid w:val="00526218"/>
    <w:rsid w:val="00532F2C"/>
    <w:rsid w:val="00540ECB"/>
    <w:rsid w:val="00542EBE"/>
    <w:rsid w:val="00546A35"/>
    <w:rsid w:val="00547F04"/>
    <w:rsid w:val="00553B07"/>
    <w:rsid w:val="0056355B"/>
    <w:rsid w:val="00567448"/>
    <w:rsid w:val="00567AFB"/>
    <w:rsid w:val="00574BF5"/>
    <w:rsid w:val="005771A4"/>
    <w:rsid w:val="00587F80"/>
    <w:rsid w:val="005903BE"/>
    <w:rsid w:val="00590CF1"/>
    <w:rsid w:val="0059491E"/>
    <w:rsid w:val="005A2405"/>
    <w:rsid w:val="005A24B0"/>
    <w:rsid w:val="005A4382"/>
    <w:rsid w:val="005B5D51"/>
    <w:rsid w:val="005D72AE"/>
    <w:rsid w:val="005E0FA7"/>
    <w:rsid w:val="005E1551"/>
    <w:rsid w:val="005E20E7"/>
    <w:rsid w:val="005F314E"/>
    <w:rsid w:val="005F3694"/>
    <w:rsid w:val="005F5C6E"/>
    <w:rsid w:val="00606F78"/>
    <w:rsid w:val="00611313"/>
    <w:rsid w:val="00616AE9"/>
    <w:rsid w:val="006208B9"/>
    <w:rsid w:val="0062565D"/>
    <w:rsid w:val="00627DE8"/>
    <w:rsid w:val="00641021"/>
    <w:rsid w:val="006442DD"/>
    <w:rsid w:val="006473CF"/>
    <w:rsid w:val="00651247"/>
    <w:rsid w:val="00656926"/>
    <w:rsid w:val="00666980"/>
    <w:rsid w:val="00670AE4"/>
    <w:rsid w:val="00671A3D"/>
    <w:rsid w:val="00674801"/>
    <w:rsid w:val="00674863"/>
    <w:rsid w:val="006835B2"/>
    <w:rsid w:val="0069592C"/>
    <w:rsid w:val="006B1820"/>
    <w:rsid w:val="006D1965"/>
    <w:rsid w:val="006D2BFA"/>
    <w:rsid w:val="006E5EB7"/>
    <w:rsid w:val="006F70AF"/>
    <w:rsid w:val="007005FB"/>
    <w:rsid w:val="007034DC"/>
    <w:rsid w:val="0070524E"/>
    <w:rsid w:val="00714C2C"/>
    <w:rsid w:val="00735A5C"/>
    <w:rsid w:val="007362EE"/>
    <w:rsid w:val="00755471"/>
    <w:rsid w:val="00775D65"/>
    <w:rsid w:val="00777FFE"/>
    <w:rsid w:val="00781CEB"/>
    <w:rsid w:val="007827E9"/>
    <w:rsid w:val="007903A2"/>
    <w:rsid w:val="007926B2"/>
    <w:rsid w:val="00796B7F"/>
    <w:rsid w:val="007A362D"/>
    <w:rsid w:val="007B0332"/>
    <w:rsid w:val="007D14CF"/>
    <w:rsid w:val="007D5F9E"/>
    <w:rsid w:val="007E28AE"/>
    <w:rsid w:val="0080253F"/>
    <w:rsid w:val="008050F2"/>
    <w:rsid w:val="00826455"/>
    <w:rsid w:val="0082736C"/>
    <w:rsid w:val="00835E80"/>
    <w:rsid w:val="00836247"/>
    <w:rsid w:val="008434C1"/>
    <w:rsid w:val="008450D5"/>
    <w:rsid w:val="00862BA6"/>
    <w:rsid w:val="00867BA5"/>
    <w:rsid w:val="0087186C"/>
    <w:rsid w:val="00877C40"/>
    <w:rsid w:val="00885A7B"/>
    <w:rsid w:val="008873C4"/>
    <w:rsid w:val="008923C7"/>
    <w:rsid w:val="00894054"/>
    <w:rsid w:val="008A3E29"/>
    <w:rsid w:val="008B49B5"/>
    <w:rsid w:val="008C1C0E"/>
    <w:rsid w:val="008D370A"/>
    <w:rsid w:val="008D4C0E"/>
    <w:rsid w:val="008D5899"/>
    <w:rsid w:val="008E5DC6"/>
    <w:rsid w:val="008F0CBE"/>
    <w:rsid w:val="008F1D70"/>
    <w:rsid w:val="008F50CD"/>
    <w:rsid w:val="008F6BF4"/>
    <w:rsid w:val="00900C4A"/>
    <w:rsid w:val="00901704"/>
    <w:rsid w:val="00906F3A"/>
    <w:rsid w:val="009342DB"/>
    <w:rsid w:val="00956EA3"/>
    <w:rsid w:val="00964E46"/>
    <w:rsid w:val="00964FBC"/>
    <w:rsid w:val="009656CC"/>
    <w:rsid w:val="0097139B"/>
    <w:rsid w:val="00972139"/>
    <w:rsid w:val="00974B29"/>
    <w:rsid w:val="00977A77"/>
    <w:rsid w:val="00980631"/>
    <w:rsid w:val="00980B4C"/>
    <w:rsid w:val="0098487C"/>
    <w:rsid w:val="00987871"/>
    <w:rsid w:val="00990CB5"/>
    <w:rsid w:val="0099659A"/>
    <w:rsid w:val="009A402C"/>
    <w:rsid w:val="009C08CC"/>
    <w:rsid w:val="009C311B"/>
    <w:rsid w:val="009D2D46"/>
    <w:rsid w:val="00A01962"/>
    <w:rsid w:val="00A040BD"/>
    <w:rsid w:val="00A04D17"/>
    <w:rsid w:val="00A131DE"/>
    <w:rsid w:val="00A16100"/>
    <w:rsid w:val="00A16F02"/>
    <w:rsid w:val="00A265EC"/>
    <w:rsid w:val="00A3622A"/>
    <w:rsid w:val="00A3694F"/>
    <w:rsid w:val="00A37439"/>
    <w:rsid w:val="00A404DA"/>
    <w:rsid w:val="00A436B5"/>
    <w:rsid w:val="00A44596"/>
    <w:rsid w:val="00A45E01"/>
    <w:rsid w:val="00A51111"/>
    <w:rsid w:val="00A53663"/>
    <w:rsid w:val="00A53930"/>
    <w:rsid w:val="00A53D3C"/>
    <w:rsid w:val="00A64890"/>
    <w:rsid w:val="00A72012"/>
    <w:rsid w:val="00A72A03"/>
    <w:rsid w:val="00A832D4"/>
    <w:rsid w:val="00A84C96"/>
    <w:rsid w:val="00A85CB5"/>
    <w:rsid w:val="00A90925"/>
    <w:rsid w:val="00A916A3"/>
    <w:rsid w:val="00A92CBF"/>
    <w:rsid w:val="00A96512"/>
    <w:rsid w:val="00AA13D2"/>
    <w:rsid w:val="00AA6186"/>
    <w:rsid w:val="00AA7AD5"/>
    <w:rsid w:val="00AB0709"/>
    <w:rsid w:val="00AB0AD2"/>
    <w:rsid w:val="00AB6852"/>
    <w:rsid w:val="00AC3023"/>
    <w:rsid w:val="00AD6C2F"/>
    <w:rsid w:val="00AE0D8E"/>
    <w:rsid w:val="00AF5BE0"/>
    <w:rsid w:val="00AF7082"/>
    <w:rsid w:val="00B03E07"/>
    <w:rsid w:val="00B05A74"/>
    <w:rsid w:val="00B0770A"/>
    <w:rsid w:val="00B1055E"/>
    <w:rsid w:val="00B12767"/>
    <w:rsid w:val="00B16B89"/>
    <w:rsid w:val="00B16C4A"/>
    <w:rsid w:val="00B37DEA"/>
    <w:rsid w:val="00B44094"/>
    <w:rsid w:val="00B513AA"/>
    <w:rsid w:val="00B913AC"/>
    <w:rsid w:val="00B91981"/>
    <w:rsid w:val="00B92303"/>
    <w:rsid w:val="00B935B0"/>
    <w:rsid w:val="00B972AD"/>
    <w:rsid w:val="00BA076E"/>
    <w:rsid w:val="00BB171D"/>
    <w:rsid w:val="00BC37EA"/>
    <w:rsid w:val="00BD0108"/>
    <w:rsid w:val="00BD1528"/>
    <w:rsid w:val="00BD2902"/>
    <w:rsid w:val="00BD2ABE"/>
    <w:rsid w:val="00BD5982"/>
    <w:rsid w:val="00BE03C8"/>
    <w:rsid w:val="00BE2698"/>
    <w:rsid w:val="00BF1FD8"/>
    <w:rsid w:val="00C134BB"/>
    <w:rsid w:val="00C2427C"/>
    <w:rsid w:val="00C25800"/>
    <w:rsid w:val="00C31127"/>
    <w:rsid w:val="00C36C35"/>
    <w:rsid w:val="00C41C25"/>
    <w:rsid w:val="00C543EC"/>
    <w:rsid w:val="00C5461D"/>
    <w:rsid w:val="00C57137"/>
    <w:rsid w:val="00C61BA6"/>
    <w:rsid w:val="00C62ACD"/>
    <w:rsid w:val="00C66FF3"/>
    <w:rsid w:val="00C67829"/>
    <w:rsid w:val="00C70DAB"/>
    <w:rsid w:val="00C7684F"/>
    <w:rsid w:val="00C820A3"/>
    <w:rsid w:val="00C8335D"/>
    <w:rsid w:val="00C838D1"/>
    <w:rsid w:val="00C85425"/>
    <w:rsid w:val="00C85E57"/>
    <w:rsid w:val="00C90946"/>
    <w:rsid w:val="00CA1B32"/>
    <w:rsid w:val="00CA22EF"/>
    <w:rsid w:val="00CB50D4"/>
    <w:rsid w:val="00CB77FA"/>
    <w:rsid w:val="00CC1BDA"/>
    <w:rsid w:val="00CC6F62"/>
    <w:rsid w:val="00CE00CB"/>
    <w:rsid w:val="00CE2251"/>
    <w:rsid w:val="00CE27A6"/>
    <w:rsid w:val="00CE6F27"/>
    <w:rsid w:val="00CF371D"/>
    <w:rsid w:val="00CF6712"/>
    <w:rsid w:val="00D01394"/>
    <w:rsid w:val="00D14F24"/>
    <w:rsid w:val="00D2332F"/>
    <w:rsid w:val="00D30E3A"/>
    <w:rsid w:val="00D3236A"/>
    <w:rsid w:val="00D32C3A"/>
    <w:rsid w:val="00D3667B"/>
    <w:rsid w:val="00D4219B"/>
    <w:rsid w:val="00D43FDC"/>
    <w:rsid w:val="00D47104"/>
    <w:rsid w:val="00D50B05"/>
    <w:rsid w:val="00D5672D"/>
    <w:rsid w:val="00D57194"/>
    <w:rsid w:val="00D606A2"/>
    <w:rsid w:val="00D615D1"/>
    <w:rsid w:val="00D61F2D"/>
    <w:rsid w:val="00D64C48"/>
    <w:rsid w:val="00D77370"/>
    <w:rsid w:val="00D83120"/>
    <w:rsid w:val="00D851ED"/>
    <w:rsid w:val="00D85EAE"/>
    <w:rsid w:val="00D8649A"/>
    <w:rsid w:val="00D91FC5"/>
    <w:rsid w:val="00DB17EC"/>
    <w:rsid w:val="00DB6B2E"/>
    <w:rsid w:val="00DD2D17"/>
    <w:rsid w:val="00DD330D"/>
    <w:rsid w:val="00DD4084"/>
    <w:rsid w:val="00DD4D55"/>
    <w:rsid w:val="00DE1C3D"/>
    <w:rsid w:val="00E00648"/>
    <w:rsid w:val="00E03BB1"/>
    <w:rsid w:val="00E03D48"/>
    <w:rsid w:val="00E13468"/>
    <w:rsid w:val="00E13A3C"/>
    <w:rsid w:val="00E26236"/>
    <w:rsid w:val="00E26635"/>
    <w:rsid w:val="00E3001C"/>
    <w:rsid w:val="00E44CB0"/>
    <w:rsid w:val="00E47207"/>
    <w:rsid w:val="00E47959"/>
    <w:rsid w:val="00E63E45"/>
    <w:rsid w:val="00E64669"/>
    <w:rsid w:val="00E64FEC"/>
    <w:rsid w:val="00E65EC9"/>
    <w:rsid w:val="00E710CD"/>
    <w:rsid w:val="00E72BEB"/>
    <w:rsid w:val="00E851A7"/>
    <w:rsid w:val="00E86DC0"/>
    <w:rsid w:val="00E91BE5"/>
    <w:rsid w:val="00EA2610"/>
    <w:rsid w:val="00EA3E3C"/>
    <w:rsid w:val="00EC4C3A"/>
    <w:rsid w:val="00ED47D6"/>
    <w:rsid w:val="00EE757F"/>
    <w:rsid w:val="00EF244B"/>
    <w:rsid w:val="00F12D7B"/>
    <w:rsid w:val="00F17853"/>
    <w:rsid w:val="00F20269"/>
    <w:rsid w:val="00F27F0F"/>
    <w:rsid w:val="00F31B40"/>
    <w:rsid w:val="00F34E32"/>
    <w:rsid w:val="00F53443"/>
    <w:rsid w:val="00F557EF"/>
    <w:rsid w:val="00F82176"/>
    <w:rsid w:val="00F97575"/>
    <w:rsid w:val="00FA55E5"/>
    <w:rsid w:val="00FA77A2"/>
    <w:rsid w:val="00FB269C"/>
    <w:rsid w:val="00FC0797"/>
    <w:rsid w:val="00FC708A"/>
    <w:rsid w:val="00FD3C76"/>
    <w:rsid w:val="00FE3FE0"/>
    <w:rsid w:val="00FE4328"/>
    <w:rsid w:val="00FE557D"/>
    <w:rsid w:val="00FF4C78"/>
    <w:rsid w:val="7DF54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F015B22"/>
  <w15:docId w15:val="{B6873B6B-8C81-476C-BA76-8CE0E35C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numPr>
        <w:numId w:val="1"/>
      </w:numPr>
      <w:spacing w:before="120" w:after="120" w:line="360" w:lineRule="auto"/>
      <w:jc w:val="center"/>
      <w:outlineLvl w:val="0"/>
    </w:pPr>
    <w:rPr>
      <w:rFonts w:ascii="黑体" w:eastAsia="黑体"/>
      <w:b/>
      <w:kern w:val="44"/>
      <w:sz w:val="32"/>
      <w:szCs w:val="20"/>
      <w:lang w:val="zh-CN"/>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numPr>
        <w:ilvl w:val="2"/>
        <w:numId w:val="1"/>
      </w:numPr>
      <w:spacing w:before="240" w:after="240" w:line="360" w:lineRule="auto"/>
      <w:jc w:val="center"/>
      <w:outlineLvl w:val="2"/>
    </w:pPr>
    <w:rPr>
      <w:rFonts w:ascii="Arial" w:eastAsia="仿宋_GB2312" w:hAnsi="Arial"/>
      <w:b/>
      <w:sz w:val="24"/>
      <w:szCs w:val="20"/>
      <w:lang w:val="zh-CN"/>
    </w:rPr>
  </w:style>
  <w:style w:type="paragraph" w:styleId="4">
    <w:name w:val="heading 4"/>
    <w:basedOn w:val="a"/>
    <w:next w:val="a"/>
    <w:link w:val="40"/>
    <w:qFormat/>
    <w:pPr>
      <w:keepNext/>
      <w:keepLines/>
      <w:numPr>
        <w:ilvl w:val="3"/>
        <w:numId w:val="1"/>
      </w:numPr>
      <w:spacing w:line="360" w:lineRule="auto"/>
      <w:outlineLvl w:val="3"/>
    </w:pPr>
    <w:rPr>
      <w:rFonts w:ascii="Arial" w:eastAsia="仿宋_GB2312" w:hAnsi="Arial"/>
      <w:sz w:val="24"/>
      <w:szCs w:val="20"/>
      <w:lang w:val="zh-CN"/>
    </w:rPr>
  </w:style>
  <w:style w:type="paragraph" w:styleId="5">
    <w:name w:val="heading 5"/>
    <w:basedOn w:val="a"/>
    <w:next w:val="a"/>
    <w:link w:val="50"/>
    <w:qFormat/>
    <w:pPr>
      <w:numPr>
        <w:ilvl w:val="4"/>
        <w:numId w:val="1"/>
      </w:numPr>
      <w:spacing w:line="360" w:lineRule="auto"/>
      <w:outlineLvl w:val="4"/>
    </w:pPr>
    <w:rPr>
      <w:rFonts w:ascii="Arial" w:eastAsia="仿宋_GB2312" w:hAnsi="Arial"/>
      <w:sz w:val="24"/>
      <w:szCs w:val="20"/>
      <w:lang w:val="zh-CN"/>
    </w:rPr>
  </w:style>
  <w:style w:type="paragraph" w:styleId="6">
    <w:name w:val="heading 6"/>
    <w:basedOn w:val="a"/>
    <w:next w:val="a"/>
    <w:link w:val="60"/>
    <w:qFormat/>
    <w:pPr>
      <w:numPr>
        <w:ilvl w:val="5"/>
        <w:numId w:val="1"/>
      </w:numPr>
      <w:spacing w:line="300" w:lineRule="auto"/>
      <w:outlineLvl w:val="5"/>
    </w:pPr>
    <w:rPr>
      <w:rFonts w:ascii="Arial" w:eastAsia="仿宋_GB2312" w:hAnsi="Arial"/>
      <w:sz w:val="24"/>
      <w:szCs w:val="20"/>
      <w:lang w:val="zh-CN"/>
    </w:rPr>
  </w:style>
  <w:style w:type="paragraph" w:styleId="7">
    <w:name w:val="heading 7"/>
    <w:basedOn w:val="a"/>
    <w:next w:val="a0"/>
    <w:link w:val="70"/>
    <w:qFormat/>
    <w:pPr>
      <w:keepNext/>
      <w:keepLines/>
      <w:numPr>
        <w:ilvl w:val="6"/>
        <w:numId w:val="1"/>
      </w:numPr>
      <w:spacing w:line="360" w:lineRule="auto"/>
      <w:outlineLvl w:val="6"/>
    </w:pPr>
    <w:rPr>
      <w:rFonts w:ascii="仿宋_GB2312" w:eastAsia="仿宋_GB2312"/>
      <w:sz w:val="24"/>
      <w:szCs w:val="20"/>
      <w:lang w:val="zh-CN"/>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uiPriority w:val="99"/>
    <w:qFormat/>
    <w:pPr>
      <w:ind w:firstLineChars="200" w:firstLine="420"/>
    </w:pPr>
    <w:rPr>
      <w:rFonts w:ascii="Calibri" w:hAnsi="Calibri"/>
    </w:rPr>
  </w:style>
  <w:style w:type="paragraph" w:styleId="a5">
    <w:name w:val="annotation text"/>
    <w:basedOn w:val="a"/>
    <w:link w:val="a6"/>
    <w:unhideWhenUsed/>
    <w:qFormat/>
    <w:pPr>
      <w:jc w:val="left"/>
    </w:pPr>
  </w:style>
  <w:style w:type="paragraph" w:styleId="a7">
    <w:name w:val="Body Text Indent"/>
    <w:basedOn w:val="a"/>
    <w:link w:val="a8"/>
    <w:qFormat/>
    <w:pPr>
      <w:spacing w:line="360" w:lineRule="auto"/>
      <w:ind w:firstLineChars="171" w:firstLine="359"/>
    </w:pPr>
    <w:rPr>
      <w:lang w:val="zh-CN"/>
    </w:rPr>
  </w:style>
  <w:style w:type="paragraph" w:styleId="21">
    <w:name w:val="Body Text Indent 2"/>
    <w:basedOn w:val="a"/>
    <w:link w:val="22"/>
    <w:qFormat/>
    <w:pPr>
      <w:spacing w:line="360" w:lineRule="auto"/>
      <w:ind w:firstLine="480"/>
      <w:outlineLvl w:val="0"/>
    </w:pPr>
    <w:rPr>
      <w:rFonts w:ascii="仿宋_GB2312" w:eastAsia="仿宋_GB2312" w:hAnsi="Calibri"/>
      <w:sz w:val="24"/>
      <w:szCs w:val="20"/>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qFormat/>
    <w:pPr>
      <w:tabs>
        <w:tab w:val="right" w:leader="dot" w:pos="8296"/>
      </w:tabs>
      <w:spacing w:line="360" w:lineRule="auto"/>
    </w:p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0">
    <w:name w:val="annotation subject"/>
    <w:basedOn w:val="a5"/>
    <w:next w:val="a5"/>
    <w:link w:val="af1"/>
    <w:uiPriority w:val="99"/>
    <w:semiHidden/>
    <w:unhideWhenUsed/>
    <w:qFormat/>
    <w:rPr>
      <w:b/>
      <w:bCs/>
    </w:rPr>
  </w:style>
  <w:style w:type="character" w:styleId="af2">
    <w:name w:val="Hyperlink"/>
    <w:uiPriority w:val="99"/>
    <w:qFormat/>
    <w:rPr>
      <w:color w:val="0000FF"/>
      <w:u w:val="single"/>
    </w:rPr>
  </w:style>
  <w:style w:type="character" w:styleId="af3">
    <w:name w:val="annotation reference"/>
    <w:basedOn w:val="a1"/>
    <w:unhideWhenUsed/>
    <w:qFormat/>
    <w:rPr>
      <w:sz w:val="21"/>
      <w:szCs w:val="21"/>
    </w:rPr>
  </w:style>
  <w:style w:type="character" w:customStyle="1" w:styleId="ae">
    <w:name w:val="页眉 字符"/>
    <w:basedOn w:val="a1"/>
    <w:link w:val="ad"/>
    <w:qFormat/>
    <w:rPr>
      <w:sz w:val="18"/>
      <w:szCs w:val="18"/>
    </w:rPr>
  </w:style>
  <w:style w:type="character" w:customStyle="1" w:styleId="ac">
    <w:name w:val="页脚 字符"/>
    <w:basedOn w:val="a1"/>
    <w:link w:val="ab"/>
    <w:uiPriority w:val="99"/>
    <w:qFormat/>
    <w:rPr>
      <w:sz w:val="18"/>
      <w:szCs w:val="18"/>
    </w:rPr>
  </w:style>
  <w:style w:type="character" w:customStyle="1" w:styleId="10">
    <w:name w:val="标题 1 字符"/>
    <w:basedOn w:val="a1"/>
    <w:link w:val="1"/>
    <w:qFormat/>
    <w:rPr>
      <w:rFonts w:ascii="黑体" w:eastAsia="黑体" w:hAnsi="Times New Roman" w:cs="Times New Roman"/>
      <w:b/>
      <w:kern w:val="44"/>
      <w:sz w:val="32"/>
      <w:szCs w:val="20"/>
      <w:lang w:val="zh-CN" w:eastAsia="zh-CN"/>
    </w:rPr>
  </w:style>
  <w:style w:type="character" w:customStyle="1" w:styleId="20">
    <w:name w:val="标题 2 字符"/>
    <w:basedOn w:val="a1"/>
    <w:link w:val="2"/>
    <w:qFormat/>
    <w:rPr>
      <w:rFonts w:ascii="Arial" w:eastAsia="黑体" w:hAnsi="Arial" w:cs="Times New Roman"/>
      <w:b/>
      <w:bCs/>
      <w:sz w:val="32"/>
      <w:szCs w:val="32"/>
    </w:rPr>
  </w:style>
  <w:style w:type="character" w:customStyle="1" w:styleId="30">
    <w:name w:val="标题 3 字符"/>
    <w:basedOn w:val="a1"/>
    <w:link w:val="3"/>
    <w:qFormat/>
    <w:rPr>
      <w:rFonts w:ascii="Arial" w:eastAsia="仿宋_GB2312" w:hAnsi="Arial" w:cs="Times New Roman"/>
      <w:b/>
      <w:sz w:val="24"/>
      <w:szCs w:val="20"/>
      <w:lang w:val="zh-CN" w:eastAsia="zh-CN"/>
    </w:rPr>
  </w:style>
  <w:style w:type="character" w:customStyle="1" w:styleId="40">
    <w:name w:val="标题 4 字符"/>
    <w:basedOn w:val="a1"/>
    <w:link w:val="4"/>
    <w:qFormat/>
    <w:rPr>
      <w:rFonts w:ascii="Arial" w:eastAsia="仿宋_GB2312" w:hAnsi="Arial" w:cs="Times New Roman"/>
      <w:sz w:val="24"/>
      <w:szCs w:val="20"/>
      <w:lang w:val="zh-CN" w:eastAsia="zh-CN"/>
    </w:rPr>
  </w:style>
  <w:style w:type="character" w:customStyle="1" w:styleId="50">
    <w:name w:val="标题 5 字符"/>
    <w:basedOn w:val="a1"/>
    <w:link w:val="5"/>
    <w:qFormat/>
    <w:rPr>
      <w:rFonts w:ascii="Arial" w:eastAsia="仿宋_GB2312" w:hAnsi="Arial" w:cs="Times New Roman"/>
      <w:sz w:val="24"/>
      <w:szCs w:val="20"/>
      <w:lang w:val="zh-CN" w:eastAsia="zh-CN"/>
    </w:rPr>
  </w:style>
  <w:style w:type="character" w:customStyle="1" w:styleId="60">
    <w:name w:val="标题 6 字符"/>
    <w:basedOn w:val="a1"/>
    <w:link w:val="6"/>
    <w:qFormat/>
    <w:rPr>
      <w:rFonts w:ascii="Arial" w:eastAsia="仿宋_GB2312" w:hAnsi="Arial" w:cs="Times New Roman"/>
      <w:sz w:val="24"/>
      <w:szCs w:val="20"/>
      <w:lang w:val="zh-CN" w:eastAsia="zh-CN"/>
    </w:rPr>
  </w:style>
  <w:style w:type="character" w:customStyle="1" w:styleId="70">
    <w:name w:val="标题 7 字符"/>
    <w:basedOn w:val="a1"/>
    <w:link w:val="7"/>
    <w:qFormat/>
    <w:rPr>
      <w:rFonts w:ascii="仿宋_GB2312" w:eastAsia="仿宋_GB2312" w:hAnsi="Times New Roman" w:cs="Times New Roman"/>
      <w:sz w:val="24"/>
      <w:szCs w:val="20"/>
      <w:lang w:val="zh-CN" w:eastAsia="zh-CN"/>
    </w:rPr>
  </w:style>
  <w:style w:type="character" w:customStyle="1" w:styleId="22">
    <w:name w:val="正文文本缩进 2 字符"/>
    <w:basedOn w:val="a1"/>
    <w:link w:val="21"/>
    <w:qFormat/>
    <w:rPr>
      <w:rFonts w:ascii="仿宋_GB2312" w:eastAsia="仿宋_GB2312" w:hAnsi="Calibri" w:cs="Times New Roman"/>
      <w:sz w:val="24"/>
      <w:szCs w:val="20"/>
    </w:rPr>
  </w:style>
  <w:style w:type="character" w:customStyle="1" w:styleId="a8">
    <w:name w:val="正文文本缩进 字符"/>
    <w:basedOn w:val="a1"/>
    <w:link w:val="a7"/>
    <w:qFormat/>
    <w:rPr>
      <w:rFonts w:ascii="Times New Roman" w:eastAsia="宋体" w:hAnsi="Times New Roman" w:cs="Times New Roman"/>
      <w:szCs w:val="24"/>
      <w:lang w:val="zh-CN" w:eastAsia="zh-CN"/>
    </w:rPr>
  </w:style>
  <w:style w:type="character" w:customStyle="1" w:styleId="a4">
    <w:name w:val="正文缩进 字符"/>
    <w:link w:val="a0"/>
    <w:uiPriority w:val="99"/>
    <w:qFormat/>
    <w:rPr>
      <w:rFonts w:ascii="Calibri" w:eastAsia="宋体" w:hAnsi="Calibri" w:cs="Times New Roman"/>
      <w:szCs w:val="24"/>
    </w:rPr>
  </w:style>
  <w:style w:type="paragraph" w:customStyle="1" w:styleId="af4">
    <w:name w:val="正文正文"/>
    <w:basedOn w:val="a"/>
    <w:uiPriority w:val="99"/>
    <w:qFormat/>
    <w:pPr>
      <w:spacing w:afterLines="25" w:after="25" w:line="360" w:lineRule="auto"/>
      <w:ind w:firstLineChars="200" w:firstLine="200"/>
    </w:pPr>
    <w:rPr>
      <w:sz w:val="24"/>
    </w:rPr>
  </w:style>
  <w:style w:type="character" w:customStyle="1" w:styleId="aa">
    <w:name w:val="批注框文本 字符"/>
    <w:basedOn w:val="a1"/>
    <w:link w:val="a9"/>
    <w:uiPriority w:val="99"/>
    <w:semiHidden/>
    <w:qFormat/>
    <w:rPr>
      <w:rFonts w:ascii="Times New Roman" w:eastAsia="宋体" w:hAnsi="Times New Roman" w:cs="Times New Roman"/>
      <w:sz w:val="18"/>
      <w:szCs w:val="18"/>
    </w:rPr>
  </w:style>
  <w:style w:type="character" w:customStyle="1" w:styleId="a6">
    <w:name w:val="批注文字 字符"/>
    <w:basedOn w:val="a1"/>
    <w:link w:val="a5"/>
    <w:uiPriority w:val="99"/>
    <w:qFormat/>
    <w:rPr>
      <w:rFonts w:ascii="Times New Roman" w:eastAsia="宋体" w:hAnsi="Times New Roman" w:cs="Times New Roman"/>
      <w:szCs w:val="24"/>
    </w:rPr>
  </w:style>
  <w:style w:type="character" w:customStyle="1" w:styleId="af1">
    <w:name w:val="批注主题 字符"/>
    <w:basedOn w:val="a6"/>
    <w:link w:val="af0"/>
    <w:uiPriority w:val="99"/>
    <w:semiHidden/>
    <w:qFormat/>
    <w:rPr>
      <w:rFonts w:ascii="Times New Roman" w:eastAsia="宋体" w:hAnsi="Times New Roman" w:cs="Times New Roman"/>
      <w:b/>
      <w:bCs/>
      <w:szCs w:val="24"/>
    </w:rPr>
  </w:style>
  <w:style w:type="paragraph" w:customStyle="1" w:styleId="11">
    <w:name w:val="修订1"/>
    <w:hidden/>
    <w:uiPriority w:val="99"/>
    <w:semiHidden/>
    <w:qFormat/>
    <w:rPr>
      <w:rFonts w:ascii="Times New Roman" w:eastAsia="宋体" w:hAnsi="Times New Roman" w:cs="Times New Roman"/>
      <w:kern w:val="2"/>
      <w:sz w:val="21"/>
      <w:szCs w:val="24"/>
    </w:rPr>
  </w:style>
  <w:style w:type="paragraph" w:styleId="af5">
    <w:name w:val="List Paragraph"/>
    <w:basedOn w:val="a"/>
    <w:uiPriority w:val="34"/>
    <w:qFormat/>
    <w:pPr>
      <w:ind w:firstLineChars="200" w:firstLine="420"/>
    </w:pPr>
  </w:style>
  <w:style w:type="character" w:customStyle="1" w:styleId="12">
    <w:name w:val="批注文字 字符1"/>
    <w:qFormat/>
    <w:rPr>
      <w:sz w:val="21"/>
    </w:rPr>
  </w:style>
  <w:style w:type="paragraph" w:styleId="af6">
    <w:name w:val="Revision"/>
    <w:hidden/>
    <w:uiPriority w:val="99"/>
    <w:unhideWhenUsed/>
    <w:rsid w:val="0042654C"/>
    <w:rPr>
      <w:rFonts w:ascii="Times New Roman" w:eastAsia="宋体" w:hAnsi="Times New Roman" w:cs="Times New Roman"/>
      <w:kern w:val="2"/>
      <w:sz w:val="21"/>
      <w:szCs w:val="24"/>
    </w:rPr>
  </w:style>
  <w:style w:type="paragraph" w:styleId="TOC2">
    <w:name w:val="toc 2"/>
    <w:basedOn w:val="a"/>
    <w:next w:val="a"/>
    <w:autoRedefine/>
    <w:uiPriority w:val="39"/>
    <w:unhideWhenUsed/>
    <w:rsid w:val="00974B29"/>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 xmlns="http://schemas.microsoft.com/sharepoint/v3/contenttype/forms">DocumentLibraryForm</Display>
  <Edit xmlns="http://schemas.microsoft.com/sharepoint/v3/contenttype/forms">DocumentLibraryForm</Edit>
  <New xmlns="http://schemas.microsoft.com/sharepoint/v3/contenttype/forms">DocumentLibraryForm</New>
</FormTemplates>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ontentTypeName="Document" contentTypeVersion="0" contentTypeScope="" contentTypeID="0x0101005CF892CA87AC3C449149E796A069584A" versionID="36a0b2e3b99e6066eb4e892e7046030a" _="" contentTypeDescription="Create a new document.">
  <xsd:schema xmlns:xsd="http://www.w3.org/2001/XMLSchema" xmlns:ma="http://schemas.microsoft.com/office/2006/metadata/properties/metaAttributes" targetNamespace="http://schemas.microsoft.com/office/2006/metadata/properties" ma:root="true" ma:fieldsID="4aeb20c0e3442673af7ee10786458764">
    <xsd:element xmlns:xsd="http://www.w3.org/2001/XMLSchema" name="properties">
      <xsd:complexType xmlns:xsd="http://www.w3.org/2001/XMLSchema">
        <xsd:sequence xmlns:xsd="http://www.w3.org/2001/XMLSchema">
          <xsd:element xmlns:xsd="http://www.w3.org/2001/XMLSchema" name="documentManagement">
            <xsd:complexType xmlns:xsd="http://www.w3.org/2001/XMLSchema">
              <xsd:all xmlns:xsd="http://www.w3.org/2001/XMLSchema"/>
            </xsd:complexType>
          </xsd:element>
        </xsd:sequence>
      </xsd:complexType>
    </xsd:element>
  </xsd:schema>
  <xsd:schema xmlns:xsd="http://www.w3.org/2001/XMLSchema" targetNamespace="http://schemas.openxmlformats.org/package/2006/metadata/core-properties" attributeFormDefault="unqualified" elementFormDefault="qualified" blockDefault="#all">
    <xsd:import xmlns:xsd="http://www.w3.org/2001/XMLSchema" namespace="http://purl.org/dc/elements/1.1/" schemaLocation="http://dublincore.org/schemas/xmls/qdc/2003/04/02/dc.xsd"/>
    <xsd:import xmlns:xsd="http://www.w3.org/2001/XMLSchema" namespace="http://purl.org/dc/terms/" schemaLocation="http://dublincore.org/schemas/xmls/qdc/2003/04/02/dcterms.xsd"/>
    <xsd:element xmlns:xsd="http://www.w3.org/2001/XMLSchema" name="coreProperties" type="CT_coreProperties"/>
    <xsd:complexType xmlns:xsd="http://www.w3.org/2001/XMLSchema" name="CT_coreProperties">
      <xsd:all xmlns:xsd="http://www.w3.org/2001/XMLSchema">
        <xsd:element xmlns:xsd="http://www.w3.org/2001/XMLSchema" maxOccurs="1" minOccurs="0" ref="dc:creator"/>
        <xsd:element xmlns:xsd="http://www.w3.org/2001/XMLSchema" maxOccurs="1" minOccurs="0" ref="dcterms:created"/>
        <xsd:element xmlns:xsd="http://www.w3.org/2001/XMLSchema" maxOccurs="1" minOccurs="0" ref="dc:identifier"/>
        <xsd:element xmlns:xsd="http://www.w3.org/2001/XMLSchema" xmlns:ma="http://schemas.microsoft.com/office/2006/metadata/properties/metaAttributes" maxOccurs="1" ma:displayName="Content Type" name="contentType" ma:index="0" minOccurs="0" ma:readOnly="true" type="xsd:string"/>
        <xsd:element xmlns:xsd="http://www.w3.org/2001/XMLSchema" xmlns:ma="http://schemas.microsoft.com/office/2006/metadata/properties/metaAttributes" maxOccurs="1" ma:displayName="Title" ma:index="4" minOccurs="0" ref="dc:title"/>
        <xsd:element xmlns:xsd="http://www.w3.org/2001/XMLSchema" maxOccurs="1" minOccurs="0" ref="dc:subject"/>
        <xsd:element xmlns:xsd="http://www.w3.org/2001/XMLSchema" maxOccurs="1" minOccurs="0" ref="dc:description"/>
        <xsd:element xmlns:xsd="http://www.w3.org/2001/XMLSchema" maxOccurs="1" name="keywords" minOccurs="0" type="xsd:string"/>
        <xsd:element xmlns:xsd="http://www.w3.org/2001/XMLSchema" maxOccurs="1" minOccurs="0" ref="dc:language"/>
        <xsd:element xmlns:xsd="http://www.w3.org/2001/XMLSchema" maxOccurs="1" name="category" minOccurs="0" type="xsd:string"/>
        <xsd:element xmlns:xsd="http://www.w3.org/2001/XMLSchema" maxOccurs="1" name="version" minOccurs="0" type="xsd:string"/>
        <xsd:element xmlns:xsd="http://www.w3.org/2001/XMLSchema" maxOccurs="1" name="revision" minOccurs="0" type="xsd:string">
          <xsd:annotation xmlns:xsd="http://www.w3.org/2001/XMLSchema">
            <xsd:documentation xmlns:xsd="http://www.w3.org/2001/XMLSchema">
                        This value indicates the number of saves or revisions. The application is responsible for updating this value after each revision.
                    </xsd:documentation>
          </xsd:annotation>
        </xsd:element>
        <xsd:element xmlns:xsd="http://www.w3.org/2001/XMLSchema" maxOccurs="1" name="lastModifiedBy" minOccurs="0" type="xsd:string"/>
        <xsd:element xmlns:xsd="http://www.w3.org/2001/XMLSchema" maxOccurs="1" minOccurs="0" ref="dcterms:modified"/>
        <xsd:element xmlns:xsd="http://www.w3.org/2001/XMLSchema" maxOccurs="1" name="lastPrinted" minOccurs="0" type="xsd:dateTime"/>
        <xsd:element xmlns:xsd="http://www.w3.org/2001/XMLSchema" maxOccurs="1" name="contentStatus" minOccurs="0"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5742A-0804-4EE7-82C3-FFA26765DCAB}">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87D0168-16D8-4DAF-9108-2B5D74F65D52}">
  <ds:schemaRefs>
    <ds:schemaRef ds:uri="http://schemas.microsoft.com/office/2006/metadata/properties"/>
  </ds:schemaRefs>
</ds:datastoreItem>
</file>

<file path=customXml/itemProps4.xml><?xml version="1.0" encoding="utf-8"?>
<ds:datastoreItem xmlns:ds="http://schemas.openxmlformats.org/officeDocument/2006/customXml" ds:itemID="{7CBFDEE4-661F-471F-9485-ECA3FBAF7C47}">
  <ds:schemaRefs>
    <ds:schemaRef ds:uri="http://schemas.microsoft.com/office/2006/metadata/contentType"/>
    <ds:schemaRef ds:uri="http://schemas.microsoft.com/office/2006/metadata/properties/metaAttributes"/>
    <ds:schemaRef ds:uri="http://www.w3.org/2001/XMLSchema"/>
  </ds:schemaRefs>
</ds:datastoreItem>
</file>

<file path=customXml/itemProps5.xml><?xml version="1.0" encoding="utf-8"?>
<ds:datastoreItem xmlns:ds="http://schemas.openxmlformats.org/officeDocument/2006/customXml" ds:itemID="{76AF9819-FAA2-4B17-A7D6-14D0E13E3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41</Pages>
  <Words>17852</Words>
  <Characters>18032</Characters>
  <Application>Microsoft Office Word</Application>
  <DocSecurity>0</DocSecurity>
  <Lines>644</Lines>
  <Paragraphs>527</Paragraphs>
  <ScaleCrop>false</ScaleCrop>
  <Company/>
  <LinksUpToDate>false</LinksUpToDate>
  <CharactersWithSpaces>35357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lyj</cp:lastModifiedBy>
  <cp:revision>12</cp:revision>
  <dcterms:created xsi:type="dcterms:W3CDTF">2026-04-28T08:11:00Z</dcterms:created>
  <dcterms:modified xsi:type="dcterms:W3CDTF">2026-10-16T06:20:00Z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0x0101005CF892CA87AC3C449149E796A069584A</vt:lpwstr>
  </property>
  <property fmtid="{D5CDD505-2E9C-101B-9397-08002B2CF9AE}" pid="3" name="KSOProductBuildVer">
    <vt:lpwstr>2052-12.8.2.21176</vt:lpwstr>
  </property>
  <property fmtid="{D5CDD505-2E9C-101B-9397-08002B2CF9AE}" pid="4" name="ICV">
    <vt:lpwstr>2D61FAF5D320C1C7C1F1DD69094B7120_42</vt:lpwstr>
  </property>
</Properties>
</file>