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A6901">
      <w:pPr>
        <w:rPr>
          <w:rFonts w:hint="eastAsia" w:ascii="宋体" w:hAnsi="宋体"/>
          <w:sz w:val="24"/>
        </w:rPr>
      </w:pPr>
      <w:bookmarkStart w:id="89" w:name="_GoBack"/>
      <w:bookmarkEnd w:id="89"/>
    </w:p>
    <w:p w14:paraId="7D0CAB9B">
      <w:pPr>
        <w:ind w:right="-17" w:rightChars="-8"/>
        <w:rPr>
          <w:rFonts w:eastAsia="黑体"/>
          <w:sz w:val="32"/>
          <w:szCs w:val="32"/>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2691765</wp:posOffset>
                </wp:positionH>
                <wp:positionV relativeFrom="paragraph">
                  <wp:posOffset>198120</wp:posOffset>
                </wp:positionV>
                <wp:extent cx="1256665" cy="494665"/>
                <wp:effectExtent l="0" t="0" r="0" b="635"/>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256665" cy="494665"/>
                        </a:xfrm>
                        <a:prstGeom prst="rect">
                          <a:avLst/>
                        </a:prstGeom>
                        <a:noFill/>
                        <a:ln>
                          <a:noFill/>
                        </a:ln>
                      </wps:spPr>
                      <wps:txbx>
                        <w:txbxContent>
                          <w:p w14:paraId="2E051F04">
                            <w:pPr>
                              <w:rPr>
                                <w:b/>
                                <w:sz w:val="28"/>
                                <w:szCs w:val="28"/>
                              </w:rPr>
                            </w:pPr>
                            <w:r>
                              <w:rPr>
                                <w:rFonts w:hint="eastAsia"/>
                                <w:b/>
                                <w:sz w:val="28"/>
                                <w:szCs w:val="28"/>
                              </w:rPr>
                              <w:t>编号：</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1.95pt;margin-top:15.6pt;height:38.95pt;width:98.95pt;z-index:251659264;mso-width-relative:page;mso-height-relative:page;" filled="f" stroked="f" coordsize="21600,21600" o:gfxdata="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FIfPR1gAAAAoBAAAPAAAAAAAA&#10;AAEAIAAAACIAAABkcnMvZG93bnJldi54bWxQSwECFAAUAAAACACHTuJATFTsGBQCAAAVBAAADgAA&#10;AAAAAAABACAAAAAlAQAAZHJzL2Uyb0RvYy54bWxQSwUGAAAAAAYABgBZAQAAqwUAAAAA&#10;">
                <v:fill on="f" focussize="0,0"/>
                <v:stroke on="f"/>
                <v:imagedata o:title=""/>
                <o:lock v:ext="edit" aspectratio="f"/>
                <v:textbox>
                  <w:txbxContent>
                    <w:p w14:paraId="2E051F04">
                      <w:pPr>
                        <w:rPr>
                          <w:b/>
                          <w:sz w:val="28"/>
                          <w:szCs w:val="28"/>
                        </w:rPr>
                      </w:pPr>
                      <w:r>
                        <w:rPr>
                          <w:rFonts w:hint="eastAsia"/>
                          <w:b/>
                          <w:sz w:val="28"/>
                          <w:szCs w:val="28"/>
                        </w:rPr>
                        <w:t>编号：</w:t>
                      </w:r>
                    </w:p>
                  </w:txbxContent>
                </v:textbox>
              </v:shape>
            </w:pict>
          </mc:Fallback>
        </mc:AlternateContent>
      </w:r>
    </w:p>
    <w:p w14:paraId="0DC46C4F">
      <w:pPr>
        <w:rPr>
          <w:rFonts w:eastAsia="黑体"/>
          <w:sz w:val="52"/>
          <w:szCs w:val="52"/>
        </w:rPr>
      </w:pPr>
    </w:p>
    <w:p w14:paraId="2824A920">
      <w:pPr>
        <w:tabs>
          <w:tab w:val="left" w:pos="3495"/>
        </w:tabs>
        <w:rPr>
          <w:rFonts w:eastAsia="黑体"/>
          <w:sz w:val="52"/>
          <w:szCs w:val="52"/>
        </w:rPr>
      </w:pPr>
    </w:p>
    <w:p w14:paraId="40D8B6C2">
      <w:pPr>
        <w:tabs>
          <w:tab w:val="center" w:pos="4164"/>
          <w:tab w:val="left" w:pos="5455"/>
        </w:tabs>
        <w:ind w:right="-17" w:rightChars="-8"/>
        <w:jc w:val="center"/>
        <w:rPr>
          <w:rFonts w:eastAsia="黑体"/>
          <w:sz w:val="52"/>
          <w:szCs w:val="52"/>
        </w:rPr>
      </w:pPr>
    </w:p>
    <w:p w14:paraId="4EB7FF7B">
      <w:pPr>
        <w:tabs>
          <w:tab w:val="center" w:pos="4164"/>
          <w:tab w:val="left" w:pos="5455"/>
        </w:tabs>
        <w:ind w:right="-17" w:rightChars="-8"/>
        <w:jc w:val="center"/>
        <w:rPr>
          <w:rFonts w:eastAsia="黑体"/>
          <w:sz w:val="52"/>
          <w:szCs w:val="52"/>
        </w:rPr>
      </w:pPr>
    </w:p>
    <w:p w14:paraId="2C21D3A2">
      <w:pPr>
        <w:tabs>
          <w:tab w:val="center" w:pos="4164"/>
          <w:tab w:val="left" w:pos="5455"/>
        </w:tabs>
        <w:ind w:right="-17" w:rightChars="-8"/>
        <w:jc w:val="center"/>
        <w:rPr>
          <w:rFonts w:eastAsia="黑体"/>
          <w:sz w:val="52"/>
          <w:szCs w:val="52"/>
        </w:rPr>
      </w:pPr>
    </w:p>
    <w:p w14:paraId="30710DFB">
      <w:pPr>
        <w:tabs>
          <w:tab w:val="center" w:pos="4164"/>
          <w:tab w:val="left" w:pos="5455"/>
        </w:tabs>
        <w:ind w:right="-17" w:rightChars="-8"/>
        <w:jc w:val="center"/>
        <w:rPr>
          <w:rFonts w:eastAsia="黑体"/>
          <w:sz w:val="52"/>
          <w:szCs w:val="52"/>
        </w:rPr>
      </w:pPr>
    </w:p>
    <w:p w14:paraId="71A085BD">
      <w:pPr>
        <w:jc w:val="center"/>
        <w:rPr>
          <w:rFonts w:hint="eastAsia" w:ascii="宋体" w:hAnsi="宋体"/>
          <w:sz w:val="24"/>
        </w:rPr>
      </w:pPr>
    </w:p>
    <w:p w14:paraId="6A462868">
      <w:pPr>
        <w:jc w:val="center"/>
        <w:rPr>
          <w:b/>
          <w:sz w:val="52"/>
          <w:szCs w:val="52"/>
        </w:rPr>
      </w:pPr>
    </w:p>
    <w:p w14:paraId="066F8454">
      <w:pPr>
        <w:jc w:val="center"/>
        <w:rPr>
          <w:rFonts w:ascii="仿宋_GB2312" w:eastAsia="仿宋_GB2312"/>
          <w:b/>
          <w:sz w:val="32"/>
          <w:szCs w:val="32"/>
        </w:rPr>
      </w:pPr>
    </w:p>
    <w:p w14:paraId="13858A98">
      <w:pPr>
        <w:jc w:val="center"/>
        <w:rPr>
          <w:rFonts w:hint="eastAsia" w:ascii="黑体" w:hAnsi="黑体" w:eastAsia="黑体"/>
          <w:b/>
          <w:sz w:val="44"/>
          <w:szCs w:val="44"/>
        </w:rPr>
      </w:pPr>
      <w:r>
        <w:rPr>
          <w:rFonts w:hint="eastAsia" w:ascii="黑体" w:hAnsi="黑体" w:eastAsia="黑体"/>
          <w:b/>
          <w:sz w:val="44"/>
          <w:szCs w:val="44"/>
        </w:rPr>
        <w:t>交银施罗德低碳经济研选混合型发起式证券投资基金</w:t>
      </w:r>
    </w:p>
    <w:p w14:paraId="78AE6D5F">
      <w:pPr>
        <w:jc w:val="center"/>
        <w:rPr>
          <w:rFonts w:hint="eastAsia" w:ascii="黑体" w:hAnsi="黑体" w:eastAsia="黑体"/>
          <w:b/>
          <w:sz w:val="44"/>
          <w:szCs w:val="44"/>
        </w:rPr>
      </w:pPr>
      <w:r>
        <w:rPr>
          <w:rFonts w:hint="eastAsia" w:ascii="黑体" w:hAnsi="黑体" w:eastAsia="黑体"/>
          <w:b/>
          <w:sz w:val="44"/>
          <w:szCs w:val="44"/>
        </w:rPr>
        <w:t>托管协议</w:t>
      </w:r>
    </w:p>
    <w:p w14:paraId="08670DC6">
      <w:pPr>
        <w:jc w:val="center"/>
        <w:rPr>
          <w:rFonts w:hint="eastAsia" w:ascii="宋体" w:hAnsi="宋体"/>
          <w:sz w:val="44"/>
          <w:szCs w:val="44"/>
        </w:rPr>
      </w:pPr>
    </w:p>
    <w:p w14:paraId="6F7B8D06">
      <w:pPr>
        <w:jc w:val="center"/>
        <w:rPr>
          <w:rFonts w:hint="eastAsia" w:ascii="宋体" w:hAnsi="宋体"/>
          <w:sz w:val="44"/>
          <w:szCs w:val="44"/>
        </w:rPr>
      </w:pPr>
    </w:p>
    <w:p w14:paraId="1A419B8D">
      <w:pPr>
        <w:jc w:val="center"/>
        <w:rPr>
          <w:rFonts w:hint="eastAsia" w:ascii="宋体" w:hAnsi="宋体"/>
          <w:sz w:val="44"/>
          <w:szCs w:val="44"/>
        </w:rPr>
      </w:pPr>
    </w:p>
    <w:p w14:paraId="78292648">
      <w:pPr>
        <w:jc w:val="center"/>
        <w:rPr>
          <w:rFonts w:hint="eastAsia" w:ascii="宋体" w:hAnsi="宋体"/>
          <w:sz w:val="44"/>
          <w:szCs w:val="44"/>
        </w:rPr>
      </w:pPr>
    </w:p>
    <w:p w14:paraId="5C1BB697">
      <w:pPr>
        <w:rPr>
          <w:rFonts w:ascii="宋体"/>
          <w:sz w:val="30"/>
        </w:rPr>
      </w:pPr>
    </w:p>
    <w:p w14:paraId="51035FC2">
      <w:pPr>
        <w:spacing w:line="360" w:lineRule="auto"/>
        <w:ind w:right="26" w:firstLine="1280" w:firstLineChars="400"/>
        <w:outlineLvl w:val="0"/>
        <w:rPr>
          <w:rFonts w:hint="eastAsia" w:ascii="宋体" w:hAnsi="宋体"/>
          <w:sz w:val="32"/>
          <w:szCs w:val="32"/>
        </w:rPr>
      </w:pPr>
      <w:bookmarkStart w:id="0" w:name="_Toc382818591"/>
      <w:bookmarkStart w:id="1" w:name="_Toc382819065"/>
      <w:r>
        <w:rPr>
          <w:rFonts w:hint="eastAsia" w:ascii="宋体" w:hAnsi="宋体"/>
          <w:sz w:val="32"/>
          <w:szCs w:val="32"/>
        </w:rPr>
        <w:t>基金管理人：</w:t>
      </w:r>
      <w:bookmarkEnd w:id="0"/>
      <w:bookmarkEnd w:id="1"/>
      <w:r>
        <w:rPr>
          <w:rFonts w:hint="eastAsia" w:ascii="宋体" w:hAnsi="宋体"/>
          <w:sz w:val="32"/>
          <w:szCs w:val="32"/>
        </w:rPr>
        <w:t>交银施罗德基金管理有限公司</w:t>
      </w:r>
    </w:p>
    <w:p w14:paraId="2459A426">
      <w:pPr>
        <w:spacing w:line="360" w:lineRule="auto"/>
        <w:ind w:right="26" w:firstLine="1280" w:firstLineChars="400"/>
        <w:outlineLvl w:val="0"/>
        <w:rPr>
          <w:rFonts w:hint="eastAsia" w:ascii="宋体" w:hAnsi="宋体"/>
          <w:sz w:val="32"/>
          <w:szCs w:val="32"/>
        </w:rPr>
      </w:pPr>
      <w:bookmarkStart w:id="2" w:name="_Toc382819066"/>
      <w:bookmarkStart w:id="3" w:name="_Toc382818592"/>
      <w:r>
        <w:rPr>
          <w:rFonts w:hint="eastAsia" w:ascii="宋体" w:hAnsi="宋体"/>
          <w:sz w:val="32"/>
          <w:szCs w:val="32"/>
        </w:rPr>
        <w:t>基金托管人：上海浦东发展银行股份有限公司</w:t>
      </w:r>
      <w:bookmarkEnd w:id="2"/>
      <w:bookmarkEnd w:id="3"/>
    </w:p>
    <w:p w14:paraId="2F4B6A5E">
      <w:pPr>
        <w:spacing w:line="500" w:lineRule="atLeast"/>
        <w:ind w:left="2698" w:hanging="2699" w:hangingChars="896"/>
        <w:jc w:val="center"/>
        <w:outlineLvl w:val="0"/>
        <w:rPr>
          <w:rFonts w:hint="eastAsia" w:ascii="宋体" w:hAnsi="宋体"/>
          <w:b/>
          <w:sz w:val="30"/>
          <w:szCs w:val="30"/>
        </w:rPr>
      </w:pPr>
    </w:p>
    <w:p w14:paraId="4364D6DD">
      <w:pPr>
        <w:jc w:val="center"/>
        <w:rPr>
          <w:bCs/>
          <w:sz w:val="28"/>
        </w:rPr>
        <w:sectPr>
          <w:footerReference r:id="rId5" w:type="first"/>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pPr>
      <w:r>
        <w:rPr>
          <w:rFonts w:hint="eastAsia" w:ascii="宋体" w:hAnsi="宋体"/>
          <w:sz w:val="32"/>
          <w:szCs w:val="32"/>
        </w:rPr>
        <w:t>二零二六年</w:t>
      </w:r>
      <w:r>
        <w:rPr>
          <w:rFonts w:hint="eastAsia" w:ascii="宋体" w:hAnsi="宋体"/>
          <w:sz w:val="32"/>
          <w:szCs w:val="32"/>
          <w:lang w:val="en-US" w:eastAsia="zh-CN"/>
        </w:rPr>
        <w:t>十</w:t>
      </w:r>
      <w:r>
        <w:rPr>
          <w:rFonts w:hint="eastAsia" w:ascii="宋体" w:hAnsi="宋体"/>
          <w:sz w:val="32"/>
          <w:szCs w:val="32"/>
        </w:rPr>
        <w:t>月</w:t>
      </w:r>
    </w:p>
    <w:p w14:paraId="396A6A81">
      <w:pPr>
        <w:spacing w:line="500" w:lineRule="atLeast"/>
        <w:jc w:val="center"/>
        <w:outlineLvl w:val="0"/>
        <w:rPr>
          <w:rFonts w:hint="eastAsia" w:ascii="宋体" w:hAnsi="宋体"/>
          <w:b/>
          <w:sz w:val="36"/>
          <w:szCs w:val="28"/>
        </w:rPr>
      </w:pPr>
      <w:bookmarkStart w:id="4" w:name="_Toc382819067"/>
      <w:bookmarkStart w:id="5" w:name="_Toc382818593"/>
      <w:r>
        <w:rPr>
          <w:rFonts w:hint="eastAsia" w:ascii="宋体" w:hAnsi="宋体"/>
          <w:b/>
          <w:sz w:val="32"/>
          <w:szCs w:val="28"/>
        </w:rPr>
        <w:t>目 录</w:t>
      </w:r>
      <w:bookmarkEnd w:id="4"/>
      <w:bookmarkEnd w:id="5"/>
    </w:p>
    <w:p w14:paraId="5C53A5D7">
      <w:pPr>
        <w:pStyle w:val="16"/>
        <w:tabs>
          <w:tab w:val="left" w:pos="440"/>
          <w:tab w:val="right" w:leader="dot" w:pos="8296"/>
        </w:tabs>
        <w:spacing w:line="360" w:lineRule="auto"/>
        <w:rPr>
          <w:rFonts w:ascii="Calibri" w:hAnsi="Calibri"/>
          <w:sz w:val="20"/>
          <w:szCs w:val="22"/>
        </w:rPr>
      </w:pPr>
      <w:r>
        <w:rPr>
          <w:rFonts w:ascii="宋体" w:hAnsi="宋体"/>
          <w:sz w:val="20"/>
          <w:szCs w:val="21"/>
        </w:rPr>
        <w:fldChar w:fldCharType="begin"/>
      </w:r>
      <w:r>
        <w:rPr>
          <w:rFonts w:ascii="宋体" w:hAnsi="宋体"/>
          <w:sz w:val="20"/>
          <w:szCs w:val="21"/>
        </w:rPr>
        <w:instrText xml:space="preserve"> </w:instrText>
      </w:r>
      <w:r>
        <w:rPr>
          <w:rFonts w:hint="eastAsia" w:ascii="宋体" w:hAnsi="宋体"/>
          <w:sz w:val="20"/>
          <w:szCs w:val="21"/>
        </w:rPr>
        <w:instrText xml:space="preserve">TOC \o "1-3" \h \z \u</w:instrText>
      </w:r>
      <w:r>
        <w:rPr>
          <w:rFonts w:ascii="宋体" w:hAnsi="宋体"/>
          <w:sz w:val="20"/>
          <w:szCs w:val="21"/>
        </w:rPr>
        <w:instrText xml:space="preserve"> </w:instrText>
      </w:r>
      <w:r>
        <w:rPr>
          <w:rFonts w:ascii="宋体" w:hAnsi="宋体"/>
          <w:sz w:val="20"/>
          <w:szCs w:val="21"/>
        </w:rPr>
        <w:fldChar w:fldCharType="separate"/>
      </w:r>
    </w:p>
    <w:p w14:paraId="3A497EDD">
      <w:pPr>
        <w:pStyle w:val="16"/>
        <w:tabs>
          <w:tab w:val="right" w:leader="dot" w:pos="8296"/>
        </w:tabs>
        <w:spacing w:line="360" w:lineRule="auto"/>
        <w:rPr>
          <w:rFonts w:ascii="Calibri" w:hAnsi="Calibri"/>
          <w:sz w:val="24"/>
          <w:szCs w:val="22"/>
        </w:rPr>
      </w:pPr>
      <w:r>
        <w:fldChar w:fldCharType="begin"/>
      </w:r>
      <w:r>
        <w:instrText xml:space="preserve"> HYPERLINK \l "_Toc382819071" </w:instrText>
      </w:r>
      <w:r>
        <w:fldChar w:fldCharType="separate"/>
      </w:r>
      <w:r>
        <w:rPr>
          <w:rStyle w:val="21"/>
          <w:rFonts w:hint="eastAsia" w:ascii="宋体" w:hAnsi="宋体" w:cs="Arial"/>
          <w:sz w:val="24"/>
        </w:rPr>
        <w:t>一、 基金托管协议的依据、目的、原则和解释</w:t>
      </w:r>
      <w:r>
        <w:rPr>
          <w:sz w:val="24"/>
        </w:rPr>
        <w:tab/>
      </w:r>
      <w:r>
        <w:rPr>
          <w:sz w:val="24"/>
        </w:rPr>
        <w:fldChar w:fldCharType="begin"/>
      </w:r>
      <w:r>
        <w:rPr>
          <w:sz w:val="24"/>
        </w:rPr>
        <w:instrText xml:space="preserve"> PAGEREF _Toc382819071 \h </w:instrText>
      </w:r>
      <w:r>
        <w:rPr>
          <w:sz w:val="24"/>
        </w:rPr>
        <w:fldChar w:fldCharType="separate"/>
      </w:r>
      <w:r>
        <w:rPr>
          <w:sz w:val="24"/>
        </w:rPr>
        <w:t>2</w:t>
      </w:r>
      <w:r>
        <w:rPr>
          <w:sz w:val="24"/>
        </w:rPr>
        <w:fldChar w:fldCharType="end"/>
      </w:r>
      <w:r>
        <w:rPr>
          <w:sz w:val="24"/>
        </w:rPr>
        <w:fldChar w:fldCharType="end"/>
      </w:r>
    </w:p>
    <w:p w14:paraId="3E7EB9E3">
      <w:pPr>
        <w:pStyle w:val="16"/>
        <w:tabs>
          <w:tab w:val="right" w:leader="dot" w:pos="8296"/>
        </w:tabs>
        <w:spacing w:line="360" w:lineRule="auto"/>
        <w:rPr>
          <w:rFonts w:ascii="Calibri" w:hAnsi="Calibri"/>
          <w:sz w:val="24"/>
          <w:szCs w:val="22"/>
        </w:rPr>
      </w:pPr>
      <w:r>
        <w:fldChar w:fldCharType="begin"/>
      </w:r>
      <w:r>
        <w:instrText xml:space="preserve"> HYPERLINK \l "_Toc382819072" </w:instrText>
      </w:r>
      <w:r>
        <w:fldChar w:fldCharType="separate"/>
      </w:r>
      <w:r>
        <w:rPr>
          <w:rStyle w:val="21"/>
          <w:rFonts w:hint="eastAsia" w:ascii="宋体" w:hAnsi="宋体" w:cs="Arial"/>
          <w:sz w:val="24"/>
        </w:rPr>
        <w:t>二、 基金托管人对基金管理人的业务监督和核查</w:t>
      </w:r>
      <w:r>
        <w:rPr>
          <w:sz w:val="24"/>
        </w:rPr>
        <w:tab/>
      </w:r>
      <w:r>
        <w:rPr>
          <w:sz w:val="24"/>
        </w:rPr>
        <w:fldChar w:fldCharType="begin"/>
      </w:r>
      <w:r>
        <w:rPr>
          <w:sz w:val="24"/>
        </w:rPr>
        <w:instrText xml:space="preserve"> PAGEREF _Toc382819072 \h </w:instrText>
      </w:r>
      <w:r>
        <w:rPr>
          <w:sz w:val="24"/>
        </w:rPr>
        <w:fldChar w:fldCharType="separate"/>
      </w:r>
      <w:r>
        <w:rPr>
          <w:sz w:val="24"/>
        </w:rPr>
        <w:t>2</w:t>
      </w:r>
      <w:r>
        <w:rPr>
          <w:sz w:val="24"/>
        </w:rPr>
        <w:fldChar w:fldCharType="end"/>
      </w:r>
      <w:r>
        <w:rPr>
          <w:sz w:val="24"/>
        </w:rPr>
        <w:fldChar w:fldCharType="end"/>
      </w:r>
    </w:p>
    <w:p w14:paraId="05D4B3DD">
      <w:pPr>
        <w:pStyle w:val="16"/>
        <w:tabs>
          <w:tab w:val="right" w:leader="dot" w:pos="8296"/>
        </w:tabs>
        <w:spacing w:line="360" w:lineRule="auto"/>
        <w:rPr>
          <w:rFonts w:ascii="Calibri" w:hAnsi="Calibri"/>
          <w:sz w:val="24"/>
          <w:szCs w:val="22"/>
        </w:rPr>
      </w:pPr>
      <w:r>
        <w:fldChar w:fldCharType="begin"/>
      </w:r>
      <w:r>
        <w:instrText xml:space="preserve"> HYPERLINK \l "_Toc382819076" </w:instrText>
      </w:r>
      <w:r>
        <w:fldChar w:fldCharType="separate"/>
      </w:r>
      <w:r>
        <w:rPr>
          <w:rStyle w:val="21"/>
          <w:rFonts w:hint="eastAsia" w:ascii="宋体" w:hAnsi="宋体" w:cs="Arial"/>
          <w:sz w:val="24"/>
        </w:rPr>
        <w:t>三、 基金管理人对基金托管人的业务核查</w:t>
      </w:r>
      <w:r>
        <w:rPr>
          <w:sz w:val="24"/>
        </w:rPr>
        <w:tab/>
      </w:r>
      <w:r>
        <w:rPr>
          <w:sz w:val="24"/>
        </w:rPr>
        <w:fldChar w:fldCharType="begin"/>
      </w:r>
      <w:r>
        <w:rPr>
          <w:sz w:val="24"/>
        </w:rPr>
        <w:instrText xml:space="preserve"> PAGEREF _Toc382819076 \h </w:instrText>
      </w:r>
      <w:r>
        <w:rPr>
          <w:sz w:val="24"/>
        </w:rPr>
        <w:fldChar w:fldCharType="separate"/>
      </w:r>
      <w:r>
        <w:rPr>
          <w:sz w:val="24"/>
        </w:rPr>
        <w:t>9</w:t>
      </w:r>
      <w:r>
        <w:rPr>
          <w:sz w:val="24"/>
        </w:rPr>
        <w:fldChar w:fldCharType="end"/>
      </w:r>
      <w:r>
        <w:rPr>
          <w:sz w:val="24"/>
        </w:rPr>
        <w:fldChar w:fldCharType="end"/>
      </w:r>
    </w:p>
    <w:p w14:paraId="6ACC9995">
      <w:pPr>
        <w:pStyle w:val="16"/>
        <w:tabs>
          <w:tab w:val="right" w:leader="dot" w:pos="8296"/>
        </w:tabs>
        <w:spacing w:line="360" w:lineRule="auto"/>
        <w:rPr>
          <w:rFonts w:ascii="Calibri" w:hAnsi="Calibri"/>
          <w:sz w:val="24"/>
          <w:szCs w:val="22"/>
        </w:rPr>
      </w:pPr>
      <w:r>
        <w:fldChar w:fldCharType="begin"/>
      </w:r>
      <w:r>
        <w:instrText xml:space="preserve"> HYPERLINK \l "_Toc382819078" </w:instrText>
      </w:r>
      <w:r>
        <w:fldChar w:fldCharType="separate"/>
      </w:r>
      <w:r>
        <w:rPr>
          <w:rStyle w:val="21"/>
          <w:rFonts w:hint="eastAsia" w:ascii="宋体" w:hAnsi="宋体" w:cs="Arial"/>
          <w:sz w:val="24"/>
        </w:rPr>
        <w:t>四、 基金财产保管</w:t>
      </w:r>
      <w:r>
        <w:rPr>
          <w:sz w:val="24"/>
        </w:rPr>
        <w:tab/>
      </w:r>
      <w:r>
        <w:rPr>
          <w:sz w:val="24"/>
        </w:rPr>
        <w:fldChar w:fldCharType="begin"/>
      </w:r>
      <w:r>
        <w:rPr>
          <w:sz w:val="24"/>
        </w:rPr>
        <w:instrText xml:space="preserve"> PAGEREF _Toc382819078 \h </w:instrText>
      </w:r>
      <w:r>
        <w:rPr>
          <w:sz w:val="24"/>
        </w:rPr>
        <w:fldChar w:fldCharType="separate"/>
      </w:r>
      <w:r>
        <w:rPr>
          <w:sz w:val="24"/>
        </w:rPr>
        <w:t>10</w:t>
      </w:r>
      <w:r>
        <w:rPr>
          <w:sz w:val="24"/>
        </w:rPr>
        <w:fldChar w:fldCharType="end"/>
      </w:r>
      <w:r>
        <w:rPr>
          <w:sz w:val="24"/>
        </w:rPr>
        <w:fldChar w:fldCharType="end"/>
      </w:r>
    </w:p>
    <w:p w14:paraId="621B6E22">
      <w:pPr>
        <w:pStyle w:val="16"/>
        <w:tabs>
          <w:tab w:val="right" w:leader="dot" w:pos="8296"/>
        </w:tabs>
        <w:spacing w:line="360" w:lineRule="auto"/>
        <w:rPr>
          <w:rFonts w:ascii="Calibri" w:hAnsi="Calibri"/>
          <w:sz w:val="24"/>
          <w:szCs w:val="22"/>
        </w:rPr>
      </w:pPr>
      <w:r>
        <w:fldChar w:fldCharType="begin"/>
      </w:r>
      <w:r>
        <w:instrText xml:space="preserve"> HYPERLINK \l "_Toc382819088" </w:instrText>
      </w:r>
      <w:r>
        <w:fldChar w:fldCharType="separate"/>
      </w:r>
      <w:r>
        <w:rPr>
          <w:rStyle w:val="21"/>
          <w:rFonts w:hint="eastAsia" w:ascii="宋体" w:hAnsi="宋体" w:cs="Arial"/>
          <w:sz w:val="24"/>
        </w:rPr>
        <w:t>五、 指令的发送、确认和执行</w:t>
      </w:r>
      <w:r>
        <w:rPr>
          <w:sz w:val="24"/>
        </w:rPr>
        <w:tab/>
      </w:r>
      <w:r>
        <w:rPr>
          <w:sz w:val="24"/>
        </w:rPr>
        <w:fldChar w:fldCharType="begin"/>
      </w:r>
      <w:r>
        <w:rPr>
          <w:sz w:val="24"/>
        </w:rPr>
        <w:instrText xml:space="preserve"> PAGEREF _Toc382819088 \h </w:instrText>
      </w:r>
      <w:r>
        <w:rPr>
          <w:sz w:val="24"/>
        </w:rPr>
        <w:fldChar w:fldCharType="separate"/>
      </w:r>
      <w:r>
        <w:rPr>
          <w:sz w:val="24"/>
        </w:rPr>
        <w:t>13</w:t>
      </w:r>
      <w:r>
        <w:rPr>
          <w:sz w:val="24"/>
        </w:rPr>
        <w:fldChar w:fldCharType="end"/>
      </w:r>
      <w:r>
        <w:rPr>
          <w:sz w:val="24"/>
        </w:rPr>
        <w:fldChar w:fldCharType="end"/>
      </w:r>
    </w:p>
    <w:p w14:paraId="5757067A">
      <w:pPr>
        <w:pStyle w:val="16"/>
        <w:tabs>
          <w:tab w:val="right" w:leader="dot" w:pos="8296"/>
        </w:tabs>
        <w:spacing w:line="360" w:lineRule="auto"/>
        <w:rPr>
          <w:rFonts w:ascii="Calibri" w:hAnsi="Calibri"/>
          <w:sz w:val="24"/>
          <w:szCs w:val="22"/>
        </w:rPr>
      </w:pPr>
      <w:r>
        <w:fldChar w:fldCharType="begin"/>
      </w:r>
      <w:r>
        <w:instrText xml:space="preserve"> HYPERLINK \l "_Toc382819097" </w:instrText>
      </w:r>
      <w:r>
        <w:fldChar w:fldCharType="separate"/>
      </w:r>
      <w:r>
        <w:rPr>
          <w:rStyle w:val="21"/>
          <w:rFonts w:hint="eastAsia" w:ascii="宋体" w:hAnsi="宋体" w:cs="Arial"/>
          <w:sz w:val="24"/>
        </w:rPr>
        <w:t>六、 交易及清算交收安排</w:t>
      </w:r>
      <w:r>
        <w:rPr>
          <w:sz w:val="24"/>
        </w:rPr>
        <w:tab/>
      </w:r>
      <w:r>
        <w:rPr>
          <w:sz w:val="24"/>
        </w:rPr>
        <w:fldChar w:fldCharType="begin"/>
      </w:r>
      <w:r>
        <w:rPr>
          <w:sz w:val="24"/>
        </w:rPr>
        <w:instrText xml:space="preserve"> PAGEREF _Toc382819097 \h </w:instrText>
      </w:r>
      <w:r>
        <w:rPr>
          <w:sz w:val="24"/>
        </w:rPr>
        <w:fldChar w:fldCharType="separate"/>
      </w:r>
      <w:r>
        <w:rPr>
          <w:sz w:val="24"/>
        </w:rPr>
        <w:t>16</w:t>
      </w:r>
      <w:r>
        <w:rPr>
          <w:sz w:val="24"/>
        </w:rPr>
        <w:fldChar w:fldCharType="end"/>
      </w:r>
      <w:r>
        <w:rPr>
          <w:sz w:val="24"/>
        </w:rPr>
        <w:fldChar w:fldCharType="end"/>
      </w:r>
    </w:p>
    <w:p w14:paraId="4EC6AEF5">
      <w:pPr>
        <w:pStyle w:val="16"/>
        <w:tabs>
          <w:tab w:val="right" w:leader="dot" w:pos="8296"/>
        </w:tabs>
        <w:spacing w:line="360" w:lineRule="auto"/>
        <w:rPr>
          <w:rFonts w:ascii="Calibri" w:hAnsi="Calibri"/>
          <w:sz w:val="24"/>
          <w:szCs w:val="22"/>
        </w:rPr>
      </w:pPr>
      <w:r>
        <w:fldChar w:fldCharType="begin"/>
      </w:r>
      <w:r>
        <w:instrText xml:space="preserve"> HYPERLINK \l "_Toc382819103" </w:instrText>
      </w:r>
      <w:r>
        <w:fldChar w:fldCharType="separate"/>
      </w:r>
      <w:r>
        <w:rPr>
          <w:rStyle w:val="21"/>
          <w:rFonts w:hint="eastAsia" w:ascii="宋体" w:hAnsi="宋体" w:cs="Arial"/>
          <w:sz w:val="24"/>
        </w:rPr>
        <w:t>七、 基金资产净值计算和会计核算</w:t>
      </w:r>
      <w:r>
        <w:rPr>
          <w:sz w:val="24"/>
        </w:rPr>
        <w:tab/>
      </w:r>
      <w:r>
        <w:rPr>
          <w:sz w:val="24"/>
        </w:rPr>
        <w:fldChar w:fldCharType="begin"/>
      </w:r>
      <w:r>
        <w:rPr>
          <w:sz w:val="24"/>
        </w:rPr>
        <w:instrText xml:space="preserve"> PAGEREF _Toc382819103 \h </w:instrText>
      </w:r>
      <w:r>
        <w:rPr>
          <w:sz w:val="24"/>
        </w:rPr>
        <w:fldChar w:fldCharType="separate"/>
      </w:r>
      <w:r>
        <w:rPr>
          <w:sz w:val="24"/>
        </w:rPr>
        <w:t>21</w:t>
      </w:r>
      <w:r>
        <w:rPr>
          <w:sz w:val="24"/>
        </w:rPr>
        <w:fldChar w:fldCharType="end"/>
      </w:r>
      <w:r>
        <w:rPr>
          <w:sz w:val="24"/>
        </w:rPr>
        <w:fldChar w:fldCharType="end"/>
      </w:r>
    </w:p>
    <w:p w14:paraId="5A2BA188">
      <w:pPr>
        <w:pStyle w:val="16"/>
        <w:tabs>
          <w:tab w:val="right" w:leader="dot" w:pos="8296"/>
        </w:tabs>
        <w:spacing w:line="360" w:lineRule="auto"/>
        <w:rPr>
          <w:rFonts w:ascii="Calibri" w:hAnsi="Calibri"/>
          <w:sz w:val="24"/>
          <w:szCs w:val="22"/>
        </w:rPr>
      </w:pPr>
      <w:r>
        <w:fldChar w:fldCharType="begin"/>
      </w:r>
      <w:r>
        <w:instrText xml:space="preserve"> HYPERLINK \l "_Toc382819118" </w:instrText>
      </w:r>
      <w:r>
        <w:fldChar w:fldCharType="separate"/>
      </w:r>
      <w:r>
        <w:rPr>
          <w:rStyle w:val="21"/>
          <w:rFonts w:hint="eastAsia" w:ascii="宋体" w:hAnsi="宋体" w:cs="Arial"/>
          <w:sz w:val="24"/>
        </w:rPr>
        <w:t>八、 基金收益分配</w:t>
      </w:r>
      <w:r>
        <w:rPr>
          <w:sz w:val="24"/>
        </w:rPr>
        <w:tab/>
      </w:r>
      <w:r>
        <w:rPr>
          <w:sz w:val="24"/>
        </w:rPr>
        <w:fldChar w:fldCharType="begin"/>
      </w:r>
      <w:r>
        <w:rPr>
          <w:sz w:val="24"/>
        </w:rPr>
        <w:instrText xml:space="preserve"> PAGEREF _Toc382819118 \h </w:instrText>
      </w:r>
      <w:r>
        <w:rPr>
          <w:sz w:val="24"/>
        </w:rPr>
        <w:fldChar w:fldCharType="separate"/>
      </w:r>
      <w:r>
        <w:rPr>
          <w:sz w:val="24"/>
        </w:rPr>
        <w:t>25</w:t>
      </w:r>
      <w:r>
        <w:rPr>
          <w:sz w:val="24"/>
        </w:rPr>
        <w:fldChar w:fldCharType="end"/>
      </w:r>
      <w:r>
        <w:rPr>
          <w:sz w:val="24"/>
        </w:rPr>
        <w:fldChar w:fldCharType="end"/>
      </w:r>
    </w:p>
    <w:p w14:paraId="47D9EE66">
      <w:pPr>
        <w:pStyle w:val="16"/>
        <w:tabs>
          <w:tab w:val="right" w:leader="dot" w:pos="8296"/>
        </w:tabs>
        <w:spacing w:line="360" w:lineRule="auto"/>
        <w:rPr>
          <w:rFonts w:ascii="Calibri" w:hAnsi="Calibri"/>
          <w:sz w:val="24"/>
          <w:szCs w:val="22"/>
        </w:rPr>
      </w:pPr>
      <w:r>
        <w:fldChar w:fldCharType="begin"/>
      </w:r>
      <w:r>
        <w:instrText xml:space="preserve"> HYPERLINK \l "_Toc382819121" </w:instrText>
      </w:r>
      <w:r>
        <w:fldChar w:fldCharType="separate"/>
      </w:r>
      <w:r>
        <w:rPr>
          <w:rStyle w:val="21"/>
          <w:rFonts w:hint="eastAsia" w:ascii="宋体" w:hAnsi="宋体" w:cs="Arial"/>
          <w:sz w:val="24"/>
        </w:rPr>
        <w:t>九、 信息披露</w:t>
      </w:r>
      <w:r>
        <w:rPr>
          <w:sz w:val="24"/>
        </w:rPr>
        <w:tab/>
      </w:r>
      <w:r>
        <w:rPr>
          <w:sz w:val="24"/>
        </w:rPr>
        <w:fldChar w:fldCharType="begin"/>
      </w:r>
      <w:r>
        <w:rPr>
          <w:sz w:val="24"/>
        </w:rPr>
        <w:instrText xml:space="preserve"> PAGEREF _Toc382819121 \h </w:instrText>
      </w:r>
      <w:r>
        <w:rPr>
          <w:sz w:val="24"/>
        </w:rPr>
        <w:fldChar w:fldCharType="separate"/>
      </w:r>
      <w:r>
        <w:rPr>
          <w:sz w:val="24"/>
        </w:rPr>
        <w:t>25</w:t>
      </w:r>
      <w:r>
        <w:rPr>
          <w:sz w:val="24"/>
        </w:rPr>
        <w:fldChar w:fldCharType="end"/>
      </w:r>
      <w:r>
        <w:rPr>
          <w:sz w:val="24"/>
        </w:rPr>
        <w:fldChar w:fldCharType="end"/>
      </w:r>
    </w:p>
    <w:p w14:paraId="66719B2C">
      <w:pPr>
        <w:pStyle w:val="16"/>
        <w:tabs>
          <w:tab w:val="right" w:leader="dot" w:pos="8296"/>
        </w:tabs>
        <w:spacing w:line="360" w:lineRule="auto"/>
        <w:rPr>
          <w:rFonts w:ascii="Calibri" w:hAnsi="Calibri"/>
          <w:sz w:val="24"/>
          <w:szCs w:val="22"/>
        </w:rPr>
      </w:pPr>
      <w:r>
        <w:fldChar w:fldCharType="begin"/>
      </w:r>
      <w:r>
        <w:instrText xml:space="preserve"> HYPERLINK \l "_Toc382819125" </w:instrText>
      </w:r>
      <w:r>
        <w:fldChar w:fldCharType="separate"/>
      </w:r>
      <w:r>
        <w:rPr>
          <w:rStyle w:val="21"/>
          <w:rFonts w:hint="eastAsia" w:ascii="宋体" w:hAnsi="宋体" w:cs="Arial"/>
          <w:sz w:val="24"/>
        </w:rPr>
        <w:t>十、 托管费用</w:t>
      </w:r>
      <w:r>
        <w:rPr>
          <w:sz w:val="24"/>
        </w:rPr>
        <w:tab/>
      </w:r>
      <w:r>
        <w:rPr>
          <w:sz w:val="24"/>
        </w:rPr>
        <w:fldChar w:fldCharType="begin"/>
      </w:r>
      <w:r>
        <w:rPr>
          <w:sz w:val="24"/>
        </w:rPr>
        <w:instrText xml:space="preserve"> PAGEREF _Toc382819125 \h </w:instrText>
      </w:r>
      <w:r>
        <w:rPr>
          <w:sz w:val="24"/>
        </w:rPr>
        <w:fldChar w:fldCharType="separate"/>
      </w:r>
      <w:r>
        <w:rPr>
          <w:sz w:val="24"/>
        </w:rPr>
        <w:t>27</w:t>
      </w:r>
      <w:r>
        <w:rPr>
          <w:sz w:val="24"/>
        </w:rPr>
        <w:fldChar w:fldCharType="end"/>
      </w:r>
      <w:r>
        <w:rPr>
          <w:sz w:val="24"/>
        </w:rPr>
        <w:fldChar w:fldCharType="end"/>
      </w:r>
    </w:p>
    <w:p w14:paraId="7E6A23A6">
      <w:pPr>
        <w:pStyle w:val="16"/>
        <w:tabs>
          <w:tab w:val="right" w:leader="dot" w:pos="8296"/>
        </w:tabs>
        <w:spacing w:line="360" w:lineRule="auto"/>
        <w:rPr>
          <w:rFonts w:ascii="Calibri" w:hAnsi="Calibri"/>
          <w:sz w:val="24"/>
          <w:szCs w:val="22"/>
        </w:rPr>
      </w:pPr>
      <w:r>
        <w:fldChar w:fldCharType="begin"/>
      </w:r>
      <w:r>
        <w:instrText xml:space="preserve"> HYPERLINK \l "_Toc382819126" </w:instrText>
      </w:r>
      <w:r>
        <w:fldChar w:fldCharType="separate"/>
      </w:r>
      <w:r>
        <w:rPr>
          <w:rStyle w:val="21"/>
          <w:rFonts w:hint="eastAsia" w:ascii="宋体" w:hAnsi="宋体" w:cs="Arial"/>
          <w:sz w:val="24"/>
        </w:rPr>
        <w:t>十一、 基金份额持有人名册的保管</w:t>
      </w:r>
      <w:r>
        <w:rPr>
          <w:sz w:val="24"/>
        </w:rPr>
        <w:tab/>
      </w:r>
      <w:r>
        <w:rPr>
          <w:sz w:val="24"/>
        </w:rPr>
        <w:fldChar w:fldCharType="begin"/>
      </w:r>
      <w:r>
        <w:rPr>
          <w:sz w:val="24"/>
        </w:rPr>
        <w:instrText xml:space="preserve"> PAGEREF _Toc382819126 \h </w:instrText>
      </w:r>
      <w:r>
        <w:rPr>
          <w:sz w:val="24"/>
        </w:rPr>
        <w:fldChar w:fldCharType="separate"/>
      </w:r>
      <w:r>
        <w:rPr>
          <w:sz w:val="24"/>
        </w:rPr>
        <w:t>28</w:t>
      </w:r>
      <w:r>
        <w:rPr>
          <w:sz w:val="24"/>
        </w:rPr>
        <w:fldChar w:fldCharType="end"/>
      </w:r>
      <w:r>
        <w:rPr>
          <w:sz w:val="24"/>
        </w:rPr>
        <w:fldChar w:fldCharType="end"/>
      </w:r>
    </w:p>
    <w:p w14:paraId="157D8353">
      <w:pPr>
        <w:pStyle w:val="16"/>
        <w:tabs>
          <w:tab w:val="right" w:leader="dot" w:pos="8296"/>
        </w:tabs>
        <w:spacing w:line="360" w:lineRule="auto"/>
        <w:rPr>
          <w:rFonts w:ascii="Calibri" w:hAnsi="Calibri"/>
          <w:sz w:val="24"/>
          <w:szCs w:val="22"/>
        </w:rPr>
      </w:pPr>
      <w:r>
        <w:fldChar w:fldCharType="begin"/>
      </w:r>
      <w:r>
        <w:instrText xml:space="preserve"> HYPERLINK \l "_Toc382819127" </w:instrText>
      </w:r>
      <w:r>
        <w:fldChar w:fldCharType="separate"/>
      </w:r>
      <w:r>
        <w:rPr>
          <w:rStyle w:val="21"/>
          <w:rFonts w:hint="eastAsia" w:ascii="宋体" w:hAnsi="宋体" w:cs="Arial"/>
          <w:sz w:val="24"/>
        </w:rPr>
        <w:t>十二、 基金有关文件和档案的保存</w:t>
      </w:r>
      <w:r>
        <w:rPr>
          <w:sz w:val="24"/>
        </w:rPr>
        <w:tab/>
      </w:r>
      <w:r>
        <w:rPr>
          <w:sz w:val="24"/>
        </w:rPr>
        <w:fldChar w:fldCharType="begin"/>
      </w:r>
      <w:r>
        <w:rPr>
          <w:sz w:val="24"/>
        </w:rPr>
        <w:instrText xml:space="preserve"> PAGEREF _Toc382819127 \h </w:instrText>
      </w:r>
      <w:r>
        <w:rPr>
          <w:sz w:val="24"/>
        </w:rPr>
        <w:fldChar w:fldCharType="separate"/>
      </w:r>
      <w:r>
        <w:rPr>
          <w:sz w:val="24"/>
        </w:rPr>
        <w:t>28</w:t>
      </w:r>
      <w:r>
        <w:rPr>
          <w:sz w:val="24"/>
        </w:rPr>
        <w:fldChar w:fldCharType="end"/>
      </w:r>
      <w:r>
        <w:rPr>
          <w:sz w:val="24"/>
        </w:rPr>
        <w:fldChar w:fldCharType="end"/>
      </w:r>
    </w:p>
    <w:p w14:paraId="03711DD4">
      <w:pPr>
        <w:pStyle w:val="16"/>
        <w:tabs>
          <w:tab w:val="right" w:leader="dot" w:pos="8296"/>
        </w:tabs>
        <w:spacing w:line="360" w:lineRule="auto"/>
        <w:rPr>
          <w:rFonts w:ascii="Calibri" w:hAnsi="Calibri"/>
          <w:sz w:val="24"/>
          <w:szCs w:val="22"/>
        </w:rPr>
      </w:pPr>
      <w:r>
        <w:fldChar w:fldCharType="begin"/>
      </w:r>
      <w:r>
        <w:instrText xml:space="preserve"> HYPERLINK \l "_Toc382819128" </w:instrText>
      </w:r>
      <w:r>
        <w:fldChar w:fldCharType="separate"/>
      </w:r>
      <w:r>
        <w:rPr>
          <w:rStyle w:val="21"/>
          <w:rFonts w:hint="eastAsia" w:ascii="宋体" w:hAnsi="宋体" w:cs="Arial"/>
          <w:sz w:val="24"/>
        </w:rPr>
        <w:t>十三、 基金管理人和基金托管人的更换</w:t>
      </w:r>
      <w:r>
        <w:rPr>
          <w:sz w:val="24"/>
        </w:rPr>
        <w:tab/>
      </w:r>
      <w:r>
        <w:rPr>
          <w:sz w:val="24"/>
        </w:rPr>
        <w:fldChar w:fldCharType="begin"/>
      </w:r>
      <w:r>
        <w:rPr>
          <w:sz w:val="24"/>
        </w:rPr>
        <w:instrText xml:space="preserve"> PAGEREF _Toc382819128 \h </w:instrText>
      </w:r>
      <w:r>
        <w:rPr>
          <w:sz w:val="24"/>
        </w:rPr>
        <w:fldChar w:fldCharType="separate"/>
      </w:r>
      <w:r>
        <w:rPr>
          <w:sz w:val="24"/>
        </w:rPr>
        <w:t>28</w:t>
      </w:r>
      <w:r>
        <w:rPr>
          <w:sz w:val="24"/>
        </w:rPr>
        <w:fldChar w:fldCharType="end"/>
      </w:r>
      <w:r>
        <w:rPr>
          <w:sz w:val="24"/>
        </w:rPr>
        <w:fldChar w:fldCharType="end"/>
      </w:r>
    </w:p>
    <w:p w14:paraId="094ADF72">
      <w:pPr>
        <w:pStyle w:val="16"/>
        <w:tabs>
          <w:tab w:val="right" w:leader="dot" w:pos="8296"/>
        </w:tabs>
        <w:spacing w:line="360" w:lineRule="auto"/>
        <w:rPr>
          <w:rFonts w:ascii="Calibri" w:hAnsi="Calibri"/>
          <w:sz w:val="24"/>
          <w:szCs w:val="22"/>
        </w:rPr>
      </w:pPr>
      <w:r>
        <w:fldChar w:fldCharType="begin"/>
      </w:r>
      <w:r>
        <w:instrText xml:space="preserve"> HYPERLINK \l "_Toc382819131" </w:instrText>
      </w:r>
      <w:r>
        <w:fldChar w:fldCharType="separate"/>
      </w:r>
      <w:r>
        <w:rPr>
          <w:rStyle w:val="21"/>
          <w:rFonts w:hint="eastAsia" w:ascii="宋体" w:hAnsi="宋体" w:cs="Arial"/>
          <w:sz w:val="24"/>
        </w:rPr>
        <w:t>十四、 禁止行为</w:t>
      </w:r>
      <w:r>
        <w:rPr>
          <w:sz w:val="24"/>
        </w:rPr>
        <w:tab/>
      </w:r>
      <w:r>
        <w:rPr>
          <w:sz w:val="24"/>
        </w:rPr>
        <w:fldChar w:fldCharType="begin"/>
      </w:r>
      <w:r>
        <w:rPr>
          <w:sz w:val="24"/>
        </w:rPr>
        <w:instrText xml:space="preserve"> PAGEREF _Toc382819131 \h </w:instrText>
      </w:r>
      <w:r>
        <w:rPr>
          <w:sz w:val="24"/>
        </w:rPr>
        <w:fldChar w:fldCharType="separate"/>
      </w:r>
      <w:r>
        <w:rPr>
          <w:sz w:val="24"/>
        </w:rPr>
        <w:t>31</w:t>
      </w:r>
      <w:r>
        <w:rPr>
          <w:sz w:val="24"/>
        </w:rPr>
        <w:fldChar w:fldCharType="end"/>
      </w:r>
      <w:r>
        <w:rPr>
          <w:sz w:val="24"/>
        </w:rPr>
        <w:fldChar w:fldCharType="end"/>
      </w:r>
    </w:p>
    <w:p w14:paraId="46E4EF71">
      <w:pPr>
        <w:pStyle w:val="16"/>
        <w:tabs>
          <w:tab w:val="right" w:leader="dot" w:pos="8296"/>
        </w:tabs>
        <w:spacing w:line="360" w:lineRule="auto"/>
        <w:rPr>
          <w:rFonts w:ascii="Calibri" w:hAnsi="Calibri"/>
          <w:sz w:val="24"/>
          <w:szCs w:val="22"/>
        </w:rPr>
      </w:pPr>
      <w:r>
        <w:fldChar w:fldCharType="begin"/>
      </w:r>
      <w:r>
        <w:instrText xml:space="preserve"> HYPERLINK \l "_Toc382819132" </w:instrText>
      </w:r>
      <w:r>
        <w:fldChar w:fldCharType="separate"/>
      </w:r>
      <w:r>
        <w:rPr>
          <w:rStyle w:val="21"/>
          <w:rFonts w:hint="eastAsia" w:ascii="宋体" w:hAnsi="宋体" w:cs="Arial"/>
          <w:sz w:val="24"/>
        </w:rPr>
        <w:t>十五、 基金托管协议的变更、终止与基金财产的清算</w:t>
      </w:r>
      <w:r>
        <w:rPr>
          <w:sz w:val="24"/>
        </w:rPr>
        <w:tab/>
      </w:r>
      <w:r>
        <w:rPr>
          <w:sz w:val="24"/>
        </w:rPr>
        <w:fldChar w:fldCharType="begin"/>
      </w:r>
      <w:r>
        <w:rPr>
          <w:sz w:val="24"/>
        </w:rPr>
        <w:instrText xml:space="preserve"> PAGEREF _Toc382819132 \h </w:instrText>
      </w:r>
      <w:r>
        <w:rPr>
          <w:sz w:val="24"/>
        </w:rPr>
        <w:fldChar w:fldCharType="separate"/>
      </w:r>
      <w:r>
        <w:rPr>
          <w:sz w:val="24"/>
        </w:rPr>
        <w:t>32</w:t>
      </w:r>
      <w:r>
        <w:rPr>
          <w:sz w:val="24"/>
        </w:rPr>
        <w:fldChar w:fldCharType="end"/>
      </w:r>
      <w:r>
        <w:rPr>
          <w:sz w:val="24"/>
        </w:rPr>
        <w:fldChar w:fldCharType="end"/>
      </w:r>
    </w:p>
    <w:p w14:paraId="0B76B7BC">
      <w:pPr>
        <w:pStyle w:val="16"/>
        <w:tabs>
          <w:tab w:val="right" w:leader="dot" w:pos="8296"/>
        </w:tabs>
        <w:spacing w:line="360" w:lineRule="auto"/>
        <w:rPr>
          <w:rFonts w:ascii="Calibri" w:hAnsi="Calibri"/>
          <w:sz w:val="24"/>
          <w:szCs w:val="22"/>
        </w:rPr>
      </w:pPr>
      <w:r>
        <w:fldChar w:fldCharType="begin"/>
      </w:r>
      <w:r>
        <w:instrText xml:space="preserve"> HYPERLINK \l "_Toc382819133" </w:instrText>
      </w:r>
      <w:r>
        <w:fldChar w:fldCharType="separate"/>
      </w:r>
      <w:r>
        <w:rPr>
          <w:rStyle w:val="21"/>
          <w:rFonts w:hint="eastAsia" w:ascii="宋体" w:hAnsi="宋体" w:cs="Arial"/>
          <w:sz w:val="24"/>
        </w:rPr>
        <w:t>十六、 违约责任</w:t>
      </w:r>
      <w:r>
        <w:rPr>
          <w:sz w:val="24"/>
        </w:rPr>
        <w:tab/>
      </w:r>
      <w:r>
        <w:rPr>
          <w:sz w:val="24"/>
        </w:rPr>
        <w:fldChar w:fldCharType="begin"/>
      </w:r>
      <w:r>
        <w:rPr>
          <w:sz w:val="24"/>
        </w:rPr>
        <w:instrText xml:space="preserve"> PAGEREF _Toc382819133 \h </w:instrText>
      </w:r>
      <w:r>
        <w:rPr>
          <w:sz w:val="24"/>
        </w:rPr>
        <w:fldChar w:fldCharType="separate"/>
      </w:r>
      <w:r>
        <w:rPr>
          <w:sz w:val="24"/>
        </w:rPr>
        <w:t>34</w:t>
      </w:r>
      <w:r>
        <w:rPr>
          <w:sz w:val="24"/>
        </w:rPr>
        <w:fldChar w:fldCharType="end"/>
      </w:r>
      <w:r>
        <w:rPr>
          <w:sz w:val="24"/>
        </w:rPr>
        <w:fldChar w:fldCharType="end"/>
      </w:r>
    </w:p>
    <w:p w14:paraId="4705C53B">
      <w:pPr>
        <w:pStyle w:val="16"/>
        <w:tabs>
          <w:tab w:val="right" w:leader="dot" w:pos="8296"/>
        </w:tabs>
        <w:spacing w:line="360" w:lineRule="auto"/>
        <w:rPr>
          <w:rFonts w:ascii="Calibri" w:hAnsi="Calibri"/>
          <w:sz w:val="24"/>
          <w:szCs w:val="22"/>
        </w:rPr>
      </w:pPr>
      <w:r>
        <w:fldChar w:fldCharType="begin"/>
      </w:r>
      <w:r>
        <w:instrText xml:space="preserve"> HYPERLINK \l "_Toc382819134" </w:instrText>
      </w:r>
      <w:r>
        <w:fldChar w:fldCharType="separate"/>
      </w:r>
      <w:r>
        <w:rPr>
          <w:rStyle w:val="21"/>
          <w:rFonts w:hint="eastAsia" w:ascii="宋体" w:hAnsi="宋体" w:cs="Arial"/>
          <w:sz w:val="24"/>
        </w:rPr>
        <w:t>十七、 适用法律及争议解决方式</w:t>
      </w:r>
      <w:r>
        <w:rPr>
          <w:sz w:val="24"/>
        </w:rPr>
        <w:tab/>
      </w:r>
      <w:r>
        <w:rPr>
          <w:sz w:val="24"/>
        </w:rPr>
        <w:fldChar w:fldCharType="begin"/>
      </w:r>
      <w:r>
        <w:rPr>
          <w:sz w:val="24"/>
        </w:rPr>
        <w:instrText xml:space="preserve"> PAGEREF _Toc382819134 \h </w:instrText>
      </w:r>
      <w:r>
        <w:rPr>
          <w:sz w:val="24"/>
        </w:rPr>
        <w:fldChar w:fldCharType="separate"/>
      </w:r>
      <w:r>
        <w:rPr>
          <w:sz w:val="24"/>
        </w:rPr>
        <w:t>35</w:t>
      </w:r>
      <w:r>
        <w:rPr>
          <w:sz w:val="24"/>
        </w:rPr>
        <w:fldChar w:fldCharType="end"/>
      </w:r>
      <w:r>
        <w:rPr>
          <w:sz w:val="24"/>
        </w:rPr>
        <w:fldChar w:fldCharType="end"/>
      </w:r>
    </w:p>
    <w:p w14:paraId="0112FE0D">
      <w:pPr>
        <w:pStyle w:val="16"/>
        <w:tabs>
          <w:tab w:val="right" w:leader="dot" w:pos="8296"/>
        </w:tabs>
        <w:spacing w:line="360" w:lineRule="auto"/>
        <w:rPr>
          <w:rFonts w:ascii="Calibri" w:hAnsi="Calibri"/>
          <w:sz w:val="24"/>
          <w:szCs w:val="22"/>
        </w:rPr>
      </w:pPr>
      <w:r>
        <w:fldChar w:fldCharType="begin"/>
      </w:r>
      <w:r>
        <w:instrText xml:space="preserve"> HYPERLINK \l "_Toc382819135" </w:instrText>
      </w:r>
      <w:r>
        <w:fldChar w:fldCharType="separate"/>
      </w:r>
      <w:r>
        <w:rPr>
          <w:rStyle w:val="21"/>
          <w:rFonts w:hint="eastAsia" w:ascii="宋体" w:hAnsi="宋体" w:cs="Arial"/>
          <w:sz w:val="24"/>
        </w:rPr>
        <w:t>十八、 基金托管协议的效力和文本</w:t>
      </w:r>
      <w:r>
        <w:rPr>
          <w:sz w:val="24"/>
        </w:rPr>
        <w:tab/>
      </w:r>
      <w:r>
        <w:rPr>
          <w:sz w:val="24"/>
        </w:rPr>
        <w:fldChar w:fldCharType="begin"/>
      </w:r>
      <w:r>
        <w:rPr>
          <w:sz w:val="24"/>
        </w:rPr>
        <w:instrText xml:space="preserve"> PAGEREF _Toc382819135 \h </w:instrText>
      </w:r>
      <w:r>
        <w:rPr>
          <w:sz w:val="24"/>
        </w:rPr>
        <w:fldChar w:fldCharType="separate"/>
      </w:r>
      <w:r>
        <w:rPr>
          <w:sz w:val="24"/>
        </w:rPr>
        <w:t>35</w:t>
      </w:r>
      <w:r>
        <w:rPr>
          <w:sz w:val="24"/>
        </w:rPr>
        <w:fldChar w:fldCharType="end"/>
      </w:r>
      <w:r>
        <w:rPr>
          <w:sz w:val="24"/>
        </w:rPr>
        <w:fldChar w:fldCharType="end"/>
      </w:r>
    </w:p>
    <w:p w14:paraId="153D590C">
      <w:pPr>
        <w:pStyle w:val="16"/>
        <w:tabs>
          <w:tab w:val="right" w:leader="dot" w:pos="8296"/>
        </w:tabs>
        <w:spacing w:line="360" w:lineRule="auto"/>
        <w:rPr>
          <w:rFonts w:ascii="Calibri" w:hAnsi="Calibri"/>
          <w:sz w:val="24"/>
          <w:szCs w:val="22"/>
        </w:rPr>
      </w:pPr>
      <w:r>
        <w:fldChar w:fldCharType="begin"/>
      </w:r>
      <w:r>
        <w:instrText xml:space="preserve"> HYPERLINK \l "_Toc382819136" </w:instrText>
      </w:r>
      <w:r>
        <w:fldChar w:fldCharType="separate"/>
      </w:r>
      <w:r>
        <w:rPr>
          <w:rStyle w:val="21"/>
          <w:rFonts w:hint="eastAsia" w:ascii="宋体" w:hAnsi="宋体"/>
          <w:sz w:val="24"/>
        </w:rPr>
        <w:t>十九、</w:t>
      </w:r>
      <w:r>
        <w:rPr>
          <w:rStyle w:val="21"/>
          <w:rFonts w:hint="eastAsia" w:ascii="宋体" w:hAnsi="宋体" w:cs="Arial"/>
          <w:sz w:val="24"/>
        </w:rPr>
        <w:t xml:space="preserve"> 其他事项</w:t>
      </w:r>
      <w:r>
        <w:rPr>
          <w:sz w:val="24"/>
        </w:rPr>
        <w:tab/>
      </w:r>
      <w:r>
        <w:rPr>
          <w:sz w:val="24"/>
        </w:rPr>
        <w:fldChar w:fldCharType="begin"/>
      </w:r>
      <w:r>
        <w:rPr>
          <w:sz w:val="24"/>
        </w:rPr>
        <w:instrText xml:space="preserve"> PAGEREF _Toc382819136 \h </w:instrText>
      </w:r>
      <w:r>
        <w:rPr>
          <w:sz w:val="24"/>
        </w:rPr>
        <w:fldChar w:fldCharType="separate"/>
      </w:r>
      <w:r>
        <w:rPr>
          <w:sz w:val="24"/>
        </w:rPr>
        <w:t>35</w:t>
      </w:r>
      <w:r>
        <w:rPr>
          <w:sz w:val="24"/>
        </w:rPr>
        <w:fldChar w:fldCharType="end"/>
      </w:r>
      <w:r>
        <w:rPr>
          <w:sz w:val="24"/>
        </w:rPr>
        <w:fldChar w:fldCharType="end"/>
      </w:r>
    </w:p>
    <w:p w14:paraId="49F176D4">
      <w:pPr>
        <w:spacing w:line="360" w:lineRule="auto"/>
        <w:rPr>
          <w:rFonts w:ascii="仿宋_GB2312" w:eastAsia="仿宋_GB2312"/>
          <w:sz w:val="24"/>
        </w:rPr>
      </w:pPr>
      <w:r>
        <w:rPr>
          <w:rFonts w:ascii="宋体" w:hAnsi="宋体"/>
          <w:sz w:val="20"/>
          <w:szCs w:val="21"/>
        </w:rPr>
        <w:fldChar w:fldCharType="end"/>
      </w:r>
    </w:p>
    <w:p w14:paraId="34D8EBFC">
      <w:pPr>
        <w:widowControl/>
        <w:jc w:val="left"/>
        <w:rPr>
          <w:rFonts w:ascii="仿宋_GB2312" w:eastAsia="仿宋_GB2312"/>
          <w:sz w:val="24"/>
        </w:rPr>
        <w:sectPr>
          <w:headerReference r:id="rId6" w:type="default"/>
          <w:footerReference r:id="rId7" w:type="default"/>
          <w:pgSz w:w="11906" w:h="16838"/>
          <w:pgMar w:top="1440" w:right="1800" w:bottom="1440" w:left="1800" w:header="851" w:footer="992" w:gutter="0"/>
          <w:pgNumType w:start="1"/>
          <w:cols w:space="720" w:num="1"/>
          <w:docGrid w:type="lines" w:linePitch="312" w:charSpace="0"/>
        </w:sectPr>
      </w:pPr>
    </w:p>
    <w:p w14:paraId="1AEEDDFF">
      <w:pPr>
        <w:pStyle w:val="2"/>
        <w:keepNext w:val="0"/>
        <w:keepLines w:val="0"/>
        <w:numPr>
          <w:ilvl w:val="0"/>
          <w:numId w:val="0"/>
        </w:numPr>
        <w:tabs>
          <w:tab w:val="left" w:pos="420"/>
        </w:tabs>
        <w:autoSpaceDE w:val="0"/>
        <w:autoSpaceDN w:val="0"/>
        <w:adjustRightInd w:val="0"/>
        <w:spacing w:before="360" w:after="360"/>
        <w:textAlignment w:val="baseline"/>
        <w:rPr>
          <w:rFonts w:hint="eastAsia" w:hAnsi="黑体"/>
          <w:b w:val="0"/>
          <w:szCs w:val="32"/>
        </w:rPr>
      </w:pPr>
      <w:bookmarkStart w:id="6" w:name="_Toc382818594"/>
      <w:bookmarkStart w:id="7" w:name="_Toc382819068"/>
      <w:r>
        <w:rPr>
          <w:rFonts w:hint="eastAsia" w:hAnsi="黑体"/>
          <w:b w:val="0"/>
          <w:szCs w:val="32"/>
        </w:rPr>
        <w:t>交银施罗德低碳经济研选混合型发起式证券投资基金托管协议</w:t>
      </w:r>
      <w:bookmarkEnd w:id="6"/>
      <w:bookmarkEnd w:id="7"/>
    </w:p>
    <w:p w14:paraId="48E979FC">
      <w:pPr>
        <w:rPr>
          <w:lang w:val="zh-CN"/>
        </w:rPr>
      </w:pPr>
    </w:p>
    <w:p w14:paraId="5D845290">
      <w:pPr>
        <w:rPr>
          <w:lang w:val="zh-CN"/>
        </w:rPr>
      </w:pPr>
    </w:p>
    <w:p w14:paraId="5E9773F8">
      <w:pPr>
        <w:pStyle w:val="3"/>
        <w:keepNext w:val="0"/>
        <w:keepLines w:val="0"/>
        <w:autoSpaceDE w:val="0"/>
        <w:autoSpaceDN w:val="0"/>
        <w:adjustRightInd w:val="0"/>
        <w:spacing w:before="0" w:after="0" w:line="360" w:lineRule="auto"/>
        <w:ind w:firstLine="472" w:firstLineChars="196"/>
        <w:textAlignment w:val="baseline"/>
        <w:rPr>
          <w:rFonts w:hint="eastAsia" w:ascii="宋体" w:hAnsi="宋体" w:eastAsia="宋体"/>
          <w:sz w:val="24"/>
        </w:rPr>
      </w:pPr>
      <w:bookmarkStart w:id="8" w:name="_Toc382819069"/>
      <w:r>
        <w:rPr>
          <w:rFonts w:hint="eastAsia" w:ascii="宋体" w:hAnsi="宋体" w:eastAsia="宋体" w:cs="Arial"/>
          <w:kern w:val="0"/>
          <w:sz w:val="24"/>
          <w:szCs w:val="24"/>
        </w:rPr>
        <w:t>基金管理人：</w:t>
      </w:r>
      <w:bookmarkEnd w:id="8"/>
      <w:r>
        <w:rPr>
          <w:rFonts w:hint="eastAsia" w:ascii="宋体" w:hAnsi="宋体" w:eastAsia="宋体"/>
          <w:sz w:val="24"/>
        </w:rPr>
        <w:t>交银施罗德基金管理有限公司</w:t>
      </w:r>
    </w:p>
    <w:p w14:paraId="5512DCC5">
      <w:pPr>
        <w:spacing w:line="360" w:lineRule="auto"/>
        <w:ind w:firstLine="480" w:firstLineChars="200"/>
        <w:rPr>
          <w:rFonts w:hint="eastAsia" w:ascii="宋体" w:hAnsi="宋体"/>
          <w:sz w:val="24"/>
        </w:rPr>
      </w:pPr>
      <w:r>
        <w:rPr>
          <w:rFonts w:hint="eastAsia" w:ascii="宋体" w:hAnsi="宋体"/>
          <w:sz w:val="24"/>
        </w:rPr>
        <w:t>住所：中国（上海）自由贸易试验区银城中路188号交通银行大楼二层（裙）</w:t>
      </w:r>
    </w:p>
    <w:p w14:paraId="7B4B3599">
      <w:pPr>
        <w:spacing w:line="360" w:lineRule="auto"/>
        <w:ind w:firstLine="480" w:firstLineChars="200"/>
        <w:rPr>
          <w:rFonts w:hint="eastAsia" w:ascii="宋体" w:hAnsi="宋体"/>
          <w:sz w:val="24"/>
        </w:rPr>
      </w:pPr>
      <w:r>
        <w:rPr>
          <w:rFonts w:hint="eastAsia" w:ascii="宋体" w:hAnsi="宋体"/>
          <w:sz w:val="24"/>
        </w:rPr>
        <w:t>法定代表人：</w:t>
      </w:r>
      <w:r>
        <w:rPr>
          <w:rFonts w:hint="eastAsia" w:ascii="宋体" w:hAnsi="宋体"/>
          <w:sz w:val="24"/>
          <w:lang w:val="en-US" w:eastAsia="zh-CN"/>
        </w:rPr>
        <w:t>袁庆伟（代任）</w:t>
      </w:r>
    </w:p>
    <w:p w14:paraId="0E078613">
      <w:pPr>
        <w:spacing w:line="360" w:lineRule="auto"/>
        <w:ind w:firstLine="480" w:firstLineChars="200"/>
        <w:rPr>
          <w:rFonts w:hint="eastAsia" w:ascii="宋体" w:hAnsi="宋体"/>
          <w:sz w:val="24"/>
        </w:rPr>
      </w:pPr>
      <w:r>
        <w:rPr>
          <w:rFonts w:hint="eastAsia" w:ascii="宋体" w:hAnsi="宋体"/>
          <w:sz w:val="24"/>
        </w:rPr>
        <w:t>成立时间：2005年8月4日</w:t>
      </w:r>
    </w:p>
    <w:p w14:paraId="60A51686">
      <w:pPr>
        <w:spacing w:line="360" w:lineRule="auto"/>
        <w:ind w:firstLine="480" w:firstLineChars="200"/>
        <w:rPr>
          <w:rFonts w:hint="eastAsia" w:ascii="宋体" w:hAnsi="宋体"/>
          <w:sz w:val="24"/>
        </w:rPr>
      </w:pPr>
      <w:r>
        <w:rPr>
          <w:rFonts w:hint="eastAsia" w:ascii="宋体" w:hAnsi="宋体"/>
          <w:sz w:val="24"/>
        </w:rPr>
        <w:t>批准设立机关及批准设立文号：中国证监会证监基金字[2005]128号</w:t>
      </w:r>
    </w:p>
    <w:p w14:paraId="280141D1">
      <w:pPr>
        <w:spacing w:line="360" w:lineRule="auto"/>
        <w:ind w:firstLine="480" w:firstLineChars="200"/>
        <w:rPr>
          <w:rFonts w:hint="eastAsia" w:ascii="宋体" w:hAnsi="宋体"/>
          <w:sz w:val="24"/>
        </w:rPr>
      </w:pPr>
      <w:r>
        <w:rPr>
          <w:rFonts w:hint="eastAsia" w:ascii="宋体" w:hAnsi="宋体"/>
          <w:sz w:val="24"/>
        </w:rPr>
        <w:t>注册资本：2亿元人民币</w:t>
      </w:r>
    </w:p>
    <w:p w14:paraId="23FE1EC8">
      <w:pPr>
        <w:spacing w:line="360" w:lineRule="auto"/>
        <w:ind w:firstLine="480" w:firstLineChars="200"/>
        <w:rPr>
          <w:rFonts w:hint="eastAsia" w:ascii="宋体" w:hAnsi="宋体"/>
          <w:sz w:val="24"/>
        </w:rPr>
      </w:pPr>
      <w:r>
        <w:rPr>
          <w:rFonts w:hint="eastAsia" w:ascii="宋体" w:hAnsi="宋体"/>
          <w:sz w:val="24"/>
        </w:rPr>
        <w:t>组织形式: 有限责任公司</w:t>
      </w:r>
    </w:p>
    <w:p w14:paraId="43E9B984">
      <w:pPr>
        <w:spacing w:line="360" w:lineRule="auto"/>
        <w:ind w:firstLine="480" w:firstLineChars="200"/>
        <w:rPr>
          <w:rFonts w:hint="eastAsia" w:ascii="宋体" w:hAnsi="宋体"/>
          <w:sz w:val="24"/>
        </w:rPr>
      </w:pPr>
      <w:r>
        <w:rPr>
          <w:rFonts w:hint="eastAsia" w:ascii="宋体" w:hAnsi="宋体"/>
          <w:sz w:val="24"/>
        </w:rPr>
        <w:t>存续期间：持续经营</w:t>
      </w:r>
    </w:p>
    <w:p w14:paraId="5BC74B9A">
      <w:pPr>
        <w:tabs>
          <w:tab w:val="left" w:pos="1320"/>
        </w:tabs>
        <w:spacing w:line="360" w:lineRule="auto"/>
        <w:ind w:firstLine="480" w:firstLineChars="200"/>
        <w:rPr>
          <w:rFonts w:hint="eastAsia" w:ascii="宋体" w:hAnsi="宋体"/>
          <w:sz w:val="24"/>
        </w:rPr>
      </w:pPr>
      <w:r>
        <w:rPr>
          <w:rFonts w:hint="eastAsia" w:ascii="宋体" w:hAnsi="宋体"/>
          <w:sz w:val="24"/>
        </w:rPr>
        <w:t>电话：（021）61055050</w:t>
      </w:r>
    </w:p>
    <w:p w14:paraId="2C7BC0C5">
      <w:pPr>
        <w:ind w:firstLine="630"/>
      </w:pPr>
    </w:p>
    <w:p w14:paraId="4587289D">
      <w:pPr>
        <w:ind w:firstLine="630"/>
      </w:pPr>
    </w:p>
    <w:p w14:paraId="5583F57B">
      <w:pPr>
        <w:ind w:firstLine="630"/>
      </w:pPr>
    </w:p>
    <w:p w14:paraId="137FC887">
      <w:pPr>
        <w:spacing w:line="360" w:lineRule="auto"/>
        <w:ind w:firstLine="482" w:firstLineChars="200"/>
        <w:rPr>
          <w:rFonts w:hint="eastAsia" w:ascii="宋体" w:hAnsi="宋体"/>
          <w:b/>
          <w:sz w:val="24"/>
        </w:rPr>
      </w:pPr>
    </w:p>
    <w:p w14:paraId="5BBA75B6">
      <w:pPr>
        <w:pStyle w:val="3"/>
        <w:keepNext w:val="0"/>
        <w:keepLines w:val="0"/>
        <w:autoSpaceDE w:val="0"/>
        <w:autoSpaceDN w:val="0"/>
        <w:adjustRightInd w:val="0"/>
        <w:spacing w:before="0" w:after="0" w:line="360" w:lineRule="auto"/>
        <w:ind w:firstLine="472" w:firstLineChars="196"/>
        <w:textAlignment w:val="baseline"/>
        <w:rPr>
          <w:rFonts w:hint="eastAsia" w:ascii="宋体" w:hAnsi="宋体" w:eastAsia="宋体"/>
          <w:bCs w:val="0"/>
          <w:sz w:val="24"/>
          <w:szCs w:val="24"/>
        </w:rPr>
      </w:pPr>
      <w:bookmarkStart w:id="9" w:name="_Toc382819070"/>
      <w:r>
        <w:rPr>
          <w:rFonts w:hint="eastAsia" w:ascii="宋体" w:hAnsi="宋体" w:eastAsia="宋体" w:cs="Arial"/>
          <w:kern w:val="0"/>
          <w:sz w:val="24"/>
          <w:szCs w:val="24"/>
        </w:rPr>
        <w:t>基金托管人：</w:t>
      </w:r>
      <w:r>
        <w:rPr>
          <w:rFonts w:hint="eastAsia" w:ascii="宋体" w:hAnsi="宋体" w:eastAsia="宋体"/>
          <w:bCs w:val="0"/>
          <w:sz w:val="24"/>
          <w:szCs w:val="24"/>
        </w:rPr>
        <w:t>上海浦东发展银行股份有限公司</w:t>
      </w:r>
      <w:bookmarkEnd w:id="9"/>
    </w:p>
    <w:p w14:paraId="7D672995">
      <w:pPr>
        <w:spacing w:line="360" w:lineRule="auto"/>
        <w:ind w:firstLine="480" w:firstLineChars="200"/>
        <w:rPr>
          <w:rFonts w:hint="eastAsia" w:ascii="宋体" w:hAnsi="宋体"/>
          <w:sz w:val="24"/>
        </w:rPr>
      </w:pPr>
      <w:r>
        <w:rPr>
          <w:rFonts w:hint="eastAsia" w:ascii="宋体" w:hAnsi="宋体"/>
          <w:sz w:val="24"/>
        </w:rPr>
        <w:t>住所：上海市中山东一路12号</w:t>
      </w:r>
    </w:p>
    <w:p w14:paraId="6213B786">
      <w:pPr>
        <w:spacing w:line="360" w:lineRule="auto"/>
        <w:ind w:firstLine="480" w:firstLineChars="200"/>
        <w:rPr>
          <w:rFonts w:hint="eastAsia" w:ascii="宋体" w:hAnsi="宋体"/>
          <w:sz w:val="24"/>
        </w:rPr>
      </w:pPr>
      <w:r>
        <w:rPr>
          <w:rFonts w:hint="eastAsia" w:ascii="宋体" w:hAnsi="宋体"/>
          <w:sz w:val="24"/>
        </w:rPr>
        <w:t>办公地址：上海博成路1388号浦银中心A栋</w:t>
      </w:r>
    </w:p>
    <w:p w14:paraId="5BD42C81">
      <w:pPr>
        <w:spacing w:line="360" w:lineRule="auto"/>
        <w:ind w:firstLine="480" w:firstLineChars="200"/>
        <w:rPr>
          <w:rFonts w:hint="eastAsia" w:ascii="宋体" w:hAnsi="宋体"/>
          <w:sz w:val="24"/>
        </w:rPr>
      </w:pPr>
      <w:r>
        <w:rPr>
          <w:rFonts w:hint="eastAsia" w:ascii="宋体" w:hAnsi="宋体"/>
          <w:sz w:val="24"/>
        </w:rPr>
        <w:t>法定代表人：张为忠</w:t>
      </w:r>
    </w:p>
    <w:p w14:paraId="3900E3F8">
      <w:pPr>
        <w:spacing w:line="360" w:lineRule="auto"/>
        <w:ind w:firstLine="480" w:firstLineChars="200"/>
        <w:rPr>
          <w:rFonts w:hint="eastAsia" w:ascii="宋体" w:hAnsi="宋体"/>
          <w:sz w:val="24"/>
        </w:rPr>
      </w:pPr>
      <w:r>
        <w:rPr>
          <w:rFonts w:hint="eastAsia" w:ascii="宋体" w:hAnsi="宋体"/>
          <w:sz w:val="24"/>
        </w:rPr>
        <w:t>成立日期：1992年10月19日</w:t>
      </w:r>
    </w:p>
    <w:p w14:paraId="64F54DD7">
      <w:pPr>
        <w:spacing w:line="360" w:lineRule="auto"/>
        <w:ind w:firstLine="480" w:firstLineChars="200"/>
        <w:rPr>
          <w:rFonts w:hint="eastAsia" w:ascii="宋体" w:hAnsi="宋体"/>
          <w:sz w:val="24"/>
        </w:rPr>
      </w:pPr>
      <w:r>
        <w:rPr>
          <w:rFonts w:hint="eastAsia" w:ascii="宋体" w:hAnsi="宋体"/>
          <w:sz w:val="24"/>
        </w:rPr>
        <w:t>基金托管业务资格批准机关：中国证监会</w:t>
      </w:r>
    </w:p>
    <w:p w14:paraId="6A94B0B0">
      <w:pPr>
        <w:spacing w:line="360" w:lineRule="auto"/>
        <w:ind w:firstLine="480" w:firstLineChars="200"/>
        <w:rPr>
          <w:rFonts w:hint="eastAsia" w:ascii="宋体" w:hAnsi="宋体"/>
          <w:sz w:val="24"/>
        </w:rPr>
      </w:pPr>
      <w:r>
        <w:rPr>
          <w:rFonts w:hint="eastAsia" w:ascii="宋体" w:hAnsi="宋体"/>
          <w:sz w:val="24"/>
        </w:rPr>
        <w:t>基金托管业务资格文号：证监基金字[2003]105号</w:t>
      </w:r>
    </w:p>
    <w:p w14:paraId="44F2ECD8">
      <w:pPr>
        <w:spacing w:line="360" w:lineRule="auto"/>
        <w:ind w:firstLine="480" w:firstLineChars="200"/>
        <w:rPr>
          <w:rFonts w:hint="eastAsia" w:ascii="宋体" w:hAnsi="宋体"/>
          <w:sz w:val="24"/>
        </w:rPr>
      </w:pPr>
      <w:r>
        <w:rPr>
          <w:rFonts w:hint="eastAsia"/>
          <w:bCs/>
          <w:sz w:val="24"/>
        </w:rPr>
        <w:t>批准设立机关和批准设立文号：</w:t>
      </w:r>
      <w:r>
        <w:rPr>
          <w:bCs/>
          <w:sz w:val="24"/>
        </w:rPr>
        <w:t>中国人民银行</w:t>
      </w:r>
      <w:r>
        <w:rPr>
          <w:rFonts w:hint="eastAsia"/>
          <w:bCs/>
          <w:sz w:val="24"/>
        </w:rPr>
        <w:t>银复（1992）601号文</w:t>
      </w:r>
    </w:p>
    <w:p w14:paraId="1FCF164A">
      <w:pPr>
        <w:spacing w:line="360" w:lineRule="auto"/>
        <w:ind w:firstLine="480" w:firstLineChars="200"/>
        <w:rPr>
          <w:rFonts w:hint="eastAsia" w:ascii="宋体" w:hAnsi="宋体"/>
          <w:sz w:val="24"/>
        </w:rPr>
      </w:pPr>
      <w:r>
        <w:rPr>
          <w:rFonts w:hint="eastAsia" w:ascii="宋体" w:hAnsi="宋体"/>
          <w:sz w:val="24"/>
        </w:rPr>
        <w:t>组织形式：股份有限公司（上市）</w:t>
      </w:r>
    </w:p>
    <w:p w14:paraId="4E8332F9">
      <w:pPr>
        <w:spacing w:line="360" w:lineRule="auto"/>
        <w:ind w:firstLine="480" w:firstLineChars="200"/>
        <w:rPr>
          <w:rFonts w:hint="eastAsia" w:ascii="宋体" w:hAnsi="宋体"/>
          <w:sz w:val="24"/>
        </w:rPr>
      </w:pPr>
      <w:r>
        <w:rPr>
          <w:rFonts w:hint="eastAsia" w:ascii="宋体" w:hAnsi="宋体"/>
          <w:sz w:val="24"/>
        </w:rPr>
        <w:t>注册资本：</w:t>
      </w:r>
      <w:r>
        <w:rPr>
          <w:rFonts w:ascii="宋体" w:hAnsi="宋体"/>
          <w:sz w:val="24"/>
        </w:rPr>
        <w:t>293.52</w:t>
      </w:r>
      <w:r>
        <w:rPr>
          <w:rFonts w:hint="eastAsia" w:ascii="宋体" w:hAnsi="宋体"/>
          <w:sz w:val="24"/>
        </w:rPr>
        <w:t>亿元人民币</w:t>
      </w:r>
    </w:p>
    <w:p w14:paraId="5E683B5A">
      <w:pPr>
        <w:spacing w:line="360" w:lineRule="auto"/>
        <w:ind w:firstLine="480" w:firstLineChars="200"/>
        <w:rPr>
          <w:rFonts w:hint="eastAsia" w:ascii="宋体" w:hAnsi="宋体"/>
          <w:sz w:val="24"/>
        </w:rPr>
      </w:pPr>
      <w:r>
        <w:rPr>
          <w:rFonts w:hint="eastAsia" w:ascii="宋体" w:hAnsi="宋体"/>
          <w:sz w:val="24"/>
        </w:rPr>
        <w:t>经营期限：永久存续</w:t>
      </w:r>
    </w:p>
    <w:p w14:paraId="50A9E16F">
      <w:pPr>
        <w:spacing w:line="360" w:lineRule="auto"/>
        <w:ind w:firstLine="480" w:firstLineChars="200"/>
        <w:rPr>
          <w:rFonts w:hint="eastAsia" w:ascii="宋体" w:hAnsi="宋体"/>
          <w:sz w:val="24"/>
        </w:rPr>
      </w:pPr>
    </w:p>
    <w:p w14:paraId="72D8F1AF">
      <w:pPr>
        <w:spacing w:line="360" w:lineRule="auto"/>
        <w:ind w:firstLine="480" w:firstLineChars="200"/>
        <w:rPr>
          <w:rFonts w:hint="eastAsia" w:ascii="宋体" w:hAnsi="宋体"/>
          <w:sz w:val="24"/>
        </w:rPr>
      </w:pPr>
    </w:p>
    <w:p w14:paraId="6509FFD8">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10" w:name="_Toc382819071"/>
      <w:r>
        <w:rPr>
          <w:rFonts w:hint="eastAsia" w:ascii="宋体" w:hAnsi="宋体" w:eastAsia="宋体" w:cs="Arial"/>
          <w:sz w:val="21"/>
          <w:szCs w:val="21"/>
        </w:rPr>
        <w:t>基金托管协议的依据、目的、原则和解释</w:t>
      </w:r>
      <w:bookmarkEnd w:id="10"/>
    </w:p>
    <w:p w14:paraId="3DE6B4CD">
      <w:pPr>
        <w:spacing w:line="360" w:lineRule="auto"/>
        <w:ind w:firstLine="420" w:firstLineChars="200"/>
        <w:rPr>
          <w:rFonts w:hint="eastAsia" w:ascii="宋体" w:hAnsi="宋体"/>
          <w:szCs w:val="21"/>
        </w:rPr>
      </w:pPr>
      <w:r>
        <w:rPr>
          <w:rFonts w:hint="eastAsia" w:ascii="宋体" w:hAnsi="宋体"/>
          <w:szCs w:val="21"/>
        </w:rPr>
        <w:t>（一）依据</w:t>
      </w:r>
    </w:p>
    <w:p w14:paraId="352A792A">
      <w:pPr>
        <w:spacing w:line="360" w:lineRule="auto"/>
        <w:ind w:firstLine="420" w:firstLineChars="200"/>
        <w:rPr>
          <w:rFonts w:hint="eastAsia" w:ascii="宋体" w:hAnsi="宋体"/>
          <w:szCs w:val="21"/>
        </w:rPr>
      </w:pPr>
      <w:r>
        <w:rPr>
          <w:rFonts w:hint="eastAsia" w:ascii="宋体" w:hAnsi="宋体"/>
          <w:szCs w:val="21"/>
        </w:rPr>
        <w:t>本协议依据《中华人民共和国民法典》、《中华人民共和国证券法》、《中华人民共和国证券投资基金法》（以下简称《基金法》）、《公开募集证券投资基金运作管理办法》（以下简称《运作办法》）、《</w:t>
      </w:r>
      <w:r>
        <w:rPr>
          <w:rFonts w:hint="eastAsia" w:ascii="宋体" w:hAnsi="宋体"/>
          <w:bCs/>
          <w:szCs w:val="21"/>
        </w:rPr>
        <w:t>公开募集</w:t>
      </w:r>
      <w:r>
        <w:rPr>
          <w:rFonts w:ascii="宋体" w:hAnsi="宋体"/>
          <w:bCs/>
          <w:szCs w:val="21"/>
        </w:rPr>
        <w:t>证券投资基金销售机构监督管理办法</w:t>
      </w:r>
      <w:r>
        <w:rPr>
          <w:rFonts w:hint="eastAsia" w:ascii="宋体" w:hAnsi="宋体"/>
          <w:szCs w:val="21"/>
        </w:rPr>
        <w:t>》、《公开募集证券投资基金信息披露管理办法》（以下简称《信息披露办法》）、</w:t>
      </w:r>
      <w:r>
        <w:rPr>
          <w:rFonts w:ascii="宋体" w:hAnsi="宋体"/>
          <w:szCs w:val="21"/>
        </w:rPr>
        <w:t>《公开募集开放式证券投资基金流动性风险管理规定》（以下简称《流动性风险管理规定》）、</w:t>
      </w:r>
      <w:r>
        <w:rPr>
          <w:rFonts w:hint="eastAsia" w:ascii="宋体" w:hAnsi="宋体"/>
          <w:szCs w:val="21"/>
        </w:rPr>
        <w:t>《证券投资基金托管业务管理办法》、《商业银行托管业务监督管理办法（试行）》、《证券投资基金信息披露内容与格式准则第7号〈托管协议的内容与格式〉》、《交银施罗德低碳经济研选混合型发起式证券投资基金基金合同》（以下简称《基金合同》或基金合同）及其他有关法律、法规制定。</w:t>
      </w:r>
    </w:p>
    <w:p w14:paraId="3CC5102C">
      <w:pPr>
        <w:spacing w:line="360" w:lineRule="auto"/>
        <w:ind w:firstLine="420" w:firstLineChars="200"/>
        <w:rPr>
          <w:rFonts w:hint="eastAsia" w:ascii="宋体" w:hAnsi="宋体"/>
          <w:szCs w:val="21"/>
        </w:rPr>
      </w:pPr>
      <w:r>
        <w:rPr>
          <w:rFonts w:hint="eastAsia" w:ascii="宋体" w:hAnsi="宋体"/>
          <w:szCs w:val="21"/>
        </w:rPr>
        <w:t>（二）目的</w:t>
      </w:r>
    </w:p>
    <w:p w14:paraId="79B2DE87">
      <w:pPr>
        <w:spacing w:line="360" w:lineRule="auto"/>
        <w:ind w:firstLine="420" w:firstLineChars="200"/>
        <w:rPr>
          <w:rFonts w:hint="eastAsia" w:ascii="宋体" w:hAnsi="宋体"/>
          <w:szCs w:val="21"/>
        </w:rPr>
      </w:pPr>
      <w:r>
        <w:rPr>
          <w:rFonts w:hint="eastAsia" w:ascii="宋体" w:hAnsi="宋体"/>
          <w:szCs w:val="21"/>
        </w:rPr>
        <w:t>本协议的目的是明确基金托管人与基金管理人之间在基金财产的保管、投资运作、净值计算、收益分配、信息披露及相互监督等有关事宜中的权利、义务及职责，确保基金财产的安全，保护基金份额持有人的合法权益。</w:t>
      </w:r>
    </w:p>
    <w:p w14:paraId="679B1575">
      <w:pPr>
        <w:spacing w:line="360" w:lineRule="auto"/>
        <w:ind w:firstLine="420" w:firstLineChars="200"/>
        <w:rPr>
          <w:rFonts w:hint="eastAsia" w:ascii="宋体" w:hAnsi="宋体"/>
          <w:szCs w:val="21"/>
        </w:rPr>
      </w:pPr>
      <w:r>
        <w:rPr>
          <w:rFonts w:hint="eastAsia" w:ascii="宋体" w:hAnsi="宋体"/>
          <w:szCs w:val="21"/>
        </w:rPr>
        <w:t>（三）原则</w:t>
      </w:r>
    </w:p>
    <w:p w14:paraId="1C002E15">
      <w:pPr>
        <w:spacing w:line="360" w:lineRule="auto"/>
        <w:ind w:firstLine="420" w:firstLineChars="200"/>
        <w:rPr>
          <w:rFonts w:hint="eastAsia" w:ascii="宋体" w:hAnsi="宋体"/>
          <w:szCs w:val="21"/>
        </w:rPr>
      </w:pPr>
      <w:r>
        <w:rPr>
          <w:rFonts w:hint="eastAsia" w:ascii="宋体" w:hAnsi="宋体"/>
          <w:szCs w:val="21"/>
        </w:rPr>
        <w:t>基金管理人和基金托管人本着平等自愿、诚实信用、充分保护基金份额持有人合法权益的原则，经协商一致，签订本协议。</w:t>
      </w:r>
    </w:p>
    <w:p w14:paraId="7B3BC3DF">
      <w:pPr>
        <w:spacing w:after="120" w:line="360" w:lineRule="auto"/>
        <w:ind w:firstLine="420" w:firstLineChars="200"/>
        <w:rPr>
          <w:rFonts w:hint="eastAsia" w:ascii="宋体" w:hAnsi="宋体"/>
          <w:szCs w:val="21"/>
        </w:rPr>
      </w:pPr>
      <w:r>
        <w:rPr>
          <w:rFonts w:hint="eastAsia" w:ascii="宋体" w:hAnsi="宋体"/>
          <w:szCs w:val="21"/>
        </w:rPr>
        <w:t>（四）解释</w:t>
      </w:r>
    </w:p>
    <w:p w14:paraId="00F61BE3">
      <w:pPr>
        <w:spacing w:after="120" w:line="360" w:lineRule="auto"/>
        <w:ind w:firstLine="420" w:firstLineChars="200"/>
        <w:rPr>
          <w:rFonts w:hint="eastAsia" w:ascii="宋体" w:hAnsi="宋体"/>
          <w:szCs w:val="21"/>
        </w:rPr>
      </w:pPr>
      <w:r>
        <w:rPr>
          <w:rFonts w:hint="eastAsia" w:ascii="宋体" w:hAnsi="宋体"/>
          <w:szCs w:val="21"/>
        </w:rPr>
        <w:t>除非本协议另有约定，本协议所有术语与《基金合同》的相应术语具有相同含义。</w:t>
      </w:r>
    </w:p>
    <w:p w14:paraId="26C975FE">
      <w:pPr>
        <w:spacing w:after="120" w:line="360" w:lineRule="auto"/>
        <w:ind w:firstLine="420" w:firstLineChars="200"/>
        <w:rPr>
          <w:rFonts w:hint="eastAsia" w:ascii="宋体" w:hAnsi="宋体"/>
          <w:szCs w:val="21"/>
        </w:rPr>
      </w:pPr>
      <w:r>
        <w:rPr>
          <w:rFonts w:hint="eastAsia" w:ascii="宋体" w:hAnsi="宋体"/>
          <w:szCs w:val="21"/>
        </w:rPr>
        <w:t>（五）若本基金实施侧袋机制的，侧袋机制实施期间的相关安排见基金合同和招募说明书的规定。</w:t>
      </w:r>
    </w:p>
    <w:p w14:paraId="5A36278A">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11" w:name="_Toc382819072"/>
      <w:r>
        <w:rPr>
          <w:rFonts w:hint="eastAsia" w:ascii="宋体" w:hAnsi="宋体" w:eastAsia="宋体" w:cs="Arial"/>
          <w:sz w:val="21"/>
          <w:szCs w:val="21"/>
        </w:rPr>
        <w:t>基金托管人对基金管理人的业务监督和核查</w:t>
      </w:r>
      <w:bookmarkEnd w:id="11"/>
    </w:p>
    <w:p w14:paraId="7B704315">
      <w:pPr>
        <w:pStyle w:val="3"/>
        <w:keepNext w:val="0"/>
        <w:keepLines w:val="0"/>
        <w:autoSpaceDE w:val="0"/>
        <w:autoSpaceDN w:val="0"/>
        <w:adjustRightInd w:val="0"/>
        <w:spacing w:before="156" w:beforeLines="50" w:after="156" w:afterLines="50"/>
        <w:ind w:firstLine="315" w:firstLineChars="150"/>
        <w:textAlignment w:val="baseline"/>
        <w:rPr>
          <w:rFonts w:hint="eastAsia" w:ascii="宋体" w:hAnsi="宋体" w:eastAsia="宋体"/>
          <w:b w:val="0"/>
          <w:sz w:val="21"/>
          <w:szCs w:val="21"/>
        </w:rPr>
      </w:pPr>
      <w:bookmarkStart w:id="12" w:name="_Toc382819073"/>
      <w:r>
        <w:rPr>
          <w:rFonts w:hint="eastAsia" w:ascii="宋体" w:hAnsi="宋体" w:eastAsia="宋体"/>
          <w:b w:val="0"/>
          <w:sz w:val="21"/>
          <w:szCs w:val="21"/>
        </w:rPr>
        <w:t>（一）基金托管人对基金管理人的投资行为行使监督权</w:t>
      </w:r>
      <w:bookmarkEnd w:id="12"/>
    </w:p>
    <w:p w14:paraId="4A89126B">
      <w:pPr>
        <w:widowControl/>
        <w:spacing w:line="360" w:lineRule="auto"/>
        <w:ind w:firstLine="420" w:firstLineChars="200"/>
        <w:jc w:val="left"/>
        <w:rPr>
          <w:rFonts w:hint="eastAsia" w:ascii="宋体" w:hAnsi="宋体"/>
          <w:szCs w:val="21"/>
        </w:rPr>
      </w:pPr>
      <w:r>
        <w:rPr>
          <w:rFonts w:hint="eastAsia" w:ascii="宋体" w:hAnsi="宋体"/>
          <w:szCs w:val="21"/>
        </w:rPr>
        <w:t>1.基金托管人根据有关法律法规的规定和《基金合同》的约定，对下述基金投资范围、投资对象进行监督。</w:t>
      </w:r>
    </w:p>
    <w:p w14:paraId="7110C4D0">
      <w:pPr>
        <w:widowControl/>
        <w:spacing w:line="324" w:lineRule="auto"/>
        <w:ind w:firstLine="420" w:firstLineChars="200"/>
        <w:jc w:val="left"/>
        <w:rPr>
          <w:rFonts w:hint="eastAsia" w:ascii="宋体" w:hAnsi="宋体" w:cs="宋体"/>
          <w:kern w:val="0"/>
          <w:szCs w:val="21"/>
        </w:rPr>
      </w:pPr>
      <w:bookmarkStart w:id="13" w:name="_Hlk207917109"/>
      <w:r>
        <w:rPr>
          <w:rFonts w:hint="eastAsia" w:ascii="宋体" w:hAnsi="宋体"/>
          <w:szCs w:val="21"/>
        </w:rPr>
        <w:t>本</w:t>
      </w:r>
      <w:r>
        <w:rPr>
          <w:rFonts w:hint="eastAsia" w:ascii="宋体" w:hAnsi="宋体" w:cs="宋体"/>
          <w:kern w:val="0"/>
          <w:szCs w:val="21"/>
        </w:rPr>
        <w:t>基金将投资于以下金融工具：</w:t>
      </w:r>
    </w:p>
    <w:p w14:paraId="213DE0A6">
      <w:pPr>
        <w:widowControl/>
        <w:spacing w:line="324" w:lineRule="auto"/>
        <w:ind w:firstLine="420" w:firstLineChars="200"/>
        <w:jc w:val="left"/>
        <w:rPr>
          <w:rFonts w:ascii="宋体" w:hAnsi="宋体" w:cs="宋体"/>
          <w:kern w:val="0"/>
          <w:szCs w:val="21"/>
        </w:rPr>
      </w:pPr>
      <w:r>
        <w:rPr>
          <w:rFonts w:hint="eastAsia" w:ascii="宋体" w:hAnsi="宋体" w:cs="宋体"/>
          <w:kern w:val="0"/>
          <w:szCs w:val="21"/>
        </w:rPr>
        <w:t>本基金的投资范围为具有良好流动性的金融工具，包括国内依法发行上市的股票（含主板、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14:paraId="035D32B1">
      <w:pPr>
        <w:widowControl/>
        <w:spacing w:line="324" w:lineRule="auto"/>
        <w:ind w:firstLine="420" w:firstLineChars="200"/>
        <w:jc w:val="left"/>
        <w:rPr>
          <w:rFonts w:hint="eastAsia" w:ascii="宋体" w:hAnsi="宋体" w:cs="宋体"/>
          <w:kern w:val="0"/>
          <w:szCs w:val="21"/>
        </w:rPr>
      </w:pPr>
      <w:r>
        <w:rPr>
          <w:rFonts w:hint="eastAsia" w:ascii="宋体" w:hAnsi="宋体" w:cs="宋体"/>
          <w:kern w:val="0"/>
          <w:szCs w:val="21"/>
        </w:rPr>
        <w:t>如法律法规或监管机构以后允许基金投资其他品种，基金管理人在履行适当程序后，可以将其纳入投资范围。</w:t>
      </w:r>
    </w:p>
    <w:p w14:paraId="38D87CEC">
      <w:pPr>
        <w:widowControl/>
        <w:spacing w:line="324" w:lineRule="auto"/>
        <w:ind w:firstLine="420" w:firstLineChars="200"/>
        <w:jc w:val="left"/>
        <w:rPr>
          <w:rFonts w:hint="eastAsia" w:ascii="宋体" w:hAnsi="宋体"/>
          <w:kern w:val="0"/>
          <w:szCs w:val="21"/>
        </w:rPr>
      </w:pPr>
      <w:r>
        <w:rPr>
          <w:rFonts w:hint="eastAsia" w:ascii="宋体" w:hAnsi="宋体"/>
          <w:kern w:val="0"/>
          <w:szCs w:val="21"/>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14:paraId="00412C9F">
      <w:pPr>
        <w:widowControl/>
        <w:spacing w:line="324" w:lineRule="auto"/>
        <w:ind w:firstLine="420" w:firstLineChars="200"/>
        <w:jc w:val="left"/>
        <w:rPr>
          <w:rFonts w:hint="eastAsia" w:ascii="宋体" w:hAnsi="宋体"/>
          <w:kern w:val="0"/>
          <w:szCs w:val="21"/>
        </w:rPr>
      </w:pPr>
      <w:r>
        <w:rPr>
          <w:rFonts w:hint="eastAsia" w:ascii="宋体" w:hAnsi="宋体"/>
          <w:kern w:val="0"/>
          <w:szCs w:val="21"/>
        </w:rPr>
        <w:t>本基金不得投资于相关法律、法规、部门规章及《基金合同》禁止投资的投资工具。</w:t>
      </w:r>
    </w:p>
    <w:p w14:paraId="300F1FA8">
      <w:pPr>
        <w:spacing w:after="120" w:line="324" w:lineRule="auto"/>
        <w:ind w:firstLine="420" w:firstLineChars="200"/>
        <w:rPr>
          <w:rFonts w:hint="eastAsia" w:ascii="宋体" w:hAnsi="宋体"/>
          <w:szCs w:val="21"/>
        </w:rPr>
      </w:pPr>
      <w:r>
        <w:rPr>
          <w:rFonts w:hint="eastAsia" w:ascii="宋体" w:hAnsi="宋体"/>
          <w:szCs w:val="21"/>
        </w:rPr>
        <w:t>2.基金托管人根据有关法律法规的规定及《基金合同》的约定对下述基金投融资比例进行监督：</w:t>
      </w:r>
    </w:p>
    <w:p w14:paraId="49A4C2CF">
      <w:pPr>
        <w:spacing w:line="324" w:lineRule="auto"/>
        <w:ind w:firstLine="480"/>
        <w:outlineLvl w:val="1"/>
        <w:rPr>
          <w:rFonts w:hint="eastAsia" w:ascii="宋体" w:hAnsi="宋体"/>
          <w:szCs w:val="21"/>
        </w:rPr>
      </w:pPr>
      <w:r>
        <w:rPr>
          <w:rFonts w:hint="eastAsia" w:ascii="宋体" w:hAnsi="宋体"/>
          <w:szCs w:val="21"/>
        </w:rPr>
        <w:t>（1）按法律法规的规定及《基金合同》的约定，本基金的投资资产配置比例为：</w:t>
      </w:r>
    </w:p>
    <w:p w14:paraId="2676024B">
      <w:pPr>
        <w:spacing w:line="324" w:lineRule="auto"/>
        <w:ind w:firstLine="480"/>
        <w:rPr>
          <w:rFonts w:ascii="宋体" w:hAnsi="宋体"/>
          <w:szCs w:val="21"/>
        </w:rPr>
      </w:pPr>
      <w:r>
        <w:rPr>
          <w:rFonts w:hint="eastAsia" w:ascii="宋体" w:hAnsi="宋体"/>
          <w:szCs w:val="21"/>
        </w:rPr>
        <w:t>基金的投资组合比例为：股票投资（含存托凭证）占基金资产的比例为60%-95%（其中投资于港股通标的股票的比例占股票资产的0%-50%），投资于低碳经济主题相关股票（含存托凭证）的比例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14:paraId="5CD8A104">
      <w:pPr>
        <w:spacing w:line="324" w:lineRule="auto"/>
        <w:ind w:firstLine="480"/>
        <w:rPr>
          <w:rFonts w:hint="eastAsia" w:ascii="宋体" w:hAnsi="宋体"/>
          <w:szCs w:val="21"/>
        </w:rPr>
      </w:pPr>
      <w:r>
        <w:rPr>
          <w:rFonts w:hint="eastAsia" w:ascii="宋体" w:hAnsi="宋体"/>
          <w:szCs w:val="21"/>
        </w:rPr>
        <w:t>如果法律法规或中国证监会变更投资品种的投资比例限制，基金管理人在履行适当程序后，可以调整上述投资品种的投资比例。</w:t>
      </w:r>
    </w:p>
    <w:p w14:paraId="0EFDFE21">
      <w:pPr>
        <w:spacing w:line="360" w:lineRule="auto"/>
        <w:ind w:firstLine="420"/>
        <w:rPr>
          <w:rFonts w:hint="eastAsia" w:ascii="宋体" w:hAnsi="宋体"/>
          <w:szCs w:val="21"/>
        </w:rPr>
      </w:pPr>
      <w:r>
        <w:rPr>
          <w:rFonts w:hint="eastAsia" w:ascii="宋体" w:hAnsi="宋体"/>
          <w:szCs w:val="21"/>
        </w:rPr>
        <w:t>因基金规模或市场变化等因素导致投资组合不符合上述规定的，基金管理人应在合理的期限内调整基金的投资组合，以符合上述比例限定。法律法规另有规定时，从其规定。</w:t>
      </w:r>
    </w:p>
    <w:p w14:paraId="79F92154">
      <w:pPr>
        <w:spacing w:line="324" w:lineRule="auto"/>
        <w:ind w:firstLine="480"/>
        <w:outlineLvl w:val="1"/>
        <w:rPr>
          <w:rFonts w:hint="eastAsia" w:ascii="宋体" w:hAnsi="宋体"/>
          <w:szCs w:val="21"/>
        </w:rPr>
      </w:pPr>
      <w:r>
        <w:rPr>
          <w:rFonts w:hint="eastAsia" w:ascii="宋体" w:hAnsi="宋体"/>
          <w:szCs w:val="21"/>
        </w:rPr>
        <w:t xml:space="preserve">（2）根据法律法规的规定及《基金合同》的约定，本基金投资组合遵循以下投资限制： </w:t>
      </w:r>
    </w:p>
    <w:p w14:paraId="57A6828E">
      <w:pPr>
        <w:spacing w:line="324" w:lineRule="auto"/>
        <w:ind w:firstLine="480"/>
        <w:rPr>
          <w:rFonts w:ascii="宋体" w:hAnsi="宋体"/>
          <w:bCs/>
          <w:szCs w:val="21"/>
        </w:rPr>
      </w:pPr>
      <w:r>
        <w:rPr>
          <w:rFonts w:hint="eastAsia" w:ascii="宋体" w:hAnsi="宋体"/>
          <w:bCs/>
          <w:szCs w:val="21"/>
        </w:rPr>
        <w:t>1）股票投资（含存托凭证）占基金资产的比例为60%-95%（其中投资于港股通标的股票的比例占股票资产的0%-50%），投资于低碳经济主题相关股票（含存托凭证）的比例不低于非现金基金资产的80%；</w:t>
      </w:r>
    </w:p>
    <w:p w14:paraId="00604249">
      <w:pPr>
        <w:spacing w:line="324" w:lineRule="auto"/>
        <w:ind w:firstLine="480"/>
        <w:rPr>
          <w:rFonts w:ascii="宋体" w:hAnsi="宋体"/>
          <w:bCs/>
          <w:szCs w:val="21"/>
        </w:rPr>
      </w:pPr>
      <w:r>
        <w:rPr>
          <w:rFonts w:hint="eastAsia" w:ascii="宋体" w:hAnsi="宋体"/>
          <w:bCs/>
          <w:szCs w:val="21"/>
        </w:rPr>
        <w:t>2）每个交易日日终在扣除股指期货合约需缴纳的交易保证金后，本基金持有的现金或者到期日在一年以内的政府债券的比例合计不低于基金资产净值的5%，其中现金不包括结算备付金、存出保证金、应收申购款等；</w:t>
      </w:r>
    </w:p>
    <w:p w14:paraId="26515682">
      <w:pPr>
        <w:spacing w:line="324" w:lineRule="auto"/>
        <w:ind w:firstLine="480"/>
        <w:rPr>
          <w:rFonts w:ascii="宋体" w:hAnsi="宋体"/>
          <w:bCs/>
          <w:szCs w:val="21"/>
        </w:rPr>
      </w:pPr>
      <w:r>
        <w:rPr>
          <w:rFonts w:hint="eastAsia" w:ascii="宋体" w:hAnsi="宋体"/>
          <w:bCs/>
          <w:szCs w:val="21"/>
        </w:rPr>
        <w:t>3）本基金持有一家公司发行的证券（同一家公司在内地和香港同时上市的A+H股合计计算），其市值不超过基金资产净值的10％；</w:t>
      </w:r>
    </w:p>
    <w:p w14:paraId="2C61CFCA">
      <w:pPr>
        <w:spacing w:line="324" w:lineRule="auto"/>
        <w:ind w:firstLine="480"/>
        <w:rPr>
          <w:rFonts w:ascii="宋体" w:hAnsi="宋体"/>
          <w:bCs/>
          <w:szCs w:val="21"/>
        </w:rPr>
      </w:pPr>
      <w:r>
        <w:rPr>
          <w:rFonts w:hint="eastAsia" w:ascii="宋体" w:hAnsi="宋体"/>
          <w:bCs/>
          <w:szCs w:val="21"/>
        </w:rPr>
        <w:t>4）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14:paraId="2912BBBB">
      <w:pPr>
        <w:spacing w:line="324" w:lineRule="auto"/>
        <w:ind w:firstLine="480"/>
        <w:rPr>
          <w:rFonts w:ascii="宋体" w:hAnsi="宋体"/>
          <w:bCs/>
          <w:szCs w:val="21"/>
        </w:rPr>
      </w:pPr>
      <w:r>
        <w:rPr>
          <w:rFonts w:hint="eastAsia" w:ascii="宋体" w:hAnsi="宋体"/>
          <w:bCs/>
          <w:szCs w:val="21"/>
        </w:rPr>
        <w:t>5）本基金投资于同一原始权益人的各类资产支持证券的比例，不得超过基金资产净值的10％；</w:t>
      </w:r>
    </w:p>
    <w:p w14:paraId="22080826">
      <w:pPr>
        <w:spacing w:line="324" w:lineRule="auto"/>
        <w:ind w:firstLine="480"/>
        <w:rPr>
          <w:rFonts w:ascii="宋体" w:hAnsi="宋体"/>
          <w:bCs/>
          <w:szCs w:val="21"/>
        </w:rPr>
      </w:pPr>
      <w:r>
        <w:rPr>
          <w:rFonts w:hint="eastAsia" w:ascii="宋体" w:hAnsi="宋体"/>
          <w:bCs/>
          <w:szCs w:val="21"/>
        </w:rPr>
        <w:t>6）本基金持有的全部资产支持证券，其市值不得超过基金资产净值的20％；</w:t>
      </w:r>
    </w:p>
    <w:p w14:paraId="02CDF211">
      <w:pPr>
        <w:spacing w:line="324" w:lineRule="auto"/>
        <w:ind w:firstLine="480"/>
        <w:rPr>
          <w:rFonts w:ascii="宋体" w:hAnsi="宋体"/>
          <w:bCs/>
          <w:szCs w:val="21"/>
        </w:rPr>
      </w:pPr>
      <w:r>
        <w:rPr>
          <w:rFonts w:hint="eastAsia" w:ascii="宋体" w:hAnsi="宋体"/>
          <w:bCs/>
          <w:szCs w:val="21"/>
        </w:rPr>
        <w:t>7）本基金持有的同一（指同一信用级别）资产支持证券的比例，不得超过该资产支持证券规模的10％；</w:t>
      </w:r>
    </w:p>
    <w:p w14:paraId="5797328A">
      <w:pPr>
        <w:spacing w:line="324" w:lineRule="auto"/>
        <w:ind w:firstLine="480"/>
        <w:rPr>
          <w:rFonts w:ascii="宋体" w:hAnsi="宋体"/>
          <w:bCs/>
          <w:szCs w:val="21"/>
        </w:rPr>
      </w:pPr>
      <w:r>
        <w:rPr>
          <w:rFonts w:hint="eastAsia" w:ascii="宋体" w:hAnsi="宋体"/>
          <w:bCs/>
          <w:szCs w:val="21"/>
        </w:rPr>
        <w:t>8）本基金管理人管理的全部基金投资于同一原始权益人的各类资产支持证券，不得超过其各类资产支持证券合计规模的10％；</w:t>
      </w:r>
    </w:p>
    <w:p w14:paraId="2E9AB30D">
      <w:pPr>
        <w:spacing w:line="324" w:lineRule="auto"/>
        <w:ind w:firstLine="480"/>
        <w:rPr>
          <w:rFonts w:ascii="宋体" w:hAnsi="宋体"/>
          <w:bCs/>
          <w:szCs w:val="21"/>
        </w:rPr>
      </w:pPr>
      <w:r>
        <w:rPr>
          <w:rFonts w:hint="eastAsia" w:ascii="宋体" w:hAnsi="宋体"/>
          <w:bCs/>
          <w:szCs w:val="21"/>
        </w:rPr>
        <w:t>9）本基金应投资于信用级别评级为BBB以上（含BBB）的资产支持证券。基金持有资产支持证券期间，如果其信用等级下降、不再符合投资标准，应在评级报告发布之日起3个月内予以全部卖出；</w:t>
      </w:r>
    </w:p>
    <w:p w14:paraId="173DC4AC">
      <w:pPr>
        <w:spacing w:line="324" w:lineRule="auto"/>
        <w:ind w:firstLine="480"/>
        <w:rPr>
          <w:rFonts w:ascii="宋体" w:hAnsi="宋体"/>
          <w:bCs/>
          <w:szCs w:val="21"/>
        </w:rPr>
      </w:pPr>
      <w:r>
        <w:rPr>
          <w:rFonts w:hint="eastAsia" w:ascii="宋体" w:hAnsi="宋体"/>
          <w:bCs/>
          <w:szCs w:val="21"/>
        </w:rPr>
        <w:t>10）基金财产参与股票发行申购，本基金所申报的金额不超过本基金的总资产，本基金所申报的股票数量不超过拟发行股票公司本次发行股票的总量；</w:t>
      </w:r>
    </w:p>
    <w:p w14:paraId="5114BE37">
      <w:pPr>
        <w:spacing w:line="324" w:lineRule="auto"/>
        <w:ind w:firstLine="480"/>
        <w:rPr>
          <w:rFonts w:ascii="宋体" w:hAnsi="宋体"/>
          <w:bCs/>
          <w:szCs w:val="21"/>
        </w:rPr>
      </w:pPr>
      <w:r>
        <w:rPr>
          <w:rFonts w:hint="eastAsia" w:ascii="宋体" w:hAnsi="宋体"/>
          <w:bCs/>
          <w:szCs w:val="21"/>
        </w:rPr>
        <w:t>11）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55EB4676">
      <w:pPr>
        <w:spacing w:line="324" w:lineRule="auto"/>
        <w:ind w:firstLine="480"/>
        <w:rPr>
          <w:rFonts w:ascii="宋体" w:hAnsi="宋体"/>
          <w:bCs/>
          <w:szCs w:val="21"/>
        </w:rPr>
      </w:pPr>
      <w:r>
        <w:rPr>
          <w:rFonts w:hint="eastAsia" w:ascii="宋体" w:hAnsi="宋体"/>
          <w:bCs/>
          <w:szCs w:val="21"/>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60AF7223">
      <w:pPr>
        <w:spacing w:line="324" w:lineRule="auto"/>
        <w:ind w:firstLine="480"/>
        <w:rPr>
          <w:rFonts w:ascii="宋体" w:hAnsi="宋体"/>
          <w:bCs/>
          <w:szCs w:val="21"/>
        </w:rPr>
      </w:pPr>
      <w:r>
        <w:rPr>
          <w:rFonts w:hint="eastAsia" w:ascii="宋体" w:hAnsi="宋体"/>
          <w:bCs/>
          <w:szCs w:val="21"/>
        </w:rPr>
        <w:t>13）本基金与私募类证券资管产品及中国证监会认定的其他主体为交易对手开展逆回购交易的，可接受质押品的资质要求应当与基金合同约定的投资范围保持一致；</w:t>
      </w:r>
    </w:p>
    <w:p w14:paraId="5377D126">
      <w:pPr>
        <w:spacing w:line="324" w:lineRule="auto"/>
        <w:ind w:firstLine="480"/>
        <w:rPr>
          <w:rFonts w:ascii="宋体" w:hAnsi="宋体"/>
          <w:bCs/>
          <w:szCs w:val="21"/>
        </w:rPr>
      </w:pPr>
      <w:r>
        <w:rPr>
          <w:rFonts w:hint="eastAsia" w:ascii="宋体" w:hAnsi="宋体"/>
          <w:bCs/>
          <w:szCs w:val="21"/>
        </w:rPr>
        <w:t>14）若本基金参与股指期货交易，则：</w:t>
      </w:r>
    </w:p>
    <w:p w14:paraId="3E4EFFB6">
      <w:pPr>
        <w:spacing w:line="324" w:lineRule="auto"/>
        <w:ind w:firstLine="480"/>
        <w:rPr>
          <w:rFonts w:ascii="宋体" w:hAnsi="宋体"/>
          <w:bCs/>
          <w:szCs w:val="21"/>
        </w:rPr>
      </w:pPr>
      <w:r>
        <w:rPr>
          <w:rFonts w:hint="eastAsia" w:ascii="宋体" w:hAnsi="宋体"/>
          <w:bCs/>
          <w:szCs w:val="21"/>
        </w:rPr>
        <w:fldChar w:fldCharType="begin"/>
      </w:r>
      <w:r>
        <w:rPr>
          <w:rFonts w:hint="eastAsia" w:ascii="宋体" w:hAnsi="宋体"/>
          <w:bCs/>
          <w:szCs w:val="21"/>
        </w:rPr>
        <w:instrText xml:space="preserve"> = 1 \* GB3 \* MERGEFORMAT </w:instrText>
      </w:r>
      <w:r>
        <w:rPr>
          <w:rFonts w:hint="eastAsia" w:ascii="宋体" w:hAnsi="宋体"/>
          <w:bCs/>
          <w:szCs w:val="21"/>
        </w:rPr>
        <w:fldChar w:fldCharType="separate"/>
      </w:r>
      <w:r>
        <w:t>①</w:t>
      </w:r>
      <w:r>
        <w:rPr>
          <w:rFonts w:hint="eastAsia" w:ascii="宋体" w:hAnsi="宋体"/>
          <w:bCs/>
          <w:szCs w:val="21"/>
        </w:rPr>
        <w:fldChar w:fldCharType="end"/>
      </w:r>
      <w:r>
        <w:rPr>
          <w:rFonts w:hint="eastAsia" w:ascii="宋体" w:hAnsi="宋体"/>
          <w:bCs/>
          <w:szCs w:val="21"/>
        </w:rPr>
        <w:t>本基金在任何交易日日终，持有的买入股指期货合约价值，不得超过基金资产净值的10%；</w:t>
      </w:r>
    </w:p>
    <w:p w14:paraId="33160339">
      <w:pPr>
        <w:spacing w:line="324" w:lineRule="auto"/>
        <w:ind w:firstLine="480"/>
        <w:rPr>
          <w:rFonts w:ascii="宋体" w:hAnsi="宋体"/>
          <w:bCs/>
          <w:szCs w:val="21"/>
        </w:rPr>
      </w:pPr>
      <w:r>
        <w:rPr>
          <w:rFonts w:hint="eastAsia" w:ascii="宋体" w:hAnsi="宋体"/>
          <w:bCs/>
          <w:szCs w:val="21"/>
        </w:rPr>
        <w:fldChar w:fldCharType="begin"/>
      </w:r>
      <w:r>
        <w:rPr>
          <w:rFonts w:hint="eastAsia" w:ascii="宋体" w:hAnsi="宋体"/>
          <w:bCs/>
          <w:szCs w:val="21"/>
        </w:rPr>
        <w:instrText xml:space="preserve"> = 2 \* GB3 \* MERGEFORMAT </w:instrText>
      </w:r>
      <w:r>
        <w:rPr>
          <w:rFonts w:hint="eastAsia" w:ascii="宋体" w:hAnsi="宋体"/>
          <w:bCs/>
          <w:szCs w:val="21"/>
        </w:rPr>
        <w:fldChar w:fldCharType="separate"/>
      </w:r>
      <w:r>
        <w:t>②</w:t>
      </w:r>
      <w:r>
        <w:rPr>
          <w:rFonts w:hint="eastAsia" w:ascii="宋体" w:hAnsi="宋体"/>
          <w:bCs/>
          <w:szCs w:val="21"/>
        </w:rPr>
        <w:fldChar w:fldCharType="end"/>
      </w:r>
      <w:r>
        <w:rPr>
          <w:rFonts w:hint="eastAsia" w:ascii="宋体" w:hAnsi="宋体"/>
          <w:bCs/>
          <w:szCs w:val="21"/>
        </w:rPr>
        <w:t>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14:paraId="204EEDA1">
      <w:pPr>
        <w:spacing w:line="324" w:lineRule="auto"/>
        <w:ind w:firstLine="480"/>
        <w:rPr>
          <w:rFonts w:ascii="宋体" w:hAnsi="宋体"/>
          <w:bCs/>
          <w:szCs w:val="21"/>
        </w:rPr>
      </w:pPr>
      <w:r>
        <w:rPr>
          <w:rFonts w:hint="eastAsia" w:ascii="宋体" w:hAnsi="宋体"/>
          <w:bCs/>
          <w:szCs w:val="21"/>
        </w:rPr>
        <w:fldChar w:fldCharType="begin"/>
      </w:r>
      <w:r>
        <w:rPr>
          <w:rFonts w:hint="eastAsia" w:ascii="宋体" w:hAnsi="宋体"/>
          <w:bCs/>
          <w:szCs w:val="21"/>
        </w:rPr>
        <w:instrText xml:space="preserve"> = 3 \* GB3 \* MERGEFORMAT </w:instrText>
      </w:r>
      <w:r>
        <w:rPr>
          <w:rFonts w:hint="eastAsia" w:ascii="宋体" w:hAnsi="宋体"/>
          <w:bCs/>
          <w:szCs w:val="21"/>
        </w:rPr>
        <w:fldChar w:fldCharType="separate"/>
      </w:r>
      <w:r>
        <w:t>③</w:t>
      </w:r>
      <w:r>
        <w:rPr>
          <w:rFonts w:hint="eastAsia" w:ascii="宋体" w:hAnsi="宋体"/>
          <w:bCs/>
          <w:szCs w:val="21"/>
        </w:rPr>
        <w:fldChar w:fldCharType="end"/>
      </w:r>
      <w:r>
        <w:rPr>
          <w:rFonts w:hint="eastAsia" w:ascii="宋体" w:hAnsi="宋体"/>
          <w:bCs/>
          <w:szCs w:val="21"/>
        </w:rPr>
        <w:t>本基金在任何交易日日终，持有的卖出股指期货合约价值不得超过基金持有的股票总市值的20%；</w:t>
      </w:r>
    </w:p>
    <w:p w14:paraId="386D7DEF">
      <w:pPr>
        <w:spacing w:line="324" w:lineRule="auto"/>
        <w:ind w:firstLine="480"/>
        <w:rPr>
          <w:rFonts w:ascii="宋体" w:hAnsi="宋体"/>
          <w:bCs/>
          <w:szCs w:val="21"/>
        </w:rPr>
      </w:pPr>
      <w:r>
        <w:rPr>
          <w:rFonts w:hint="eastAsia" w:ascii="宋体" w:hAnsi="宋体"/>
          <w:bCs/>
          <w:szCs w:val="21"/>
        </w:rPr>
        <w:fldChar w:fldCharType="begin"/>
      </w:r>
      <w:r>
        <w:rPr>
          <w:rFonts w:hint="eastAsia" w:ascii="宋体" w:hAnsi="宋体"/>
          <w:bCs/>
          <w:szCs w:val="21"/>
        </w:rPr>
        <w:instrText xml:space="preserve"> = 4 \* GB3 \* MERGEFORMAT </w:instrText>
      </w:r>
      <w:r>
        <w:rPr>
          <w:rFonts w:hint="eastAsia" w:ascii="宋体" w:hAnsi="宋体"/>
          <w:bCs/>
          <w:szCs w:val="21"/>
        </w:rPr>
        <w:fldChar w:fldCharType="separate"/>
      </w:r>
      <w:r>
        <w:t>④</w:t>
      </w:r>
      <w:r>
        <w:rPr>
          <w:rFonts w:hint="eastAsia" w:ascii="宋体" w:hAnsi="宋体"/>
          <w:bCs/>
          <w:szCs w:val="21"/>
        </w:rPr>
        <w:fldChar w:fldCharType="end"/>
      </w:r>
      <w:r>
        <w:rPr>
          <w:rFonts w:hint="eastAsia" w:ascii="宋体" w:hAnsi="宋体"/>
          <w:bCs/>
          <w:szCs w:val="21"/>
        </w:rPr>
        <w:t>本基金所持有的股票市值和买入、卖出股指期货合约价值，合计（轧差计算）应当符合基金合同关于股票投资比例的有关约定；</w:t>
      </w:r>
    </w:p>
    <w:p w14:paraId="1E5E8EAB">
      <w:pPr>
        <w:spacing w:line="324" w:lineRule="auto"/>
        <w:ind w:firstLine="480"/>
        <w:rPr>
          <w:rFonts w:ascii="宋体" w:hAnsi="宋体"/>
          <w:bCs/>
          <w:szCs w:val="21"/>
        </w:rPr>
      </w:pPr>
      <w:r>
        <w:rPr>
          <w:rFonts w:hint="eastAsia" w:ascii="宋体" w:hAnsi="宋体"/>
          <w:bCs/>
          <w:szCs w:val="21"/>
        </w:rPr>
        <w:fldChar w:fldCharType="begin"/>
      </w:r>
      <w:r>
        <w:rPr>
          <w:rFonts w:hint="eastAsia" w:ascii="宋体" w:hAnsi="宋体"/>
          <w:bCs/>
          <w:szCs w:val="21"/>
        </w:rPr>
        <w:instrText xml:space="preserve"> = 5 \* GB3 \* MERGEFORMAT </w:instrText>
      </w:r>
      <w:r>
        <w:rPr>
          <w:rFonts w:hint="eastAsia" w:ascii="宋体" w:hAnsi="宋体"/>
          <w:bCs/>
          <w:szCs w:val="21"/>
        </w:rPr>
        <w:fldChar w:fldCharType="separate"/>
      </w:r>
      <w:r>
        <w:t>⑤</w:t>
      </w:r>
      <w:r>
        <w:rPr>
          <w:rFonts w:hint="eastAsia" w:ascii="宋体" w:hAnsi="宋体"/>
          <w:bCs/>
          <w:szCs w:val="21"/>
        </w:rPr>
        <w:fldChar w:fldCharType="end"/>
      </w:r>
      <w:r>
        <w:rPr>
          <w:rFonts w:hint="eastAsia" w:ascii="宋体" w:hAnsi="宋体"/>
          <w:bCs/>
          <w:szCs w:val="21"/>
        </w:rPr>
        <w:t>本基金在任何交易日内交易（不包括平仓）的股指期货合约的成交金额不得超过上一交易日基金资产净值的20%；</w:t>
      </w:r>
    </w:p>
    <w:p w14:paraId="0EBED88F">
      <w:pPr>
        <w:spacing w:line="324" w:lineRule="auto"/>
        <w:ind w:firstLine="480"/>
        <w:rPr>
          <w:rFonts w:ascii="宋体" w:hAnsi="宋体"/>
          <w:bCs/>
          <w:szCs w:val="21"/>
        </w:rPr>
      </w:pPr>
      <w:r>
        <w:rPr>
          <w:rFonts w:hint="eastAsia" w:ascii="宋体" w:hAnsi="宋体"/>
          <w:bCs/>
          <w:szCs w:val="21"/>
        </w:rPr>
        <w:t>（15）本基金资产总值不超过基金资产净值的140%；</w:t>
      </w:r>
    </w:p>
    <w:p w14:paraId="2AEAD4F9">
      <w:pPr>
        <w:spacing w:line="324" w:lineRule="auto"/>
        <w:ind w:firstLine="480"/>
        <w:rPr>
          <w:rFonts w:ascii="宋体" w:hAnsi="宋体"/>
          <w:bCs/>
          <w:szCs w:val="21"/>
        </w:rPr>
      </w:pPr>
      <w:r>
        <w:rPr>
          <w:rFonts w:hint="eastAsia" w:ascii="宋体" w:hAnsi="宋体"/>
          <w:bCs/>
          <w:szCs w:val="21"/>
        </w:rPr>
        <w:t>（16）本基金投资存托凭证的比例限制依照境内上市交易的股票执行；</w:t>
      </w:r>
    </w:p>
    <w:p w14:paraId="2DBE40B5">
      <w:pPr>
        <w:spacing w:line="324" w:lineRule="auto"/>
        <w:ind w:firstLine="480"/>
        <w:rPr>
          <w:rFonts w:ascii="宋体" w:hAnsi="宋体"/>
          <w:bCs/>
          <w:szCs w:val="21"/>
        </w:rPr>
      </w:pPr>
      <w:r>
        <w:rPr>
          <w:rFonts w:hint="eastAsia" w:ascii="宋体" w:hAnsi="宋体"/>
          <w:bCs/>
          <w:szCs w:val="21"/>
        </w:rPr>
        <w:t>（17）法律法规及中国证监会规定的和《基金合同》约定的其他投资限制。</w:t>
      </w:r>
    </w:p>
    <w:p w14:paraId="62AB9E6E">
      <w:pPr>
        <w:spacing w:line="324" w:lineRule="auto"/>
        <w:ind w:firstLine="480"/>
        <w:rPr>
          <w:rFonts w:ascii="宋体" w:hAnsi="宋体"/>
          <w:bCs/>
          <w:szCs w:val="21"/>
        </w:rPr>
      </w:pPr>
      <w:r>
        <w:rPr>
          <w:rFonts w:hint="eastAsia" w:ascii="宋体" w:hAnsi="宋体"/>
          <w:bCs/>
          <w:szCs w:val="21"/>
        </w:rPr>
        <w:t>除上述2）、9）、12）、13）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14:paraId="4C3E20F3">
      <w:pPr>
        <w:spacing w:line="324" w:lineRule="auto"/>
        <w:ind w:firstLine="480"/>
        <w:rPr>
          <w:rFonts w:hint="eastAsia" w:ascii="宋体" w:hAnsi="宋体"/>
          <w:bCs/>
          <w:szCs w:val="21"/>
        </w:rPr>
      </w:pPr>
      <w:r>
        <w:rPr>
          <w:rFonts w:hint="eastAsia" w:ascii="宋体" w:hAnsi="宋体"/>
          <w:bCs/>
          <w:szCs w:val="21"/>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249AB45E">
      <w:pPr>
        <w:spacing w:line="324" w:lineRule="auto"/>
        <w:ind w:firstLine="480"/>
        <w:rPr>
          <w:rFonts w:hint="eastAsia" w:ascii="宋体" w:hAnsi="宋体"/>
          <w:bCs/>
          <w:szCs w:val="21"/>
        </w:rPr>
      </w:pPr>
      <w:r>
        <w:rPr>
          <w:rFonts w:hint="eastAsia" w:ascii="宋体" w:hAnsi="宋体"/>
          <w:bCs/>
          <w:szCs w:val="21"/>
        </w:rPr>
        <w:t>法律法规或监管部门取消或变更上述限制，如适用于本基金，基金管理人在履行适当程序后，则本基金投资不再受相关限制或以变更后的规定为准。</w:t>
      </w:r>
    </w:p>
    <w:p w14:paraId="538AA8F8">
      <w:pPr>
        <w:spacing w:after="120" w:line="440" w:lineRule="exact"/>
        <w:ind w:firstLine="420" w:firstLineChars="200"/>
        <w:rPr>
          <w:rFonts w:hint="eastAsia" w:ascii="宋体" w:hAnsi="宋体"/>
          <w:szCs w:val="21"/>
        </w:rPr>
      </w:pPr>
      <w:r>
        <w:rPr>
          <w:rFonts w:hint="eastAsia" w:ascii="宋体" w:hAnsi="宋体"/>
          <w:szCs w:val="21"/>
        </w:rPr>
        <w:t xml:space="preserve">3.基金托管人根据有关法律法规的规定及《基金合同》的约定对下述基金投资禁止行为进行监督： </w:t>
      </w:r>
    </w:p>
    <w:p w14:paraId="4A9766B0">
      <w:pPr>
        <w:spacing w:line="360" w:lineRule="auto"/>
        <w:ind w:left="1" w:firstLine="472" w:firstLineChars="225"/>
        <w:rPr>
          <w:rFonts w:hint="eastAsia" w:ascii="宋体" w:hAnsi="宋体"/>
          <w:szCs w:val="21"/>
        </w:rPr>
      </w:pPr>
      <w:r>
        <w:rPr>
          <w:rFonts w:hint="eastAsia" w:ascii="宋体" w:hAnsi="宋体"/>
          <w:szCs w:val="21"/>
        </w:rPr>
        <w:t>根据法律法规的规定及《基金合同》的约定，本基金禁止从事下列行为：</w:t>
      </w:r>
    </w:p>
    <w:p w14:paraId="2ECEDC40">
      <w:pPr>
        <w:spacing w:line="360" w:lineRule="auto"/>
        <w:ind w:left="1" w:firstLine="472" w:firstLineChars="225"/>
        <w:rPr>
          <w:rFonts w:hint="eastAsia" w:ascii="宋体" w:hAnsi="宋体"/>
          <w:bCs/>
          <w:szCs w:val="21"/>
        </w:rPr>
      </w:pPr>
      <w:r>
        <w:rPr>
          <w:rFonts w:hint="eastAsia" w:ascii="宋体" w:hAnsi="宋体"/>
          <w:bCs/>
          <w:szCs w:val="21"/>
        </w:rPr>
        <w:t>（</w:t>
      </w:r>
      <w:r>
        <w:rPr>
          <w:rFonts w:ascii="宋体" w:hAnsi="宋体"/>
          <w:bCs/>
          <w:szCs w:val="21"/>
        </w:rPr>
        <w:t>1）承销证券；</w:t>
      </w:r>
    </w:p>
    <w:p w14:paraId="042A5815">
      <w:pPr>
        <w:spacing w:line="360" w:lineRule="auto"/>
        <w:ind w:left="1" w:firstLine="472" w:firstLineChars="225"/>
        <w:rPr>
          <w:rFonts w:hint="eastAsia" w:ascii="宋体" w:hAnsi="宋体"/>
          <w:bCs/>
          <w:szCs w:val="21"/>
        </w:rPr>
      </w:pPr>
      <w:r>
        <w:rPr>
          <w:rFonts w:hint="eastAsia" w:ascii="宋体" w:hAnsi="宋体"/>
          <w:bCs/>
          <w:szCs w:val="21"/>
        </w:rPr>
        <w:t>（</w:t>
      </w:r>
      <w:r>
        <w:rPr>
          <w:rFonts w:ascii="宋体" w:hAnsi="宋体"/>
          <w:bCs/>
          <w:szCs w:val="21"/>
        </w:rPr>
        <w:t>2）违反规定向他人贷款或者提供担保；</w:t>
      </w:r>
    </w:p>
    <w:p w14:paraId="5492DE33">
      <w:pPr>
        <w:spacing w:line="360" w:lineRule="auto"/>
        <w:ind w:left="1" w:firstLine="472" w:firstLineChars="225"/>
        <w:rPr>
          <w:rFonts w:hint="eastAsia" w:ascii="宋体" w:hAnsi="宋体"/>
          <w:bCs/>
          <w:szCs w:val="21"/>
        </w:rPr>
      </w:pPr>
      <w:r>
        <w:rPr>
          <w:rFonts w:hint="eastAsia" w:ascii="宋体" w:hAnsi="宋体"/>
          <w:bCs/>
          <w:szCs w:val="21"/>
        </w:rPr>
        <w:t>（</w:t>
      </w:r>
      <w:r>
        <w:rPr>
          <w:rFonts w:ascii="宋体" w:hAnsi="宋体"/>
          <w:bCs/>
          <w:szCs w:val="21"/>
        </w:rPr>
        <w:t>3）从事承担无限责任的投资；</w:t>
      </w:r>
    </w:p>
    <w:p w14:paraId="731F9D20">
      <w:pPr>
        <w:spacing w:line="360" w:lineRule="auto"/>
        <w:ind w:left="1" w:firstLine="472" w:firstLineChars="225"/>
        <w:rPr>
          <w:rFonts w:hint="eastAsia" w:ascii="宋体" w:hAnsi="宋体"/>
          <w:bCs/>
          <w:szCs w:val="21"/>
        </w:rPr>
      </w:pPr>
      <w:r>
        <w:rPr>
          <w:rFonts w:hint="eastAsia" w:ascii="宋体" w:hAnsi="宋体"/>
          <w:bCs/>
          <w:szCs w:val="21"/>
        </w:rPr>
        <w:t>（4）买卖其他基金份额，但是中国证监会另有规定的除外；</w:t>
      </w:r>
    </w:p>
    <w:p w14:paraId="4775CA91">
      <w:pPr>
        <w:spacing w:line="360" w:lineRule="auto"/>
        <w:ind w:left="1" w:firstLine="472" w:firstLineChars="225"/>
        <w:rPr>
          <w:rFonts w:hint="eastAsia" w:ascii="宋体" w:hAnsi="宋体"/>
          <w:bCs/>
          <w:szCs w:val="21"/>
        </w:rPr>
      </w:pPr>
      <w:r>
        <w:rPr>
          <w:rFonts w:hint="eastAsia" w:ascii="宋体" w:hAnsi="宋体"/>
          <w:bCs/>
          <w:szCs w:val="21"/>
        </w:rPr>
        <w:t>（5</w:t>
      </w:r>
      <w:r>
        <w:rPr>
          <w:rFonts w:ascii="宋体" w:hAnsi="宋体"/>
          <w:bCs/>
          <w:szCs w:val="21"/>
        </w:rPr>
        <w:t>）向其基金管理人、基金托管人出资；</w:t>
      </w:r>
    </w:p>
    <w:p w14:paraId="1A734767">
      <w:pPr>
        <w:spacing w:line="360" w:lineRule="auto"/>
        <w:ind w:left="1" w:firstLine="472" w:firstLineChars="225"/>
        <w:rPr>
          <w:rFonts w:hint="eastAsia" w:ascii="宋体" w:hAnsi="宋体"/>
          <w:bCs/>
          <w:szCs w:val="21"/>
        </w:rPr>
      </w:pPr>
      <w:r>
        <w:rPr>
          <w:rFonts w:hint="eastAsia" w:ascii="宋体" w:hAnsi="宋体"/>
          <w:bCs/>
          <w:szCs w:val="21"/>
        </w:rPr>
        <w:t>（6</w:t>
      </w:r>
      <w:r>
        <w:rPr>
          <w:rFonts w:ascii="宋体" w:hAnsi="宋体"/>
          <w:bCs/>
          <w:szCs w:val="21"/>
        </w:rPr>
        <w:t>）从事内幕交易、操纵证券交易价格及其他不正当的证券交易活动；</w:t>
      </w:r>
    </w:p>
    <w:p w14:paraId="579ECB4C">
      <w:pPr>
        <w:spacing w:line="360" w:lineRule="auto"/>
        <w:ind w:firstLine="420" w:firstLineChars="200"/>
        <w:rPr>
          <w:rFonts w:hint="eastAsia" w:ascii="宋体" w:hAnsi="宋体"/>
          <w:b/>
          <w:szCs w:val="21"/>
          <w:u w:val="single"/>
        </w:rPr>
      </w:pPr>
      <w:r>
        <w:rPr>
          <w:rFonts w:hint="eastAsia" w:ascii="宋体" w:hAnsi="宋体"/>
          <w:bCs/>
          <w:szCs w:val="21"/>
        </w:rPr>
        <w:t>（7</w:t>
      </w:r>
      <w:r>
        <w:rPr>
          <w:rFonts w:ascii="宋体" w:hAnsi="宋体"/>
          <w:bCs/>
          <w:szCs w:val="21"/>
        </w:rPr>
        <w:t>）法律、行政法规和中国证监会规定禁止的其他活动。</w:t>
      </w:r>
    </w:p>
    <w:p w14:paraId="4B6210FD">
      <w:pPr>
        <w:spacing w:line="360" w:lineRule="auto"/>
        <w:ind w:left="1" w:firstLine="472" w:firstLineChars="225"/>
        <w:rPr>
          <w:rFonts w:hint="eastAsia" w:ascii="宋体" w:hAnsi="宋体"/>
          <w:szCs w:val="21"/>
        </w:rPr>
      </w:pPr>
      <w:r>
        <w:rPr>
          <w:rFonts w:hint="eastAsia" w:ascii="宋体" w:hAnsi="宋体"/>
          <w:szCs w:val="21"/>
        </w:rPr>
        <w:t>如法律、行政法规或监管部门取消或变更上述规定，如适用于本基金，基金管理人在履行适当程序后，本基金可不受上述规定的限制或以变更后的规定为准。</w:t>
      </w:r>
    </w:p>
    <w:p w14:paraId="6F2458F9">
      <w:pPr>
        <w:spacing w:line="440" w:lineRule="exact"/>
        <w:ind w:firstLine="397"/>
        <w:rPr>
          <w:rFonts w:hint="eastAsia" w:ascii="宋体" w:hAnsi="宋体"/>
          <w:szCs w:val="21"/>
        </w:rPr>
      </w:pPr>
      <w:r>
        <w:rPr>
          <w:rFonts w:hint="eastAsia" w:ascii="宋体" w:hAnsi="宋体" w:cs="宋体"/>
          <w:kern w:val="0"/>
          <w:szCs w:val="21"/>
        </w:rPr>
        <w:t>4.基金托管人依据有关法律法规的规定和《基金合同》的约定对于基金关联投资限制进行监督。</w:t>
      </w:r>
    </w:p>
    <w:p w14:paraId="5AB9C09C">
      <w:pPr>
        <w:spacing w:after="120" w:line="440" w:lineRule="exact"/>
        <w:ind w:firstLine="420" w:firstLineChars="200"/>
        <w:rPr>
          <w:rFonts w:hint="eastAsia" w:ascii="宋体" w:hAnsi="宋体"/>
          <w:szCs w:val="21"/>
        </w:rPr>
      </w:pPr>
      <w:r>
        <w:rPr>
          <w:rFonts w:hint="eastAsia" w:ascii="宋体" w:hAnsi="宋体"/>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1B3590B">
      <w:pPr>
        <w:spacing w:after="120" w:line="440" w:lineRule="exact"/>
        <w:ind w:firstLine="420" w:firstLineChars="200"/>
        <w:rPr>
          <w:rFonts w:hint="eastAsia" w:ascii="宋体" w:hAnsi="宋体"/>
          <w:szCs w:val="21"/>
        </w:rPr>
      </w:pPr>
      <w:r>
        <w:rPr>
          <w:rFonts w:hint="eastAsia" w:ascii="宋体" w:hAnsi="宋体"/>
          <w:szCs w:val="21"/>
        </w:rPr>
        <w:t>如法律、行政法规或监管部门取消或变更上述规定，如适用于本基金，基金管理人在履行适当程序后，本基金可不受上述规定的限制或以变更后的规定为准。</w:t>
      </w:r>
    </w:p>
    <w:bookmarkEnd w:id="13"/>
    <w:p w14:paraId="31181D1D">
      <w:pPr>
        <w:spacing w:after="120" w:line="440" w:lineRule="exact"/>
        <w:ind w:firstLine="420" w:firstLineChars="200"/>
        <w:rPr>
          <w:rFonts w:hint="eastAsia" w:ascii="宋体" w:hAnsi="宋体"/>
          <w:szCs w:val="21"/>
        </w:rPr>
      </w:pPr>
      <w:r>
        <w:rPr>
          <w:rFonts w:hint="eastAsia" w:ascii="宋体" w:hAnsi="宋体"/>
          <w:szCs w:val="21"/>
        </w:rPr>
        <w:t>如法律、法规或《基金合同》有关于基金从事关联交易的规定，基金管理人和基金托管人事先相互提供关联方清单及关联关系（以下称“关联交易名单”）。双方有责任确保向对方提供的关联交易名单的真实性、准确性、完整性，并负责及时将更新后的名单发送给对方。名单变更后双方应及时发送对方，经对方确认后，新的关联交易名单开始生效。基金托管人仅按基金管理人提供的基金关联方名单为限，进行监督。</w:t>
      </w:r>
    </w:p>
    <w:p w14:paraId="60928E82">
      <w:pPr>
        <w:spacing w:line="440" w:lineRule="exact"/>
        <w:ind w:firstLine="420" w:firstLineChars="200"/>
        <w:rPr>
          <w:rFonts w:hint="eastAsia" w:ascii="宋体" w:hAnsi="宋体"/>
          <w:szCs w:val="21"/>
        </w:rPr>
      </w:pPr>
      <w:r>
        <w:rPr>
          <w:rFonts w:hint="eastAsia" w:ascii="宋体" w:hAnsi="宋体"/>
          <w:szCs w:val="21"/>
        </w:rPr>
        <w:t>5.基金托管人</w:t>
      </w:r>
      <w:r>
        <w:rPr>
          <w:rFonts w:hint="eastAsia" w:ascii="宋体" w:hAnsi="宋体" w:cs="宋体"/>
          <w:kern w:val="0"/>
          <w:szCs w:val="21"/>
        </w:rPr>
        <w:t>依据有关法律法规的规定和《基金合同》的约定</w:t>
      </w:r>
      <w:r>
        <w:rPr>
          <w:rFonts w:hint="eastAsia" w:ascii="宋体" w:hAnsi="宋体"/>
          <w:szCs w:val="21"/>
        </w:rPr>
        <w:t>对基金管理人参与银行间债券市场进行监督。</w:t>
      </w:r>
    </w:p>
    <w:p w14:paraId="156D79CC">
      <w:pPr>
        <w:spacing w:line="440" w:lineRule="exact"/>
        <w:ind w:firstLine="420" w:firstLineChars="200"/>
        <w:rPr>
          <w:rFonts w:hint="eastAsia" w:ascii="宋体" w:hAnsi="宋体"/>
          <w:szCs w:val="21"/>
        </w:rPr>
      </w:pPr>
      <w:r>
        <w:rPr>
          <w:rFonts w:hint="eastAsia" w:ascii="宋体" w:hAnsi="宋体"/>
          <w:szCs w:val="21"/>
        </w:rPr>
        <w:t>基金托管人根据基金管理人提供的银行间债券市场交易对手名单进行监督。基金管理人可以定期对银行间债券市场交易对手名单及结算方式进行更新，新名单确定前已与本次剔除的交易对手所进行但尚未结算的交易，仍应按照原协议进行结算。如基金管理人在基金投资运作之前未向基金托管人提供银行间债券市场交易对手名单的，视为基金管理人认可全市场交易对手。</w:t>
      </w:r>
    </w:p>
    <w:p w14:paraId="5ED1DBDC">
      <w:pPr>
        <w:spacing w:line="440" w:lineRule="exact"/>
        <w:ind w:firstLine="420" w:firstLineChars="200"/>
        <w:rPr>
          <w:rFonts w:hint="eastAsia" w:ascii="宋体" w:hAnsi="宋体"/>
          <w:szCs w:val="21"/>
        </w:rPr>
      </w:pPr>
      <w:r>
        <w:rPr>
          <w:rFonts w:hint="eastAsia" w:ascii="宋体" w:hAnsi="宋体"/>
          <w:szCs w:val="21"/>
        </w:rPr>
        <w:t>6.基金托管人依据有关法律法规的规定和《基金合同》的约定，对基金银行存款业务进行监督。</w:t>
      </w:r>
    </w:p>
    <w:p w14:paraId="1D779E62">
      <w:pPr>
        <w:spacing w:line="440" w:lineRule="exact"/>
        <w:ind w:firstLine="451" w:firstLineChars="215"/>
        <w:rPr>
          <w:rFonts w:hint="eastAsia" w:ascii="宋体" w:hAnsi="宋体"/>
          <w:kern w:val="0"/>
          <w:szCs w:val="21"/>
        </w:rPr>
      </w:pPr>
      <w:r>
        <w:rPr>
          <w:rFonts w:hint="eastAsia" w:ascii="宋体" w:hAnsi="宋体"/>
          <w:szCs w:val="21"/>
        </w:rPr>
        <w:t>基金管理人应当加强对基金投资银行存款风险的评估与研究，严格测算与控制投资银行存款的风险敞口，针对不同类型存款银行建立相关投资限制制度。</w:t>
      </w:r>
      <w:r>
        <w:rPr>
          <w:rFonts w:hint="eastAsia" w:ascii="宋体" w:hAnsi="宋体"/>
          <w:kern w:val="0"/>
          <w:szCs w:val="21"/>
        </w:rPr>
        <w:t>对于基金投资的银行存款，由于存款银行发生信用风险事件而造成损失时，如果基金托管人在运作过程中遵循</w:t>
      </w:r>
      <w:r>
        <w:rPr>
          <w:rFonts w:hint="eastAsia" w:ascii="宋体" w:hAnsi="宋体" w:cs="宋体"/>
          <w:kern w:val="0"/>
          <w:szCs w:val="21"/>
        </w:rPr>
        <w:t>有关法律法规的规定、《基金合同》和本协议的约定</w:t>
      </w:r>
      <w:r>
        <w:rPr>
          <w:rFonts w:hint="eastAsia" w:ascii="宋体" w:hAnsi="宋体"/>
          <w:kern w:val="0"/>
          <w:szCs w:val="21"/>
        </w:rPr>
        <w:t>监督流程，则对于由于存款银行信用风险引起的损失，不承担赔偿责任。</w:t>
      </w:r>
    </w:p>
    <w:p w14:paraId="305757E8">
      <w:pPr>
        <w:spacing w:line="440" w:lineRule="exact"/>
        <w:ind w:firstLine="451" w:firstLineChars="215"/>
        <w:rPr>
          <w:rFonts w:hint="eastAsia" w:ascii="宋体" w:hAnsi="宋体"/>
          <w:szCs w:val="21"/>
        </w:rPr>
      </w:pPr>
      <w:r>
        <w:rPr>
          <w:rFonts w:hint="eastAsia" w:ascii="宋体" w:hAnsi="宋体"/>
          <w:szCs w:val="21"/>
        </w:rPr>
        <w:t>7.基金托管人对基金投资流通受限证券的监督</w:t>
      </w:r>
    </w:p>
    <w:p w14:paraId="627A9CDF">
      <w:pPr>
        <w:widowControl/>
        <w:spacing w:line="360" w:lineRule="auto"/>
        <w:ind w:firstLine="420" w:firstLineChars="200"/>
        <w:jc w:val="left"/>
        <w:rPr>
          <w:rFonts w:hint="eastAsia" w:ascii="宋体" w:hAnsi="宋体"/>
          <w:szCs w:val="21"/>
        </w:rPr>
      </w:pPr>
      <w:r>
        <w:rPr>
          <w:rFonts w:hint="eastAsia" w:ascii="宋体" w:hAnsi="宋体"/>
          <w:szCs w:val="21"/>
        </w:rPr>
        <w:t>如下所指“流通受限证券”与本协议以及基金合同所指“流动性受限资产”定义存在不同。就流动性受限资产定义，请参照基金合同的“第二部分 释义”部分。</w:t>
      </w:r>
    </w:p>
    <w:p w14:paraId="329CE600">
      <w:pPr>
        <w:spacing w:line="360" w:lineRule="auto"/>
        <w:ind w:firstLine="420" w:firstLineChars="200"/>
        <w:rPr>
          <w:rFonts w:hint="eastAsia" w:ascii="宋体" w:hAnsi="宋体"/>
          <w:szCs w:val="21"/>
        </w:rPr>
      </w:pPr>
      <w:r>
        <w:rPr>
          <w:rFonts w:hint="eastAsia" w:ascii="宋体" w:hAnsi="宋体"/>
          <w:szCs w:val="21"/>
        </w:rPr>
        <w:t>基金管理人投资流通受限证券，应事先根据中国证监会相关规定，明确基金投资流通受限证券的比例，制订严格的投资决策流程和风险控制制度，防范流动性风险、法律风险和操作风险等各种风险。基金托管人对基金管理人是否遵守相关制度、流动性风险处置预案以及相关投资额度和比例等的情况进行监督。</w:t>
      </w:r>
    </w:p>
    <w:p w14:paraId="175EF9F2">
      <w:pPr>
        <w:spacing w:line="360" w:lineRule="auto"/>
        <w:ind w:firstLine="420" w:firstLineChars="200"/>
        <w:rPr>
          <w:rFonts w:hint="eastAsia" w:ascii="宋体" w:hAnsi="宋体"/>
          <w:szCs w:val="21"/>
        </w:rPr>
      </w:pPr>
      <w:r>
        <w:rPr>
          <w:rFonts w:hint="eastAsia" w:ascii="宋体" w:hAnsi="宋体"/>
          <w:szCs w:val="21"/>
        </w:rPr>
        <w:t>（1）本基金投资的流通受限证券包括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14:paraId="59F945D3">
      <w:pPr>
        <w:spacing w:line="360" w:lineRule="auto"/>
        <w:ind w:firstLine="420" w:firstLineChars="200"/>
        <w:rPr>
          <w:rFonts w:hint="eastAsia" w:ascii="宋体" w:hAnsi="宋体"/>
          <w:szCs w:val="21"/>
        </w:rPr>
      </w:pPr>
      <w:r>
        <w:rPr>
          <w:rFonts w:hint="eastAsia" w:ascii="宋体" w:hAnsi="宋体"/>
          <w:szCs w:val="21"/>
        </w:rPr>
        <w:t>（2）基金管理人投资非公开发行股票，应制订流动性风险处置预案并经其董事会批准。风险处置预案应包括但不限于因投资流通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14:paraId="75188DBC">
      <w:pPr>
        <w:spacing w:line="360" w:lineRule="auto"/>
        <w:ind w:firstLine="420" w:firstLineChars="200"/>
        <w:rPr>
          <w:rFonts w:hint="eastAsia" w:ascii="宋体" w:hAnsi="宋体"/>
          <w:szCs w:val="21"/>
        </w:rPr>
      </w:pPr>
      <w:r>
        <w:rPr>
          <w:rFonts w:hint="eastAsia" w:ascii="宋体" w:hAnsi="宋体"/>
          <w:szCs w:val="21"/>
        </w:rPr>
        <w:t>基金管理人对本基金投资流通受限证券的流动性风险负责，确保对相关风险采取积极有效的措施，在合理的时间内有效解决基金运作的流动性问题。对本基金因投资流通受限证券导致的流动性风险，基金托管人不承担</w:t>
      </w:r>
      <w:r>
        <w:rPr>
          <w:rFonts w:hint="eastAsia" w:ascii="宋体" w:hAnsi="宋体"/>
          <w:szCs w:val="21"/>
          <w:lang w:eastAsia="zh-Hans"/>
        </w:rPr>
        <w:t>相应</w:t>
      </w:r>
      <w:r>
        <w:rPr>
          <w:rFonts w:hint="eastAsia" w:ascii="宋体" w:hAnsi="宋体"/>
          <w:szCs w:val="21"/>
        </w:rPr>
        <w:t>责任。如因基金管理人原因导致本基金出现损失的，基金托管人不承担</w:t>
      </w:r>
      <w:r>
        <w:rPr>
          <w:rFonts w:hint="eastAsia" w:ascii="宋体" w:hAnsi="宋体"/>
          <w:szCs w:val="21"/>
          <w:lang w:eastAsia="zh-Hans"/>
        </w:rPr>
        <w:t>相应</w:t>
      </w:r>
      <w:r>
        <w:rPr>
          <w:rFonts w:hint="eastAsia" w:ascii="宋体" w:hAnsi="宋体"/>
          <w:szCs w:val="21"/>
        </w:rPr>
        <w:t>责任。</w:t>
      </w:r>
    </w:p>
    <w:p w14:paraId="7E6C7B04">
      <w:pPr>
        <w:spacing w:line="360" w:lineRule="auto"/>
        <w:ind w:firstLine="420" w:firstLineChars="200"/>
        <w:rPr>
          <w:rFonts w:hint="eastAsia" w:ascii="宋体" w:hAnsi="宋体"/>
          <w:szCs w:val="21"/>
        </w:rPr>
      </w:pPr>
      <w:r>
        <w:rPr>
          <w:rFonts w:hint="eastAsia" w:ascii="宋体" w:hAnsi="宋体"/>
          <w:szCs w:val="21"/>
        </w:rPr>
        <w:t>（3）基金管理人应在基金投资非公开发行股票后按照相关法律法规规定，在中国证监会规定媒介披露所投资非公开发行股票的名称、数量、总成本、账面价值，以及总成本和账面价值占基金资产净值的比例、锁定期等信息。</w:t>
      </w:r>
    </w:p>
    <w:p w14:paraId="52661B84">
      <w:pPr>
        <w:spacing w:line="360" w:lineRule="auto"/>
        <w:ind w:firstLine="420" w:firstLineChars="200"/>
        <w:rPr>
          <w:rFonts w:hint="eastAsia" w:ascii="宋体" w:hAnsi="宋体"/>
          <w:szCs w:val="21"/>
        </w:rPr>
      </w:pPr>
      <w:r>
        <w:rPr>
          <w:rFonts w:hint="eastAsia" w:ascii="宋体" w:hAnsi="宋体"/>
          <w:szCs w:val="21"/>
        </w:rPr>
        <w:t>有关基金投资的流通受限证券应保证登记存管在相关基金名下，基金管理人负责相关工作的落实和协调，并保证基金托管人能够正常查询。如因流通受限证券的登记存管不能保证基金托管人正常履行资产保管责任，有关此项基金资产存管的责任由基金管理人承担。</w:t>
      </w:r>
    </w:p>
    <w:p w14:paraId="10E65485">
      <w:pPr>
        <w:spacing w:line="360" w:lineRule="auto"/>
        <w:ind w:firstLine="420" w:firstLineChars="200"/>
        <w:rPr>
          <w:rFonts w:hint="eastAsia" w:ascii="宋体" w:hAnsi="宋体"/>
          <w:szCs w:val="21"/>
        </w:rPr>
      </w:pPr>
      <w:r>
        <w:rPr>
          <w:rFonts w:hint="eastAsia" w:ascii="宋体" w:hAnsi="宋体"/>
          <w:szCs w:val="21"/>
        </w:rPr>
        <w:t>如基金管理人未遵守相关制度、流动性风险处置方案以及投资额度和比例限制要求，导致基金出现风险使基金托管人承担连带赔偿责任的，若基金托管人此前已切实履行监督职责的，基金管理人应赔偿基金托管人由此遭受的损失。</w:t>
      </w:r>
    </w:p>
    <w:p w14:paraId="6E4D0C4F">
      <w:pPr>
        <w:spacing w:line="360" w:lineRule="auto"/>
        <w:ind w:firstLine="420" w:firstLineChars="200"/>
        <w:rPr>
          <w:rFonts w:hint="eastAsia" w:ascii="宋体" w:hAnsi="宋体"/>
          <w:szCs w:val="21"/>
        </w:rPr>
      </w:pPr>
      <w:r>
        <w:rPr>
          <w:rFonts w:hint="eastAsia" w:ascii="宋体" w:hAnsi="宋体"/>
          <w:szCs w:val="21"/>
        </w:rPr>
        <w:t>（4）本基金投资非公开发行股票，基金管理人应至少于执行投资指令之前两个工作日将有关资料书面提交基金托管人，并保证向基金托管人提供的有关资料真实、准确、完整。有关资料如有调整，基金管理人应及时提供调整后的资料。上述书面资料包括但不限于：</w:t>
      </w:r>
    </w:p>
    <w:p w14:paraId="6C974CB4">
      <w:pPr>
        <w:spacing w:line="360" w:lineRule="auto"/>
        <w:ind w:firstLine="420" w:firstLineChars="200"/>
        <w:rPr>
          <w:rFonts w:hint="eastAsia" w:ascii="宋体" w:hAnsi="宋体"/>
          <w:szCs w:val="21"/>
        </w:rPr>
      </w:pPr>
      <w:r>
        <w:rPr>
          <w:rFonts w:hint="eastAsia" w:ascii="宋体" w:hAnsi="宋体"/>
          <w:szCs w:val="21"/>
        </w:rPr>
        <w:t>1）中国证监会批准发行非公开发行股票的批准文件。</w:t>
      </w:r>
    </w:p>
    <w:p w14:paraId="0B676A6C">
      <w:pPr>
        <w:spacing w:line="360" w:lineRule="auto"/>
        <w:ind w:firstLine="420" w:firstLineChars="200"/>
        <w:rPr>
          <w:rFonts w:hint="eastAsia" w:ascii="宋体" w:hAnsi="宋体"/>
          <w:szCs w:val="21"/>
        </w:rPr>
      </w:pPr>
      <w:r>
        <w:rPr>
          <w:rFonts w:hint="eastAsia" w:ascii="宋体" w:hAnsi="宋体"/>
          <w:szCs w:val="21"/>
        </w:rPr>
        <w:t>2）有关非公开发行股票的发行数量、发行价格、锁定期等发行资料。</w:t>
      </w:r>
    </w:p>
    <w:p w14:paraId="03FD42E5">
      <w:pPr>
        <w:spacing w:line="360" w:lineRule="auto"/>
        <w:ind w:firstLine="420" w:firstLineChars="200"/>
        <w:rPr>
          <w:rFonts w:hint="eastAsia" w:ascii="宋体" w:hAnsi="宋体"/>
          <w:szCs w:val="21"/>
        </w:rPr>
      </w:pPr>
      <w:r>
        <w:rPr>
          <w:rFonts w:hint="eastAsia" w:ascii="宋体" w:hAnsi="宋体"/>
          <w:szCs w:val="21"/>
        </w:rPr>
        <w:t>3）基金拟认购的数量、价格、总成本、账面价值。</w:t>
      </w:r>
    </w:p>
    <w:p w14:paraId="521C793A">
      <w:pPr>
        <w:spacing w:line="360" w:lineRule="auto"/>
        <w:ind w:firstLine="420" w:firstLineChars="200"/>
        <w:rPr>
          <w:rFonts w:hint="eastAsia" w:ascii="宋体" w:hAnsi="宋体"/>
          <w:szCs w:val="21"/>
        </w:rPr>
      </w:pPr>
      <w:r>
        <w:rPr>
          <w:rFonts w:hint="eastAsia" w:ascii="宋体" w:hAnsi="宋体"/>
          <w:szCs w:val="21"/>
        </w:rPr>
        <w:t>4）该基金投资流通受限证券的投资额度和投资比例控制。</w:t>
      </w:r>
    </w:p>
    <w:p w14:paraId="43CECAC8">
      <w:pPr>
        <w:spacing w:after="120" w:line="360" w:lineRule="auto"/>
        <w:ind w:firstLine="420" w:firstLineChars="200"/>
        <w:rPr>
          <w:rFonts w:hint="eastAsia" w:ascii="宋体" w:hAnsi="宋体"/>
          <w:szCs w:val="21"/>
        </w:rPr>
      </w:pPr>
      <w:r>
        <w:rPr>
          <w:rFonts w:hint="eastAsia" w:ascii="宋体" w:hAnsi="宋体"/>
          <w:szCs w:val="21"/>
        </w:rPr>
        <w:t>（5）</w:t>
      </w:r>
      <w:r>
        <w:rPr>
          <w:rFonts w:hint="eastAsia" w:ascii="宋体" w:hAnsi="宋体" w:cs="宋体"/>
          <w:color w:val="000000"/>
          <w:kern w:val="0"/>
          <w:szCs w:val="21"/>
        </w:rPr>
        <w:t>基金托管人应按照《关于基金投资非公开发行股票等流通受限证券有关问题的通知》规定，对基金管理人是否遵守法律法规进行监督，并审核基金管理人提供的有关书面信息。</w:t>
      </w:r>
      <w:r>
        <w:rPr>
          <w:rFonts w:hint="eastAsia" w:ascii="宋体" w:hAnsi="宋体"/>
          <w:szCs w:val="21"/>
        </w:rPr>
        <w:t>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资料的权利。否则，基金托管人有权拒绝执行有关指令。因拒绝执行该指令造成基金财产损失的，基金托管人不承担</w:t>
      </w:r>
      <w:r>
        <w:rPr>
          <w:rFonts w:hint="eastAsia" w:ascii="宋体" w:hAnsi="宋体"/>
          <w:szCs w:val="21"/>
          <w:lang w:eastAsia="zh-Hans"/>
        </w:rPr>
        <w:t>相应</w:t>
      </w:r>
      <w:r>
        <w:rPr>
          <w:rFonts w:hint="eastAsia" w:ascii="宋体" w:hAnsi="宋体"/>
          <w:szCs w:val="21"/>
        </w:rPr>
        <w:t>责任，并有权报告中国证监会。</w:t>
      </w:r>
    </w:p>
    <w:p w14:paraId="28CBF93F">
      <w:pPr>
        <w:spacing w:after="120" w:line="360" w:lineRule="auto"/>
        <w:ind w:firstLine="420" w:firstLineChars="200"/>
        <w:rPr>
          <w:rFonts w:hint="eastAsia" w:ascii="宋体" w:hAnsi="宋体"/>
          <w:szCs w:val="21"/>
        </w:rPr>
      </w:pPr>
      <w:r>
        <w:rPr>
          <w:rFonts w:hint="eastAsia" w:ascii="宋体" w:hAnsi="宋体"/>
          <w:szCs w:val="21"/>
        </w:rPr>
        <w:t>如基金管理人和基金托管人无法就上述问题达成一致，应及时上报中国证监会请求解决。基金托管人履行了本协议规定的监督职责后，不承担</w:t>
      </w:r>
      <w:r>
        <w:rPr>
          <w:rFonts w:hint="eastAsia" w:ascii="宋体" w:hAnsi="宋体"/>
          <w:szCs w:val="21"/>
          <w:lang w:eastAsia="zh-Hans"/>
        </w:rPr>
        <w:t>相应</w:t>
      </w:r>
      <w:r>
        <w:rPr>
          <w:rFonts w:hint="eastAsia" w:ascii="宋体" w:hAnsi="宋体"/>
          <w:szCs w:val="21"/>
        </w:rPr>
        <w:t>责任。</w:t>
      </w:r>
    </w:p>
    <w:p w14:paraId="30238B36">
      <w:pPr>
        <w:widowControl/>
        <w:spacing w:line="360" w:lineRule="auto"/>
        <w:ind w:firstLine="420" w:firstLineChars="200"/>
        <w:jc w:val="left"/>
        <w:rPr>
          <w:rFonts w:hint="eastAsia" w:ascii="宋体" w:hAnsi="宋体"/>
          <w:szCs w:val="21"/>
        </w:rPr>
      </w:pPr>
      <w:r>
        <w:rPr>
          <w:rFonts w:hint="eastAsia" w:ascii="宋体" w:hAnsi="宋体"/>
          <w:szCs w:val="21"/>
        </w:rPr>
        <w:t>(6)相关法律法规对基金投资流通受限证券有新规定的，从其规定。</w:t>
      </w:r>
    </w:p>
    <w:p w14:paraId="474100E5">
      <w:pPr>
        <w:spacing w:after="120" w:line="360" w:lineRule="auto"/>
        <w:ind w:firstLine="420" w:firstLineChars="200"/>
        <w:rPr>
          <w:rFonts w:hint="eastAsia" w:ascii="宋体" w:hAnsi="宋体"/>
          <w:szCs w:val="21"/>
        </w:rPr>
      </w:pPr>
      <w:r>
        <w:rPr>
          <w:rFonts w:hint="eastAsia" w:ascii="宋体" w:hAnsi="宋体"/>
          <w:szCs w:val="21"/>
        </w:rPr>
        <w:t>8. 基金托管人对基金投资中期票据的监督责任仅限于依据本协议相关规定对投资比例和投资限制进行事后监督；除此外，无其它监督责任。如发现异常情况，应及时以书面形式通知基金管理人。基金管理人应积极配合和协助基金托管人进行监督和核查。基金因投资中期票据导致的信用风险、流动性风险，基金托管人不承担</w:t>
      </w:r>
      <w:r>
        <w:rPr>
          <w:rFonts w:hint="eastAsia" w:ascii="宋体" w:hAnsi="宋体"/>
          <w:szCs w:val="21"/>
          <w:lang w:eastAsia="zh-Hans"/>
        </w:rPr>
        <w:t>相应</w:t>
      </w:r>
      <w:r>
        <w:rPr>
          <w:rFonts w:hint="eastAsia" w:ascii="宋体" w:hAnsi="宋体"/>
          <w:szCs w:val="21"/>
        </w:rPr>
        <w:t>责任。如因基金管理人原因导致基金出现损失的，基金托管人不承担</w:t>
      </w:r>
      <w:r>
        <w:rPr>
          <w:rFonts w:hint="eastAsia" w:ascii="宋体" w:hAnsi="宋体"/>
          <w:szCs w:val="21"/>
          <w:lang w:eastAsia="zh-Hans"/>
        </w:rPr>
        <w:t>相应</w:t>
      </w:r>
      <w:r>
        <w:rPr>
          <w:rFonts w:hint="eastAsia" w:ascii="宋体" w:hAnsi="宋体"/>
          <w:szCs w:val="21"/>
        </w:rPr>
        <w:t>责任。</w:t>
      </w:r>
    </w:p>
    <w:p w14:paraId="27EE2ED9">
      <w:pPr>
        <w:spacing w:after="120" w:line="360" w:lineRule="auto"/>
        <w:ind w:firstLine="420" w:firstLineChars="200"/>
        <w:rPr>
          <w:rFonts w:hint="eastAsia" w:ascii="宋体" w:hAnsi="宋体"/>
          <w:szCs w:val="21"/>
        </w:rPr>
      </w:pPr>
      <w:r>
        <w:rPr>
          <w:rFonts w:hint="eastAsia" w:ascii="宋体" w:hAnsi="宋体"/>
          <w:szCs w:val="21"/>
        </w:rPr>
        <w:t>（二）基金托管人应当依照法律法规和基金合同约定，加强对侧袋机制启用、特定资产处置和信息披露等方面的复核和监督。</w:t>
      </w:r>
    </w:p>
    <w:p w14:paraId="0AB96E28">
      <w:pPr>
        <w:spacing w:after="120" w:line="360" w:lineRule="auto"/>
        <w:ind w:firstLine="420" w:firstLineChars="200"/>
        <w:rPr>
          <w:rFonts w:hint="eastAsia" w:ascii="宋体" w:hAnsi="宋体"/>
          <w:szCs w:val="21"/>
        </w:rPr>
      </w:pPr>
      <w:r>
        <w:rPr>
          <w:rFonts w:hint="eastAsia" w:ascii="宋体" w:hAnsi="宋体"/>
          <w:szCs w:val="21"/>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1286FF29">
      <w:pPr>
        <w:pStyle w:val="3"/>
        <w:keepNext w:val="0"/>
        <w:keepLines w:val="0"/>
        <w:autoSpaceDE w:val="0"/>
        <w:autoSpaceDN w:val="0"/>
        <w:adjustRightInd w:val="0"/>
        <w:spacing w:before="0" w:after="0" w:line="360" w:lineRule="auto"/>
        <w:ind w:firstLine="315" w:firstLineChars="150"/>
        <w:textAlignment w:val="baseline"/>
        <w:rPr>
          <w:rFonts w:hint="eastAsia" w:ascii="宋体" w:hAnsi="宋体" w:eastAsia="宋体"/>
          <w:b w:val="0"/>
          <w:sz w:val="21"/>
          <w:szCs w:val="21"/>
        </w:rPr>
      </w:pPr>
      <w:bookmarkStart w:id="14" w:name="_Toc382819074"/>
      <w:r>
        <w:rPr>
          <w:rFonts w:hint="eastAsia" w:ascii="宋体" w:hAnsi="宋体" w:eastAsia="宋体"/>
          <w:b w:val="0"/>
          <w:sz w:val="21"/>
          <w:szCs w:val="21"/>
        </w:rPr>
        <w:t>（三）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bookmarkEnd w:id="14"/>
    </w:p>
    <w:p w14:paraId="7F1DE5E3">
      <w:pPr>
        <w:pStyle w:val="3"/>
        <w:keepNext w:val="0"/>
        <w:keepLines w:val="0"/>
        <w:autoSpaceDE w:val="0"/>
        <w:autoSpaceDN w:val="0"/>
        <w:adjustRightInd w:val="0"/>
        <w:spacing w:before="0" w:after="0" w:line="360" w:lineRule="auto"/>
        <w:ind w:firstLine="315" w:firstLineChars="150"/>
        <w:textAlignment w:val="baseline"/>
        <w:rPr>
          <w:rFonts w:hint="eastAsia" w:ascii="宋体" w:hAnsi="宋体" w:eastAsia="宋体"/>
          <w:b w:val="0"/>
          <w:sz w:val="21"/>
          <w:szCs w:val="21"/>
        </w:rPr>
      </w:pPr>
      <w:bookmarkStart w:id="15" w:name="_Toc382819075"/>
      <w:r>
        <w:rPr>
          <w:rFonts w:hint="eastAsia" w:ascii="宋体" w:hAnsi="宋体" w:eastAsia="宋体"/>
          <w:b w:val="0"/>
          <w:sz w:val="21"/>
          <w:szCs w:val="21"/>
        </w:rPr>
        <w:t>（四）基金托管人发现基金管理人的投资运作及其他运作违反《基金法》、《基金合同》、基金托管协议等有关规定时，应及时以书面形式通知基金管理人限期纠正，基金管理人收到通知后应及时核对，并以书面形式向基金托管人发出回函，进行解释或举证。</w:t>
      </w:r>
      <w:bookmarkEnd w:id="15"/>
    </w:p>
    <w:p w14:paraId="567B9818">
      <w:pPr>
        <w:spacing w:line="360" w:lineRule="auto"/>
        <w:ind w:firstLine="420" w:firstLineChars="200"/>
        <w:rPr>
          <w:rFonts w:hint="eastAsia" w:ascii="宋体" w:hAnsi="宋体"/>
          <w:szCs w:val="21"/>
        </w:rPr>
      </w:pPr>
      <w:r>
        <w:rPr>
          <w:rFonts w:hint="eastAsia" w:ascii="宋体" w:hAnsi="宋体"/>
          <w:szCs w:val="21"/>
        </w:rPr>
        <w:t>在限期内，基金托管人有权随时对通知事项进行复查，督促基金管理人改正。基金管理人对基金托管人通知的违规事项未能在限期内纠正的，基金托管人应报告中国证监会。</w:t>
      </w:r>
    </w:p>
    <w:p w14:paraId="337BAA48">
      <w:pPr>
        <w:spacing w:line="440" w:lineRule="exact"/>
        <w:ind w:firstLine="420" w:firstLineChars="200"/>
        <w:rPr>
          <w:rFonts w:hint="eastAsia" w:ascii="宋体" w:hAnsi="宋体"/>
          <w:szCs w:val="21"/>
        </w:rPr>
      </w:pPr>
      <w:r>
        <w:rPr>
          <w:rFonts w:hint="eastAsia" w:ascii="宋体" w:hAnsi="宋体"/>
          <w:szCs w:val="21"/>
        </w:rPr>
        <w:t>基金管理人应积极配合和协助基金托管人依照法律法规、《基金合同》和本托管协议对基金业务的监督和核查，对基金托管人发出的书面提示，必须在规定时间内答复基金托管人并改正，或就基金托管人的合理疑义进行解释或举证，对基金托管人按照法律法规、《基金合同》和本托管协议的要求需向中国证监会报送基金监督报告的，基金管理人应积极配合提供相关数据资料和制度等。</w:t>
      </w:r>
    </w:p>
    <w:p w14:paraId="14F560B5">
      <w:pPr>
        <w:spacing w:line="440" w:lineRule="exact"/>
        <w:ind w:firstLine="420" w:firstLineChars="200"/>
        <w:rPr>
          <w:rFonts w:hint="eastAsia" w:ascii="宋体" w:hAnsi="宋体"/>
          <w:szCs w:val="21"/>
        </w:rPr>
      </w:pPr>
      <w:r>
        <w:rPr>
          <w:rFonts w:hint="eastAsia" w:ascii="宋体" w:hAnsi="宋体"/>
          <w:szCs w:val="21"/>
        </w:rPr>
        <w:t>若基金托管人发现基金管理人发出但未执行的投资指令或依据交易程序已经生效的投资指令违反法律、行政法规和其他有关规定，或者违反《基金合同》约定的，应当立即通知基金管理人，并报告中国证监会。基金管理人的上述违规失信行为给基金财产或基金份额持有人造成的损失，由基金管理人承担。</w:t>
      </w:r>
    </w:p>
    <w:p w14:paraId="0260799E">
      <w:pPr>
        <w:spacing w:line="440" w:lineRule="exact"/>
        <w:ind w:firstLine="420" w:firstLineChars="200"/>
        <w:rPr>
          <w:rFonts w:hint="eastAsia" w:ascii="宋体" w:hAnsi="宋体"/>
          <w:szCs w:val="21"/>
        </w:rPr>
      </w:pPr>
      <w:r>
        <w:rPr>
          <w:rFonts w:hint="eastAsia" w:ascii="宋体" w:hAnsi="宋体"/>
          <w:szCs w:val="21"/>
        </w:rPr>
        <w:t>对于必须于估值完成后方可获知的监控指标或依据交易程序已经成交的投资指令，基金托管人发现该投资指令违反法律法规或者违反《基金合同》约定的，应当立即通知基金管理人，并报告中国证监会。</w:t>
      </w:r>
    </w:p>
    <w:p w14:paraId="2288A094">
      <w:pPr>
        <w:spacing w:line="440" w:lineRule="exact"/>
        <w:ind w:firstLine="420" w:firstLineChars="200"/>
        <w:rPr>
          <w:rFonts w:hint="eastAsia" w:ascii="宋体" w:hAnsi="宋体"/>
          <w:szCs w:val="21"/>
        </w:rPr>
      </w:pPr>
      <w:r>
        <w:rPr>
          <w:rFonts w:hint="eastAsia" w:ascii="宋体" w:hAnsi="宋体"/>
          <w:szCs w:val="21"/>
        </w:rPr>
        <w:t>基金托管人发现基金管理人有重大违规行为，应立即报告中国证监会，同时通知基金管理人限期纠正。</w:t>
      </w:r>
    </w:p>
    <w:p w14:paraId="7FFFE13C">
      <w:pPr>
        <w:spacing w:line="440" w:lineRule="exact"/>
        <w:ind w:firstLine="420" w:firstLineChars="200"/>
        <w:rPr>
          <w:rFonts w:hint="eastAsia" w:ascii="宋体" w:hAnsi="宋体"/>
          <w:szCs w:val="21"/>
        </w:rPr>
      </w:pPr>
      <w:r>
        <w:rPr>
          <w:rFonts w:hint="eastAsia" w:ascii="宋体" w:hAnsi="宋体"/>
          <w:szCs w:val="21"/>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14:paraId="72CE0F3C">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16" w:name="_Toc382819076"/>
      <w:r>
        <w:rPr>
          <w:rFonts w:hint="eastAsia" w:ascii="宋体" w:hAnsi="宋体" w:eastAsia="宋体" w:cs="Arial"/>
          <w:sz w:val="21"/>
          <w:szCs w:val="21"/>
        </w:rPr>
        <w:t>基金管理人对基金托管人的业务核查</w:t>
      </w:r>
      <w:bookmarkEnd w:id="16"/>
    </w:p>
    <w:p w14:paraId="56A7ADE2">
      <w:pPr>
        <w:spacing w:line="360" w:lineRule="auto"/>
        <w:ind w:firstLine="420" w:firstLineChars="200"/>
        <w:rPr>
          <w:rFonts w:hint="eastAsia" w:ascii="宋体" w:hAnsi="宋体"/>
          <w:szCs w:val="21"/>
        </w:rPr>
      </w:pPr>
      <w:r>
        <w:rPr>
          <w:rFonts w:hint="eastAsia" w:ascii="宋体" w:hAnsi="宋体"/>
          <w:szCs w:val="21"/>
        </w:rPr>
        <w:t>基金管理人对基金托管人履行托管职责情况进行核查，核查事项包括但不限于基金托管人是否安全保管基金财产、是否分别开设基金财产的资金账户、证券账户、期货结算账户及投资所需其他账户、是否复核基金管理人计算的基金资产净值和各类基金份额净值、是否根据基金管理人指令办理清算交收、进行相关信息披露和监督基金投资运作等行为。</w:t>
      </w:r>
    </w:p>
    <w:p w14:paraId="4D9FF482">
      <w:pPr>
        <w:spacing w:line="360" w:lineRule="auto"/>
        <w:ind w:firstLine="420" w:firstLineChars="200"/>
        <w:rPr>
          <w:rFonts w:hint="eastAsia" w:ascii="宋体" w:hAnsi="宋体"/>
          <w:szCs w:val="21"/>
        </w:rPr>
      </w:pPr>
      <w:r>
        <w:rPr>
          <w:rFonts w:hint="eastAsia" w:ascii="宋体" w:hAnsi="宋体"/>
          <w:szCs w:val="21"/>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14:paraId="56B22D1C">
      <w:pPr>
        <w:spacing w:line="360" w:lineRule="auto"/>
        <w:ind w:firstLine="420" w:firstLineChars="200"/>
        <w:rPr>
          <w:rFonts w:hint="eastAsia" w:ascii="宋体" w:hAnsi="宋体"/>
          <w:szCs w:val="21"/>
        </w:rPr>
      </w:pPr>
      <w:r>
        <w:rPr>
          <w:rFonts w:hint="eastAsia" w:ascii="宋体" w:hAnsi="宋体"/>
          <w:szCs w:val="21"/>
        </w:rPr>
        <w:t>基金托管人应积极配合基金管理人的核查行为，包括但不限于：提交相关资料以供基金管理人核查托管财产的完整性和真实性，在规定时间内答复基金管理人并改正。</w:t>
      </w:r>
    </w:p>
    <w:p w14:paraId="33AE7E18">
      <w:pPr>
        <w:pStyle w:val="12"/>
        <w:rPr>
          <w:rFonts w:hint="eastAsia" w:ascii="宋体" w:hAnsi="宋体" w:eastAsia="宋体"/>
          <w:sz w:val="21"/>
          <w:szCs w:val="21"/>
        </w:rPr>
      </w:pPr>
      <w:bookmarkStart w:id="17" w:name="_Toc382818598"/>
      <w:bookmarkStart w:id="18" w:name="_Toc382819077"/>
      <w:r>
        <w:rPr>
          <w:rFonts w:hint="eastAsia" w:ascii="宋体" w:hAnsi="宋体" w:eastAsia="宋体"/>
          <w:sz w:val="21"/>
          <w:szCs w:val="21"/>
        </w:rPr>
        <w:t>基金托管人无正当理由，拒绝、阻挠基金管理人根据本协议规定行使监督权，或采取拖延、欺诈等手段妨碍基金管理人进行有效监督，情节严重或经基金管理人提出警告仍不改正的，基金管理人应报告中国证监会。</w:t>
      </w:r>
      <w:bookmarkEnd w:id="17"/>
      <w:bookmarkEnd w:id="18"/>
    </w:p>
    <w:p w14:paraId="532D9E8D">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19" w:name="_Toc382819078"/>
      <w:r>
        <w:rPr>
          <w:rFonts w:hint="eastAsia" w:ascii="宋体" w:hAnsi="宋体" w:eastAsia="宋体" w:cs="Arial"/>
          <w:sz w:val="21"/>
          <w:szCs w:val="21"/>
        </w:rPr>
        <w:t>基金财产保管</w:t>
      </w:r>
      <w:bookmarkEnd w:id="19"/>
    </w:p>
    <w:p w14:paraId="603B871C">
      <w:pPr>
        <w:pStyle w:val="3"/>
        <w:keepNext w:val="0"/>
        <w:keepLines w:val="0"/>
        <w:autoSpaceDE w:val="0"/>
        <w:autoSpaceDN w:val="0"/>
        <w:adjustRightInd w:val="0"/>
        <w:spacing w:before="0" w:after="0" w:line="360" w:lineRule="auto"/>
        <w:ind w:firstLine="315" w:firstLineChars="150"/>
        <w:textAlignment w:val="baseline"/>
        <w:rPr>
          <w:rFonts w:hint="eastAsia" w:ascii="宋体" w:hAnsi="宋体" w:eastAsia="宋体"/>
          <w:b w:val="0"/>
          <w:bCs w:val="0"/>
          <w:sz w:val="21"/>
          <w:szCs w:val="21"/>
        </w:rPr>
      </w:pPr>
      <w:bookmarkStart w:id="20" w:name="_Toc382819079"/>
      <w:r>
        <w:rPr>
          <w:rFonts w:hint="eastAsia" w:ascii="宋体" w:hAnsi="宋体" w:eastAsia="宋体"/>
          <w:b w:val="0"/>
          <w:bCs w:val="0"/>
          <w:sz w:val="21"/>
          <w:szCs w:val="21"/>
        </w:rPr>
        <w:t>（一）基金财产保管的原则</w:t>
      </w:r>
      <w:bookmarkEnd w:id="20"/>
    </w:p>
    <w:p w14:paraId="5F316E37">
      <w:pPr>
        <w:spacing w:line="360" w:lineRule="auto"/>
        <w:ind w:firstLine="420" w:firstLineChars="200"/>
        <w:rPr>
          <w:rFonts w:hint="eastAsia" w:ascii="宋体" w:hAnsi="宋体"/>
          <w:szCs w:val="21"/>
        </w:rPr>
      </w:pPr>
      <w:r>
        <w:rPr>
          <w:rFonts w:hint="eastAsia" w:ascii="宋体" w:hAnsi="宋体"/>
          <w:szCs w:val="21"/>
        </w:rPr>
        <w:t>1.基金财产应独立于基金管理人、基金托管人、证券经纪机构的固有财产。</w:t>
      </w:r>
    </w:p>
    <w:p w14:paraId="03BF4E61">
      <w:pPr>
        <w:spacing w:line="360" w:lineRule="auto"/>
        <w:ind w:firstLine="420" w:firstLineChars="200"/>
        <w:rPr>
          <w:rFonts w:hint="eastAsia" w:ascii="宋体" w:hAnsi="宋体"/>
          <w:szCs w:val="21"/>
        </w:rPr>
      </w:pPr>
      <w:r>
        <w:rPr>
          <w:rFonts w:hint="eastAsia" w:ascii="宋体" w:hAnsi="宋体"/>
          <w:szCs w:val="21"/>
        </w:rPr>
        <w:t>2.基金托管人应按本协议规定安全保管托管财产。未经基金管理人的指令，不得自行运用、处分、分配基金的任何财产（基金托管人主动扣收的汇划费除外）。基金托管人不对处于自身实际控制之外的账户及财产承担责任。</w:t>
      </w:r>
    </w:p>
    <w:p w14:paraId="70DA0F39">
      <w:pPr>
        <w:spacing w:line="360" w:lineRule="auto"/>
        <w:ind w:firstLine="420" w:firstLineChars="200"/>
        <w:rPr>
          <w:rFonts w:hint="eastAsia" w:ascii="宋体" w:hAnsi="宋体"/>
          <w:szCs w:val="21"/>
        </w:rPr>
      </w:pPr>
      <w:r>
        <w:rPr>
          <w:rFonts w:hint="eastAsia" w:ascii="宋体" w:hAnsi="宋体"/>
          <w:szCs w:val="21"/>
        </w:rPr>
        <w:t>3.基金托管人按照规定为托管的基金财产开设资金账户、证券账户、期货结算账户及投资所需其他账户。</w:t>
      </w:r>
    </w:p>
    <w:p w14:paraId="7493D06D">
      <w:pPr>
        <w:spacing w:line="360" w:lineRule="auto"/>
        <w:ind w:firstLine="420" w:firstLineChars="200"/>
        <w:rPr>
          <w:rFonts w:hint="eastAsia" w:ascii="宋体" w:hAnsi="宋体"/>
          <w:szCs w:val="21"/>
        </w:rPr>
      </w:pPr>
      <w:r>
        <w:rPr>
          <w:rFonts w:hint="eastAsia" w:ascii="宋体" w:hAnsi="宋体"/>
          <w:szCs w:val="21"/>
        </w:rPr>
        <w:t>4.基金托管人对所托管的不同基金财产分别设置账户，与基金托管人的其他业务和其他基金的托管业务实行严格的分账管理，独立核算，确保基金财产的完整与独立。</w:t>
      </w:r>
    </w:p>
    <w:p w14:paraId="470D5CCD">
      <w:pPr>
        <w:spacing w:line="360" w:lineRule="auto"/>
        <w:ind w:firstLine="420" w:firstLineChars="200"/>
        <w:rPr>
          <w:rFonts w:hint="eastAsia" w:ascii="宋体" w:hAnsi="宋体"/>
          <w:szCs w:val="21"/>
        </w:rPr>
      </w:pPr>
      <w:r>
        <w:rPr>
          <w:rFonts w:hint="eastAsia" w:ascii="宋体" w:hAnsi="宋体"/>
          <w:szCs w:val="21"/>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14:paraId="5EAF77CA">
      <w:pPr>
        <w:spacing w:line="360" w:lineRule="auto"/>
        <w:ind w:firstLine="420" w:firstLineChars="200"/>
        <w:rPr>
          <w:rFonts w:hint="eastAsia" w:ascii="宋体" w:hAnsi="宋体"/>
          <w:szCs w:val="21"/>
        </w:rPr>
      </w:pPr>
      <w:r>
        <w:rPr>
          <w:rFonts w:hint="eastAsia" w:ascii="宋体" w:hAnsi="宋体"/>
          <w:szCs w:val="21"/>
        </w:rPr>
        <w:t>6</w:t>
      </w:r>
      <w:r>
        <w:rPr>
          <w:rFonts w:ascii="宋体" w:hAnsi="宋体"/>
          <w:szCs w:val="21"/>
        </w:rPr>
        <w:t>.</w:t>
      </w:r>
      <w:r>
        <w:rPr>
          <w:rFonts w:hint="eastAsia" w:ascii="宋体" w:hAnsi="宋体"/>
          <w:szCs w:val="21"/>
        </w:rPr>
        <w:t xml:space="preserve"> 除依据法律法规和基金合同的规定外，基金托管人不得委托第三人托管基金财产。</w:t>
      </w:r>
    </w:p>
    <w:p w14:paraId="7DBC9FA9">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21" w:name="_Toc382819080"/>
      <w:r>
        <w:rPr>
          <w:rFonts w:hint="eastAsia" w:ascii="宋体" w:hAnsi="宋体" w:eastAsia="宋体"/>
          <w:b w:val="0"/>
          <w:bCs w:val="0"/>
          <w:sz w:val="21"/>
          <w:szCs w:val="21"/>
        </w:rPr>
        <w:t>（二）募集资金的验证</w:t>
      </w:r>
      <w:bookmarkEnd w:id="21"/>
    </w:p>
    <w:p w14:paraId="0DF44E3E">
      <w:pPr>
        <w:spacing w:line="360" w:lineRule="auto"/>
        <w:ind w:firstLine="420" w:firstLineChars="200"/>
        <w:rPr>
          <w:rFonts w:hint="eastAsia" w:ascii="宋体" w:hAnsi="宋体"/>
          <w:szCs w:val="21"/>
        </w:rPr>
      </w:pPr>
      <w:r>
        <w:rPr>
          <w:rFonts w:hint="eastAsia" w:ascii="宋体" w:hAnsi="宋体"/>
          <w:szCs w:val="21"/>
        </w:rPr>
        <w:t>募集期内销售机构按销售服务协议的约定，将认购资金划入基金管理人在具有托管资格的商业银行开设的“交银施罗德基金管理有限公司基金认购专户”。该账户由基金管理人开立并管理。基金募集期满或基金管理人宣布停止募集时，发起资金提供方认购金额及承诺持有期限符合《基金法》、《运作办法》等有关规定后，由基金管理人聘请符合《中华人民共和国证券法》规定的会计师事务所进行验资，出具验资报告，验资报告需对发起资金提供方及其持有份额进行专门说明，出具的验资报告应由参加验资的2名以上（含2名）中国注册会计师签字方为有效。验资完成，基金管理人应将募集的属于本基金财产的全部资金划入基金托管人为基金开立的资产托管专户中，并确保划入的资金与验资金额相一致。基金托管人收到有效认购资金当日以书面形式确认资金到账情况，并及时将资金到账凭证传真给基金管理人，双方进行账务处理。</w:t>
      </w:r>
    </w:p>
    <w:p w14:paraId="1D3B11B7">
      <w:pPr>
        <w:spacing w:line="360" w:lineRule="auto"/>
        <w:ind w:firstLine="420" w:firstLineChars="200"/>
        <w:rPr>
          <w:rFonts w:hint="eastAsia" w:ascii="宋体" w:hAnsi="宋体" w:cs="Arial"/>
          <w:szCs w:val="21"/>
        </w:rPr>
      </w:pPr>
      <w:r>
        <w:rPr>
          <w:rFonts w:hint="eastAsia" w:ascii="宋体" w:hAnsi="宋体" w:cs="Arial"/>
          <w:szCs w:val="21"/>
        </w:rPr>
        <w:t>若基金募集期限届满，未能达到《基金合同》生效的条件，由基金管理人按规定办理退款事宜，</w:t>
      </w:r>
      <w:r>
        <w:rPr>
          <w:rFonts w:ascii="宋体" w:hAnsi="宋体" w:cs="Arial"/>
          <w:szCs w:val="21"/>
        </w:rPr>
        <w:t>基金托管人应提供充分协助</w:t>
      </w:r>
      <w:r>
        <w:rPr>
          <w:rFonts w:hint="eastAsia" w:ascii="宋体" w:hAnsi="宋体" w:cs="Arial"/>
          <w:szCs w:val="21"/>
        </w:rPr>
        <w:t>。</w:t>
      </w:r>
    </w:p>
    <w:p w14:paraId="5EBAD937">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22" w:name="_Toc382819081"/>
      <w:r>
        <w:rPr>
          <w:rFonts w:hint="eastAsia" w:ascii="宋体" w:hAnsi="宋体" w:eastAsia="宋体"/>
          <w:b w:val="0"/>
          <w:bCs w:val="0"/>
          <w:sz w:val="21"/>
          <w:szCs w:val="21"/>
        </w:rPr>
        <w:t>（三）基金资产托管专户的开立和管理</w:t>
      </w:r>
      <w:bookmarkEnd w:id="22"/>
    </w:p>
    <w:p w14:paraId="4749E118">
      <w:pPr>
        <w:spacing w:line="360" w:lineRule="auto"/>
        <w:ind w:firstLine="420" w:firstLineChars="200"/>
        <w:rPr>
          <w:rFonts w:hint="eastAsia" w:ascii="宋体" w:hAnsi="宋体"/>
          <w:szCs w:val="21"/>
        </w:rPr>
      </w:pPr>
      <w:r>
        <w:rPr>
          <w:rFonts w:hint="eastAsia" w:ascii="宋体" w:hAnsi="宋体"/>
          <w:szCs w:val="21"/>
        </w:rPr>
        <w:t>基金托管人以基金的名义在其营业机构开设资产托管专户（亦称托管账户），并根据基金管理人合法合规的有效指令办理资金收付。基金管理人应根据法律法规及基金托管人的相关要求，提供开户所需的资料并提供其他必要协助。本基金的资产托管专户的预留印鉴的印章由基金托管人刻制、保管和使用。</w:t>
      </w:r>
    </w:p>
    <w:p w14:paraId="01851420">
      <w:pPr>
        <w:spacing w:line="360" w:lineRule="auto"/>
        <w:ind w:firstLine="420" w:firstLineChars="200"/>
        <w:rPr>
          <w:rFonts w:hint="eastAsia" w:ascii="宋体" w:hAnsi="宋体"/>
          <w:szCs w:val="21"/>
        </w:rPr>
      </w:pPr>
      <w:r>
        <w:rPr>
          <w:rFonts w:hint="eastAsia" w:ascii="宋体" w:hAnsi="宋体"/>
          <w:szCs w:val="21"/>
        </w:rPr>
        <w:t>本基金的一切货币收支活动，均需通过基金的资产托管专户进行。基金的资产托管专户的开立和使用，限于满足开展本基金业务的需要。除因本基金业务需要，基金托管人和基金管理人不得假借本基金的名义开立其他任何银行账户；亦不得使用以基金名义开立的银行账户进行本基金业务以外的活动。</w:t>
      </w:r>
    </w:p>
    <w:p w14:paraId="1EB3DBCA">
      <w:pPr>
        <w:spacing w:line="360" w:lineRule="auto"/>
        <w:ind w:firstLine="420" w:firstLineChars="200"/>
        <w:rPr>
          <w:rFonts w:hint="eastAsia" w:ascii="宋体" w:hAnsi="宋体"/>
          <w:szCs w:val="21"/>
        </w:rPr>
      </w:pPr>
      <w:r>
        <w:rPr>
          <w:rFonts w:hint="eastAsia" w:ascii="宋体" w:hAnsi="宋体"/>
          <w:szCs w:val="21"/>
        </w:rPr>
        <w:t>资产托管专户的管理应符合《人民币银行结算账户管理办法》、《人民币利率管理规定》、《支付结算办法》以及银行业监督管理机构的其他有关规定。</w:t>
      </w:r>
    </w:p>
    <w:p w14:paraId="1DDB84C9">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23" w:name="_Toc382819082"/>
      <w:r>
        <w:rPr>
          <w:rFonts w:hint="eastAsia" w:ascii="宋体" w:hAnsi="宋体" w:eastAsia="宋体"/>
          <w:b w:val="0"/>
          <w:bCs w:val="0"/>
          <w:sz w:val="21"/>
          <w:szCs w:val="21"/>
        </w:rPr>
        <w:t>（四）基金证券账户与证券交易资金账户的开设和管理</w:t>
      </w:r>
      <w:bookmarkEnd w:id="23"/>
    </w:p>
    <w:p w14:paraId="5814EB8F">
      <w:pPr>
        <w:tabs>
          <w:tab w:val="left" w:pos="4680"/>
        </w:tabs>
        <w:spacing w:line="360" w:lineRule="auto"/>
        <w:ind w:firstLine="420" w:firstLineChars="200"/>
        <w:rPr>
          <w:rFonts w:hint="eastAsia" w:ascii="宋体" w:hAnsi="宋体"/>
          <w:szCs w:val="21"/>
        </w:rPr>
      </w:pPr>
      <w:r>
        <w:rPr>
          <w:rFonts w:hint="eastAsia" w:ascii="宋体" w:hAnsi="宋体"/>
          <w:szCs w:val="21"/>
        </w:rPr>
        <w:t>基金托管人以基金托管人和本基金联名的方式在中国证券登记结算有限责任公司开立专门的证券账户。</w:t>
      </w:r>
    </w:p>
    <w:p w14:paraId="4177D194">
      <w:pPr>
        <w:spacing w:line="360" w:lineRule="auto"/>
        <w:ind w:firstLine="420" w:firstLineChars="200"/>
        <w:rPr>
          <w:rFonts w:hint="eastAsia" w:ascii="宋体" w:hAnsi="宋体"/>
          <w:szCs w:val="21"/>
        </w:rPr>
      </w:pPr>
      <w:r>
        <w:rPr>
          <w:rFonts w:hint="eastAsia" w:ascii="宋体" w:hAnsi="宋体"/>
          <w:szCs w:val="21"/>
        </w:rPr>
        <w:t>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14:paraId="48B58536">
      <w:pPr>
        <w:spacing w:line="360" w:lineRule="auto"/>
        <w:ind w:firstLine="420" w:firstLineChars="200"/>
        <w:rPr>
          <w:rFonts w:hint="eastAsia" w:ascii="宋体" w:hAnsi="宋体"/>
          <w:szCs w:val="21"/>
        </w:rPr>
      </w:pPr>
      <w:r>
        <w:rPr>
          <w:rFonts w:hint="eastAsia" w:ascii="宋体" w:hAnsi="宋体"/>
          <w:szCs w:val="21"/>
        </w:rPr>
        <w:t>基金证券账户的开立和原始开户材料的保管由基金托管人负责，账户资产的管理和运用由基金管理人负责。</w:t>
      </w:r>
    </w:p>
    <w:p w14:paraId="470506CF">
      <w:pPr>
        <w:spacing w:line="360" w:lineRule="auto"/>
        <w:ind w:firstLine="420" w:firstLineChars="200"/>
        <w:rPr>
          <w:rFonts w:hint="eastAsia" w:ascii="宋体" w:hAnsi="宋体"/>
          <w:szCs w:val="21"/>
        </w:rPr>
      </w:pPr>
      <w:r>
        <w:rPr>
          <w:rFonts w:hint="eastAsia" w:ascii="宋体" w:hAnsi="宋体"/>
          <w:szCs w:val="21"/>
        </w:rPr>
        <w:t>基金管理人为基金财产在证券经纪机构开立证券交易资金账户，用于基金财产证券交易结算资金的存管、记载交易结算资金的变动明细以及场内证券交易清算，并与基金托管人开立的基金托管账户建立第三方存管关系。</w:t>
      </w:r>
    </w:p>
    <w:p w14:paraId="6FEEF47C">
      <w:pPr>
        <w:keepNext w:val="0"/>
        <w:keepLines w:val="0"/>
        <w:autoSpaceDE w:val="0"/>
        <w:autoSpaceDN w:val="0"/>
        <w:adjustRightInd w:val="0"/>
        <w:spacing w:before="0" w:after="0" w:line="360" w:lineRule="auto"/>
        <w:ind w:firstLine="420" w:firstLineChars="200"/>
        <w:textAlignment w:val="baseline"/>
        <w:rPr>
          <w:rFonts w:hint="eastAsia" w:ascii="宋体" w:hAnsi="宋体"/>
          <w:b/>
          <w:bCs/>
          <w:szCs w:val="21"/>
        </w:rPr>
      </w:pPr>
      <w:bookmarkStart w:id="24" w:name="_Toc382819083"/>
      <w:r>
        <w:rPr>
          <w:rFonts w:hint="eastAsia" w:ascii="宋体" w:hAnsi="宋体"/>
          <w:szCs w:val="21"/>
        </w:rPr>
        <w:t>（五）银行间市场债券托管和资金结算专户的开立和管理及市场准入备案</w:t>
      </w:r>
      <w:bookmarkEnd w:id="24"/>
    </w:p>
    <w:p w14:paraId="48D0431E">
      <w:pPr>
        <w:spacing w:line="360" w:lineRule="auto"/>
        <w:ind w:firstLine="420" w:firstLineChars="200"/>
        <w:rPr>
          <w:rFonts w:hint="eastAsia" w:ascii="宋体" w:hAnsi="宋体"/>
          <w:szCs w:val="21"/>
        </w:rPr>
      </w:pPr>
      <w:bookmarkStart w:id="25" w:name="_Toc382819084"/>
      <w:r>
        <w:rPr>
          <w:rFonts w:hint="eastAsia" w:ascii="宋体" w:hAnsi="宋体"/>
          <w:szCs w:val="21"/>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托管人协助基金管理人完成银行间债券市场准入备案。</w:t>
      </w:r>
      <w:bookmarkEnd w:id="25"/>
    </w:p>
    <w:p w14:paraId="49B346FE">
      <w:pPr>
        <w:spacing w:line="360" w:lineRule="auto"/>
        <w:ind w:firstLine="420" w:firstLineChars="200"/>
        <w:rPr>
          <w:rFonts w:hint="eastAsia" w:ascii="宋体" w:hAnsi="宋体"/>
          <w:szCs w:val="21"/>
        </w:rPr>
      </w:pPr>
      <w:r>
        <w:rPr>
          <w:rFonts w:hint="eastAsia" w:ascii="宋体" w:hAnsi="宋体"/>
          <w:szCs w:val="21"/>
        </w:rPr>
        <w:t>（六）</w:t>
      </w:r>
      <w:r>
        <w:rPr>
          <w:rFonts w:ascii="宋体" w:hAnsi="宋体"/>
          <w:szCs w:val="21"/>
        </w:rPr>
        <w:t>期货结算账户的开立和管理</w:t>
      </w:r>
    </w:p>
    <w:p w14:paraId="252621EC">
      <w:pPr>
        <w:spacing w:line="360" w:lineRule="auto"/>
        <w:ind w:firstLine="420" w:firstLineChars="200"/>
        <w:outlineLvl w:val="1"/>
        <w:rPr>
          <w:rFonts w:hint="eastAsia" w:ascii="宋体" w:hAnsi="宋体"/>
          <w:szCs w:val="21"/>
        </w:rPr>
      </w:pPr>
      <w:r>
        <w:rPr>
          <w:rFonts w:ascii="宋体" w:hAnsi="宋体"/>
          <w:szCs w:val="21"/>
        </w:rPr>
        <w:t>基金托管人、基金管理人应当代表本基金，按照相关规定开立期货结算账户、期货资金账户，在中国金融期货交易所获取交易编码。期货结算账户名称、期货资金账户名称及交易编码对应名称应按照有关规定设立。</w:t>
      </w:r>
    </w:p>
    <w:p w14:paraId="0D123780">
      <w:pPr>
        <w:spacing w:line="360" w:lineRule="auto"/>
        <w:ind w:firstLine="420" w:firstLineChars="200"/>
        <w:outlineLvl w:val="1"/>
        <w:rPr>
          <w:rFonts w:hint="eastAsia" w:ascii="宋体" w:hAnsi="宋体"/>
          <w:szCs w:val="21"/>
        </w:rPr>
      </w:pPr>
      <w:r>
        <w:rPr>
          <w:rFonts w:hint="eastAsia" w:ascii="宋体" w:hAnsi="宋体"/>
          <w:szCs w:val="21"/>
        </w:rPr>
        <w:t>（七）其他账户的开设和管理</w:t>
      </w:r>
    </w:p>
    <w:p w14:paraId="66113CD8">
      <w:pPr>
        <w:tabs>
          <w:tab w:val="left" w:pos="4680"/>
        </w:tabs>
        <w:spacing w:line="360" w:lineRule="auto"/>
        <w:ind w:firstLine="420" w:firstLineChars="200"/>
        <w:rPr>
          <w:rFonts w:hint="eastAsia" w:ascii="宋体" w:hAnsi="宋体"/>
          <w:szCs w:val="21"/>
        </w:rPr>
      </w:pPr>
      <w:r>
        <w:rPr>
          <w:rFonts w:hint="eastAsia" w:ascii="宋体" w:hAnsi="宋体"/>
          <w:szCs w:val="21"/>
        </w:rPr>
        <w:t>1、因业务发展而需要开立的其它账户，可以根据《基金合同》或有关法律法规的规定，经基金管理人和基金托管人协商一致后，由基金托管人负责为基金开立。新账户按有关规则使用并管理。</w:t>
      </w:r>
    </w:p>
    <w:p w14:paraId="3AA0F398">
      <w:pPr>
        <w:tabs>
          <w:tab w:val="left" w:pos="4680"/>
        </w:tabs>
        <w:spacing w:line="360" w:lineRule="auto"/>
        <w:ind w:firstLine="420" w:firstLineChars="200"/>
        <w:rPr>
          <w:rFonts w:hint="eastAsia" w:ascii="宋体" w:hAnsi="宋体"/>
          <w:szCs w:val="21"/>
        </w:rPr>
      </w:pPr>
      <w:r>
        <w:rPr>
          <w:rFonts w:hint="eastAsia" w:ascii="宋体" w:hAnsi="宋体"/>
          <w:szCs w:val="21"/>
        </w:rPr>
        <w:t>2、法律、法规等有关规定对相关账户的开立和管理另有规定的，从其规定办理。</w:t>
      </w:r>
    </w:p>
    <w:p w14:paraId="371FBD4A">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26" w:name="_Toc382819085"/>
      <w:r>
        <w:rPr>
          <w:rFonts w:hint="eastAsia" w:ascii="宋体" w:hAnsi="宋体" w:eastAsia="宋体"/>
          <w:b w:val="0"/>
          <w:bCs w:val="0"/>
          <w:sz w:val="21"/>
          <w:szCs w:val="21"/>
        </w:rPr>
        <w:t>（八）基金投资银行存款账户的开立和管理</w:t>
      </w:r>
      <w:bookmarkEnd w:id="26"/>
    </w:p>
    <w:p w14:paraId="085E623B">
      <w:pPr>
        <w:tabs>
          <w:tab w:val="left" w:pos="4680"/>
        </w:tabs>
        <w:spacing w:line="360" w:lineRule="auto"/>
        <w:ind w:firstLine="420" w:firstLineChars="200"/>
        <w:rPr>
          <w:rFonts w:hint="eastAsia" w:ascii="宋体" w:hAnsi="宋体"/>
          <w:szCs w:val="21"/>
        </w:rPr>
      </w:pPr>
      <w:r>
        <w:rPr>
          <w:rFonts w:hint="eastAsia" w:ascii="宋体" w:hAnsi="宋体"/>
          <w:szCs w:val="21"/>
        </w:rPr>
        <w:t>基金投资银行定期存款，基金管理人与基金托管人应比照相关规定，就本基金投资银行存款业务签订书面协议。</w:t>
      </w:r>
    </w:p>
    <w:p w14:paraId="56B8A121">
      <w:pPr>
        <w:tabs>
          <w:tab w:val="left" w:pos="4680"/>
        </w:tabs>
        <w:spacing w:line="360" w:lineRule="auto"/>
        <w:ind w:firstLine="420" w:firstLineChars="200"/>
        <w:rPr>
          <w:rFonts w:hint="eastAsia" w:ascii="宋体" w:hAnsi="宋体"/>
          <w:szCs w:val="21"/>
        </w:rPr>
      </w:pPr>
      <w:r>
        <w:rPr>
          <w:rFonts w:hint="eastAsia" w:ascii="宋体" w:hAnsi="宋体"/>
          <w:szCs w:val="21"/>
        </w:rPr>
        <w:t>存款账户必须以基金名义开立，账户名称为基金名称，存款账户开户文件上加盖预留印鉴及基金管理人公章。</w:t>
      </w:r>
    </w:p>
    <w:p w14:paraId="606A899E">
      <w:pPr>
        <w:tabs>
          <w:tab w:val="left" w:pos="4680"/>
        </w:tabs>
        <w:spacing w:line="360" w:lineRule="auto"/>
        <w:ind w:firstLine="420" w:firstLineChars="200"/>
        <w:rPr>
          <w:rFonts w:hint="eastAsia" w:ascii="宋体" w:hAnsi="宋体"/>
          <w:szCs w:val="21"/>
        </w:rPr>
      </w:pPr>
      <w:r>
        <w:rPr>
          <w:rFonts w:hint="eastAsia" w:ascii="宋体" w:hAnsi="宋体"/>
          <w:szCs w:val="21"/>
        </w:rPr>
        <w:t>本基金投资银行存款时，基金管理人应当与存款银行签订具体存款协议，明确存款的类型、期限、利率、金额、账号、对账方式、支取方式、账户管理等细则。</w:t>
      </w:r>
    </w:p>
    <w:p w14:paraId="1CB2DB26">
      <w:pPr>
        <w:tabs>
          <w:tab w:val="left" w:pos="4680"/>
        </w:tabs>
        <w:spacing w:line="360" w:lineRule="auto"/>
        <w:ind w:firstLine="420" w:firstLineChars="200"/>
        <w:rPr>
          <w:rFonts w:hint="eastAsia" w:ascii="宋体" w:hAnsi="宋体"/>
          <w:szCs w:val="21"/>
        </w:rPr>
      </w:pPr>
      <w:r>
        <w:rPr>
          <w:rFonts w:hint="eastAsia" w:ascii="宋体" w:hAnsi="宋体"/>
          <w:szCs w:val="21"/>
        </w:rPr>
        <w:t>为防范特殊情况下的流动性风险，定期存款协议中应当约定提前支取条款。</w:t>
      </w:r>
    </w:p>
    <w:p w14:paraId="738C9437">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27" w:name="_Toc382819086"/>
      <w:r>
        <w:rPr>
          <w:rFonts w:hint="eastAsia" w:ascii="宋体" w:hAnsi="宋体" w:eastAsia="宋体"/>
          <w:b w:val="0"/>
          <w:bCs w:val="0"/>
          <w:sz w:val="21"/>
          <w:szCs w:val="21"/>
        </w:rPr>
        <w:t>基金所投资定期存款存续期间，基金管理人、基金托管人应当与存款银行建立定期对账机制，确保基金银行存款业务账目及核对的真实、准确。</w:t>
      </w:r>
      <w:bookmarkEnd w:id="27"/>
    </w:p>
    <w:p w14:paraId="3CAD1F68">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28" w:name="_Toc382819087"/>
      <w:r>
        <w:rPr>
          <w:rFonts w:hint="eastAsia" w:ascii="宋体" w:hAnsi="宋体" w:eastAsia="宋体"/>
          <w:b w:val="0"/>
          <w:bCs w:val="0"/>
          <w:sz w:val="21"/>
          <w:szCs w:val="21"/>
        </w:rPr>
        <w:t>（九）基金财产投资的有关实物证券、银行定期存款存单等有价凭证的保管</w:t>
      </w:r>
      <w:bookmarkEnd w:id="28"/>
    </w:p>
    <w:p w14:paraId="796B6B8E">
      <w:pPr>
        <w:spacing w:line="360" w:lineRule="auto"/>
        <w:ind w:firstLine="420" w:firstLineChars="200"/>
        <w:rPr>
          <w:rFonts w:hint="eastAsia" w:ascii="宋体" w:hAnsi="宋体"/>
          <w:szCs w:val="21"/>
        </w:rPr>
      </w:pPr>
      <w:r>
        <w:rPr>
          <w:rFonts w:hint="eastAsia" w:ascii="宋体" w:hAnsi="宋体"/>
          <w:szCs w:val="21"/>
        </w:rPr>
        <w:t>基金财产投资的有关实物证券由基金托管人存放于基金托管人的保管库；其中实物证券也可存入中央国债登记结算有限责任公司、中国证券登记结算有限责任公司、银行间市场清算所股份有限公司或票据营业中心的代保管库。实物证券的购买和转让，由基金托管人根据基金管理人的指令办理。属于基金托管人实际有效控制下的实物证券等有价凭证在基金托管人保管期间的损坏、灭失，由此产生的责任应由基金托管人承担。基金托管人对基金托管人以外机构实际有效控制或保管的实物证券、银行定期存款存单对应的财产不承担保管责任。</w:t>
      </w:r>
    </w:p>
    <w:p w14:paraId="0532F0A3">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b w:val="0"/>
          <w:bCs w:val="0"/>
          <w:szCs w:val="21"/>
        </w:rPr>
      </w:pPr>
      <w:r>
        <w:rPr>
          <w:rFonts w:hint="eastAsia" w:ascii="宋体" w:hAnsi="宋体" w:eastAsia="宋体"/>
          <w:b w:val="0"/>
          <w:bCs w:val="0"/>
          <w:sz w:val="21"/>
          <w:szCs w:val="21"/>
        </w:rPr>
        <w:t>（十）与基金财产有关的重大合同的保管</w:t>
      </w:r>
    </w:p>
    <w:p w14:paraId="7EE141FD">
      <w:pPr>
        <w:spacing w:line="360" w:lineRule="auto"/>
        <w:ind w:firstLine="420" w:firstLineChars="200"/>
        <w:rPr>
          <w:rFonts w:hint="eastAsia" w:ascii="宋体" w:hAnsi="宋体"/>
          <w:szCs w:val="21"/>
        </w:rPr>
      </w:pPr>
      <w:r>
        <w:rPr>
          <w:rFonts w:hint="eastAsia" w:ascii="宋体" w:hAnsi="宋体"/>
          <w:szCs w:val="21"/>
        </w:rPr>
        <w:t>由基金管理人代表基金签署的与基金有关的重大合同的原件分别应由基金托管人、基金管理人保管。除本协议另有规定外，基金管理人在代表基金签署与基金有关的重大合同时应保证基金一方持有两份以上的正本，以便基金管理人和基金托管人至少各持有一份正本的原件。基金管理人在合同签署后</w:t>
      </w:r>
      <w:r>
        <w:rPr>
          <w:rFonts w:ascii="宋体" w:hAnsi="宋体"/>
          <w:szCs w:val="21"/>
        </w:rPr>
        <w:t>30</w:t>
      </w:r>
      <w:r>
        <w:rPr>
          <w:rFonts w:hint="eastAsia" w:ascii="宋体" w:hAnsi="宋体"/>
          <w:szCs w:val="21"/>
        </w:rPr>
        <w:t>个工作日内通过专人送达、挂号邮寄等安全方式将合同原件送达基金托管人处。合同原件应存放于基金管理人和基金托管人各自文件保管部门，保管期限</w:t>
      </w:r>
      <w:r>
        <w:rPr>
          <w:rFonts w:hint="eastAsia" w:ascii="宋体" w:hAnsi="宋体"/>
          <w:bCs/>
          <w:szCs w:val="21"/>
        </w:rPr>
        <w:t>不低于法律法规规定的最低期限</w:t>
      </w:r>
      <w:r>
        <w:rPr>
          <w:rFonts w:hint="eastAsia" w:ascii="宋体" w:hAnsi="宋体"/>
          <w:szCs w:val="21"/>
        </w:rPr>
        <w:t>。</w:t>
      </w:r>
    </w:p>
    <w:p w14:paraId="3D2AA5E2">
      <w:pPr>
        <w:spacing w:line="360" w:lineRule="auto"/>
        <w:ind w:firstLine="420" w:firstLineChars="200"/>
        <w:rPr>
          <w:rFonts w:hint="eastAsia" w:ascii="宋体" w:hAnsi="宋体"/>
          <w:szCs w:val="21"/>
        </w:rPr>
      </w:pPr>
      <w:r>
        <w:rPr>
          <w:rFonts w:hint="eastAsia" w:ascii="宋体" w:hAnsi="宋体"/>
          <w:szCs w:val="21"/>
        </w:rPr>
        <w:t>对于无法取得二份以上的正本的，基金管理人应向基金托管人提供与合同原件核对一致的并加盖基金管理人公章的合同传真件或复印件，未经双方协商一致，合同原件不得转移。</w:t>
      </w:r>
    </w:p>
    <w:p w14:paraId="5E52017B">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29" w:name="_Toc382819088"/>
      <w:r>
        <w:rPr>
          <w:rFonts w:hint="eastAsia" w:ascii="宋体" w:hAnsi="宋体" w:eastAsia="宋体" w:cs="Arial"/>
          <w:sz w:val="21"/>
          <w:szCs w:val="21"/>
        </w:rPr>
        <w:t>指令的发送、确认和执行</w:t>
      </w:r>
      <w:bookmarkEnd w:id="29"/>
    </w:p>
    <w:p w14:paraId="6283A694">
      <w:pPr>
        <w:spacing w:line="360" w:lineRule="auto"/>
        <w:ind w:firstLine="420" w:firstLineChars="200"/>
        <w:rPr>
          <w:rFonts w:ascii="宋体" w:hAnsi="宋体"/>
          <w:szCs w:val="21"/>
        </w:rPr>
      </w:pPr>
      <w:bookmarkStart w:id="30" w:name="_Toc382819089"/>
      <w:r>
        <w:rPr>
          <w:rFonts w:hint="eastAsia" w:ascii="宋体" w:hAnsi="宋体"/>
          <w:szCs w:val="21"/>
        </w:rPr>
        <w:t>基金管理人在运用基金财产开展场内证券交易时，应通过基金托管账户与证券交易资金账户已建立的第三方存管系统实现基金托管账户与证券交易资金账户之间的资金划转，即银证互转，基金托管人应当根据基金管理人的指令办理划款。</w:t>
      </w:r>
    </w:p>
    <w:p w14:paraId="50265A68">
      <w:pPr>
        <w:spacing w:line="360" w:lineRule="auto"/>
        <w:ind w:firstLine="420" w:firstLineChars="200"/>
        <w:rPr>
          <w:rFonts w:hint="eastAsia" w:ascii="宋体" w:hAnsi="宋体"/>
          <w:szCs w:val="21"/>
        </w:rPr>
      </w:pPr>
      <w:r>
        <w:rPr>
          <w:rFonts w:hint="eastAsia" w:ascii="宋体" w:hAnsi="宋体"/>
          <w:szCs w:val="21"/>
        </w:rPr>
        <w:t>基金管理人在运用基金财产时向基金托管人发送资金划拨及其他款项付款指令，基金托管人执行基金管理人合法合规且符合本协议相关约定的指令、办理基金名下的资金往来等有关事项。</w:t>
      </w:r>
    </w:p>
    <w:p w14:paraId="3E9AF7AD">
      <w:pPr>
        <w:spacing w:line="360" w:lineRule="auto"/>
        <w:ind w:firstLine="420" w:firstLineChars="200"/>
        <w:rPr>
          <w:rFonts w:hint="eastAsia" w:ascii="宋体" w:hAnsi="宋体"/>
          <w:szCs w:val="21"/>
        </w:rPr>
      </w:pPr>
      <w:r>
        <w:rPr>
          <w:rFonts w:hint="eastAsia" w:ascii="宋体" w:hAnsi="宋体"/>
          <w:szCs w:val="21"/>
        </w:rPr>
        <w:t>基金管理人发送的指令包括电子指令和纸质指令以及双方约定的其他方式发送的指令。</w:t>
      </w:r>
    </w:p>
    <w:p w14:paraId="185B50EA">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基金管理人在启用电子指令前，应与基金托管人另行签署托管电子指令直连协议或网上托管服务协议。基金管理人在发送纸质指令前，应根据双方约定的方式提供传真号、发送指令附件的邮箱地址以及指令确认人员及其联系方式。</w:t>
      </w:r>
      <w:bookmarkEnd w:id="30"/>
      <w:bookmarkStart w:id="31" w:name="_Toc382819090"/>
    </w:p>
    <w:p w14:paraId="3E07B52B">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（一）基金管理人对发送指令人员的书面授权</w:t>
      </w:r>
      <w:bookmarkEnd w:id="31"/>
    </w:p>
    <w:p w14:paraId="23BF9D5C">
      <w:pPr>
        <w:pStyle w:val="12"/>
        <w:rPr>
          <w:rFonts w:hint="eastAsia" w:ascii="宋体" w:hAnsi="宋体" w:eastAsia="宋体"/>
          <w:sz w:val="21"/>
          <w:szCs w:val="21"/>
        </w:rPr>
      </w:pPr>
      <w:bookmarkStart w:id="32" w:name="_Toc382818601"/>
      <w:bookmarkStart w:id="33" w:name="_Toc382819091"/>
      <w:r>
        <w:rPr>
          <w:rFonts w:hint="eastAsia" w:ascii="宋体" w:hAnsi="宋体" w:eastAsia="宋体"/>
          <w:sz w:val="21"/>
          <w:szCs w:val="21"/>
        </w:rPr>
        <w:t>基金管理人应于基金合同生效前向基金托管人提供预留印鉴和被授权人签字样本，事先书面通知（以下简称“授权通知”）基金托管人有权发送指令的人员名单，注明相应的交易权限，并规定基金管理人向基金托管人发送指令时基金托管人确认有权发送人员身份的方法。基金管理人的划款指令授权通知书由基金管理人的法定代表人或其授权代理人签署并加盖公章，若由授权代理人签署的，还应附上法定代表人的授权书。基金托管人在收到授权通知当日回函或回电向基金管理人确认。划款指令授权书无论</w:t>
      </w:r>
      <w:r>
        <w:rPr>
          <w:rFonts w:hint="eastAsia" w:ascii="宋体" w:hAnsi="宋体" w:eastAsia="宋体"/>
          <w:sz w:val="21"/>
          <w:szCs w:val="21"/>
          <w:lang w:eastAsia="zh-Hans"/>
        </w:rPr>
        <w:t>基金</w:t>
      </w:r>
      <w:r>
        <w:rPr>
          <w:rFonts w:hint="eastAsia" w:ascii="宋体" w:hAnsi="宋体" w:eastAsia="宋体"/>
          <w:sz w:val="21"/>
          <w:szCs w:val="21"/>
        </w:rPr>
        <w:t>成立时或后续更新，必须提前至少一个交易日，发送扫描件或其他基金托管人和基金管理人书面确认的方式向基金托管人发出加盖基金管理人公章的被授权人变更通知，同时电话通知基金托管人。变更通知应载明生效时间，并提供新的被授权人的签字样本，基金托管人收到变更通知当日通过电话向基金管理人确认。授权变更于变更通知载明的生效时间起生效。若变更通知载明的生效时间早于基金托管人收到变更通知时间，则授权变更于基金托管人收到变更通知时生效。基金管理人在此后三日内将划款指令授权书变更通知的正本送交基金托管人，划款指令授权书原件未按时送达基金托管人的，基金托管人有权拒绝执行该授权书对应的划款指令，基金托管人不承担由此造成的损失。基金管理人和基金托管人对授权文件负有保密义务，其内容不得向授权人及相关操作人员以外的任何人泄露</w:t>
      </w:r>
      <w:bookmarkEnd w:id="32"/>
      <w:bookmarkEnd w:id="33"/>
      <w:r>
        <w:rPr>
          <w:rFonts w:hint="eastAsia" w:ascii="宋体" w:hAnsi="宋体" w:eastAsia="宋体"/>
          <w:sz w:val="21"/>
          <w:szCs w:val="21"/>
        </w:rPr>
        <w:t>，但法律法规或有权机关另有要求的除外。</w:t>
      </w:r>
    </w:p>
    <w:p w14:paraId="4BD9162D">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34" w:name="_Toc382819092"/>
      <w:r>
        <w:rPr>
          <w:rFonts w:hint="eastAsia" w:ascii="宋体" w:hAnsi="宋体" w:eastAsia="宋体"/>
          <w:b w:val="0"/>
          <w:bCs w:val="0"/>
          <w:sz w:val="21"/>
          <w:szCs w:val="21"/>
        </w:rPr>
        <w:t>（二）指令的内容</w:t>
      </w:r>
      <w:bookmarkEnd w:id="34"/>
    </w:p>
    <w:p w14:paraId="50D88C78">
      <w:pPr>
        <w:tabs>
          <w:tab w:val="left" w:pos="4680"/>
        </w:tabs>
        <w:spacing w:line="360" w:lineRule="auto"/>
        <w:ind w:firstLine="420" w:firstLineChars="200"/>
        <w:rPr>
          <w:rFonts w:hint="eastAsia" w:ascii="宋体" w:hAnsi="宋体"/>
          <w:szCs w:val="21"/>
        </w:rPr>
      </w:pPr>
      <w:r>
        <w:rPr>
          <w:rFonts w:hint="eastAsia" w:ascii="宋体" w:hAnsi="宋体"/>
          <w:szCs w:val="21"/>
        </w:rPr>
        <w:t>1、指令是指基金管理人在运用基金财产时向基金托管人发送的资金划拨（含赎回、分红付款、回购到期付款指令等）以及其它资金划拨的指令等，证券交易所证券投资的资金结算不需要基金管理人发送指令，基金托管人根据相关登记结算公司向基金托管人发送的结算数据进行资金结算。</w:t>
      </w:r>
    </w:p>
    <w:p w14:paraId="61CE2BD0">
      <w:pPr>
        <w:tabs>
          <w:tab w:val="left" w:pos="4680"/>
        </w:tabs>
        <w:spacing w:line="360" w:lineRule="auto"/>
        <w:ind w:firstLine="420" w:firstLineChars="200"/>
        <w:rPr>
          <w:rFonts w:hint="eastAsia" w:ascii="宋体" w:hAnsi="宋体"/>
          <w:szCs w:val="21"/>
        </w:rPr>
      </w:pPr>
      <w:r>
        <w:rPr>
          <w:rFonts w:hint="eastAsia" w:ascii="宋体" w:hAnsi="宋体"/>
          <w:szCs w:val="21"/>
        </w:rPr>
        <w:t>2、基金管理人发给基金托管人的指令应写明收付款账户信息、款项事由、时间、金额，非电子指令需包含“</w:t>
      </w:r>
      <w:r>
        <w:rPr>
          <w:spacing w:val="-2"/>
        </w:rPr>
        <w:t>授权书</w:t>
      </w:r>
      <w:r>
        <w:rPr>
          <w:rFonts w:hint="eastAsia" w:ascii="宋体" w:hAnsi="宋体"/>
          <w:szCs w:val="21"/>
        </w:rPr>
        <w:t>”</w:t>
      </w:r>
      <w:r>
        <w:rPr>
          <w:spacing w:val="-2"/>
        </w:rPr>
        <w:t>中指定的预留印鉴印章或签字样本。</w:t>
      </w:r>
    </w:p>
    <w:p w14:paraId="1FF1A509">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35" w:name="_Toc382819093"/>
      <w:r>
        <w:rPr>
          <w:rFonts w:hint="eastAsia" w:ascii="宋体" w:hAnsi="宋体" w:eastAsia="宋体"/>
          <w:b w:val="0"/>
          <w:bCs w:val="0"/>
          <w:sz w:val="21"/>
          <w:szCs w:val="21"/>
        </w:rPr>
        <w:t>（三）指令的发送、确认和执行的时间和程序</w:t>
      </w:r>
      <w:bookmarkEnd w:id="35"/>
    </w:p>
    <w:p w14:paraId="4E79C7B6">
      <w:pPr>
        <w:spacing w:after="120" w:line="360" w:lineRule="auto"/>
        <w:ind w:firstLine="420" w:firstLineChars="200"/>
        <w:rPr>
          <w:rFonts w:hint="eastAsia" w:ascii="宋体" w:hAnsi="宋体"/>
          <w:szCs w:val="21"/>
        </w:rPr>
      </w:pPr>
      <w:r>
        <w:rPr>
          <w:rFonts w:hint="eastAsia" w:ascii="宋体" w:hAnsi="宋体"/>
          <w:szCs w:val="21"/>
        </w:rPr>
        <w:t>指令由“授权通知”确定的有权发送人（下称“被授权人”）代表基金管理人用传真的方式或其他基金托管人和基金管理人书面确认过的方式向基金托管人发送。基金管理人有义务在发送指令后及时与基金托管人进行确认，因基金管理人未能及时与基金托管人进行指令确认,致使资金未能及时到账所造成的损失，基金托管人不承担</w:t>
      </w:r>
      <w:r>
        <w:rPr>
          <w:rFonts w:hint="eastAsia" w:ascii="宋体" w:hAnsi="宋体"/>
          <w:szCs w:val="21"/>
          <w:lang w:eastAsia="zh-Hans"/>
        </w:rPr>
        <w:t>相应</w:t>
      </w:r>
      <w:r>
        <w:rPr>
          <w:rFonts w:hint="eastAsia" w:ascii="宋体" w:hAnsi="宋体"/>
          <w:szCs w:val="21"/>
        </w:rPr>
        <w:t>责任。基金托管人依照“授权通知”规定的方法确认指令有效后，方可执行指令。对于被授权人在授权范围内发出的指令，基金管理人不得否认其效力。基金管理人应按照《基金法》、有关法律法规和《基金合同》的规定，在其合法的经营权限和交易权限内发送划款指令，被授权人应按照其授权权限发送划款指令。基金管理人在发送指令时，应为基金托管人留出执行指令所必需的时间。一般划款指令（不含新股、新债等申购指令）应在15点（指令截止时间）前提交基金托管人，如基金管理人要求当天某一时点到账，则指令需提前2个工作小时(工作时间9点至11点30分，13点至17点)提交基金托管人。</w:t>
      </w:r>
    </w:p>
    <w:p w14:paraId="372EE5E7">
      <w:pPr>
        <w:spacing w:after="120" w:line="360" w:lineRule="auto"/>
        <w:ind w:firstLine="420" w:firstLineChars="200"/>
        <w:rPr>
          <w:rFonts w:hint="eastAsia" w:ascii="宋体" w:hAnsi="宋体"/>
          <w:szCs w:val="21"/>
        </w:rPr>
      </w:pPr>
      <w:r>
        <w:rPr>
          <w:rFonts w:hint="eastAsia" w:ascii="宋体" w:hAnsi="宋体"/>
          <w:szCs w:val="21"/>
        </w:rPr>
        <w:t>新股、新债等申购指令，基金管理人须在申购前1个工作日向基金托管人发送指令，如需在申购当日下达指令，基金管理人应为基金托管人留出执行指令所必需的时间，指令最迟不得晚于上午11：00点（指令截止时间）提交基金托管人。</w:t>
      </w:r>
    </w:p>
    <w:p w14:paraId="7BEB6C9E">
      <w:pPr>
        <w:spacing w:after="120" w:line="360" w:lineRule="auto"/>
        <w:ind w:firstLine="420" w:firstLineChars="200"/>
        <w:rPr>
          <w:rFonts w:hint="eastAsia" w:ascii="宋体" w:hAnsi="宋体"/>
          <w:szCs w:val="21"/>
        </w:rPr>
      </w:pPr>
      <w:r>
        <w:rPr>
          <w:rFonts w:hint="eastAsia" w:ascii="宋体" w:hAnsi="宋体"/>
          <w:szCs w:val="21"/>
        </w:rPr>
        <w:t>如划款指令中给予基金托管人的划拨时间小于2个工作小时或晚于前述指令截止时间的，基金托管人应尽力在指定时间内完成资金划拨,但不承担因时间不足导致执行失败的责任。</w:t>
      </w:r>
    </w:p>
    <w:p w14:paraId="5BA11E5B">
      <w:pPr>
        <w:spacing w:after="120" w:line="360" w:lineRule="auto"/>
        <w:ind w:firstLine="420" w:firstLineChars="200"/>
        <w:rPr>
          <w:rFonts w:hint="eastAsia" w:ascii="宋体" w:hAnsi="宋体"/>
          <w:szCs w:val="21"/>
        </w:rPr>
      </w:pPr>
      <w:r>
        <w:rPr>
          <w:rFonts w:hint="eastAsia" w:ascii="宋体" w:hAnsi="宋体"/>
          <w:szCs w:val="21"/>
        </w:rPr>
        <w:t>基金管理人原因造成的指令传输不及时、未能留出足够划款所需时间，致使资金未能及时到账所造成的损失由基金管理人承担。</w:t>
      </w:r>
    </w:p>
    <w:p w14:paraId="37647432">
      <w:pPr>
        <w:spacing w:line="360" w:lineRule="auto"/>
        <w:ind w:firstLine="420" w:firstLineChars="200"/>
        <w:rPr>
          <w:rFonts w:hint="eastAsia" w:ascii="宋体" w:hAnsi="宋体"/>
          <w:szCs w:val="21"/>
        </w:rPr>
      </w:pPr>
      <w:r>
        <w:rPr>
          <w:rFonts w:hint="eastAsia" w:ascii="宋体" w:hAnsi="宋体"/>
          <w:szCs w:val="21"/>
        </w:rPr>
        <w:t>指令到达基金托管人后，基金托管人应指定专人及时对指令的要素是否齐全、印鉴与被授权人是否与预留的授权文件内容相符进行检查，如发现问题或有疑问应及时通知基金管理人，并有权立即将指令退还给基金管理人，要求其重新下达有效指令。</w:t>
      </w:r>
    </w:p>
    <w:p w14:paraId="6693E73B">
      <w:pPr>
        <w:spacing w:line="360" w:lineRule="auto"/>
        <w:ind w:firstLine="420" w:firstLineChars="200"/>
        <w:rPr>
          <w:rFonts w:hint="eastAsia" w:ascii="宋体" w:hAnsi="宋体"/>
          <w:szCs w:val="21"/>
        </w:rPr>
      </w:pPr>
      <w:r>
        <w:rPr>
          <w:rFonts w:hint="eastAsia" w:ascii="宋体" w:hAnsi="宋体"/>
          <w:szCs w:val="21"/>
        </w:rPr>
        <w:t>基金管理人向基金托管人下达指令时，应确保相关托管账户有足够的资金余额，对基金管理人在没有充足资金的情况下向基金托管人发出的指令，基金托管人有权不予执行，并立即通知基金管理人，基金托管人不承担因为不执行该指令而造成损失的</w:t>
      </w:r>
      <w:r>
        <w:rPr>
          <w:rFonts w:hint="eastAsia" w:ascii="宋体" w:hAnsi="宋体"/>
          <w:szCs w:val="21"/>
          <w:lang w:eastAsia="zh-Hans"/>
        </w:rPr>
        <w:t>相应</w:t>
      </w:r>
      <w:r>
        <w:rPr>
          <w:rFonts w:hint="eastAsia" w:ascii="宋体" w:hAnsi="宋体"/>
          <w:szCs w:val="21"/>
        </w:rPr>
        <w:t>责任。</w:t>
      </w:r>
    </w:p>
    <w:p w14:paraId="39B5FFAB">
      <w:pPr>
        <w:spacing w:line="360" w:lineRule="auto"/>
        <w:ind w:firstLine="420" w:firstLineChars="200"/>
        <w:rPr>
          <w:rFonts w:hint="eastAsia" w:ascii="宋体" w:hAnsi="宋体"/>
          <w:szCs w:val="21"/>
        </w:rPr>
      </w:pPr>
      <w:r>
        <w:rPr>
          <w:rFonts w:hint="eastAsia" w:ascii="宋体" w:hAnsi="宋体"/>
          <w:szCs w:val="21"/>
        </w:rPr>
        <w:t>指令未执行前基金管理人可以向基金托管人申请撤销，</w:t>
      </w:r>
      <w:r>
        <w:t>基金管理人</w:t>
      </w:r>
      <w:r>
        <w:rPr>
          <w:rFonts w:hint="eastAsia"/>
        </w:rPr>
        <w:t>需发送作废报文或</w:t>
      </w:r>
      <w:r>
        <w:t>在原指令上注明“作废”并</w:t>
      </w:r>
      <w:r>
        <w:rPr>
          <w:rFonts w:hint="eastAsia"/>
        </w:rPr>
        <w:t>及时</w:t>
      </w:r>
      <w:r>
        <w:t>电话通知基金托管人</w:t>
      </w:r>
      <w:r>
        <w:rPr>
          <w:rFonts w:hint="eastAsia" w:ascii="宋体" w:hAnsi="宋体"/>
          <w:szCs w:val="21"/>
        </w:rPr>
        <w:t>。基金托管人将尽力协助撤销指令，但基金管理人理解且接受受限于客观情况，基金托管人无法保证基金管理人的指令一定可以撤销，基金托管人不承担指令未被撤销的一切责任与后果。</w:t>
      </w:r>
    </w:p>
    <w:p w14:paraId="55015959">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36" w:name="_Toc382819094"/>
      <w:r>
        <w:rPr>
          <w:rFonts w:hint="eastAsia" w:ascii="宋体" w:hAnsi="宋体" w:eastAsia="宋体"/>
          <w:b w:val="0"/>
          <w:bCs w:val="0"/>
          <w:sz w:val="21"/>
          <w:szCs w:val="21"/>
        </w:rPr>
        <w:t>（四）基金管理人发送错误指令的情形和处理程序</w:t>
      </w:r>
      <w:bookmarkEnd w:id="36"/>
    </w:p>
    <w:p w14:paraId="1860BAD3">
      <w:pPr>
        <w:spacing w:after="120" w:line="360" w:lineRule="auto"/>
        <w:ind w:firstLine="420" w:firstLineChars="200"/>
        <w:rPr>
          <w:rFonts w:hint="eastAsia" w:ascii="宋体" w:hAnsi="宋体"/>
          <w:szCs w:val="21"/>
        </w:rPr>
      </w:pPr>
      <w:r>
        <w:rPr>
          <w:rFonts w:hint="eastAsia" w:ascii="宋体" w:hAnsi="宋体"/>
          <w:szCs w:val="21"/>
        </w:rPr>
        <w:t>基金管理人发送错误指令的情形包括但不限于指令发送人员无权或超越权限发送指令及交割信息错误，指令中重要信息模糊不清或不全，指令违反法律法规和《基金合同》及本协议约定等。</w:t>
      </w:r>
    </w:p>
    <w:p w14:paraId="193840AA">
      <w:pPr>
        <w:spacing w:line="360" w:lineRule="auto"/>
        <w:ind w:firstLine="420" w:firstLineChars="200"/>
        <w:rPr>
          <w:rFonts w:hint="eastAsia" w:ascii="宋体" w:hAnsi="宋体"/>
          <w:szCs w:val="21"/>
          <w:lang w:val="zh-CN"/>
        </w:rPr>
      </w:pPr>
      <w:r>
        <w:rPr>
          <w:rFonts w:hint="eastAsia" w:ascii="宋体" w:hAnsi="宋体"/>
          <w:szCs w:val="21"/>
        </w:rPr>
        <w:t>基金托管人在履行监督职能时，如发现基金管理人的指令错误，有权拒绝</w:t>
      </w:r>
      <w:r>
        <w:rPr>
          <w:rFonts w:ascii="宋体" w:hAnsi="宋体"/>
          <w:szCs w:val="21"/>
        </w:rPr>
        <w:t>或暂缓</w:t>
      </w:r>
      <w:r>
        <w:rPr>
          <w:rFonts w:hint="eastAsia" w:ascii="宋体" w:hAnsi="宋体"/>
          <w:szCs w:val="21"/>
        </w:rPr>
        <w:t>执行，并及时以书面形式通知基金管理人改正，基金管理人收到通知后应及时核对，并以书面形式对基金托管人发出回函确认。如需撤销指令，基金管理人应出具书面说明，并加盖预留印鉴。</w:t>
      </w:r>
    </w:p>
    <w:p w14:paraId="2C28CA2D">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37" w:name="_Toc382819095"/>
      <w:r>
        <w:rPr>
          <w:rFonts w:hint="eastAsia" w:ascii="宋体" w:hAnsi="宋体" w:eastAsia="宋体"/>
          <w:b w:val="0"/>
          <w:bCs w:val="0"/>
          <w:sz w:val="21"/>
          <w:szCs w:val="21"/>
        </w:rPr>
        <w:t>（五）基金托管人未按照基金管理人指令执行的处理方法</w:t>
      </w:r>
      <w:bookmarkEnd w:id="37"/>
    </w:p>
    <w:p w14:paraId="4493372E">
      <w:pPr>
        <w:spacing w:line="360" w:lineRule="auto"/>
        <w:ind w:firstLine="420" w:firstLineChars="200"/>
        <w:rPr>
          <w:rFonts w:hint="eastAsia" w:ascii="宋体" w:hAnsi="宋体"/>
          <w:szCs w:val="21"/>
        </w:rPr>
      </w:pPr>
      <w:r>
        <w:rPr>
          <w:rFonts w:hint="eastAsia" w:ascii="宋体" w:hAnsi="宋体"/>
          <w:szCs w:val="21"/>
        </w:rPr>
        <w:t>除本协议另有约定外，基金托管人由于自身原因造成未按照或者未及时按照基金管理人发送的符合本协议约定的、按照正常交易程序已经生效的指令执行，给基金份额持有人造成损失的，应负责赔偿相应的直接损失。</w:t>
      </w:r>
    </w:p>
    <w:p w14:paraId="7B5A6432">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38" w:name="_Toc382819096"/>
      <w:r>
        <w:rPr>
          <w:rFonts w:hint="eastAsia" w:ascii="宋体" w:hAnsi="宋体" w:eastAsia="宋体"/>
          <w:b w:val="0"/>
          <w:bCs w:val="0"/>
          <w:sz w:val="21"/>
          <w:szCs w:val="21"/>
        </w:rPr>
        <w:t>（六）更换被授权人的程序</w:t>
      </w:r>
      <w:bookmarkEnd w:id="38"/>
    </w:p>
    <w:p w14:paraId="14023C09">
      <w:pPr>
        <w:spacing w:line="360" w:lineRule="auto"/>
        <w:ind w:firstLine="420" w:firstLineChars="200"/>
        <w:rPr>
          <w:rFonts w:hint="eastAsia" w:ascii="宋体" w:hAnsi="宋体"/>
          <w:szCs w:val="21"/>
        </w:rPr>
      </w:pPr>
      <w:r>
        <w:rPr>
          <w:rFonts w:hint="eastAsia" w:ascii="宋体" w:hAnsi="宋体"/>
          <w:szCs w:val="21"/>
        </w:rPr>
        <w:t>基金管理人更换被授权人、更改或终止对被授权人的授权范围、变更或新增应急传真号码等，必须提前至少一个交易日，使用与基金托管人协商一致的方式，重新向基金托管人发出加盖基金管理人公司公章的授权书，同时电话通知基金托管人。授权书经基金管理人和基金托管人以电话或其他双方认可的方式确认后，于授权书载明的生效时间或授权书的落款时间生效，同时原授权书失效。基金管理人在此后三个工作日内将更新的授权书正本送交至基金托管人。授权书正本内容与基金托管人前述收到的文本不一致的，以基金托管人收到的为准。</w:t>
      </w:r>
    </w:p>
    <w:p w14:paraId="3F142DC1">
      <w:pPr>
        <w:spacing w:line="360" w:lineRule="auto"/>
        <w:ind w:firstLine="420" w:firstLineChars="200"/>
        <w:rPr>
          <w:rFonts w:hint="eastAsia" w:ascii="宋体" w:hAnsi="宋体"/>
          <w:szCs w:val="21"/>
        </w:rPr>
      </w:pPr>
      <w:r>
        <w:rPr>
          <w:rFonts w:hint="eastAsia" w:ascii="宋体" w:hAnsi="宋体"/>
          <w:szCs w:val="21"/>
        </w:rPr>
        <w:t xml:space="preserve">（七）指令的保管 </w:t>
      </w:r>
    </w:p>
    <w:p w14:paraId="03C30410">
      <w:pPr>
        <w:spacing w:line="360" w:lineRule="auto"/>
        <w:ind w:firstLine="420" w:firstLineChars="200"/>
        <w:rPr>
          <w:rFonts w:hint="eastAsia" w:ascii="宋体" w:hAnsi="宋体"/>
          <w:szCs w:val="21"/>
        </w:rPr>
      </w:pPr>
      <w:r>
        <w:rPr>
          <w:rFonts w:hint="eastAsia" w:ascii="宋体" w:hAnsi="宋体"/>
          <w:szCs w:val="21"/>
        </w:rPr>
        <w:t xml:space="preserve">指令若以邮件或传真等形式发出，则正本由基金管理人保管，基金托管人保管指令扫描件或传真件。当两者不一致时，以基金托管人收到的指令文件为准。 </w:t>
      </w:r>
    </w:p>
    <w:p w14:paraId="24D2F2C3">
      <w:pPr>
        <w:spacing w:line="360" w:lineRule="auto"/>
        <w:ind w:firstLine="420" w:firstLineChars="200"/>
        <w:rPr>
          <w:rFonts w:hint="eastAsia" w:ascii="宋体" w:hAnsi="宋体"/>
          <w:szCs w:val="21"/>
        </w:rPr>
      </w:pPr>
      <w:r>
        <w:rPr>
          <w:rFonts w:hint="eastAsia" w:ascii="宋体" w:hAnsi="宋体"/>
          <w:szCs w:val="21"/>
        </w:rPr>
        <w:t>（八）其它事项</w:t>
      </w:r>
    </w:p>
    <w:p w14:paraId="02D74FE0">
      <w:pPr>
        <w:spacing w:line="360" w:lineRule="auto"/>
        <w:ind w:firstLine="420" w:firstLineChars="200"/>
        <w:rPr>
          <w:rFonts w:hint="eastAsia" w:ascii="宋体" w:hAnsi="宋体"/>
          <w:szCs w:val="21"/>
        </w:rPr>
      </w:pPr>
      <w:r>
        <w:rPr>
          <w:rFonts w:hint="eastAsia" w:ascii="宋体" w:hAnsi="宋体"/>
          <w:szCs w:val="21"/>
        </w:rPr>
        <w:t>基金管理人承担下达违法、违规或违反《基金合同》和本协议约定的指令所导致的责任。基金托管人对执行基金管理人的按照正常交易程序已经生效的指令对基金财产造成的损失不承担赔偿责任。</w:t>
      </w:r>
    </w:p>
    <w:p w14:paraId="7D74B99B">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39" w:name="_Toc382819097"/>
      <w:r>
        <w:rPr>
          <w:rFonts w:hint="eastAsia" w:ascii="宋体" w:hAnsi="宋体" w:eastAsia="宋体" w:cs="Arial"/>
          <w:sz w:val="21"/>
          <w:szCs w:val="21"/>
        </w:rPr>
        <w:t>交易及清算交收安排</w:t>
      </w:r>
      <w:bookmarkEnd w:id="39"/>
    </w:p>
    <w:p w14:paraId="7204A835">
      <w:pPr>
        <w:pStyle w:val="3"/>
        <w:keepNext w:val="0"/>
        <w:keepLines w:val="0"/>
        <w:spacing w:before="0" w:after="0"/>
        <w:ind w:firstLine="420" w:firstLineChars="200"/>
        <w:jc w:val="left"/>
        <w:rPr>
          <w:rFonts w:hint="eastAsia" w:ascii="宋体" w:hAnsi="宋体" w:eastAsia="宋体"/>
          <w:b w:val="0"/>
          <w:sz w:val="21"/>
          <w:szCs w:val="21"/>
        </w:rPr>
      </w:pPr>
      <w:bookmarkStart w:id="40" w:name="_Toc382819098"/>
      <w:r>
        <w:rPr>
          <w:rFonts w:hint="eastAsia" w:ascii="宋体" w:hAnsi="宋体" w:eastAsia="宋体"/>
          <w:b w:val="0"/>
          <w:sz w:val="21"/>
          <w:szCs w:val="21"/>
        </w:rPr>
        <w:t>（一）选择代理证券、期货买卖的证券、期货经纪机构的标准和程序</w:t>
      </w:r>
      <w:bookmarkEnd w:id="40"/>
    </w:p>
    <w:p w14:paraId="5EE7B0A2">
      <w:pPr>
        <w:spacing w:line="360" w:lineRule="auto"/>
        <w:ind w:firstLine="420" w:firstLineChars="200"/>
        <w:rPr>
          <w:rFonts w:ascii="宋体" w:hAnsi="宋体"/>
          <w:szCs w:val="21"/>
        </w:rPr>
      </w:pPr>
      <w:r>
        <w:rPr>
          <w:rFonts w:hint="eastAsia" w:ascii="宋体" w:hAnsi="宋体"/>
          <w:szCs w:val="21"/>
        </w:rPr>
        <w:t>基金管理人负责选择代理本基金证券买卖的证券经纪机构，由基金管理人与基金托管人及证券经纪机构签订本基金的证券经纪服务协议，明确三方在本基金参与场内证券买卖中的各类证券交易、证券交收及相关资金交收过程中的职责和义务。</w:t>
      </w:r>
    </w:p>
    <w:p w14:paraId="5A2170DA">
      <w:pPr>
        <w:spacing w:line="360" w:lineRule="auto"/>
        <w:ind w:firstLine="420" w:firstLineChars="200"/>
        <w:rPr>
          <w:rFonts w:hint="eastAsia" w:ascii="宋体" w:hAnsi="宋体"/>
          <w:szCs w:val="21"/>
        </w:rPr>
      </w:pPr>
      <w:r>
        <w:rPr>
          <w:rFonts w:hint="eastAsia" w:ascii="宋体" w:hAnsi="宋体"/>
          <w:szCs w:val="21"/>
        </w:rPr>
        <w:t>基金管理人负责选择代理本基金期货交易的期货经纪机构，并与其签订期货经纪合同，其他事宜根据法律法规、《基金合同》的相关规定执行，若无明确规定的，可参照有关证券买卖、证券经纪机构选择的规则执行。</w:t>
      </w:r>
    </w:p>
    <w:p w14:paraId="1D9575F3">
      <w:pPr>
        <w:pStyle w:val="3"/>
        <w:keepNext w:val="0"/>
        <w:keepLines w:val="0"/>
        <w:spacing w:before="0" w:after="0"/>
        <w:ind w:firstLine="420" w:firstLineChars="200"/>
        <w:jc w:val="left"/>
        <w:rPr>
          <w:rFonts w:hint="eastAsia" w:ascii="宋体" w:hAnsi="宋体" w:eastAsia="宋体"/>
          <w:b w:val="0"/>
          <w:sz w:val="21"/>
          <w:szCs w:val="21"/>
        </w:rPr>
      </w:pPr>
      <w:bookmarkStart w:id="41" w:name="_Toc382819099"/>
      <w:r>
        <w:rPr>
          <w:rFonts w:hint="eastAsia" w:ascii="宋体" w:hAnsi="宋体" w:eastAsia="宋体"/>
          <w:b w:val="0"/>
          <w:sz w:val="21"/>
          <w:szCs w:val="21"/>
        </w:rPr>
        <w:t>（二）基金投资证券后的清算交收安排</w:t>
      </w:r>
      <w:bookmarkEnd w:id="41"/>
      <w:bookmarkStart w:id="42" w:name="_Toc382819100"/>
    </w:p>
    <w:p w14:paraId="76B116F7">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1、本基金通过证券经纪机构进行的交易由证券经纪机构作为结算参与人代理本基金进行结算；本基金通过期货经纪机构进行的交易由期货经纪机构作为结算参与人代理本基金进行结算。本基金其他证券交易由基金托管人或相关机构负责结算。基金管理人、基金托管人以及被选择的证券经纪机构应根据有关法律法规及相关业务规则，签订证券经纪服务协议，用以具体明确三方在证券交易</w:t>
      </w:r>
      <w:r>
        <w:rPr>
          <w:rFonts w:hint="eastAsia" w:ascii="宋体" w:hAnsi="宋体" w:eastAsia="宋体"/>
          <w:b w:val="0"/>
          <w:bCs w:val="0"/>
          <w:sz w:val="21"/>
          <w:szCs w:val="21"/>
          <w:lang w:eastAsia="zh-CN"/>
        </w:rPr>
        <w:t>、</w:t>
      </w:r>
      <w:r>
        <w:rPr>
          <w:rFonts w:hint="eastAsia" w:ascii="宋体" w:hAnsi="宋体" w:eastAsia="宋体"/>
          <w:b w:val="0"/>
          <w:bCs w:val="0"/>
          <w:sz w:val="21"/>
          <w:szCs w:val="21"/>
        </w:rPr>
        <w:t>资金结算</w:t>
      </w:r>
      <w:r>
        <w:rPr>
          <w:rFonts w:hint="eastAsia" w:ascii="宋体" w:hAnsi="宋体" w:eastAsia="宋体"/>
          <w:b w:val="0"/>
          <w:bCs w:val="0"/>
          <w:sz w:val="21"/>
          <w:szCs w:val="21"/>
          <w:lang w:val="en-US" w:eastAsia="zh-CN"/>
        </w:rPr>
        <w:t>过程</w:t>
      </w:r>
      <w:r>
        <w:rPr>
          <w:rFonts w:hint="eastAsia" w:ascii="宋体" w:hAnsi="宋体" w:eastAsia="宋体"/>
          <w:b w:val="0"/>
          <w:bCs w:val="0"/>
          <w:sz w:val="21"/>
          <w:szCs w:val="21"/>
        </w:rPr>
        <w:t>业务中的责任</w:t>
      </w:r>
      <w:r>
        <w:rPr>
          <w:rFonts w:hint="eastAsia" w:ascii="宋体" w:hAnsi="宋体" w:eastAsia="宋体"/>
          <w:b w:val="0"/>
          <w:bCs w:val="0"/>
          <w:sz w:val="21"/>
          <w:szCs w:val="21"/>
          <w:lang w:val="en-US" w:eastAsia="zh-CN"/>
        </w:rPr>
        <w:t>与义务</w:t>
      </w:r>
      <w:r>
        <w:rPr>
          <w:rFonts w:hint="eastAsia" w:ascii="宋体" w:hAnsi="宋体" w:eastAsia="宋体"/>
          <w:b w:val="0"/>
          <w:bCs w:val="0"/>
          <w:sz w:val="21"/>
          <w:szCs w:val="21"/>
        </w:rPr>
        <w:t>。</w:t>
      </w:r>
    </w:p>
    <w:p w14:paraId="722A8A7B">
      <w:pPr>
        <w:pStyle w:val="3"/>
        <w:keepNext w:val="0"/>
        <w:keepLines w:val="0"/>
        <w:autoSpaceDE w:val="0"/>
        <w:autoSpaceDN w:val="0"/>
        <w:adjustRightInd w:val="0"/>
        <w:spacing w:before="0" w:after="0" w:line="360" w:lineRule="auto"/>
        <w:ind w:firstLine="420" w:firstLineChars="200"/>
        <w:textAlignment w:val="baseline"/>
        <w:rPr>
          <w:rFonts w:ascii="宋体" w:hAnsi="宋体" w:eastAsia="宋体"/>
          <w:b w:val="0"/>
          <w:bCs w:val="0"/>
          <w:sz w:val="21"/>
          <w:szCs w:val="21"/>
        </w:rPr>
      </w:pPr>
      <w:r>
        <w:rPr>
          <w:rFonts w:hint="eastAsia" w:ascii="宋体" w:hAnsi="宋体" w:eastAsia="宋体"/>
          <w:b w:val="0"/>
          <w:bCs w:val="0"/>
          <w:sz w:val="21"/>
          <w:szCs w:val="21"/>
        </w:rPr>
        <w:t>2、本基金投资于所有场外交易的资金汇划，由基金托管人根据基金管理人的交易划款指令具体办理。</w:t>
      </w:r>
      <w:r>
        <w:rPr>
          <w:rFonts w:hint="eastAsia" w:ascii="宋体" w:hAnsi="宋体" w:eastAsia="宋体" w:cs="Times New Roman"/>
          <w:b w:val="0"/>
          <w:bCs w:val="0"/>
          <w:sz w:val="21"/>
          <w:szCs w:val="16"/>
          <w:lang w:val="en-US" w:eastAsia="zh-CN" w:bidi="ar"/>
        </w:rPr>
        <w:t>如因基金托管人的自身原因在清算上造成基金资产的损失，应由基金托管人负责赔偿基金的损失；如果因为基金管理人的投资运作行为而造成基金投资清算困难和风险的，基金托管人发现后应立即通知基金管理人，由基金管理人负责解决，基金托管人应给予必要的配合，由此给基金托管人、本基金造成的损失由基金管理人承担。</w:t>
      </w:r>
      <w:r>
        <w:rPr>
          <w:rFonts w:hint="eastAsia" w:ascii="宋体" w:hAnsi="宋体" w:eastAsia="宋体"/>
          <w:b w:val="0"/>
          <w:bCs w:val="0"/>
          <w:sz w:val="21"/>
          <w:szCs w:val="21"/>
        </w:rPr>
        <w:t xml:space="preserve"> </w:t>
      </w:r>
    </w:p>
    <w:p w14:paraId="79540859">
      <w:pPr>
        <w:spacing w:line="360" w:lineRule="auto"/>
        <w:ind w:firstLine="420" w:firstLineChars="200"/>
        <w:rPr>
          <w:rFonts w:hint="eastAsia" w:ascii="宋体" w:hAnsi="宋体"/>
          <w:szCs w:val="21"/>
        </w:rPr>
      </w:pPr>
      <w:r>
        <w:rPr>
          <w:rFonts w:hint="eastAsia" w:ascii="宋体" w:hAnsi="宋体" w:eastAsia="宋体"/>
          <w:b w:val="0"/>
          <w:bCs w:val="0"/>
          <w:sz w:val="21"/>
          <w:szCs w:val="21"/>
        </w:rPr>
        <w:t>3、证券经纪机构代理本基金财产与中登公司完成证券交易及非交易涉及的证券资金结算业务，并承担由证券经纪机构原因造成的</w:t>
      </w:r>
      <w:r>
        <w:rPr>
          <w:rFonts w:hint="eastAsia" w:ascii="宋体" w:hAnsi="宋体" w:eastAsia="宋体"/>
          <w:b w:val="0"/>
          <w:bCs w:val="0"/>
          <w:sz w:val="21"/>
          <w:szCs w:val="21"/>
          <w:lang w:val="en-US" w:eastAsia="zh-CN"/>
        </w:rPr>
        <w:t>无法</w:t>
      </w:r>
      <w:r>
        <w:rPr>
          <w:rFonts w:hint="eastAsia" w:ascii="宋体" w:hAnsi="宋体" w:eastAsia="宋体"/>
          <w:b w:val="0"/>
          <w:bCs w:val="0"/>
          <w:sz w:val="21"/>
          <w:szCs w:val="21"/>
        </w:rPr>
        <w:t>正常</w:t>
      </w:r>
      <w:r>
        <w:rPr>
          <w:rFonts w:hint="eastAsia" w:ascii="宋体" w:hAnsi="宋体" w:eastAsia="宋体"/>
          <w:b w:val="0"/>
          <w:bCs w:val="0"/>
          <w:sz w:val="21"/>
          <w:szCs w:val="21"/>
          <w:lang w:val="en-US" w:eastAsia="zh-CN"/>
        </w:rPr>
        <w:t>完成</w:t>
      </w:r>
      <w:r>
        <w:rPr>
          <w:rFonts w:hint="eastAsia" w:ascii="宋体" w:hAnsi="宋体" w:eastAsia="宋体"/>
          <w:b w:val="0"/>
          <w:bCs w:val="0"/>
          <w:sz w:val="21"/>
          <w:szCs w:val="21"/>
        </w:rPr>
        <w:t>结算、交收业务无法完成的责任。</w:t>
      </w:r>
      <w:bookmarkEnd w:id="42"/>
    </w:p>
    <w:p w14:paraId="09871B78">
      <w:pPr>
        <w:spacing w:line="360" w:lineRule="auto"/>
        <w:ind w:firstLine="420" w:firstLineChars="200"/>
        <w:rPr>
          <w:rFonts w:hint="eastAsia" w:ascii="宋体" w:hAnsi="宋体"/>
          <w:szCs w:val="21"/>
        </w:rPr>
      </w:pPr>
      <w:r>
        <w:rPr>
          <w:rFonts w:hint="eastAsia" w:ascii="宋体" w:hAnsi="宋体"/>
          <w:szCs w:val="21"/>
        </w:rPr>
        <w:t>4、银行间债券券款对付结算</w:t>
      </w:r>
    </w:p>
    <w:p w14:paraId="4157780F">
      <w:pPr>
        <w:spacing w:line="360" w:lineRule="auto"/>
        <w:ind w:firstLine="420" w:firstLineChars="200"/>
        <w:rPr>
          <w:rFonts w:hint="eastAsia" w:ascii="宋体" w:hAnsi="宋体"/>
          <w:szCs w:val="21"/>
        </w:rPr>
      </w:pPr>
      <w:r>
        <w:rPr>
          <w:rFonts w:hint="eastAsia" w:ascii="宋体" w:hAnsi="宋体"/>
          <w:szCs w:val="21"/>
        </w:rPr>
        <w:t>基金管理人应及时将银行间市场清算所股份有限公司、</w:t>
      </w:r>
      <w:r>
        <w:rPr>
          <w:rFonts w:ascii="宋体" w:hAnsi="宋体"/>
          <w:szCs w:val="21"/>
        </w:rPr>
        <w:t>中央国债登记结算有限责任公司</w:t>
      </w:r>
      <w:r>
        <w:rPr>
          <w:rFonts w:hint="eastAsia" w:ascii="宋体" w:hAnsi="宋体"/>
          <w:szCs w:val="21"/>
        </w:rPr>
        <w:t xml:space="preserve">划款指令和成交通知单按相关规定提交基金托管人，基金管理人应为基金托管人留出执行指令所必需的时间。  </w:t>
      </w:r>
    </w:p>
    <w:p w14:paraId="39AC90F9">
      <w:pPr>
        <w:spacing w:line="360" w:lineRule="auto"/>
        <w:ind w:firstLine="420" w:firstLineChars="200"/>
        <w:rPr>
          <w:rFonts w:hint="eastAsia" w:ascii="宋体" w:hAnsi="宋体"/>
          <w:szCs w:val="21"/>
        </w:rPr>
      </w:pPr>
      <w:r>
        <w:rPr>
          <w:rFonts w:hint="eastAsia" w:ascii="宋体" w:hAnsi="宋体"/>
          <w:szCs w:val="21"/>
        </w:rPr>
        <w:t>基金管理人应根据</w:t>
      </w:r>
      <w:r>
        <w:rPr>
          <w:rFonts w:ascii="宋体" w:hAnsi="宋体"/>
          <w:szCs w:val="21"/>
        </w:rPr>
        <w:t>中央国债登记结算有限责任公司</w:t>
      </w:r>
      <w:r>
        <w:rPr>
          <w:rFonts w:hint="eastAsia" w:ascii="宋体" w:hAnsi="宋体"/>
          <w:szCs w:val="21"/>
        </w:rPr>
        <w:t>、银行间市场清算所股份有限公司提供的查询功能，实时跟踪交易结算情况、证券与资金到账与余额变动情况，便于监控结算过程，做好资金与交易匹配的前端控制。</w:t>
      </w:r>
    </w:p>
    <w:p w14:paraId="39517382">
      <w:pPr>
        <w:spacing w:line="360" w:lineRule="auto"/>
        <w:ind w:firstLine="420" w:firstLineChars="200"/>
        <w:rPr>
          <w:rFonts w:hint="eastAsia" w:ascii="宋体" w:hAnsi="宋体"/>
          <w:szCs w:val="21"/>
        </w:rPr>
      </w:pPr>
      <w:r>
        <w:rPr>
          <w:rFonts w:hint="eastAsia" w:ascii="宋体" w:hAnsi="宋体"/>
          <w:szCs w:val="21"/>
        </w:rPr>
        <w:t>5、定期投资</w:t>
      </w:r>
    </w:p>
    <w:p w14:paraId="41CD304E">
      <w:pPr>
        <w:spacing w:line="360" w:lineRule="auto"/>
        <w:ind w:firstLine="420" w:firstLineChars="200"/>
        <w:rPr>
          <w:rFonts w:hint="eastAsia" w:ascii="宋体" w:hAnsi="宋体"/>
          <w:szCs w:val="21"/>
        </w:rPr>
      </w:pPr>
      <w:r>
        <w:rPr>
          <w:rFonts w:hint="eastAsia" w:ascii="宋体" w:hAnsi="宋体"/>
          <w:szCs w:val="21"/>
        </w:rPr>
        <w:t>基金管理人与存款行签订的存款协议条款格式应在定期存款起息日的前一个工作日发送给基金托管人，</w:t>
      </w:r>
      <w:r>
        <w:rPr>
          <w:rFonts w:hint="eastAsia" w:ascii="宋体" w:hAnsi="宋体" w:cs="Arial"/>
          <w:color w:val="000000"/>
          <w:szCs w:val="21"/>
        </w:rPr>
        <w:t>基金管理人应将</w:t>
      </w:r>
      <w:r>
        <w:rPr>
          <w:rFonts w:hint="eastAsia" w:ascii="宋体" w:hAnsi="宋体"/>
          <w:szCs w:val="21"/>
        </w:rPr>
        <w:t>定期存款的划款指令及存款协议盖章版（传真件或扫描件）按法律法规、基金合同及托管协议的规定提交基金托管人，指令发出后，基金管理人应及时以电话方式向基金托管人确认。对于基金管理人依约定程序发出的指令，基金管理人不得否认其效力。</w:t>
      </w:r>
    </w:p>
    <w:p w14:paraId="2E947981">
      <w:pPr>
        <w:spacing w:line="360" w:lineRule="auto"/>
        <w:ind w:firstLine="420" w:firstLineChars="200"/>
        <w:rPr>
          <w:rFonts w:hint="eastAsia" w:ascii="宋体" w:hAnsi="宋体"/>
          <w:szCs w:val="21"/>
        </w:rPr>
      </w:pPr>
      <w:r>
        <w:rPr>
          <w:rFonts w:hint="eastAsia" w:ascii="宋体" w:hAnsi="宋体"/>
          <w:szCs w:val="21"/>
        </w:rPr>
        <w:t>基金管理人在发送投资指令时，应为基金托管人执行投资指令留出执行指令所必需的时间。投资指令传输不及时、未能留出足够的划款时间，导致资金未能及时到账所造成的损失与基金</w:t>
      </w:r>
      <w:r>
        <w:rPr>
          <w:rFonts w:ascii="宋体" w:hAnsi="宋体"/>
          <w:szCs w:val="21"/>
        </w:rPr>
        <w:t>托管人无关</w:t>
      </w:r>
      <w:r>
        <w:rPr>
          <w:rFonts w:hint="eastAsia" w:ascii="宋体" w:hAnsi="宋体"/>
          <w:szCs w:val="21"/>
        </w:rPr>
        <w:t>。</w:t>
      </w:r>
    </w:p>
    <w:p w14:paraId="4C10BE7B">
      <w:pPr>
        <w:spacing w:line="360" w:lineRule="auto"/>
        <w:ind w:firstLine="420" w:firstLineChars="200"/>
        <w:rPr>
          <w:rFonts w:hint="eastAsia" w:ascii="宋体" w:hAnsi="宋体"/>
          <w:szCs w:val="21"/>
        </w:rPr>
      </w:pPr>
      <w:r>
        <w:rPr>
          <w:rFonts w:hint="eastAsia" w:ascii="宋体" w:hAnsi="宋体"/>
          <w:szCs w:val="21"/>
        </w:rPr>
        <w:t>存款银行无法在存入当日17点前向基金托管人送达存款证实书的，基金管理人应敦促存款银行将存款证实扫描件发送至基金托管人。存款证实书送达基金托管人后，基金托管人负责保管存款证实书原件。基金托管人仅对存款证实书进行形式审核，形式审核内容为账户名称、起息日、到期日、金额、利率。基金托管人不对存款证实书真实性承担审核职责。</w:t>
      </w:r>
    </w:p>
    <w:p w14:paraId="176B8981">
      <w:pPr>
        <w:spacing w:line="360" w:lineRule="auto"/>
        <w:ind w:firstLine="420" w:firstLineChars="200"/>
        <w:rPr>
          <w:rFonts w:hint="eastAsia" w:ascii="宋体" w:hAnsi="宋体"/>
          <w:szCs w:val="21"/>
        </w:rPr>
      </w:pPr>
      <w:r>
        <w:rPr>
          <w:rFonts w:hint="eastAsia" w:ascii="宋体" w:hAnsi="宋体"/>
          <w:szCs w:val="21"/>
        </w:rPr>
        <w:t xml:space="preserve"> 基金管理人与存款银行签订的存款协议，应包括：</w:t>
      </w:r>
    </w:p>
    <w:p w14:paraId="7AE553C1">
      <w:pPr>
        <w:spacing w:line="360" w:lineRule="auto"/>
        <w:ind w:firstLine="420" w:firstLineChars="200"/>
        <w:rPr>
          <w:rFonts w:hint="eastAsia" w:ascii="宋体" w:hAnsi="宋体"/>
          <w:szCs w:val="21"/>
        </w:rPr>
      </w:pPr>
      <w:r>
        <w:rPr>
          <w:rFonts w:hint="eastAsia" w:ascii="宋体" w:hAnsi="宋体"/>
          <w:szCs w:val="21"/>
        </w:rPr>
        <w:t>（1）存款银行为托管资产办理定期存款业务的存款账户开立、资金存入和支取提供必要的支持和高效的结算服务；</w:t>
      </w:r>
    </w:p>
    <w:p w14:paraId="2123EBFB">
      <w:pPr>
        <w:spacing w:line="360" w:lineRule="auto"/>
        <w:ind w:firstLine="420" w:firstLineChars="200"/>
        <w:rPr>
          <w:rFonts w:hint="eastAsia" w:ascii="宋体" w:hAnsi="宋体"/>
          <w:szCs w:val="21"/>
        </w:rPr>
      </w:pPr>
      <w:r>
        <w:rPr>
          <w:rFonts w:hint="eastAsia" w:ascii="宋体" w:hAnsi="宋体"/>
          <w:szCs w:val="21"/>
        </w:rPr>
        <w:t>（2）存款银行为托管资产所投资的定期存款的存款证明文件提供上门服务，即：定期存款资金到账当日，存款银行派授权代理人将“存款证实书”（以下简称“证实书”）妥善送至基金托管人处。“证实书”移交给基金托管人之前，因“证实书”丢失、损毁而造成的一切损失由存款银行承担。</w:t>
      </w:r>
    </w:p>
    <w:p w14:paraId="55510C29">
      <w:pPr>
        <w:spacing w:line="360" w:lineRule="auto"/>
        <w:ind w:firstLine="420" w:firstLineChars="200"/>
        <w:rPr>
          <w:rFonts w:hint="eastAsia" w:ascii="宋体" w:hAnsi="宋体"/>
          <w:szCs w:val="21"/>
        </w:rPr>
      </w:pPr>
      <w:r>
        <w:rPr>
          <w:rFonts w:hint="eastAsia" w:ascii="宋体" w:hAnsi="宋体"/>
          <w:szCs w:val="21"/>
        </w:rPr>
        <w:t>（3）定期存款到期日当日或提前支取日当日，存款银行应派授权代理人前往基金托管人处提取“证实书”。“证实书”移交给存款行授权代理人之后，因“证实书”丢失、损毁而造成的一切损失由存款银行承担。</w:t>
      </w:r>
    </w:p>
    <w:p w14:paraId="3FA9B801">
      <w:pPr>
        <w:spacing w:line="360" w:lineRule="auto"/>
        <w:ind w:firstLine="420" w:firstLineChars="200"/>
        <w:rPr>
          <w:rFonts w:hint="eastAsia" w:ascii="宋体" w:hAnsi="宋体"/>
          <w:szCs w:val="21"/>
        </w:rPr>
      </w:pPr>
      <w:r>
        <w:rPr>
          <w:rFonts w:hint="eastAsia" w:ascii="宋体" w:hAnsi="宋体"/>
          <w:szCs w:val="21"/>
        </w:rPr>
        <w:t>存款银行应至少提前一个工作日向基金托管人提供对前述授权代理人办理相关事务的书面授权书。授权代理人提供上门服务时，应出示有效身份证或工作证。</w:t>
      </w:r>
    </w:p>
    <w:p w14:paraId="21B5E1C6">
      <w:pPr>
        <w:spacing w:line="360" w:lineRule="auto"/>
        <w:ind w:firstLine="420" w:firstLineChars="200"/>
        <w:rPr>
          <w:rFonts w:hint="eastAsia" w:ascii="宋体" w:hAnsi="宋体"/>
          <w:szCs w:val="21"/>
        </w:rPr>
      </w:pPr>
      <w:r>
        <w:rPr>
          <w:rFonts w:hint="eastAsia" w:ascii="宋体" w:hAnsi="宋体"/>
          <w:szCs w:val="21"/>
        </w:rPr>
        <w:t>（4）存款银行应保证及时支付存款本金和利息，于支取当日将本息划付至本基金开立在基金托管人（上海浦东发展银行股份有限公司）处的托管账户， 并列明账户的开户行、账号、户名、大额支付号。存款银行应确认，定期存款的本息只能划入开立在基金托管人的相应托管账户或经基金托管人确认的指定账户。上述指定收款账户信息如需变更，必须经基金托管人书面同意。</w:t>
      </w:r>
    </w:p>
    <w:p w14:paraId="27B0B350">
      <w:pPr>
        <w:spacing w:line="360" w:lineRule="auto"/>
        <w:ind w:firstLine="420" w:firstLineChars="200"/>
        <w:rPr>
          <w:rFonts w:hint="eastAsia" w:ascii="宋体" w:hAnsi="宋体"/>
          <w:szCs w:val="21"/>
        </w:rPr>
      </w:pPr>
      <w:r>
        <w:rPr>
          <w:rFonts w:hint="eastAsia" w:ascii="宋体" w:hAnsi="宋体"/>
          <w:szCs w:val="21"/>
        </w:rPr>
        <w:t>（5）存款银行应为定期存款业务提供定期对账服务。首次对账应不晚于存款资金存入后的一个自然月。除首次对账外，对账频率不少于每半年一次。存款银行应配合基金托管人对“证实书”的书面征询。</w:t>
      </w:r>
    </w:p>
    <w:p w14:paraId="3CC1602C">
      <w:pPr>
        <w:spacing w:line="360" w:lineRule="auto"/>
        <w:ind w:firstLine="420" w:firstLineChars="200"/>
        <w:rPr>
          <w:rFonts w:hint="eastAsia" w:ascii="宋体" w:hAnsi="宋体"/>
          <w:szCs w:val="21"/>
        </w:rPr>
      </w:pPr>
      <w:r>
        <w:rPr>
          <w:rFonts w:hint="eastAsia" w:ascii="宋体" w:hAnsi="宋体"/>
          <w:szCs w:val="21"/>
        </w:rPr>
        <w:t>（6）在存款存续期内， “证实书”的预留印鉴发生变更的，存款银行应配合办理变更手续。</w:t>
      </w:r>
    </w:p>
    <w:p w14:paraId="3616272A">
      <w:pPr>
        <w:spacing w:line="360" w:lineRule="auto"/>
        <w:ind w:firstLine="420" w:firstLineChars="200"/>
        <w:rPr>
          <w:rFonts w:hint="eastAsia" w:ascii="宋体" w:hAnsi="宋体"/>
          <w:szCs w:val="21"/>
        </w:rPr>
      </w:pPr>
      <w:r>
        <w:rPr>
          <w:rFonts w:hint="eastAsia" w:ascii="宋体" w:hAnsi="宋体"/>
          <w:szCs w:val="21"/>
        </w:rPr>
        <w:t>6、本基金拟投资于期货交易市场前，基金管理人、期货经纪机构及基金托管人应当另行签署股指期货投资托管协议。</w:t>
      </w:r>
    </w:p>
    <w:p w14:paraId="63CD4F79">
      <w:pPr>
        <w:pStyle w:val="3"/>
        <w:keepNext w:val="0"/>
        <w:keepLines w:val="0"/>
        <w:spacing w:before="0" w:after="0"/>
        <w:ind w:firstLine="420" w:firstLineChars="200"/>
        <w:jc w:val="left"/>
        <w:rPr>
          <w:rFonts w:hint="eastAsia" w:ascii="宋体" w:hAnsi="宋体" w:eastAsia="宋体"/>
          <w:b w:val="0"/>
          <w:sz w:val="21"/>
          <w:szCs w:val="21"/>
        </w:rPr>
      </w:pPr>
      <w:bookmarkStart w:id="43" w:name="_Toc382819102"/>
      <w:r>
        <w:rPr>
          <w:rFonts w:hint="eastAsia" w:ascii="宋体" w:hAnsi="宋体" w:eastAsia="宋体"/>
          <w:b w:val="0"/>
          <w:sz w:val="21"/>
          <w:szCs w:val="21"/>
        </w:rPr>
        <w:t>（三）可用资金余额的确认</w:t>
      </w:r>
      <w:bookmarkEnd w:id="43"/>
    </w:p>
    <w:p w14:paraId="09FC1E44">
      <w:pPr>
        <w:spacing w:line="360" w:lineRule="auto"/>
        <w:ind w:firstLine="420" w:firstLineChars="200"/>
        <w:rPr>
          <w:rStyle w:val="22"/>
        </w:rPr>
      </w:pPr>
      <w:r>
        <w:rPr>
          <w:rFonts w:hint="eastAsia" w:ascii="宋体" w:hAnsi="宋体"/>
          <w:szCs w:val="21"/>
        </w:rPr>
        <w:t>基金托管人应于每个工作日上午9：30 前将托管账户的可用资金余额以双方认可的方式提供给基金管理人。</w:t>
      </w:r>
    </w:p>
    <w:p w14:paraId="5F03A0E7">
      <w:pPr>
        <w:tabs>
          <w:tab w:val="left" w:pos="4680"/>
        </w:tabs>
        <w:spacing w:line="360" w:lineRule="auto"/>
        <w:ind w:firstLine="420" w:firstLineChars="200"/>
        <w:jc w:val="left"/>
        <w:outlineLvl w:val="1"/>
        <w:rPr>
          <w:rFonts w:hint="eastAsia" w:ascii="宋体" w:hAnsi="宋体"/>
          <w:bCs/>
          <w:szCs w:val="21"/>
        </w:rPr>
      </w:pPr>
      <w:r>
        <w:rPr>
          <w:rFonts w:hint="eastAsia" w:ascii="宋体" w:hAnsi="宋体"/>
          <w:bCs/>
          <w:szCs w:val="21"/>
        </w:rPr>
        <w:t>（四）交易记录、资金、证券账目的核对</w:t>
      </w:r>
    </w:p>
    <w:p w14:paraId="7D2C7694">
      <w:pPr>
        <w:tabs>
          <w:tab w:val="left" w:pos="4680"/>
        </w:tabs>
        <w:spacing w:line="360" w:lineRule="auto"/>
        <w:ind w:firstLine="420" w:firstLineChars="200"/>
        <w:jc w:val="left"/>
        <w:outlineLvl w:val="2"/>
        <w:rPr>
          <w:rFonts w:hint="eastAsia" w:ascii="宋体" w:hAnsi="宋体"/>
          <w:szCs w:val="21"/>
        </w:rPr>
      </w:pPr>
      <w:r>
        <w:rPr>
          <w:rFonts w:hint="eastAsia" w:ascii="宋体" w:hAnsi="宋体"/>
          <w:szCs w:val="21"/>
        </w:rPr>
        <w:t>1、交易记录的核对</w:t>
      </w:r>
    </w:p>
    <w:p w14:paraId="58D8AA4C">
      <w:pPr>
        <w:tabs>
          <w:tab w:val="left" w:pos="4680"/>
        </w:tabs>
        <w:spacing w:line="360" w:lineRule="auto"/>
        <w:ind w:firstLine="420" w:firstLineChars="200"/>
        <w:jc w:val="left"/>
        <w:rPr>
          <w:rFonts w:hint="eastAsia" w:ascii="宋体" w:hAnsi="宋体"/>
          <w:szCs w:val="21"/>
        </w:rPr>
      </w:pPr>
      <w:r>
        <w:rPr>
          <w:rFonts w:hint="eastAsia" w:ascii="宋体" w:hAnsi="宋体"/>
          <w:szCs w:val="21"/>
        </w:rPr>
        <w:t>基金管理人和基金托管人按日进行交易记录的核对。每日对外披露净值之前，必须保证当天所有实际交易记录与基金会计账簿上的交易记录一致。</w:t>
      </w:r>
    </w:p>
    <w:p w14:paraId="181F1F05">
      <w:pPr>
        <w:tabs>
          <w:tab w:val="left" w:pos="4680"/>
        </w:tabs>
        <w:spacing w:line="360" w:lineRule="auto"/>
        <w:ind w:firstLine="420" w:firstLineChars="200"/>
        <w:jc w:val="left"/>
        <w:outlineLvl w:val="2"/>
        <w:rPr>
          <w:rFonts w:hint="eastAsia" w:ascii="宋体" w:hAnsi="宋体"/>
          <w:szCs w:val="21"/>
        </w:rPr>
      </w:pPr>
      <w:r>
        <w:rPr>
          <w:rFonts w:hint="eastAsia" w:ascii="宋体" w:hAnsi="宋体"/>
          <w:szCs w:val="21"/>
        </w:rPr>
        <w:t>2、资金账目的核对</w:t>
      </w:r>
    </w:p>
    <w:p w14:paraId="3ABFBA44">
      <w:pPr>
        <w:tabs>
          <w:tab w:val="left" w:pos="4680"/>
        </w:tabs>
        <w:spacing w:line="360" w:lineRule="auto"/>
        <w:ind w:firstLine="420" w:firstLineChars="200"/>
        <w:jc w:val="left"/>
        <w:rPr>
          <w:rFonts w:hint="eastAsia" w:ascii="宋体" w:hAnsi="宋体"/>
          <w:szCs w:val="21"/>
        </w:rPr>
      </w:pPr>
      <w:r>
        <w:rPr>
          <w:rFonts w:hint="eastAsia" w:ascii="宋体" w:hAnsi="宋体"/>
          <w:szCs w:val="21"/>
        </w:rPr>
        <w:t>资金账目包括基金的银行存款等会计资料。资金账目由基金托管人每日进行账实核对，基金管理人复核基金托管人提供的可用头寸表核对资金余额。银行存款账户每日核对，做到账账相符、账实相符。</w:t>
      </w:r>
    </w:p>
    <w:p w14:paraId="4EA20447">
      <w:pPr>
        <w:tabs>
          <w:tab w:val="left" w:pos="4680"/>
        </w:tabs>
        <w:spacing w:line="360" w:lineRule="auto"/>
        <w:ind w:firstLine="420" w:firstLineChars="200"/>
        <w:jc w:val="left"/>
        <w:outlineLvl w:val="2"/>
        <w:rPr>
          <w:rFonts w:hint="eastAsia" w:ascii="宋体" w:hAnsi="宋体"/>
          <w:szCs w:val="21"/>
        </w:rPr>
      </w:pPr>
      <w:r>
        <w:rPr>
          <w:rFonts w:hint="eastAsia" w:ascii="宋体" w:hAnsi="宋体"/>
          <w:szCs w:val="21"/>
        </w:rPr>
        <w:t>3、证券账目的核对</w:t>
      </w:r>
    </w:p>
    <w:p w14:paraId="7957C945">
      <w:pPr>
        <w:tabs>
          <w:tab w:val="left" w:pos="4680"/>
        </w:tabs>
        <w:spacing w:line="360" w:lineRule="auto"/>
        <w:ind w:firstLine="420" w:firstLineChars="200"/>
        <w:jc w:val="left"/>
        <w:rPr>
          <w:rFonts w:hint="eastAsia" w:ascii="宋体" w:hAnsi="宋体"/>
          <w:szCs w:val="21"/>
        </w:rPr>
      </w:pPr>
      <w:r>
        <w:rPr>
          <w:rFonts w:hint="eastAsia" w:ascii="宋体" w:hAnsi="宋体"/>
          <w:szCs w:val="21"/>
        </w:rPr>
        <w:t>证券账目是指以基金名义开立的证券交易账户和实物托管账户中的证券种类、数量和金额。基金管理人和基金托管人每日核对证券账目余额。证券交易所证券账目每交易日结束后核对一次，银行间市场证券账目每月末核对一次，确保账实相符。</w:t>
      </w:r>
    </w:p>
    <w:p w14:paraId="6DC7D7FF">
      <w:pPr>
        <w:tabs>
          <w:tab w:val="left" w:pos="4680"/>
        </w:tabs>
        <w:spacing w:line="360" w:lineRule="auto"/>
        <w:ind w:firstLine="420" w:firstLineChars="200"/>
        <w:jc w:val="left"/>
        <w:outlineLvl w:val="1"/>
        <w:rPr>
          <w:rFonts w:hint="eastAsia" w:ascii="宋体" w:hAnsi="宋体"/>
          <w:szCs w:val="21"/>
        </w:rPr>
      </w:pPr>
      <w:r>
        <w:rPr>
          <w:rFonts w:hint="eastAsia" w:ascii="宋体" w:hAnsi="宋体"/>
          <w:szCs w:val="21"/>
        </w:rPr>
        <w:t>（五）基金申购、赎回、转换业务处理的基本规定</w:t>
      </w:r>
    </w:p>
    <w:p w14:paraId="21472C8B">
      <w:pPr>
        <w:tabs>
          <w:tab w:val="left" w:pos="4680"/>
        </w:tabs>
        <w:spacing w:line="360" w:lineRule="auto"/>
        <w:ind w:firstLine="420" w:firstLineChars="200"/>
        <w:jc w:val="left"/>
        <w:rPr>
          <w:rFonts w:hint="eastAsia" w:ascii="宋体" w:hAnsi="宋体"/>
          <w:szCs w:val="21"/>
        </w:rPr>
      </w:pPr>
      <w:r>
        <w:rPr>
          <w:rFonts w:hint="eastAsia" w:ascii="宋体" w:hAnsi="宋体"/>
          <w:szCs w:val="21"/>
        </w:rPr>
        <w:t>1、本基金可</w:t>
      </w:r>
      <w:r>
        <w:rPr>
          <w:rFonts w:hint="eastAsia" w:ascii="宋体" w:hAnsi="宋体"/>
          <w:bCs/>
          <w:szCs w:val="21"/>
        </w:rPr>
        <w:t>根据实际情况依法决定开始办理申购，</w:t>
      </w:r>
      <w:r>
        <w:rPr>
          <w:rFonts w:hint="eastAsia" w:ascii="宋体" w:hAnsi="宋体"/>
          <w:szCs w:val="21"/>
        </w:rPr>
        <w:t>自《基金合同》生效后不超过3个月开始办理赎回，具体办理时间以公告为准。基金份额申购、赎回的确认、清算由基金管理人或其委托的登记机构负责。</w:t>
      </w:r>
    </w:p>
    <w:p w14:paraId="0F2886D6">
      <w:pPr>
        <w:tabs>
          <w:tab w:val="left" w:pos="4680"/>
        </w:tabs>
        <w:spacing w:line="360" w:lineRule="auto"/>
        <w:ind w:firstLine="420" w:firstLineChars="200"/>
        <w:jc w:val="left"/>
        <w:rPr>
          <w:rFonts w:hint="eastAsia" w:ascii="宋体" w:hAnsi="宋体"/>
          <w:szCs w:val="21"/>
        </w:rPr>
      </w:pPr>
      <w:r>
        <w:rPr>
          <w:rFonts w:hint="eastAsia" w:ascii="宋体" w:hAnsi="宋体"/>
          <w:szCs w:val="21"/>
        </w:rPr>
        <w:t>2、基金管理人应在每个交易日按本协议相关规定向基金托管人发送基金管理人确认的申购、赎回和转换</w:t>
      </w:r>
      <w:r>
        <w:rPr>
          <w:rFonts w:hint="eastAsia" w:ascii="宋体" w:hAnsi="宋体"/>
          <w:szCs w:val="21"/>
          <w:lang w:eastAsia="zh-Hans"/>
        </w:rPr>
        <w:t>本</w:t>
      </w:r>
      <w:r>
        <w:rPr>
          <w:rFonts w:hint="eastAsia" w:ascii="宋体" w:hAnsi="宋体"/>
          <w:szCs w:val="21"/>
        </w:rPr>
        <w:t>基金的有关数据，并对上述数据的真实、准确、完整性负责。基金托管人应及时查收申购及转入资金的到账情况并根据基金管理人指令及时划付赎回及转出款项。基金管理人应保证本基金（或本基金管理人委托）的登记机构每个工作日15:00 前向基金托管人发送前一开放日的上述有关数据，并保证相关数据的准确、完整。</w:t>
      </w:r>
    </w:p>
    <w:p w14:paraId="586BDDE5">
      <w:pPr>
        <w:tabs>
          <w:tab w:val="left" w:pos="4680"/>
        </w:tabs>
        <w:spacing w:line="360" w:lineRule="auto"/>
        <w:ind w:firstLine="420" w:firstLineChars="200"/>
        <w:jc w:val="left"/>
        <w:rPr>
          <w:rFonts w:hint="eastAsia" w:ascii="宋体" w:hAnsi="宋体"/>
          <w:szCs w:val="21"/>
        </w:rPr>
      </w:pPr>
      <w:r>
        <w:rPr>
          <w:rFonts w:hint="eastAsia" w:ascii="宋体" w:hAnsi="宋体"/>
          <w:szCs w:val="21"/>
        </w:rPr>
        <w:t>3、基金管理人通过与基金托管人建立的共同约定的数据传送系统发送申购赎回等有关数据，如因各种原因，该系统无法正常发送，双方可协商解决处理方式。由此引起基金或本协议一方损失的，由系统无法正常传送数据的一方承担赔偿责任，但不可抗力导致的情形除外；若由双方共同引起，根据各自过错程度承担相应责任。基金管理人向基金托管人发送的数据，双方各自按有关规定保存。</w:t>
      </w:r>
    </w:p>
    <w:p w14:paraId="12E22FE4">
      <w:pPr>
        <w:tabs>
          <w:tab w:val="left" w:pos="4680"/>
        </w:tabs>
        <w:spacing w:line="360" w:lineRule="auto"/>
        <w:ind w:firstLine="420" w:firstLineChars="200"/>
        <w:jc w:val="left"/>
        <w:rPr>
          <w:rFonts w:hint="eastAsia" w:ascii="宋体" w:hAnsi="宋体"/>
          <w:szCs w:val="21"/>
        </w:rPr>
      </w:pPr>
      <w:r>
        <w:rPr>
          <w:rFonts w:hint="eastAsia" w:ascii="宋体" w:hAnsi="宋体"/>
          <w:szCs w:val="21"/>
        </w:rPr>
        <w:t>4、基金管理人应保证其发送的注册登记数据的接口规范与基金托管人的接口规范保持一致。</w:t>
      </w:r>
    </w:p>
    <w:p w14:paraId="7B607159">
      <w:pPr>
        <w:tabs>
          <w:tab w:val="left" w:pos="4680"/>
        </w:tabs>
        <w:spacing w:line="360" w:lineRule="auto"/>
        <w:ind w:firstLine="420" w:firstLineChars="200"/>
        <w:jc w:val="left"/>
        <w:rPr>
          <w:rFonts w:hint="eastAsia" w:ascii="宋体" w:hAnsi="宋体"/>
          <w:szCs w:val="21"/>
        </w:rPr>
      </w:pPr>
      <w:r>
        <w:rPr>
          <w:rFonts w:hint="eastAsia" w:ascii="宋体" w:hAnsi="宋体"/>
          <w:szCs w:val="21"/>
        </w:rPr>
        <w:t>5、基金注册登记清算专用账户的开立和管理</w:t>
      </w:r>
    </w:p>
    <w:p w14:paraId="6695F682">
      <w:pPr>
        <w:tabs>
          <w:tab w:val="left" w:pos="4680"/>
        </w:tabs>
        <w:spacing w:line="360" w:lineRule="auto"/>
        <w:ind w:firstLine="420" w:firstLineChars="200"/>
        <w:jc w:val="left"/>
        <w:rPr>
          <w:rFonts w:hint="eastAsia" w:ascii="宋体" w:hAnsi="宋体"/>
          <w:szCs w:val="21"/>
        </w:rPr>
      </w:pPr>
      <w:r>
        <w:rPr>
          <w:rFonts w:hint="eastAsia" w:ascii="宋体" w:hAnsi="宋体"/>
          <w:szCs w:val="21"/>
        </w:rPr>
        <w:t>为满足申购、赎回等资金汇划的需要，基金管理人应开立用于基金申购、赎回等资金清算的基金注册登记清算专用账户。</w:t>
      </w:r>
    </w:p>
    <w:p w14:paraId="60DFCD15">
      <w:pPr>
        <w:tabs>
          <w:tab w:val="left" w:pos="4680"/>
        </w:tabs>
        <w:spacing w:line="360" w:lineRule="auto"/>
        <w:ind w:firstLine="420" w:firstLineChars="200"/>
        <w:jc w:val="left"/>
        <w:rPr>
          <w:rFonts w:hint="eastAsia" w:ascii="宋体" w:hAnsi="宋体"/>
          <w:kern w:val="21"/>
          <w:szCs w:val="21"/>
        </w:rPr>
      </w:pPr>
      <w:r>
        <w:rPr>
          <w:rFonts w:hint="eastAsia" w:ascii="宋体" w:hAnsi="宋体"/>
          <w:szCs w:val="21"/>
        </w:rPr>
        <w:t>6、</w:t>
      </w:r>
      <w:r>
        <w:rPr>
          <w:rFonts w:hint="eastAsia" w:ascii="宋体" w:hAnsi="宋体"/>
          <w:kern w:val="21"/>
          <w:szCs w:val="21"/>
        </w:rPr>
        <w:t>对于基金申购过程中产生的应收资产，应由基金管理人负责与有关当事人确定到账日期并通知基金托管人，到账日基金资产没有到达基金托管人处的，基金托管人应及时通知基金管理人采取措施进行催收，由此给基金造成损失的，基金管理人应负责向有关当事人追偿基金的损失，</w:t>
      </w:r>
      <w:r>
        <w:rPr>
          <w:rFonts w:hint="eastAsia" w:ascii="宋体" w:hAnsi="宋体"/>
          <w:szCs w:val="21"/>
        </w:rPr>
        <w:t>基金托管人不承担</w:t>
      </w:r>
      <w:r>
        <w:rPr>
          <w:rFonts w:hint="eastAsia" w:ascii="宋体" w:hAnsi="宋体"/>
          <w:szCs w:val="21"/>
          <w:lang w:eastAsia="zh-Hans"/>
        </w:rPr>
        <w:t>相应</w:t>
      </w:r>
      <w:r>
        <w:rPr>
          <w:rFonts w:hint="eastAsia" w:ascii="宋体" w:hAnsi="宋体"/>
          <w:szCs w:val="21"/>
        </w:rPr>
        <w:t>责任</w:t>
      </w:r>
      <w:r>
        <w:rPr>
          <w:rFonts w:hint="eastAsia" w:ascii="宋体" w:hAnsi="宋体"/>
          <w:kern w:val="21"/>
          <w:szCs w:val="21"/>
        </w:rPr>
        <w:t>。</w:t>
      </w:r>
    </w:p>
    <w:p w14:paraId="1B065A76">
      <w:pPr>
        <w:tabs>
          <w:tab w:val="left" w:pos="4680"/>
        </w:tabs>
        <w:spacing w:line="360" w:lineRule="auto"/>
        <w:ind w:firstLine="420" w:firstLineChars="200"/>
        <w:jc w:val="left"/>
        <w:rPr>
          <w:rFonts w:hint="eastAsia" w:ascii="宋体" w:hAnsi="宋体"/>
          <w:szCs w:val="21"/>
        </w:rPr>
      </w:pPr>
      <w:r>
        <w:rPr>
          <w:rFonts w:hint="eastAsia" w:ascii="宋体" w:hAnsi="宋体"/>
          <w:szCs w:val="21"/>
        </w:rPr>
        <w:t>7、赎回资金的支付</w:t>
      </w:r>
    </w:p>
    <w:p w14:paraId="5BC9CFD4">
      <w:pPr>
        <w:tabs>
          <w:tab w:val="left" w:pos="4680"/>
        </w:tabs>
        <w:spacing w:line="360" w:lineRule="auto"/>
        <w:ind w:firstLine="420" w:firstLineChars="200"/>
        <w:jc w:val="left"/>
        <w:rPr>
          <w:rFonts w:hint="eastAsia" w:ascii="宋体" w:hAnsi="宋体"/>
          <w:szCs w:val="21"/>
        </w:rPr>
      </w:pPr>
      <w:r>
        <w:rPr>
          <w:rFonts w:hint="eastAsia" w:ascii="宋体" w:hAnsi="宋体"/>
          <w:szCs w:val="21"/>
        </w:rPr>
        <w:t>基金托管人在根据基金管理人指令支付赎回款时，如托管专户中本基金有足够的资金，基金托管人应按《基金合同》和本协议的规定支付；如托管专户中本基金有足额的资金且基金托管人有足够合理的时间进行划款，而基金托管人未及时执行合法合规的指令的，责任由基金托管人承担，但不可抗力导致的情形除外。因托管专户中本基金没有足够的资金，导致基金托管人不能按时支付，如是基金管理人的原因造成，责任由基金管理人承担，基金托管人不承担垫款义务，但基金托管人应及时通知基金管理人；如是除基金管理人、基金托管人外的第三方原因造成的，责任由第三方承担，基金托管人不承担垫款义务，若给基金份额持有人造成损失的，基金托管人负有配合基金管理人向第三方追偿的义务。</w:t>
      </w:r>
    </w:p>
    <w:p w14:paraId="0C30C990">
      <w:pPr>
        <w:tabs>
          <w:tab w:val="left" w:pos="4680"/>
        </w:tabs>
        <w:spacing w:line="360" w:lineRule="auto"/>
        <w:ind w:firstLine="420" w:firstLineChars="200"/>
        <w:jc w:val="left"/>
        <w:rPr>
          <w:rFonts w:hint="eastAsia" w:ascii="宋体" w:hAnsi="宋体"/>
          <w:szCs w:val="21"/>
        </w:rPr>
      </w:pPr>
      <w:r>
        <w:rPr>
          <w:rFonts w:hint="eastAsia" w:ascii="宋体" w:hAnsi="宋体"/>
          <w:szCs w:val="21"/>
        </w:rPr>
        <w:t>8、资金支付执行和责任界定</w:t>
      </w:r>
    </w:p>
    <w:p w14:paraId="74BE8C12">
      <w:pPr>
        <w:tabs>
          <w:tab w:val="left" w:pos="4680"/>
        </w:tabs>
        <w:spacing w:line="360" w:lineRule="auto"/>
        <w:ind w:firstLine="420" w:firstLineChars="200"/>
        <w:jc w:val="left"/>
        <w:rPr>
          <w:rFonts w:hint="eastAsia" w:ascii="宋体" w:hAnsi="宋体"/>
          <w:szCs w:val="21"/>
        </w:rPr>
      </w:pPr>
      <w:r>
        <w:rPr>
          <w:rFonts w:hint="eastAsia" w:ascii="宋体" w:hAnsi="宋体"/>
          <w:szCs w:val="21"/>
        </w:rPr>
        <w:t xml:space="preserve"> 除申购款项到达基金托管人处的基金账户需双方按约定方式对账外，净额划出、赎回资金支付时，应按照本协议相关规定执行。若本协议没有规定的按双方协商一致内容执行。</w:t>
      </w:r>
    </w:p>
    <w:p w14:paraId="0D98D649">
      <w:pPr>
        <w:tabs>
          <w:tab w:val="left" w:pos="4680"/>
        </w:tabs>
        <w:spacing w:line="360" w:lineRule="auto"/>
        <w:ind w:firstLine="420" w:firstLineChars="200"/>
        <w:jc w:val="left"/>
        <w:rPr>
          <w:rFonts w:hint="eastAsia" w:ascii="宋体" w:hAnsi="宋体"/>
          <w:szCs w:val="21"/>
        </w:rPr>
      </w:pPr>
      <w:r>
        <w:rPr>
          <w:rFonts w:hint="eastAsia" w:ascii="宋体" w:hAnsi="宋体"/>
          <w:szCs w:val="21"/>
        </w:rPr>
        <w:t>基金管理人和基金托管人应采取所有必要措施确保申购和赎回等资金在本协议相关规定的时间内划到指定账户。但由于基金管理人和基金托管人之外的第三方原因、不可抗力原因导致资金不能按时到账的，基金管理人和基金托管人不承担由此产生的责任。如因此给基金造成损失的，基金管理人应负责向第三方追偿，基金托管人有义务协助追偿。</w:t>
      </w:r>
    </w:p>
    <w:p w14:paraId="26EB93E9">
      <w:pPr>
        <w:tabs>
          <w:tab w:val="left" w:pos="4680"/>
        </w:tabs>
        <w:spacing w:line="360" w:lineRule="auto"/>
        <w:ind w:firstLine="420" w:firstLineChars="200"/>
        <w:jc w:val="left"/>
        <w:rPr>
          <w:rFonts w:hint="eastAsia" w:ascii="宋体" w:hAnsi="宋体"/>
          <w:szCs w:val="21"/>
        </w:rPr>
      </w:pPr>
      <w:r>
        <w:rPr>
          <w:rFonts w:hint="eastAsia" w:ascii="宋体" w:hAnsi="宋体"/>
          <w:szCs w:val="21"/>
        </w:rPr>
        <w:t>9、暂停赎回和巨额赎回处理</w:t>
      </w:r>
    </w:p>
    <w:p w14:paraId="1FCE4EE7">
      <w:pPr>
        <w:tabs>
          <w:tab w:val="left" w:pos="4680"/>
        </w:tabs>
        <w:spacing w:line="360" w:lineRule="auto"/>
        <w:ind w:firstLine="420" w:firstLineChars="200"/>
        <w:jc w:val="left"/>
        <w:rPr>
          <w:rFonts w:hint="eastAsia" w:ascii="宋体" w:hAnsi="宋体"/>
          <w:szCs w:val="21"/>
        </w:rPr>
      </w:pPr>
      <w:r>
        <w:rPr>
          <w:rFonts w:hint="eastAsia" w:ascii="宋体" w:hAnsi="宋体"/>
          <w:szCs w:val="21"/>
        </w:rPr>
        <w:t>基金管理人应严格按照相关法律法规以及《基金合同》的规定，对暂停赎回的情形进行相应处理，并在发生暂停赎回的当日及时以双方认可的形式通知基金托管人。基金管理人应严格按照相关法律法规以及《基金合同》的规定，对巨额赎回的情形进行相应处理，并在决定部分延期赎回的当日及时以双方认可的形式通知基金托管人。</w:t>
      </w:r>
    </w:p>
    <w:p w14:paraId="354364B8">
      <w:pPr>
        <w:tabs>
          <w:tab w:val="left" w:pos="4680"/>
        </w:tabs>
        <w:spacing w:line="360" w:lineRule="auto"/>
        <w:ind w:firstLine="420" w:firstLineChars="200"/>
        <w:jc w:val="left"/>
        <w:outlineLvl w:val="1"/>
        <w:rPr>
          <w:rFonts w:hint="eastAsia" w:ascii="宋体" w:hAnsi="宋体"/>
          <w:szCs w:val="21"/>
        </w:rPr>
      </w:pPr>
      <w:r>
        <w:rPr>
          <w:rFonts w:hint="eastAsia" w:ascii="宋体" w:hAnsi="宋体"/>
          <w:szCs w:val="21"/>
        </w:rPr>
        <w:t>（六）申购赎回资金结算</w:t>
      </w:r>
    </w:p>
    <w:p w14:paraId="622A862A">
      <w:pPr>
        <w:tabs>
          <w:tab w:val="left" w:pos="4680"/>
        </w:tabs>
        <w:spacing w:line="360" w:lineRule="auto"/>
        <w:ind w:firstLine="420" w:firstLineChars="200"/>
        <w:jc w:val="left"/>
        <w:rPr>
          <w:rFonts w:hint="eastAsia" w:ascii="宋体" w:hAnsi="宋体"/>
          <w:szCs w:val="21"/>
        </w:rPr>
      </w:pPr>
      <w:r>
        <w:rPr>
          <w:rFonts w:hint="eastAsia" w:ascii="宋体" w:hAnsi="宋体"/>
          <w:szCs w:val="21"/>
        </w:rPr>
        <w:t>1、基金管理人负责根据T日投资人申购、赎回基金的确认数据汇总传输给基金托管人。基金管理人和基金托管人据此进行申购、赎回的基金会计处理。</w:t>
      </w:r>
    </w:p>
    <w:p w14:paraId="2EA53CFD">
      <w:pPr>
        <w:tabs>
          <w:tab w:val="left" w:pos="4680"/>
        </w:tabs>
        <w:spacing w:line="360" w:lineRule="auto"/>
        <w:ind w:firstLine="420" w:firstLineChars="200"/>
        <w:jc w:val="left"/>
        <w:rPr>
          <w:rFonts w:hint="eastAsia" w:ascii="宋体" w:hAnsi="宋体"/>
          <w:szCs w:val="21"/>
        </w:rPr>
      </w:pPr>
      <w:r>
        <w:rPr>
          <w:rFonts w:hint="eastAsia" w:ascii="宋体" w:hAnsi="宋体"/>
          <w:szCs w:val="21"/>
        </w:rPr>
        <w:t>T日申购、赎回申请的对应款项在</w:t>
      </w:r>
      <w:r>
        <w:rPr>
          <w:rFonts w:ascii="宋体" w:hAnsi="宋体"/>
          <w:szCs w:val="21"/>
        </w:rPr>
        <w:t>指定时间进行</w:t>
      </w:r>
      <w:r>
        <w:rPr>
          <w:rFonts w:hint="eastAsia" w:ascii="宋体" w:hAnsi="宋体"/>
          <w:szCs w:val="21"/>
        </w:rPr>
        <w:t>交收。基金托管账户与“基金清算账户”间的资金结算遵循“全额清算、净额交收”的原则，每日按照托管账户应收资金与应付资金的差额来确定当日托管账户净应收额或净应付额，以此确定资金交收额。如存在托管账户净应收额时，基金管理人应在交收</w:t>
      </w:r>
      <w:r>
        <w:rPr>
          <w:rFonts w:ascii="宋体" w:hAnsi="宋体"/>
          <w:szCs w:val="21"/>
        </w:rPr>
        <w:t>日</w:t>
      </w:r>
      <w:r>
        <w:rPr>
          <w:rFonts w:hint="eastAsia" w:ascii="宋体" w:hAnsi="宋体"/>
          <w:szCs w:val="21"/>
        </w:rPr>
        <w:t>17:00之前从基金清算账户划到基金托管账户，基金托管人在资金到账后应立即通知基金管理人，并将有关书面凭证传真给基金管理人进行账务管理；如存在托管账户净应付额时，基金管理人应在前一工作日将划款指令发送给基金托管人，基金托管人按基金管理人的划款指令将托管账户净应付额在交收日12:00 之前划往基金清算账户，基金托管人在资金划出后立即通知基金管理人，并将有关书面凭证交给基金管理人进行账务管理。</w:t>
      </w:r>
    </w:p>
    <w:p w14:paraId="475D1A7C">
      <w:pPr>
        <w:tabs>
          <w:tab w:val="left" w:pos="4680"/>
        </w:tabs>
        <w:spacing w:line="360" w:lineRule="auto"/>
        <w:ind w:firstLine="420" w:firstLineChars="200"/>
        <w:jc w:val="left"/>
        <w:rPr>
          <w:rFonts w:hint="eastAsia" w:ascii="宋体" w:hAnsi="宋体"/>
          <w:szCs w:val="21"/>
        </w:rPr>
      </w:pPr>
      <w:r>
        <w:rPr>
          <w:rFonts w:hint="eastAsia" w:ascii="宋体" w:hAnsi="宋体"/>
          <w:szCs w:val="21"/>
        </w:rPr>
        <w:t>当存在托管账户净应付额时，如基金银行账户有足够的资金，基金托管人应按时拨付；因基金银行账户没有足够的资金，导致基金托管人不能按时拨付，基金托管人应及时通知基金管理人，如系基金管理人的原因造成，责任由基金管理人承担，基金托管人不承担垫款义务。</w:t>
      </w:r>
    </w:p>
    <w:p w14:paraId="049C3EA7">
      <w:pPr>
        <w:tabs>
          <w:tab w:val="left" w:pos="4680"/>
        </w:tabs>
        <w:spacing w:line="360" w:lineRule="auto"/>
        <w:ind w:firstLine="420" w:firstLineChars="200"/>
        <w:jc w:val="left"/>
        <w:outlineLvl w:val="1"/>
        <w:rPr>
          <w:rFonts w:hint="eastAsia" w:ascii="宋体" w:hAnsi="宋体"/>
          <w:bCs/>
          <w:szCs w:val="21"/>
        </w:rPr>
      </w:pPr>
      <w:r>
        <w:rPr>
          <w:rFonts w:hint="eastAsia" w:ascii="宋体" w:hAnsi="宋体"/>
          <w:bCs/>
          <w:szCs w:val="21"/>
        </w:rPr>
        <w:t>（七）基金转换</w:t>
      </w:r>
    </w:p>
    <w:p w14:paraId="28FAF501">
      <w:pPr>
        <w:tabs>
          <w:tab w:val="left" w:pos="4680"/>
        </w:tabs>
        <w:spacing w:line="360" w:lineRule="auto"/>
        <w:ind w:firstLine="420" w:firstLineChars="200"/>
        <w:jc w:val="left"/>
        <w:rPr>
          <w:rFonts w:hint="eastAsia" w:ascii="宋体" w:hAnsi="宋体"/>
          <w:szCs w:val="21"/>
        </w:rPr>
      </w:pPr>
      <w:r>
        <w:rPr>
          <w:rFonts w:hint="eastAsia" w:ascii="宋体" w:hAnsi="宋体"/>
          <w:szCs w:val="21"/>
        </w:rPr>
        <w:t>基金管理人与基金托管人按照相关法律法规、《基金合同》、以及本协议的规定办理基金转换。</w:t>
      </w:r>
    </w:p>
    <w:p w14:paraId="7A3EAA29">
      <w:pPr>
        <w:tabs>
          <w:tab w:val="left" w:pos="4680"/>
        </w:tabs>
        <w:spacing w:line="360" w:lineRule="auto"/>
        <w:ind w:firstLine="420" w:firstLineChars="200"/>
        <w:jc w:val="left"/>
        <w:outlineLvl w:val="1"/>
        <w:rPr>
          <w:rFonts w:hint="eastAsia" w:ascii="宋体" w:hAnsi="宋体"/>
          <w:bCs/>
          <w:szCs w:val="21"/>
        </w:rPr>
      </w:pPr>
      <w:r>
        <w:rPr>
          <w:rFonts w:hint="eastAsia" w:ascii="宋体" w:hAnsi="宋体"/>
          <w:bCs/>
          <w:szCs w:val="21"/>
        </w:rPr>
        <w:t>(八)基金出现超买或超卖的责任认定及处理程序</w:t>
      </w:r>
    </w:p>
    <w:p w14:paraId="4D5E41D3">
      <w:pPr>
        <w:spacing w:line="360" w:lineRule="auto"/>
        <w:ind w:firstLine="420" w:firstLineChars="200"/>
        <w:rPr>
          <w:rFonts w:hint="eastAsia" w:ascii="宋体" w:hAnsi="宋体"/>
          <w:szCs w:val="21"/>
        </w:rPr>
      </w:pPr>
      <w:r>
        <w:rPr>
          <w:rFonts w:hint="eastAsia" w:ascii="宋体" w:hAnsi="宋体"/>
          <w:szCs w:val="21"/>
        </w:rPr>
        <w:t>基金托管人在履行监督职能时，如果发现基金投资证券过程中出现超买或超卖现象，应立即提醒基金管理人，由基金管理人负责解决，由此给基金及基金托管人造成的损失由基金管理人承担。</w:t>
      </w:r>
    </w:p>
    <w:p w14:paraId="752FF785">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44" w:name="_Toc382819103"/>
      <w:r>
        <w:rPr>
          <w:rFonts w:hint="eastAsia" w:ascii="宋体" w:hAnsi="宋体" w:eastAsia="宋体" w:cs="Arial"/>
          <w:sz w:val="21"/>
          <w:szCs w:val="21"/>
        </w:rPr>
        <w:t>基金资产净值计算和会计核算</w:t>
      </w:r>
      <w:bookmarkEnd w:id="44"/>
    </w:p>
    <w:p w14:paraId="491A021D">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45" w:name="_Toc382819104"/>
      <w:r>
        <w:rPr>
          <w:rFonts w:hint="eastAsia" w:ascii="宋体" w:hAnsi="宋体" w:eastAsia="宋体"/>
          <w:b w:val="0"/>
          <w:bCs w:val="0"/>
          <w:sz w:val="21"/>
          <w:szCs w:val="21"/>
        </w:rPr>
        <w:t>（一）基金资产净值的计算</w:t>
      </w:r>
      <w:r>
        <w:rPr>
          <w:rFonts w:hint="eastAsia" w:ascii="宋体" w:hAnsi="宋体" w:eastAsia="宋体"/>
          <w:sz w:val="21"/>
          <w:szCs w:val="21"/>
        </w:rPr>
        <w:t>、</w:t>
      </w:r>
      <w:r>
        <w:rPr>
          <w:rFonts w:hint="eastAsia" w:ascii="宋体" w:hAnsi="宋体" w:eastAsia="宋体"/>
          <w:b w:val="0"/>
          <w:bCs w:val="0"/>
          <w:sz w:val="21"/>
          <w:szCs w:val="21"/>
        </w:rPr>
        <w:t>复核的时间和程序</w:t>
      </w:r>
      <w:bookmarkEnd w:id="45"/>
    </w:p>
    <w:p w14:paraId="51A36062">
      <w:pPr>
        <w:spacing w:line="440" w:lineRule="atLeast"/>
        <w:ind w:right="28" w:firstLine="420" w:firstLineChars="200"/>
        <w:rPr>
          <w:rFonts w:hint="eastAsia" w:ascii="宋体" w:hAnsi="宋体"/>
          <w:szCs w:val="21"/>
        </w:rPr>
      </w:pPr>
      <w:r>
        <w:rPr>
          <w:rFonts w:hint="eastAsia" w:ascii="宋体" w:hAnsi="宋体"/>
          <w:szCs w:val="21"/>
        </w:rPr>
        <w:t>基金资产净值是指基金资产总值减去基金负债后的价值。</w:t>
      </w:r>
      <w:r>
        <w:rPr>
          <w:rFonts w:hint="eastAsia" w:ascii="宋体" w:hAnsi="宋体"/>
          <w:bCs/>
          <w:szCs w:val="21"/>
        </w:rPr>
        <w:t>各类</w:t>
      </w:r>
      <w:r>
        <w:rPr>
          <w:rFonts w:ascii="宋体" w:hAnsi="宋体"/>
          <w:bCs/>
          <w:szCs w:val="21"/>
        </w:rPr>
        <w:t>基金份额</w:t>
      </w:r>
      <w:r>
        <w:rPr>
          <w:rFonts w:hint="eastAsia" w:ascii="宋体" w:hAnsi="宋体"/>
          <w:bCs/>
          <w:szCs w:val="21"/>
        </w:rPr>
        <w:t>的</w:t>
      </w:r>
      <w:r>
        <w:rPr>
          <w:rFonts w:ascii="宋体" w:hAnsi="宋体"/>
          <w:bCs/>
          <w:szCs w:val="21"/>
        </w:rPr>
        <w:t>基金份额净值是按照每个工作日闭市后，</w:t>
      </w:r>
      <w:r>
        <w:rPr>
          <w:rFonts w:hint="eastAsia" w:ascii="宋体" w:hAnsi="宋体"/>
          <w:bCs/>
          <w:szCs w:val="21"/>
        </w:rPr>
        <w:t>该类基金份额的</w:t>
      </w:r>
      <w:r>
        <w:rPr>
          <w:rFonts w:ascii="宋体" w:hAnsi="宋体"/>
          <w:bCs/>
          <w:szCs w:val="21"/>
        </w:rPr>
        <w:t>基金资产净值除以当日</w:t>
      </w:r>
      <w:r>
        <w:rPr>
          <w:rFonts w:hint="eastAsia" w:ascii="宋体" w:hAnsi="宋体"/>
          <w:bCs/>
          <w:szCs w:val="21"/>
        </w:rPr>
        <w:t>该类</w:t>
      </w:r>
      <w:r>
        <w:rPr>
          <w:rFonts w:ascii="宋体" w:hAnsi="宋体"/>
          <w:bCs/>
          <w:szCs w:val="21"/>
        </w:rPr>
        <w:t>基金份额的余额数量计算，</w:t>
      </w:r>
      <w:r>
        <w:rPr>
          <w:rFonts w:hint="eastAsia" w:ascii="宋体" w:hAnsi="宋体"/>
          <w:bCs/>
          <w:szCs w:val="21"/>
        </w:rPr>
        <w:t>均</w:t>
      </w:r>
      <w:r>
        <w:rPr>
          <w:rFonts w:ascii="宋体" w:hAnsi="宋体"/>
          <w:bCs/>
          <w:szCs w:val="21"/>
        </w:rPr>
        <w:t>精确到</w:t>
      </w:r>
      <w:r>
        <w:rPr>
          <w:rFonts w:hint="eastAsia" w:ascii="宋体" w:hAnsi="宋体"/>
          <w:bCs/>
          <w:szCs w:val="21"/>
        </w:rPr>
        <w:t>0.0001</w:t>
      </w:r>
      <w:r>
        <w:rPr>
          <w:rFonts w:ascii="宋体" w:hAnsi="宋体"/>
          <w:bCs/>
          <w:szCs w:val="21"/>
        </w:rPr>
        <w:t>元，小数点后第</w:t>
      </w:r>
      <w:r>
        <w:rPr>
          <w:rFonts w:hint="eastAsia" w:ascii="宋体" w:hAnsi="宋体"/>
          <w:bCs/>
          <w:szCs w:val="21"/>
        </w:rPr>
        <w:t>5</w:t>
      </w:r>
      <w:r>
        <w:rPr>
          <w:rFonts w:ascii="宋体" w:hAnsi="宋体"/>
          <w:bCs/>
          <w:szCs w:val="21"/>
        </w:rPr>
        <w:t>位四舍五入</w:t>
      </w:r>
      <w:r>
        <w:rPr>
          <w:rFonts w:hint="eastAsia" w:ascii="宋体" w:hAnsi="宋体"/>
          <w:bCs/>
          <w:szCs w:val="21"/>
        </w:rPr>
        <w:t>，由此产生的误差计入基金财产</w:t>
      </w:r>
      <w:r>
        <w:rPr>
          <w:rFonts w:ascii="宋体" w:hAnsi="宋体"/>
          <w:bCs/>
          <w:szCs w:val="21"/>
        </w:rPr>
        <w:t>。</w:t>
      </w:r>
      <w:r>
        <w:rPr>
          <w:rFonts w:hint="eastAsia" w:ascii="宋体" w:hAnsi="宋体"/>
          <w:bCs/>
          <w:szCs w:val="21"/>
        </w:rPr>
        <w:t>基金管理人可以设立大额赎回情形下的净值精度应急调整机制，具体可参见相关公告。</w:t>
      </w:r>
      <w:r>
        <w:rPr>
          <w:rFonts w:ascii="宋体" w:hAnsi="宋体"/>
          <w:bCs/>
          <w:szCs w:val="21"/>
        </w:rPr>
        <w:t>国家另有规定的，从其规定。</w:t>
      </w:r>
    </w:p>
    <w:p w14:paraId="438694B6">
      <w:pPr>
        <w:spacing w:line="440" w:lineRule="atLeast"/>
        <w:ind w:right="28" w:firstLine="420" w:firstLineChars="200"/>
        <w:rPr>
          <w:rFonts w:hint="eastAsia" w:ascii="宋体" w:hAnsi="宋体"/>
          <w:szCs w:val="21"/>
        </w:rPr>
      </w:pPr>
      <w:r>
        <w:rPr>
          <w:rFonts w:hint="eastAsia" w:ascii="宋体" w:hAnsi="宋体"/>
          <w:szCs w:val="21"/>
        </w:rPr>
        <w:t>每个工作日，基金管理人应对基金资产估值，但基金管理人根据法律法规或基金合同的规定暂停估值时除外。估值原则应符合《基金合同》、《证券投资基金会计核算业务指引》及其他法律、法规的规定</w:t>
      </w:r>
      <w:r>
        <w:rPr>
          <w:rFonts w:hint="eastAsia" w:ascii="宋体" w:hAnsi="宋体"/>
          <w:color w:val="000000"/>
          <w:szCs w:val="21"/>
        </w:rPr>
        <w:t>。</w:t>
      </w:r>
      <w:r>
        <w:rPr>
          <w:rFonts w:hint="eastAsia" w:ascii="宋体" w:hAnsi="宋体" w:cs="宋体"/>
          <w:color w:val="000000"/>
          <w:kern w:val="0"/>
          <w:szCs w:val="21"/>
        </w:rPr>
        <w:t>基金管理人应于每个工作日交易结束后计算当日的各类基金份额净值和基金资产净值并以双方认可的方式发送给基金托管人。基金托管人对净值计算结果复核后以双方认可的方式发送给基金管理人，由基金管理人按约定对外公布。</w:t>
      </w:r>
    </w:p>
    <w:p w14:paraId="7213FEEC">
      <w:pPr>
        <w:spacing w:line="440" w:lineRule="atLeast"/>
        <w:ind w:right="28" w:firstLine="420" w:firstLineChars="200"/>
        <w:rPr>
          <w:rFonts w:hint="eastAsia" w:ascii="宋体" w:hAnsi="宋体"/>
          <w:szCs w:val="21"/>
        </w:rPr>
      </w:pPr>
      <w:r>
        <w:rPr>
          <w:rFonts w:hint="eastAsia" w:ascii="宋体" w:hAnsi="宋体"/>
          <w:szCs w:val="21"/>
        </w:rPr>
        <w:t>根据《基金法》等法律法规，基金管理人计算并公告基金净值信息，基金托管人复核、审查基金管理人计算的基金净值信息。本基金的基金会计责任方是基金管理人，就与本基金有关的会计问题，如经相关各方在平等基础上充分讨论后，仍无法达成一致的意见，按照基金管理人对基金净值信息的计算结果对外予以公布，但基金托管人应及时提示基金管理人按照有关法律法规进行信息披露。法律法规以及监管部门有强制规定的，从其规定。如有新增事项，按国家最新规定估值。</w:t>
      </w:r>
    </w:p>
    <w:p w14:paraId="4A73827C">
      <w:pPr>
        <w:pStyle w:val="3"/>
        <w:keepNext w:val="0"/>
        <w:keepLines w:val="0"/>
        <w:autoSpaceDE w:val="0"/>
        <w:autoSpaceDN w:val="0"/>
        <w:adjustRightInd w:val="0"/>
        <w:spacing w:before="0" w:after="0" w:line="440" w:lineRule="atLeast"/>
        <w:ind w:firstLine="420" w:firstLineChars="200"/>
        <w:textAlignment w:val="baseline"/>
        <w:rPr>
          <w:rFonts w:hint="eastAsia" w:ascii="宋体" w:hAnsi="宋体" w:eastAsia="宋体"/>
          <w:b w:val="0"/>
          <w:bCs w:val="0"/>
          <w:sz w:val="21"/>
          <w:szCs w:val="21"/>
        </w:rPr>
      </w:pPr>
      <w:bookmarkStart w:id="46" w:name="_Toc382819105"/>
      <w:r>
        <w:rPr>
          <w:rFonts w:hint="eastAsia" w:ascii="宋体" w:hAnsi="宋体" w:eastAsia="宋体"/>
          <w:b w:val="0"/>
          <w:bCs w:val="0"/>
          <w:sz w:val="21"/>
          <w:szCs w:val="21"/>
        </w:rPr>
        <w:t>（二）基金资产估值</w:t>
      </w:r>
      <w:bookmarkEnd w:id="46"/>
    </w:p>
    <w:p w14:paraId="3781764B">
      <w:pPr>
        <w:spacing w:line="440" w:lineRule="atLeast"/>
        <w:ind w:right="28" w:firstLine="420" w:firstLineChars="200"/>
        <w:rPr>
          <w:rFonts w:hint="eastAsia" w:ascii="宋体" w:hAnsi="宋体"/>
          <w:szCs w:val="21"/>
        </w:rPr>
      </w:pPr>
      <w:r>
        <w:rPr>
          <w:rFonts w:hint="eastAsia" w:ascii="宋体" w:hAnsi="宋体"/>
          <w:szCs w:val="21"/>
        </w:rPr>
        <w:t>估值原则应符合《基金合同》、《证券投资基金会计核算业务指引》及其他法律法规的规定的约定。</w:t>
      </w:r>
    </w:p>
    <w:p w14:paraId="6621B8F3">
      <w:pPr>
        <w:spacing w:line="440" w:lineRule="atLeast"/>
        <w:ind w:right="28" w:firstLine="420" w:firstLineChars="200"/>
        <w:rPr>
          <w:rFonts w:hint="eastAsia" w:ascii="宋体" w:hAnsi="宋体"/>
          <w:szCs w:val="21"/>
        </w:rPr>
      </w:pPr>
      <w:r>
        <w:rPr>
          <w:rFonts w:hint="eastAsia" w:ascii="宋体" w:hAnsi="宋体"/>
          <w:szCs w:val="21"/>
        </w:rPr>
        <w:t>当相关法律法规或《基金合同》规定的估值方法不能客观反映基金财产公允价值时，基金管理人可根据具体情况，并与基金托管人商定后，按最能反映公允价值的价格估值。</w:t>
      </w:r>
    </w:p>
    <w:p w14:paraId="410D5BD3">
      <w:pPr>
        <w:spacing w:line="440" w:lineRule="atLeast"/>
        <w:ind w:right="28" w:firstLine="420" w:firstLineChars="200"/>
        <w:rPr>
          <w:rFonts w:hint="eastAsia" w:ascii="宋体" w:hAnsi="宋体"/>
          <w:szCs w:val="21"/>
        </w:rPr>
      </w:pPr>
      <w:r>
        <w:rPr>
          <w:rFonts w:hint="eastAsia" w:ascii="宋体" w:hAnsi="宋体"/>
          <w:szCs w:val="21"/>
        </w:rPr>
        <w:t>对于公开市场无法获取，仅能依赖基金管理人提供核算所需数据的情况，基金托管人不对该类数据的真实性、准确性、完整性负责。</w:t>
      </w:r>
    </w:p>
    <w:p w14:paraId="04D611E0">
      <w:pPr>
        <w:pStyle w:val="3"/>
        <w:keepNext w:val="0"/>
        <w:keepLines w:val="0"/>
        <w:autoSpaceDE w:val="0"/>
        <w:autoSpaceDN w:val="0"/>
        <w:adjustRightInd w:val="0"/>
        <w:spacing w:before="0" w:after="0" w:line="440" w:lineRule="atLeast"/>
        <w:ind w:firstLine="420" w:firstLineChars="200"/>
        <w:textAlignment w:val="baseline"/>
        <w:rPr>
          <w:rFonts w:hint="eastAsia" w:ascii="宋体" w:hAnsi="宋体"/>
          <w:szCs w:val="21"/>
        </w:rPr>
      </w:pPr>
      <w:bookmarkStart w:id="47" w:name="_Toc382819106"/>
      <w:r>
        <w:rPr>
          <w:rFonts w:hint="eastAsia" w:ascii="宋体" w:hAnsi="宋体" w:eastAsia="宋体"/>
          <w:b w:val="0"/>
          <w:bCs w:val="0"/>
          <w:sz w:val="21"/>
          <w:szCs w:val="21"/>
        </w:rPr>
        <w:t>（三）实施侧袋机制期间的基金资产估值</w:t>
      </w:r>
    </w:p>
    <w:p w14:paraId="080B4106">
      <w:pPr>
        <w:spacing w:line="440" w:lineRule="atLeast"/>
        <w:ind w:right="28" w:firstLine="420" w:firstLineChars="200"/>
        <w:rPr>
          <w:rFonts w:hint="eastAsia" w:ascii="宋体" w:hAnsi="宋体"/>
          <w:szCs w:val="21"/>
        </w:rPr>
      </w:pPr>
      <w:r>
        <w:rPr>
          <w:rFonts w:hint="eastAsia" w:ascii="宋体" w:hAnsi="宋体"/>
          <w:szCs w:val="21"/>
        </w:rPr>
        <w:t>本基金实施侧袋机制的，应根据基金合同的约定对主袋账户资产进行估值并披露主袋账户的基金净值信息，暂停披露侧袋账户份额净值。</w:t>
      </w:r>
    </w:p>
    <w:p w14:paraId="0BC6E46E">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（四）估值错误处理</w:t>
      </w:r>
      <w:bookmarkEnd w:id="47"/>
    </w:p>
    <w:p w14:paraId="5A8A7E10">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48" w:name="_Toc382819107"/>
      <w:r>
        <w:rPr>
          <w:rFonts w:hint="eastAsia" w:ascii="宋体" w:hAnsi="宋体" w:eastAsia="宋体"/>
          <w:b w:val="0"/>
          <w:bCs w:val="0"/>
          <w:sz w:val="21"/>
          <w:szCs w:val="21"/>
        </w:rPr>
        <w:t>1.当任一类基金份额净值小数点后</w:t>
      </w:r>
      <w:r>
        <w:rPr>
          <w:rFonts w:ascii="宋体" w:hAnsi="宋体" w:eastAsia="宋体"/>
          <w:b w:val="0"/>
          <w:bCs w:val="0"/>
          <w:sz w:val="21"/>
          <w:szCs w:val="21"/>
        </w:rPr>
        <w:t>4位以内(含第4位)</w:t>
      </w:r>
      <w:r>
        <w:rPr>
          <w:rFonts w:hint="eastAsia" w:ascii="宋体" w:hAnsi="宋体" w:eastAsia="宋体"/>
          <w:b w:val="0"/>
          <w:bCs w:val="0"/>
          <w:sz w:val="21"/>
          <w:szCs w:val="21"/>
        </w:rPr>
        <w:t>发生估值错误时，视为该类基金份额净值错误；基金份额净值计算出现错误时，基金管理人应当立即予以纠正，通报基金托管人，并采取合理的措施防止损失进一步扩大；任一类基金份额的错误偏差达到该类基金份额净值的0.25%时，基金管理人应当通报基金托管人并报中国证监会备案；错误偏差达到该类基金份额净值的0.5%时，基金管理人应当公告并报中国证监会备案；当发生净值计算错误时，由基金管理人负责处理，由此给基金份额持有人和基金造成损失的，应由基金管理人先行赔付，基金管理人按差错情形，有权向其他当事人追偿。</w:t>
      </w:r>
      <w:bookmarkEnd w:id="48"/>
    </w:p>
    <w:p w14:paraId="0F16D68F">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49" w:name="_Toc382819108"/>
      <w:r>
        <w:rPr>
          <w:rFonts w:hint="eastAsia" w:ascii="宋体" w:hAnsi="宋体" w:eastAsia="宋体"/>
          <w:b w:val="0"/>
          <w:bCs w:val="0"/>
          <w:sz w:val="21"/>
          <w:szCs w:val="21"/>
        </w:rPr>
        <w:t>2.当因基金管理人和基金托管人原因致使基金份额净值计算差错给基金和基金份额持有人造成损失需要进行赔偿时，基金管理人和基金托管人应根据实际情况界定双方承担的责任，经确认后按以下条款进行赔偿：</w:t>
      </w:r>
      <w:bookmarkEnd w:id="49"/>
    </w:p>
    <w:p w14:paraId="655E293C">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50" w:name="_Toc382819109"/>
      <w:r>
        <w:rPr>
          <w:rFonts w:hint="eastAsia" w:ascii="宋体" w:hAnsi="宋体" w:eastAsia="宋体"/>
          <w:b w:val="0"/>
          <w:bCs w:val="0"/>
          <w:sz w:val="21"/>
          <w:szCs w:val="21"/>
        </w:rPr>
        <w:t>（1）本基金的基金会计责任方由基金管理人担任，与本基金有关的会计问题，如经双方在平等基础上充分讨论后，尚不能达成一致时，按基金管理人的建议执行，由此给基金份额持有人和基金财产造成的直接损失，由基金管理人负责赔付。</w:t>
      </w:r>
    </w:p>
    <w:p w14:paraId="5768B86A">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2）若基金管理人计算的基金份额净值已由基金托管人复核确认后公告，而且基金托管人未对计算过程提出疑义或要求基金管理人书面说明的，在基金份额净值出错且造成基金份额持有人直接损失的，应根据法律法规的规定对基金份额持有人或基金支付赔偿金，对于向基金份额持有人或基金支付的赔偿金额，基金管理人与基金托管人按照各自收取的管理费和托管费的比例承担相应的责任。</w:t>
      </w:r>
    </w:p>
    <w:p w14:paraId="38476DDA">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直接损失，由基金管理人负责赔付。</w:t>
      </w:r>
    </w:p>
    <w:p w14:paraId="20250B4D">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（4）由于基金管理人提供的信息错误（包括但不限于基金申购或赎回金额等），导致基金份额净值计算错误而引起的基金份额持有人和基金财产的损失，由基金管理人负责赔付。</w:t>
      </w:r>
      <w:bookmarkEnd w:id="50"/>
      <w:bookmarkStart w:id="51" w:name="_Toc382819110"/>
    </w:p>
    <w:p w14:paraId="455F4BE3">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52" w:name="_Hlk196310639"/>
      <w:r>
        <w:rPr>
          <w:rFonts w:hint="eastAsia" w:ascii="宋体" w:hAnsi="宋体" w:eastAsia="宋体"/>
          <w:b w:val="0"/>
          <w:bCs w:val="0"/>
          <w:sz w:val="21"/>
          <w:szCs w:val="21"/>
        </w:rPr>
        <w:t>3.</w:t>
      </w:r>
      <w:r>
        <w:rPr>
          <w:rFonts w:hint="eastAsia"/>
        </w:rPr>
        <w:t xml:space="preserve"> </w:t>
      </w:r>
      <w:r>
        <w:rPr>
          <w:rFonts w:hint="eastAsia" w:ascii="宋体" w:hAnsi="宋体" w:eastAsia="宋体"/>
          <w:b w:val="0"/>
          <w:bCs w:val="0"/>
          <w:sz w:val="21"/>
          <w:szCs w:val="21"/>
        </w:rPr>
        <w:t>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bookmarkEnd w:id="51"/>
      <w:bookmarkStart w:id="53" w:name="_Toc382819111"/>
    </w:p>
    <w:bookmarkEnd w:id="52"/>
    <w:p w14:paraId="1F876486">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4.基金管理人和基金托管人由于各自技术系统设置而产生的净值计算尾差，以基金管理人计算结果为准。</w:t>
      </w:r>
      <w:bookmarkEnd w:id="53"/>
      <w:bookmarkStart w:id="54" w:name="_Toc382819112"/>
    </w:p>
    <w:p w14:paraId="3F020DF9">
      <w:pPr>
        <w:spacing w:line="440" w:lineRule="atLeast"/>
        <w:ind w:right="28" w:firstLine="420" w:firstLineChars="200"/>
        <w:rPr>
          <w:rFonts w:hint="eastAsia" w:ascii="宋体" w:hAnsi="宋体"/>
          <w:szCs w:val="21"/>
        </w:rPr>
      </w:pPr>
      <w:r>
        <w:rPr>
          <w:rFonts w:hint="eastAsia" w:ascii="宋体" w:hAnsi="宋体"/>
          <w:szCs w:val="21"/>
        </w:rPr>
        <w:t>5.基金托管人凭借自身托管系统数据及外部资讯信息等必要数据，仅在实际可控制的能力范围内，勤勉尽责的履行上述监督责任。对于超过自身实际控制范围的事项，基金托管人不承担监督责任。</w:t>
      </w:r>
    </w:p>
    <w:p w14:paraId="0C613AE5">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6.前述内容如法律法规或者监管部门另有规定的，从其规定。如果行业另有通行做法，双方当事人应本着平等和保护基金份额持有人利益的原则进行协商。</w:t>
      </w:r>
      <w:bookmarkEnd w:id="54"/>
      <w:bookmarkStart w:id="55" w:name="_Toc382819113"/>
    </w:p>
    <w:p w14:paraId="76461CD3">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56" w:name="_Hlk196310644"/>
      <w:r>
        <w:rPr>
          <w:rFonts w:hint="eastAsia" w:ascii="宋体" w:hAnsi="宋体" w:eastAsia="宋体"/>
          <w:b w:val="0"/>
          <w:bCs w:val="0"/>
          <w:sz w:val="21"/>
          <w:szCs w:val="21"/>
        </w:rPr>
        <w:t>（五）暂停估值的情形</w:t>
      </w:r>
      <w:bookmarkEnd w:id="55"/>
      <w:bookmarkStart w:id="57" w:name="_Toc382819114"/>
    </w:p>
    <w:p w14:paraId="07A2CE8A">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1.</w:t>
      </w:r>
      <w:bookmarkStart w:id="58" w:name="OLE_LINK16"/>
      <w:bookmarkStart w:id="59" w:name="OLE_LINK15"/>
      <w:r>
        <w:rPr>
          <w:rFonts w:hint="eastAsia" w:ascii="宋体" w:hAnsi="宋体" w:eastAsia="宋体"/>
          <w:b w:val="0"/>
          <w:bCs w:val="0"/>
          <w:sz w:val="21"/>
          <w:szCs w:val="21"/>
        </w:rPr>
        <w:t>基金投资所涉及的证券、期货交易市场遇法定节假日或因其他原因暂停营业时</w:t>
      </w:r>
      <w:bookmarkEnd w:id="58"/>
      <w:bookmarkEnd w:id="59"/>
      <w:r>
        <w:rPr>
          <w:rFonts w:hint="eastAsia" w:ascii="宋体" w:hAnsi="宋体" w:eastAsia="宋体"/>
          <w:b w:val="0"/>
          <w:bCs w:val="0"/>
          <w:sz w:val="21"/>
          <w:szCs w:val="21"/>
        </w:rPr>
        <w:t>；</w:t>
      </w:r>
      <w:bookmarkEnd w:id="57"/>
      <w:bookmarkStart w:id="60" w:name="_Toc382819115"/>
    </w:p>
    <w:p w14:paraId="291834A3">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2.因不可抗力致使基金管理人、基金托管人无法准确评估基金资产价值时；</w:t>
      </w:r>
      <w:bookmarkEnd w:id="60"/>
    </w:p>
    <w:p w14:paraId="35779450">
      <w:pPr>
        <w:spacing w:line="360" w:lineRule="auto"/>
        <w:ind w:firstLine="420" w:firstLineChars="200"/>
        <w:rPr>
          <w:rFonts w:hint="eastAsia" w:ascii="宋体" w:hAnsi="宋体"/>
          <w:szCs w:val="21"/>
        </w:rPr>
      </w:pPr>
      <w:r>
        <w:rPr>
          <w:rFonts w:ascii="宋体" w:hAnsi="宋体"/>
          <w:szCs w:val="21"/>
        </w:rPr>
        <w:t>3.</w:t>
      </w:r>
      <w:r>
        <w:rPr>
          <w:rFonts w:hint="eastAsia" w:ascii="宋体" w:hAnsi="宋体"/>
          <w:szCs w:val="21"/>
        </w:rPr>
        <w:t>当特定资产占前一估值日基金资产净值</w:t>
      </w:r>
      <w:r>
        <w:rPr>
          <w:rFonts w:ascii="宋体" w:hAnsi="宋体"/>
          <w:szCs w:val="21"/>
        </w:rPr>
        <w:t>50%</w:t>
      </w:r>
      <w:r>
        <w:rPr>
          <w:rFonts w:hint="eastAsia" w:ascii="宋体" w:hAnsi="宋体"/>
          <w:szCs w:val="21"/>
        </w:rPr>
        <w:t>以上的，经与基金托管人协商确认后，基金管理人应当暂停估值；</w:t>
      </w:r>
    </w:p>
    <w:p w14:paraId="4635554B">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ascii="宋体" w:hAnsi="宋体" w:eastAsia="宋体"/>
          <w:b w:val="0"/>
          <w:bCs w:val="0"/>
          <w:sz w:val="21"/>
          <w:szCs w:val="21"/>
        </w:rPr>
        <w:t>4.</w:t>
      </w:r>
      <w:r>
        <w:rPr>
          <w:rFonts w:hint="eastAsia"/>
        </w:rPr>
        <w:t xml:space="preserve"> </w:t>
      </w:r>
      <w:r>
        <w:rPr>
          <w:rFonts w:hint="eastAsia" w:ascii="宋体" w:hAnsi="宋体" w:eastAsia="宋体"/>
          <w:b w:val="0"/>
          <w:bCs w:val="0"/>
          <w:sz w:val="21"/>
          <w:szCs w:val="21"/>
        </w:rPr>
        <w:t>法律法规、中国证监会和《基金合同》认定的其他情形。</w:t>
      </w:r>
      <w:bookmarkStart w:id="61" w:name="_Toc382819116"/>
    </w:p>
    <w:bookmarkEnd w:id="56"/>
    <w:p w14:paraId="274AEE0F">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r>
        <w:rPr>
          <w:rFonts w:hint="eastAsia" w:ascii="宋体" w:hAnsi="宋体" w:eastAsia="宋体"/>
          <w:b w:val="0"/>
          <w:bCs w:val="0"/>
          <w:sz w:val="21"/>
          <w:szCs w:val="21"/>
        </w:rPr>
        <w:t>（六）基金账册的建立</w:t>
      </w:r>
      <w:bookmarkEnd w:id="61"/>
    </w:p>
    <w:p w14:paraId="3ECF1F96">
      <w:pPr>
        <w:spacing w:line="360" w:lineRule="auto"/>
        <w:ind w:firstLine="420" w:firstLineChars="200"/>
        <w:rPr>
          <w:rFonts w:hint="eastAsia" w:ascii="宋体" w:hAnsi="宋体"/>
          <w:szCs w:val="21"/>
        </w:rPr>
      </w:pPr>
      <w:r>
        <w:rPr>
          <w:rFonts w:hint="eastAsia" w:ascii="宋体" w:hAnsi="宋体"/>
          <w:szCs w:val="21"/>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2AE13624">
      <w:pPr>
        <w:spacing w:line="360" w:lineRule="auto"/>
        <w:ind w:firstLine="420" w:firstLineChars="200"/>
        <w:rPr>
          <w:rFonts w:hint="eastAsia" w:ascii="宋体" w:hAnsi="宋体"/>
          <w:szCs w:val="21"/>
        </w:rPr>
      </w:pPr>
      <w:r>
        <w:rPr>
          <w:rFonts w:hint="eastAsia" w:ascii="宋体" w:hAnsi="宋体"/>
          <w:szCs w:val="21"/>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14:paraId="5C029836">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62" w:name="_Toc382819117"/>
      <w:r>
        <w:rPr>
          <w:rFonts w:hint="eastAsia" w:ascii="宋体" w:hAnsi="宋体" w:eastAsia="宋体"/>
          <w:b w:val="0"/>
          <w:bCs w:val="0"/>
          <w:sz w:val="21"/>
          <w:szCs w:val="21"/>
        </w:rPr>
        <w:t>（七）基金定期报告、基金招募说明书的编制和复核</w:t>
      </w:r>
      <w:bookmarkEnd w:id="62"/>
    </w:p>
    <w:p w14:paraId="6B26CA6A">
      <w:pPr>
        <w:spacing w:line="360" w:lineRule="auto"/>
        <w:ind w:firstLine="420" w:firstLineChars="200"/>
        <w:rPr>
          <w:rFonts w:hint="eastAsia" w:ascii="宋体" w:hAnsi="宋体"/>
          <w:szCs w:val="21"/>
        </w:rPr>
      </w:pPr>
      <w:r>
        <w:rPr>
          <w:rFonts w:hint="eastAsia" w:ascii="宋体" w:hAnsi="宋体"/>
          <w:szCs w:val="21"/>
        </w:rPr>
        <w:t>基金财务报表由基金管理人和基金托管人每月分别独立编制。月度报表的编制，应于每月终了后5个工作日内完成。</w:t>
      </w:r>
    </w:p>
    <w:p w14:paraId="0D957FB6">
      <w:pPr>
        <w:spacing w:line="360" w:lineRule="auto"/>
        <w:ind w:firstLine="420" w:firstLineChars="200"/>
        <w:rPr>
          <w:rFonts w:hint="eastAsia" w:ascii="宋体" w:hAnsi="宋体"/>
          <w:szCs w:val="21"/>
        </w:rPr>
      </w:pPr>
      <w:r>
        <w:rPr>
          <w:rFonts w:ascii="宋体" w:hAnsi="宋体"/>
          <w:bCs/>
          <w:szCs w:val="21"/>
        </w:rPr>
        <w:t>《基金合同》生效后，</w:t>
      </w:r>
      <w:r>
        <w:rPr>
          <w:rFonts w:hint="eastAsia" w:ascii="宋体" w:hAnsi="宋体"/>
          <w:bCs/>
          <w:szCs w:val="21"/>
        </w:rPr>
        <w:t>基金招募说明书的信息发生重大变更的，基金管理人应当在三个工作日内，更新基金招募说明书并登载在规定网站上；基金招募说明书其他信息发生变更的，基金管理人至少每年更新一次</w:t>
      </w:r>
      <w:r>
        <w:rPr>
          <w:rFonts w:ascii="宋体" w:hAnsi="宋体"/>
          <w:bCs/>
          <w:szCs w:val="21"/>
        </w:rPr>
        <w:t>。</w:t>
      </w:r>
      <w:r>
        <w:rPr>
          <w:rFonts w:hint="eastAsia" w:ascii="宋体" w:hAnsi="宋体"/>
          <w:szCs w:val="21"/>
        </w:rPr>
        <w:t>基金管理人在季度结束之日起15个工作日内完成季度报告编制并公告；在上半年结束之日</w:t>
      </w:r>
      <w:r>
        <w:rPr>
          <w:rFonts w:ascii="宋体" w:hAnsi="宋体"/>
          <w:szCs w:val="21"/>
        </w:rPr>
        <w:t>起</w:t>
      </w:r>
      <w:r>
        <w:rPr>
          <w:rFonts w:hint="eastAsia" w:ascii="宋体" w:hAnsi="宋体"/>
          <w:szCs w:val="21"/>
        </w:rPr>
        <w:t>两个月内完成中期报告编制并公告；在每年结束之日起</w:t>
      </w:r>
      <w:r>
        <w:rPr>
          <w:rFonts w:ascii="宋体" w:hAnsi="宋体"/>
          <w:szCs w:val="21"/>
        </w:rPr>
        <w:t>三个月</w:t>
      </w:r>
      <w:r>
        <w:rPr>
          <w:rFonts w:hint="eastAsia" w:ascii="宋体" w:hAnsi="宋体"/>
          <w:szCs w:val="21"/>
        </w:rPr>
        <w:t>内完成年度报告编制并公告。基金合同生效不足2个月的，基金管理人可以不编制当期季度报告、中期报告或者年度报告。</w:t>
      </w:r>
    </w:p>
    <w:p w14:paraId="6C721926">
      <w:pPr>
        <w:spacing w:line="360" w:lineRule="auto"/>
        <w:ind w:firstLine="420" w:firstLineChars="200"/>
        <w:rPr>
          <w:rFonts w:hint="eastAsia" w:ascii="宋体" w:hAnsi="宋体"/>
          <w:szCs w:val="21"/>
        </w:rPr>
      </w:pPr>
      <w:r>
        <w:rPr>
          <w:rFonts w:hint="eastAsia" w:ascii="宋体" w:hAnsi="宋体"/>
          <w:szCs w:val="21"/>
        </w:rPr>
        <w:t>基金管理人在每月结束后5个工作日内完成月度报告，在月度报告完成当日，对报告加盖公章后，以加密传真方式将有关报告提供基金托管人复核；基金托管人在3个工作日内进行复核，并将复核结果及时书面通知基金管理人。基金管理人在每季度结束后7个工作日内完成季度报告，在季度报告完成当日，将有关报告提供基金托管人复核，基金托管人在收到后7个工作日内进行复核，并将复核结果书面通知基金管理人。基金管理人在基金会计年度前六个月结束后30日内完成</w:t>
      </w:r>
      <w:r>
        <w:rPr>
          <w:rFonts w:ascii="宋体" w:hAnsi="宋体"/>
          <w:szCs w:val="21"/>
        </w:rPr>
        <w:t>中期报告</w:t>
      </w:r>
      <w:r>
        <w:rPr>
          <w:rFonts w:hint="eastAsia" w:ascii="宋体" w:hAnsi="宋体"/>
          <w:szCs w:val="21"/>
        </w:rPr>
        <w:t>，在中期报告完成当日，将有关报告提供基金托管人复核，基金托管人在收到后30日内进行复核，并将复核结果书面通知基金管理人。基金管理人在基金会计年度结束后45日内完成年度报告，在年度报告完成当日，将有关报告提供基金托管人复核，基金托管人在收到后45日内复核，并将复核结果书面通知基金管理人。</w:t>
      </w:r>
    </w:p>
    <w:p w14:paraId="13EBD348">
      <w:pPr>
        <w:spacing w:line="360" w:lineRule="auto"/>
        <w:ind w:firstLine="420" w:firstLineChars="200"/>
        <w:rPr>
          <w:rFonts w:hint="eastAsia" w:ascii="宋体" w:hAnsi="宋体"/>
          <w:szCs w:val="21"/>
        </w:rPr>
      </w:pPr>
      <w:r>
        <w:rPr>
          <w:rFonts w:hint="eastAsia" w:ascii="宋体" w:hAnsi="宋体"/>
          <w:szCs w:val="21"/>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相关各方各自留存一份。</w:t>
      </w:r>
      <w:r>
        <w:rPr>
          <w:rFonts w:hint="eastAsia" w:ascii="宋体" w:hAnsi="宋体"/>
          <w:kern w:val="44"/>
          <w:szCs w:val="21"/>
        </w:rPr>
        <w:t>如果基金管理人与基金托管人不能于应当发布公告之日之前就相关报表达成一致，基金管理人有权按照其编制的报表对外发布公告，基金托管人有权就相关情况报中国证监会备案。</w:t>
      </w:r>
    </w:p>
    <w:p w14:paraId="7207F661">
      <w:pPr>
        <w:spacing w:line="360" w:lineRule="auto"/>
        <w:ind w:firstLine="420" w:firstLineChars="200"/>
        <w:rPr>
          <w:rFonts w:hint="eastAsia" w:ascii="宋体" w:hAnsi="宋体"/>
          <w:szCs w:val="21"/>
        </w:rPr>
      </w:pPr>
      <w:r>
        <w:rPr>
          <w:rFonts w:hint="eastAsia" w:ascii="宋体" w:hAnsi="宋体"/>
          <w:szCs w:val="21"/>
        </w:rPr>
        <w:t>基金托管人在对财务会计报告、中期报告或年度报告复核完毕后，需盖章确认或出具相应的复核确认书，以备有权机构对相关文件审核时提示。</w:t>
      </w:r>
    </w:p>
    <w:p w14:paraId="35F2993A">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63" w:name="_Toc382819118"/>
      <w:r>
        <w:rPr>
          <w:rFonts w:hint="eastAsia" w:ascii="宋体" w:hAnsi="宋体" w:eastAsia="宋体" w:cs="Arial"/>
          <w:sz w:val="21"/>
          <w:szCs w:val="21"/>
        </w:rPr>
        <w:t>基金收益分配</w:t>
      </w:r>
      <w:bookmarkEnd w:id="63"/>
    </w:p>
    <w:p w14:paraId="79E2BF31">
      <w:pPr>
        <w:pStyle w:val="3"/>
        <w:keepNext w:val="0"/>
        <w:keepLines w:val="0"/>
        <w:autoSpaceDE w:val="0"/>
        <w:autoSpaceDN w:val="0"/>
        <w:adjustRightInd w:val="0"/>
        <w:spacing w:before="0" w:after="0" w:line="360" w:lineRule="auto"/>
        <w:ind w:firstLine="420" w:firstLineChars="200"/>
        <w:textAlignment w:val="baseline"/>
        <w:rPr>
          <w:rFonts w:hint="eastAsia" w:ascii="宋体" w:hAnsi="宋体" w:eastAsia="宋体" w:cs="Arial"/>
          <w:kern w:val="0"/>
          <w:sz w:val="21"/>
          <w:szCs w:val="21"/>
        </w:rPr>
      </w:pPr>
      <w:bookmarkStart w:id="64" w:name="_Toc382819119"/>
      <w:r>
        <w:rPr>
          <w:rFonts w:hint="eastAsia" w:ascii="宋体" w:hAnsi="宋体" w:eastAsia="宋体"/>
          <w:b w:val="0"/>
          <w:bCs w:val="0"/>
          <w:sz w:val="21"/>
          <w:szCs w:val="21"/>
        </w:rPr>
        <w:t>（一）基金收益分配的原则</w:t>
      </w:r>
      <w:bookmarkEnd w:id="64"/>
    </w:p>
    <w:p w14:paraId="72C0A50C">
      <w:pPr>
        <w:spacing w:line="360" w:lineRule="auto"/>
        <w:ind w:firstLine="472" w:firstLineChars="225"/>
        <w:rPr>
          <w:rFonts w:hint="eastAsia" w:ascii="宋体" w:hAnsi="宋体"/>
          <w:szCs w:val="21"/>
        </w:rPr>
      </w:pPr>
      <w:r>
        <w:rPr>
          <w:rFonts w:hint="eastAsia" w:ascii="宋体" w:hAnsi="宋体"/>
          <w:szCs w:val="21"/>
        </w:rPr>
        <w:t>基金收益分配是指将本基金可供分配利润按收益分配方案确定的分配金额和比例根据持有本基金基金份额的数量按比例向该基金份额持有人进行分配。</w:t>
      </w:r>
    </w:p>
    <w:p w14:paraId="3BC9880F">
      <w:pPr>
        <w:spacing w:line="360" w:lineRule="auto"/>
        <w:ind w:firstLine="472" w:firstLineChars="225"/>
        <w:rPr>
          <w:rFonts w:hint="eastAsia" w:ascii="宋体" w:hAnsi="宋体"/>
          <w:szCs w:val="21"/>
        </w:rPr>
      </w:pPr>
      <w:r>
        <w:rPr>
          <w:rFonts w:hint="eastAsia" w:ascii="宋体" w:hAnsi="宋体"/>
          <w:szCs w:val="21"/>
        </w:rPr>
        <w:t>收益分配应该符合《基金合同》关于收益分配原则的规定。</w:t>
      </w:r>
      <w:bookmarkStart w:id="65" w:name="_Toc382819120"/>
    </w:p>
    <w:p w14:paraId="2048636C">
      <w:pPr>
        <w:spacing w:line="360" w:lineRule="auto"/>
        <w:ind w:firstLine="472" w:firstLineChars="225"/>
        <w:outlineLvl w:val="1"/>
        <w:rPr>
          <w:rFonts w:hint="eastAsia" w:ascii="宋体" w:hAnsi="宋体"/>
          <w:szCs w:val="21"/>
        </w:rPr>
      </w:pPr>
      <w:r>
        <w:rPr>
          <w:rFonts w:hint="eastAsia" w:ascii="宋体" w:hAnsi="宋体"/>
          <w:szCs w:val="21"/>
        </w:rPr>
        <w:t>（二）基金收益分配方案的制定和实施程序</w:t>
      </w:r>
      <w:bookmarkEnd w:id="65"/>
    </w:p>
    <w:p w14:paraId="2C7BE2FC">
      <w:pPr>
        <w:spacing w:line="360" w:lineRule="auto"/>
        <w:ind w:firstLine="472" w:firstLineChars="225"/>
        <w:rPr>
          <w:rFonts w:hint="eastAsia" w:ascii="宋体" w:hAnsi="宋体"/>
          <w:szCs w:val="21"/>
        </w:rPr>
      </w:pPr>
      <w:r>
        <w:rPr>
          <w:rFonts w:hint="eastAsia" w:ascii="宋体" w:hAnsi="宋体"/>
          <w:szCs w:val="21"/>
        </w:rPr>
        <w:t>基金收益分配方案由基金管理人根据《基金合同》的相关规定制定。</w:t>
      </w:r>
    </w:p>
    <w:p w14:paraId="57642EDA">
      <w:pPr>
        <w:spacing w:line="360" w:lineRule="auto"/>
        <w:ind w:right="0" w:firstLine="472" w:firstLineChars="225"/>
        <w:rPr>
          <w:rFonts w:hint="eastAsia" w:ascii="宋体" w:hAnsi="宋体"/>
          <w:szCs w:val="21"/>
        </w:rPr>
      </w:pPr>
      <w:r>
        <w:rPr>
          <w:rFonts w:hint="eastAsia" w:ascii="宋体" w:hAnsi="宋体"/>
          <w:szCs w:val="21"/>
        </w:rPr>
        <w:t>基金收益分配方案由基金管理人拟定，并由基金托管人复核。复核通过后基金管理人应当将收益分配方案及时公告；如果基金管理人与基金托管人不能于收益分配日之前就收益分配方案达成一致，基金托管人有义务将收益分配方案及相关情况的说明提交中国证监会备案并书面通知基金管理人，在上述文件提交完毕之日起基金管理人有权利对外公告其拟订的收益分配方案，且基金托管人有义务协助基金管理人实施该收益分配方案，但有证据证明该方案违反法律法规及《基金合同》的除外。</w:t>
      </w:r>
    </w:p>
    <w:p w14:paraId="6CEAA775">
      <w:pPr>
        <w:spacing w:line="360" w:lineRule="auto"/>
        <w:ind w:right="28" w:firstLine="630" w:firstLineChars="300"/>
        <w:rPr>
          <w:rFonts w:hint="eastAsia" w:ascii="宋体" w:hAnsi="宋体"/>
          <w:szCs w:val="21"/>
        </w:rPr>
      </w:pPr>
      <w:r>
        <w:rPr>
          <w:rFonts w:hint="eastAsia" w:ascii="宋体" w:hAnsi="宋体"/>
          <w:szCs w:val="21"/>
        </w:rPr>
        <w:t>（三）实施侧袋机制期间的收益分配</w:t>
      </w:r>
    </w:p>
    <w:p w14:paraId="5D56B619">
      <w:pPr>
        <w:spacing w:line="360" w:lineRule="auto"/>
        <w:ind w:right="28" w:firstLine="630" w:firstLineChars="300"/>
        <w:rPr>
          <w:rFonts w:hint="eastAsia" w:ascii="宋体" w:hAnsi="宋体"/>
          <w:szCs w:val="21"/>
        </w:rPr>
      </w:pPr>
      <w:r>
        <w:rPr>
          <w:rFonts w:hint="eastAsia" w:ascii="宋体" w:hAnsi="宋体"/>
          <w:szCs w:val="21"/>
        </w:rPr>
        <w:t>本基金实施侧袋机制的，侧袋账户不进行收益分配，详见招募说明书的规定。</w:t>
      </w:r>
    </w:p>
    <w:p w14:paraId="62CCAEB6">
      <w:pPr>
        <w:spacing w:line="360" w:lineRule="auto"/>
        <w:ind w:right="28" w:firstLine="630" w:firstLineChars="300"/>
        <w:rPr>
          <w:rFonts w:hint="eastAsia" w:ascii="宋体" w:hAnsi="宋体"/>
          <w:szCs w:val="21"/>
        </w:rPr>
      </w:pPr>
    </w:p>
    <w:p w14:paraId="1023183E">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66" w:name="_Toc382819121"/>
      <w:r>
        <w:rPr>
          <w:rFonts w:hint="eastAsia" w:ascii="宋体" w:hAnsi="宋体" w:eastAsia="宋体" w:cs="Arial"/>
          <w:sz w:val="21"/>
          <w:szCs w:val="21"/>
        </w:rPr>
        <w:t>信息披露</w:t>
      </w:r>
      <w:bookmarkEnd w:id="66"/>
    </w:p>
    <w:p w14:paraId="399A99D5">
      <w:pPr>
        <w:pStyle w:val="3"/>
        <w:keepNext w:val="0"/>
        <w:keepLines w:val="0"/>
        <w:tabs>
          <w:tab w:val="left" w:pos="1080"/>
        </w:tabs>
        <w:autoSpaceDE w:val="0"/>
        <w:autoSpaceDN w:val="0"/>
        <w:adjustRightInd w:val="0"/>
        <w:spacing w:before="0" w:after="0" w:line="360" w:lineRule="auto"/>
        <w:ind w:firstLine="411" w:firstLineChars="196"/>
        <w:textAlignment w:val="baseline"/>
        <w:rPr>
          <w:rFonts w:hint="eastAsia" w:ascii="宋体" w:hAnsi="宋体" w:eastAsia="宋体" w:cs="Arial"/>
          <w:b w:val="0"/>
          <w:kern w:val="0"/>
          <w:sz w:val="21"/>
          <w:szCs w:val="21"/>
        </w:rPr>
      </w:pPr>
      <w:bookmarkStart w:id="67" w:name="_Toc382819122"/>
      <w:r>
        <w:rPr>
          <w:rFonts w:hint="eastAsia" w:ascii="宋体" w:hAnsi="宋体" w:eastAsia="宋体"/>
          <w:b w:val="0"/>
          <w:sz w:val="21"/>
          <w:szCs w:val="21"/>
        </w:rPr>
        <w:t>（一）</w:t>
      </w:r>
      <w:r>
        <w:rPr>
          <w:rFonts w:hint="eastAsia" w:ascii="宋体" w:hAnsi="宋体" w:eastAsia="宋体" w:cs="Arial"/>
          <w:b w:val="0"/>
          <w:kern w:val="0"/>
          <w:sz w:val="21"/>
          <w:szCs w:val="21"/>
        </w:rPr>
        <w:t>保密义务</w:t>
      </w:r>
      <w:bookmarkEnd w:id="67"/>
    </w:p>
    <w:p w14:paraId="1B1CE4A4">
      <w:pPr>
        <w:spacing w:line="360" w:lineRule="auto"/>
        <w:ind w:right="28" w:firstLine="420" w:firstLineChars="200"/>
        <w:rPr>
          <w:rFonts w:hint="eastAsia" w:ascii="宋体" w:hAnsi="宋体"/>
          <w:szCs w:val="21"/>
        </w:rPr>
      </w:pPr>
      <w:r>
        <w:rPr>
          <w:rFonts w:hint="eastAsia" w:ascii="宋体" w:hAnsi="宋体"/>
          <w:szCs w:val="21"/>
        </w:rPr>
        <w:t>除按照《基金法》、《信息披露办法》、《基金合同》及中国证监会关于基金信息披露的有关规定进行披露以外，基金管理人和基金托管人对基金运作中产生的信息以及从对方获得的业务信息应恪守保密的义务。基金管理人与基金托管人对基金的任何信息，除法律法规规定之外，不得在其公开披露之前，先行对任何第三方披露。但是，如下情况不应视为基金管理人或基金托管人违反保密义务：</w:t>
      </w:r>
    </w:p>
    <w:p w14:paraId="21A1D54B">
      <w:pPr>
        <w:pStyle w:val="11"/>
        <w:ind w:firstLine="420" w:firstLineChars="200"/>
        <w:rPr>
          <w:rFonts w:hint="eastAsia" w:ascii="宋体" w:hAnsi="宋体"/>
          <w:szCs w:val="21"/>
        </w:rPr>
      </w:pPr>
      <w:r>
        <w:rPr>
          <w:rFonts w:hint="eastAsia" w:ascii="宋体" w:hAnsi="宋体"/>
          <w:szCs w:val="21"/>
        </w:rPr>
        <w:t>1.非因基金管理人和基金托管人的原因导致保密信息被披露、泄露或公开；</w:t>
      </w:r>
    </w:p>
    <w:p w14:paraId="75454FE6">
      <w:pPr>
        <w:spacing w:line="360" w:lineRule="auto"/>
        <w:ind w:firstLine="420" w:firstLineChars="200"/>
        <w:rPr>
          <w:rFonts w:hint="eastAsia" w:ascii="宋体" w:hAnsi="宋体"/>
          <w:szCs w:val="21"/>
        </w:rPr>
      </w:pPr>
      <w:r>
        <w:rPr>
          <w:rFonts w:hint="eastAsia" w:ascii="宋体" w:hAnsi="宋体"/>
          <w:szCs w:val="21"/>
        </w:rPr>
        <w:t>2.基金管理人和基金托管人为遵守和服从法院判决、仲裁裁决或中国证监会等监管机构的命令、决定所做出的信息披露或公开。</w:t>
      </w:r>
    </w:p>
    <w:p w14:paraId="34536D1E">
      <w:pPr>
        <w:tabs>
          <w:tab w:val="left" w:pos="4680"/>
        </w:tabs>
        <w:spacing w:line="360" w:lineRule="auto"/>
        <w:ind w:firstLine="420" w:firstLineChars="200"/>
        <w:outlineLvl w:val="1"/>
        <w:rPr>
          <w:rFonts w:hint="eastAsia" w:ascii="宋体" w:hAnsi="宋体"/>
          <w:szCs w:val="21"/>
        </w:rPr>
      </w:pPr>
      <w:r>
        <w:rPr>
          <w:rFonts w:hint="eastAsia" w:ascii="宋体" w:hAnsi="宋体"/>
          <w:bCs/>
          <w:szCs w:val="21"/>
        </w:rPr>
        <w:t>（二）</w:t>
      </w:r>
      <w:r>
        <w:rPr>
          <w:rFonts w:hint="eastAsia" w:ascii="宋体" w:hAnsi="宋体"/>
          <w:szCs w:val="21"/>
        </w:rPr>
        <w:t>信息披露的内容</w:t>
      </w:r>
    </w:p>
    <w:p w14:paraId="01FE2292">
      <w:pPr>
        <w:tabs>
          <w:tab w:val="left" w:pos="4680"/>
        </w:tabs>
        <w:spacing w:line="360" w:lineRule="auto"/>
        <w:ind w:firstLine="420" w:firstLineChars="200"/>
        <w:rPr>
          <w:rFonts w:hint="eastAsia" w:ascii="宋体" w:hAnsi="宋体"/>
          <w:szCs w:val="21"/>
        </w:rPr>
      </w:pPr>
      <w:r>
        <w:rPr>
          <w:rFonts w:hint="eastAsia" w:ascii="宋体" w:hAnsi="宋体"/>
          <w:szCs w:val="21"/>
        </w:rPr>
        <w:t>基金管理人和基金托管人应根据相关法律法规、《基金合同》的规定各自承担相应的信息披露职责。基金管理人和基金托管人负有积极配合、互相督促、彼此监督、保证其履行按照法定方式和时限披露的义务。</w:t>
      </w:r>
    </w:p>
    <w:p w14:paraId="3116FEED">
      <w:pPr>
        <w:tabs>
          <w:tab w:val="left" w:pos="4680"/>
        </w:tabs>
        <w:spacing w:line="360" w:lineRule="auto"/>
        <w:ind w:firstLine="420" w:firstLineChars="200"/>
        <w:rPr>
          <w:rFonts w:hint="eastAsia" w:ascii="宋体" w:hAnsi="宋体"/>
          <w:szCs w:val="21"/>
        </w:rPr>
      </w:pPr>
      <w:r>
        <w:rPr>
          <w:rFonts w:hint="eastAsia" w:ascii="宋体" w:hAnsi="宋体"/>
          <w:szCs w:val="21"/>
        </w:rPr>
        <w:t>本基金的信息披露主要包括基金招募说明书、《基金合同》、基金托管协议、基金产品资料概要、基金份额发售公告、《基金合同》生效公告、定期报告、临时公告、基金净值信息、基金份额申购、赎回价格、澄清公告、基金份额持有人大会决议、实施侧袋机制期间的信息披露、清算报告、基金投资资产支持证券情况、基金投资股指期货情况、基金投资港股通标的股票情况等其他必要的公告文件，由基金管理人拟定并负责公布。</w:t>
      </w:r>
    </w:p>
    <w:p w14:paraId="0DEF2870">
      <w:pPr>
        <w:tabs>
          <w:tab w:val="left" w:pos="4680"/>
        </w:tabs>
        <w:spacing w:line="360" w:lineRule="auto"/>
        <w:ind w:firstLine="420" w:firstLineChars="200"/>
        <w:rPr>
          <w:rFonts w:hint="eastAsia" w:ascii="宋体" w:hAnsi="宋体"/>
          <w:szCs w:val="21"/>
        </w:rPr>
      </w:pPr>
      <w:r>
        <w:rPr>
          <w:rFonts w:hint="eastAsia" w:ascii="宋体" w:hAnsi="宋体"/>
          <w:szCs w:val="21"/>
        </w:rPr>
        <w:t>基金管理人与基金托管人应严格遵守《基金合同》所规定的信息披露要求。基金资产净值、各类基金份额净值、基金业绩表现数据、基金定期报告和更新的招募说明书、基金产品资料概要、基金清算报告等相关基金信息按有关规定需经基金托管人复核的，须由基金托管人进行复核、审查，并向基金管理人</w:t>
      </w:r>
      <w:r>
        <w:rPr>
          <w:rFonts w:hint="eastAsia" w:ascii="宋体" w:hAnsi="宋体"/>
          <w:bCs/>
          <w:szCs w:val="21"/>
        </w:rPr>
        <w:t>进行书面或电子</w:t>
      </w:r>
      <w:r>
        <w:rPr>
          <w:rFonts w:ascii="宋体" w:hAnsi="宋体"/>
          <w:bCs/>
          <w:szCs w:val="21"/>
        </w:rPr>
        <w:t>确认</w:t>
      </w:r>
      <w:r>
        <w:rPr>
          <w:rFonts w:hint="eastAsia" w:ascii="宋体" w:hAnsi="宋体"/>
          <w:szCs w:val="21"/>
        </w:rPr>
        <w:t>。相关信息经基金托管人复核无误后方可公布。其他不需经基金托管人复核的信息披露内容，应及时告知基金托管人。</w:t>
      </w:r>
    </w:p>
    <w:p w14:paraId="461B213D">
      <w:pPr>
        <w:tabs>
          <w:tab w:val="left" w:pos="4680"/>
        </w:tabs>
        <w:spacing w:line="360" w:lineRule="auto"/>
        <w:ind w:firstLine="420" w:firstLineChars="200"/>
        <w:rPr>
          <w:rFonts w:hint="eastAsia" w:ascii="宋体" w:hAnsi="宋体"/>
          <w:szCs w:val="21"/>
        </w:rPr>
      </w:pPr>
      <w:r>
        <w:rPr>
          <w:rFonts w:hint="eastAsia" w:ascii="宋体" w:hAnsi="宋体"/>
          <w:szCs w:val="21"/>
          <w:lang w:eastAsia="zh-Hans"/>
        </w:rPr>
        <w:t>基金</w:t>
      </w:r>
      <w:r>
        <w:rPr>
          <w:rFonts w:hint="eastAsia" w:ascii="宋体" w:hAnsi="宋体"/>
          <w:szCs w:val="21"/>
        </w:rPr>
        <w:t>年度报告中的财务报告部分，需经符合《中华人民共和国证券法》规定的会计师事务所审计后，方可披露。</w:t>
      </w:r>
    </w:p>
    <w:p w14:paraId="5280F163">
      <w:pPr>
        <w:pStyle w:val="3"/>
        <w:keepNext w:val="0"/>
        <w:keepLines w:val="0"/>
        <w:tabs>
          <w:tab w:val="left" w:pos="1080"/>
        </w:tabs>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68" w:name="_Toc382819123"/>
      <w:r>
        <w:rPr>
          <w:rFonts w:hint="eastAsia" w:ascii="宋体" w:hAnsi="宋体" w:eastAsia="宋体"/>
          <w:b w:val="0"/>
          <w:bCs w:val="0"/>
          <w:sz w:val="21"/>
          <w:szCs w:val="21"/>
        </w:rPr>
        <w:t>基金管理人应当在中国证监会规定的时间内，将应予披露的基金信息通过符合</w:t>
      </w:r>
      <w:r>
        <w:rPr>
          <w:rFonts w:ascii="宋体" w:hAnsi="宋体" w:eastAsia="宋体"/>
          <w:b w:val="0"/>
          <w:bCs w:val="0"/>
          <w:sz w:val="21"/>
          <w:szCs w:val="21"/>
        </w:rPr>
        <w:t>中国证监会</w:t>
      </w:r>
      <w:r>
        <w:rPr>
          <w:rFonts w:hint="eastAsia" w:ascii="宋体" w:hAnsi="宋体" w:eastAsia="宋体"/>
          <w:b w:val="0"/>
          <w:bCs w:val="0"/>
          <w:sz w:val="21"/>
          <w:szCs w:val="21"/>
        </w:rPr>
        <w:t>规定条件</w:t>
      </w:r>
      <w:r>
        <w:rPr>
          <w:rFonts w:ascii="宋体" w:hAnsi="宋体" w:eastAsia="宋体"/>
          <w:b w:val="0"/>
          <w:bCs w:val="0"/>
          <w:sz w:val="21"/>
          <w:szCs w:val="21"/>
        </w:rPr>
        <w:t>的</w:t>
      </w:r>
      <w:r>
        <w:rPr>
          <w:rFonts w:hint="eastAsia" w:ascii="宋体" w:hAnsi="宋体" w:eastAsia="宋体"/>
          <w:b w:val="0"/>
          <w:bCs w:val="0"/>
          <w:sz w:val="21"/>
          <w:szCs w:val="21"/>
        </w:rPr>
        <w:t>全国性报刊及《信息披露办法》规定的</w:t>
      </w:r>
      <w:r>
        <w:rPr>
          <w:rFonts w:ascii="宋体" w:hAnsi="宋体" w:eastAsia="宋体"/>
          <w:b w:val="0"/>
          <w:bCs w:val="0"/>
          <w:sz w:val="21"/>
          <w:szCs w:val="21"/>
        </w:rPr>
        <w:t>互联网网站</w:t>
      </w:r>
      <w:r>
        <w:rPr>
          <w:rFonts w:hint="eastAsia" w:ascii="宋体" w:hAnsi="宋体" w:eastAsia="宋体"/>
          <w:b w:val="0"/>
          <w:bCs w:val="0"/>
          <w:sz w:val="21"/>
          <w:szCs w:val="21"/>
        </w:rPr>
        <w:t>等媒介披露。根据法律法规应由基金托管人公开披露的信息，基金托管人将通过规定报刊和规定网站公开披露。</w:t>
      </w:r>
      <w:bookmarkEnd w:id="68"/>
    </w:p>
    <w:p w14:paraId="35B4E3EA">
      <w:pPr>
        <w:pStyle w:val="3"/>
        <w:keepNext w:val="0"/>
        <w:keepLines w:val="0"/>
        <w:tabs>
          <w:tab w:val="left" w:pos="1080"/>
        </w:tabs>
        <w:autoSpaceDE w:val="0"/>
        <w:autoSpaceDN w:val="0"/>
        <w:adjustRightInd w:val="0"/>
        <w:spacing w:before="0" w:after="0" w:line="360" w:lineRule="auto"/>
        <w:ind w:firstLine="420" w:firstLineChars="200"/>
        <w:textAlignment w:val="baseline"/>
        <w:rPr>
          <w:rFonts w:hint="eastAsia" w:ascii="宋体" w:hAnsi="宋体" w:eastAsia="宋体"/>
          <w:b w:val="0"/>
          <w:bCs w:val="0"/>
          <w:sz w:val="21"/>
          <w:szCs w:val="21"/>
        </w:rPr>
      </w:pPr>
      <w:bookmarkStart w:id="69" w:name="_Toc382819124"/>
      <w:r>
        <w:rPr>
          <w:rFonts w:hint="eastAsia" w:ascii="宋体" w:hAnsi="宋体" w:eastAsia="宋体"/>
          <w:b w:val="0"/>
          <w:bCs w:val="0"/>
          <w:sz w:val="21"/>
          <w:szCs w:val="21"/>
        </w:rPr>
        <w:t>（三）基金管理人和基金托管人在信息披露中的职责和信息披露程序</w:t>
      </w:r>
      <w:bookmarkEnd w:id="69"/>
    </w:p>
    <w:p w14:paraId="37896D7F">
      <w:pPr>
        <w:tabs>
          <w:tab w:val="left" w:pos="4680"/>
        </w:tabs>
        <w:spacing w:line="360" w:lineRule="auto"/>
        <w:ind w:firstLine="420" w:firstLineChars="200"/>
        <w:outlineLvl w:val="2"/>
        <w:rPr>
          <w:rFonts w:hint="eastAsia" w:ascii="宋体" w:hAnsi="宋体"/>
          <w:szCs w:val="21"/>
        </w:rPr>
      </w:pPr>
      <w:r>
        <w:rPr>
          <w:rFonts w:hint="eastAsia" w:ascii="宋体" w:hAnsi="宋体"/>
          <w:szCs w:val="21"/>
        </w:rPr>
        <w:t>1、职责</w:t>
      </w:r>
    </w:p>
    <w:p w14:paraId="2536706D">
      <w:pPr>
        <w:tabs>
          <w:tab w:val="left" w:pos="4680"/>
        </w:tabs>
        <w:spacing w:line="360" w:lineRule="auto"/>
        <w:ind w:firstLine="420" w:firstLineChars="200"/>
        <w:rPr>
          <w:rFonts w:hint="eastAsia" w:ascii="宋体" w:hAnsi="宋体"/>
          <w:szCs w:val="21"/>
        </w:rPr>
      </w:pPr>
      <w:r>
        <w:rPr>
          <w:rFonts w:hint="eastAsia" w:ascii="宋体" w:hAnsi="宋体"/>
          <w:szCs w:val="21"/>
        </w:rPr>
        <w:t>基金托管人和基金管理人在信息披露过程中应以保护基金份额持有人利益为宗旨，诚实信用，严守秘密。基金管理人负责办理应由基金管理人负责的与基金有关的信息披露事宜，对于本条第（二）款规定的应由基金托管人复核的事项，应提前通知基金托管人，基金托管人应在接到通知后的规定时间内予以书面答复。</w:t>
      </w:r>
    </w:p>
    <w:p w14:paraId="125D8444">
      <w:pPr>
        <w:tabs>
          <w:tab w:val="left" w:pos="4680"/>
        </w:tabs>
        <w:spacing w:line="360" w:lineRule="auto"/>
        <w:ind w:firstLine="420" w:firstLineChars="200"/>
        <w:outlineLvl w:val="2"/>
        <w:rPr>
          <w:rFonts w:hint="eastAsia" w:ascii="宋体" w:hAnsi="宋体"/>
          <w:szCs w:val="21"/>
        </w:rPr>
      </w:pPr>
      <w:r>
        <w:rPr>
          <w:rFonts w:hint="eastAsia" w:ascii="宋体" w:hAnsi="宋体"/>
          <w:szCs w:val="21"/>
        </w:rPr>
        <w:t>2、程序</w:t>
      </w:r>
    </w:p>
    <w:p w14:paraId="1FA2B365">
      <w:pPr>
        <w:tabs>
          <w:tab w:val="left" w:pos="4680"/>
        </w:tabs>
        <w:spacing w:line="360" w:lineRule="auto"/>
        <w:ind w:firstLine="420" w:firstLineChars="200"/>
        <w:rPr>
          <w:rFonts w:hint="eastAsia" w:ascii="宋体" w:hAnsi="宋体"/>
          <w:szCs w:val="21"/>
        </w:rPr>
      </w:pPr>
      <w:r>
        <w:rPr>
          <w:rFonts w:hint="eastAsia" w:ascii="宋体" w:hAnsi="宋体"/>
          <w:szCs w:val="21"/>
        </w:rPr>
        <w:t>按有关规定须经基金托管人复核的信息披露文件，由基金管理人起草，并经基金托管人复核后由基金管理人公告。</w:t>
      </w:r>
    </w:p>
    <w:p w14:paraId="7B80E96E">
      <w:pPr>
        <w:tabs>
          <w:tab w:val="left" w:pos="4680"/>
        </w:tabs>
        <w:spacing w:line="360" w:lineRule="auto"/>
        <w:ind w:firstLine="420" w:firstLineChars="200"/>
        <w:rPr>
          <w:rFonts w:hint="eastAsia" w:ascii="宋体" w:hAnsi="宋体"/>
          <w:szCs w:val="21"/>
        </w:rPr>
      </w:pPr>
      <w:r>
        <w:rPr>
          <w:rFonts w:hint="eastAsia" w:ascii="宋体" w:hAnsi="宋体"/>
          <w:szCs w:val="21"/>
        </w:rPr>
        <w:t>发生《基金合同》中规定需要披露的事项时，按《基金合同》规定公告。</w:t>
      </w:r>
    </w:p>
    <w:p w14:paraId="600F6998">
      <w:pPr>
        <w:tabs>
          <w:tab w:val="left" w:pos="4680"/>
        </w:tabs>
        <w:spacing w:line="360" w:lineRule="auto"/>
        <w:ind w:firstLine="420" w:firstLineChars="200"/>
        <w:outlineLvl w:val="2"/>
        <w:rPr>
          <w:rFonts w:hint="eastAsia" w:ascii="宋体" w:hAnsi="宋体"/>
          <w:szCs w:val="21"/>
        </w:rPr>
      </w:pPr>
      <w:r>
        <w:rPr>
          <w:rFonts w:hint="eastAsia" w:ascii="宋体" w:hAnsi="宋体"/>
          <w:szCs w:val="21"/>
        </w:rPr>
        <w:t>3、信息文本的存放</w:t>
      </w:r>
    </w:p>
    <w:p w14:paraId="07857988">
      <w:pPr>
        <w:autoSpaceDE w:val="0"/>
        <w:autoSpaceDN w:val="0"/>
        <w:adjustRightInd w:val="0"/>
        <w:spacing w:line="360" w:lineRule="auto"/>
        <w:ind w:firstLine="420" w:firstLineChars="200"/>
        <w:rPr>
          <w:rFonts w:hint="eastAsia" w:ascii="宋体" w:hAnsi="宋体"/>
          <w:szCs w:val="21"/>
        </w:rPr>
      </w:pPr>
      <w:r>
        <w:rPr>
          <w:rFonts w:hint="eastAsia" w:ascii="宋体" w:hAnsi="宋体"/>
          <w:bCs/>
          <w:szCs w:val="21"/>
        </w:rPr>
        <w:t>依法必须披露的信息发布后，基金管理人、基金托管人应当按照相关法律法规规定将信息置备于各自办公场所，供社会公众查阅、复制</w:t>
      </w:r>
      <w:r>
        <w:rPr>
          <w:rFonts w:ascii="宋体" w:hAnsi="宋体"/>
          <w:bCs/>
          <w:szCs w:val="21"/>
        </w:rPr>
        <w:t>。</w:t>
      </w:r>
      <w:r>
        <w:rPr>
          <w:rFonts w:hint="eastAsia" w:ascii="宋体" w:hAnsi="宋体"/>
          <w:bCs/>
          <w:szCs w:val="21"/>
        </w:rPr>
        <w:t>投资者</w:t>
      </w:r>
      <w:r>
        <w:rPr>
          <w:rFonts w:hint="eastAsia" w:ascii="宋体" w:hAnsi="宋体"/>
          <w:szCs w:val="21"/>
        </w:rPr>
        <w:t>在支付工本费后可以获得上述文件的复制件或复印件。</w:t>
      </w:r>
    </w:p>
    <w:p w14:paraId="3D34D450">
      <w:pPr>
        <w:autoSpaceDE w:val="0"/>
        <w:autoSpaceDN w:val="0"/>
        <w:adjustRightInd w:val="0"/>
        <w:spacing w:line="360" w:lineRule="auto"/>
        <w:ind w:firstLine="420" w:firstLineChars="200"/>
        <w:rPr>
          <w:rFonts w:hint="eastAsia" w:ascii="宋体" w:hAnsi="宋体"/>
          <w:szCs w:val="21"/>
        </w:rPr>
      </w:pPr>
      <w:r>
        <w:rPr>
          <w:rFonts w:hint="eastAsia" w:ascii="宋体" w:hAnsi="宋体"/>
          <w:szCs w:val="21"/>
        </w:rPr>
        <w:t>基金管理人和基金托管人应保证文本的内容与所公告的内容完全一致。</w:t>
      </w:r>
    </w:p>
    <w:p w14:paraId="47CDCD44">
      <w:pPr>
        <w:spacing w:line="360" w:lineRule="auto"/>
        <w:ind w:firstLine="420" w:firstLineChars="200"/>
        <w:outlineLvl w:val="2"/>
        <w:rPr>
          <w:rFonts w:hint="eastAsia" w:ascii="宋体" w:hAnsi="宋体"/>
          <w:szCs w:val="21"/>
        </w:rPr>
      </w:pPr>
      <w:r>
        <w:rPr>
          <w:rFonts w:hint="eastAsia" w:ascii="宋体" w:hAnsi="宋体"/>
          <w:szCs w:val="21"/>
        </w:rPr>
        <w:t>4、暂停</w:t>
      </w:r>
      <w:r>
        <w:rPr>
          <w:rFonts w:hint="eastAsia" w:ascii="宋体" w:hAnsi="宋体" w:cs="Arial"/>
          <w:szCs w:val="21"/>
        </w:rPr>
        <w:t>或延迟披露基金相关信息</w:t>
      </w:r>
      <w:r>
        <w:rPr>
          <w:rFonts w:hint="eastAsia" w:ascii="宋体" w:hAnsi="宋体"/>
          <w:szCs w:val="21"/>
        </w:rPr>
        <w:t>的情形</w:t>
      </w:r>
    </w:p>
    <w:p w14:paraId="2F1B40F7">
      <w:pPr>
        <w:spacing w:line="360" w:lineRule="auto"/>
        <w:ind w:firstLine="420" w:firstLineChars="200"/>
        <w:rPr>
          <w:rFonts w:hint="eastAsia" w:ascii="宋体" w:hAnsi="宋体"/>
          <w:szCs w:val="21"/>
        </w:rPr>
      </w:pPr>
      <w:r>
        <w:rPr>
          <w:rFonts w:hint="eastAsia" w:ascii="宋体" w:hAnsi="宋体"/>
          <w:szCs w:val="21"/>
        </w:rPr>
        <w:t>（1）基金投资涉及的证券、期货交易市场遇法定节假日或因其他原因停市时；</w:t>
      </w:r>
    </w:p>
    <w:p w14:paraId="63F08337">
      <w:pPr>
        <w:pStyle w:val="35"/>
        <w:spacing w:after="78"/>
        <w:ind w:firstLine="420"/>
        <w:rPr>
          <w:rFonts w:hint="eastAsia" w:ascii="宋体" w:hAnsi="宋体"/>
          <w:sz w:val="21"/>
          <w:szCs w:val="21"/>
        </w:rPr>
      </w:pPr>
      <w:r>
        <w:rPr>
          <w:rFonts w:hint="eastAsia" w:ascii="宋体" w:hAnsi="宋体"/>
          <w:sz w:val="21"/>
          <w:szCs w:val="21"/>
        </w:rPr>
        <w:t>（2）因不可抗力或其他情形致使基金管理人、基金托管人无法准确评估基金资产价值时；</w:t>
      </w:r>
    </w:p>
    <w:p w14:paraId="0D3AA9FE">
      <w:pPr>
        <w:spacing w:line="360" w:lineRule="auto"/>
        <w:ind w:right="28" w:firstLine="420" w:firstLineChars="200"/>
        <w:rPr>
          <w:rFonts w:hint="eastAsia" w:ascii="宋体" w:hAnsi="宋体"/>
          <w:szCs w:val="21"/>
        </w:rPr>
      </w:pPr>
      <w:r>
        <w:rPr>
          <w:rFonts w:hint="eastAsia" w:ascii="宋体" w:hAnsi="宋体"/>
          <w:szCs w:val="21"/>
        </w:rPr>
        <w:t>（3）中国证监会和《基金合同》认定的其他情形。</w:t>
      </w:r>
    </w:p>
    <w:p w14:paraId="760E6231">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70" w:name="_Toc382819125"/>
      <w:r>
        <w:rPr>
          <w:rFonts w:hint="eastAsia" w:ascii="宋体" w:hAnsi="宋体" w:eastAsia="宋体" w:cs="Arial"/>
          <w:sz w:val="21"/>
          <w:szCs w:val="21"/>
        </w:rPr>
        <w:t>基金费用</w:t>
      </w:r>
      <w:bookmarkEnd w:id="70"/>
    </w:p>
    <w:p w14:paraId="013D109D">
      <w:pPr>
        <w:spacing w:line="360" w:lineRule="auto"/>
        <w:ind w:firstLine="420" w:firstLineChars="200"/>
        <w:rPr>
          <w:rFonts w:hint="eastAsia" w:ascii="宋体" w:hAnsi="宋体"/>
          <w:szCs w:val="21"/>
        </w:rPr>
      </w:pPr>
      <w:r>
        <w:rPr>
          <w:rFonts w:hint="eastAsia" w:ascii="宋体" w:hAnsi="宋体"/>
          <w:szCs w:val="21"/>
        </w:rPr>
        <w:t>本基金的托管费按前一日基金资产净值的0.2%年费率计提。托管费的计算方法如下：</w:t>
      </w:r>
    </w:p>
    <w:p w14:paraId="1EB308B7">
      <w:pPr>
        <w:spacing w:line="360" w:lineRule="auto"/>
        <w:ind w:firstLine="420" w:firstLineChars="200"/>
        <w:rPr>
          <w:rFonts w:hint="eastAsia" w:ascii="宋体" w:hAnsi="宋体"/>
          <w:szCs w:val="21"/>
        </w:rPr>
      </w:pPr>
      <w:r>
        <w:rPr>
          <w:rFonts w:hint="eastAsia" w:ascii="宋体" w:hAnsi="宋体"/>
          <w:szCs w:val="21"/>
        </w:rPr>
        <w:t>H＝E×年托管费率÷当年天数</w:t>
      </w:r>
    </w:p>
    <w:p w14:paraId="5562185E">
      <w:pPr>
        <w:spacing w:line="360" w:lineRule="auto"/>
        <w:ind w:firstLine="420" w:firstLineChars="200"/>
        <w:rPr>
          <w:rFonts w:hint="eastAsia" w:ascii="宋体" w:hAnsi="宋体"/>
          <w:szCs w:val="21"/>
        </w:rPr>
      </w:pPr>
      <w:r>
        <w:rPr>
          <w:rFonts w:hint="eastAsia" w:ascii="宋体" w:hAnsi="宋体"/>
          <w:szCs w:val="21"/>
        </w:rPr>
        <w:t>H为每日应计提的基金托管费</w:t>
      </w:r>
    </w:p>
    <w:p w14:paraId="22183073">
      <w:pPr>
        <w:spacing w:line="360" w:lineRule="auto"/>
        <w:ind w:firstLine="420" w:firstLineChars="200"/>
        <w:rPr>
          <w:rFonts w:hint="eastAsia" w:ascii="宋体" w:hAnsi="宋体"/>
          <w:szCs w:val="21"/>
        </w:rPr>
      </w:pPr>
      <w:r>
        <w:rPr>
          <w:rFonts w:hint="eastAsia" w:ascii="宋体" w:hAnsi="宋体"/>
          <w:szCs w:val="21"/>
        </w:rPr>
        <w:t>E为前一日的基金资产净值</w:t>
      </w:r>
    </w:p>
    <w:p w14:paraId="689CF686">
      <w:pPr>
        <w:spacing w:line="360" w:lineRule="auto"/>
        <w:ind w:firstLine="420" w:firstLineChars="200"/>
        <w:rPr>
          <w:rFonts w:hint="eastAsia" w:ascii="宋体" w:hAnsi="宋体"/>
          <w:szCs w:val="21"/>
        </w:rPr>
      </w:pPr>
      <w:bookmarkStart w:id="71" w:name="_Hlk221014466"/>
      <w:r>
        <w:rPr>
          <w:rFonts w:hint="eastAsia" w:ascii="宋体" w:hAnsi="宋体"/>
          <w:szCs w:val="21"/>
        </w:rPr>
        <w:t>基金托管费每日计提，逐日累计至每月月末，按月支付。</w:t>
      </w:r>
      <w:bookmarkStart w:id="72" w:name="_Hlk221014592"/>
      <w:r>
        <w:rPr>
          <w:rFonts w:hint="eastAsia" w:ascii="宋体" w:hAnsi="宋体"/>
          <w:szCs w:val="21"/>
        </w:rPr>
        <w:t>由基金管理人与基金托管人核对一致后，由基金托管人按照与基金管理人协商一致的方式于次月首日起5个工作日内从基金财产中一次性支付给基金托管人</w:t>
      </w:r>
      <w:bookmarkEnd w:id="72"/>
      <w:r>
        <w:rPr>
          <w:rFonts w:hint="eastAsia" w:ascii="宋体" w:hAnsi="宋体"/>
          <w:szCs w:val="21"/>
        </w:rPr>
        <w:t>，若遇法定节假日、休息日或不可抗力致使无法按时支付的，</w:t>
      </w:r>
      <w:bookmarkStart w:id="73" w:name="_Hlk221014631"/>
      <w:r>
        <w:rPr>
          <w:rFonts w:hint="eastAsia" w:ascii="宋体" w:hAnsi="宋体"/>
          <w:szCs w:val="21"/>
        </w:rPr>
        <w:t>支付日期顺延</w:t>
      </w:r>
      <w:bookmarkEnd w:id="73"/>
      <w:r>
        <w:rPr>
          <w:rFonts w:hint="eastAsia" w:ascii="宋体" w:hAnsi="宋体"/>
          <w:szCs w:val="21"/>
        </w:rPr>
        <w:t>。</w:t>
      </w:r>
      <w:bookmarkEnd w:id="71"/>
    </w:p>
    <w:p w14:paraId="340C2136">
      <w:pPr>
        <w:spacing w:line="360" w:lineRule="auto"/>
        <w:ind w:firstLine="420" w:firstLineChars="200"/>
        <w:rPr>
          <w:rFonts w:hint="eastAsia" w:ascii="宋体" w:hAnsi="宋体"/>
          <w:szCs w:val="21"/>
          <w:lang w:val="zh-CN"/>
        </w:rPr>
      </w:pPr>
      <w:r>
        <w:rPr>
          <w:rFonts w:hint="eastAsia" w:ascii="宋体" w:hAnsi="宋体"/>
          <w:szCs w:val="21"/>
        </w:rPr>
        <w:t>其他基金费用按照《基金合同》的约定计提和支付。</w:t>
      </w:r>
    </w:p>
    <w:p w14:paraId="1946BEAD">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74" w:name="_Toc382819126"/>
      <w:r>
        <w:rPr>
          <w:rFonts w:hint="eastAsia" w:ascii="宋体" w:hAnsi="宋体" w:eastAsia="宋体" w:cs="Arial"/>
          <w:sz w:val="21"/>
          <w:szCs w:val="21"/>
        </w:rPr>
        <w:t>基金份额持有人名册的保管</w:t>
      </w:r>
      <w:bookmarkEnd w:id="74"/>
    </w:p>
    <w:p w14:paraId="2A124DB0">
      <w:pPr>
        <w:spacing w:line="360" w:lineRule="auto"/>
        <w:ind w:firstLine="420" w:firstLineChars="200"/>
        <w:rPr>
          <w:rFonts w:hint="eastAsia" w:ascii="宋体" w:hAnsi="宋体"/>
          <w:szCs w:val="21"/>
        </w:rPr>
      </w:pPr>
      <w:r>
        <w:rPr>
          <w:rFonts w:hint="eastAsia" w:ascii="宋体" w:hAnsi="宋体"/>
          <w:szCs w:val="21"/>
        </w:rPr>
        <w:t>基金管理人妥善保管的基金份额持有人名册，包括《基金合同》生效日、《基金合同》终止日、基金份额持有人大会权益登记日、每年6月30日、12月31日的基金份额持有人名册。基金份额持有人名册的内容必须包括基金份额持有人的名称和持有的基金份额。</w:t>
      </w:r>
    </w:p>
    <w:p w14:paraId="20DD5343">
      <w:pPr>
        <w:spacing w:line="360" w:lineRule="auto"/>
        <w:ind w:firstLine="420" w:firstLineChars="200"/>
        <w:rPr>
          <w:rFonts w:hint="eastAsia" w:ascii="宋体" w:hAnsi="宋体"/>
          <w:szCs w:val="21"/>
        </w:rPr>
      </w:pPr>
      <w:r>
        <w:rPr>
          <w:rFonts w:hint="eastAsia" w:ascii="宋体" w:hAnsi="宋体"/>
          <w:szCs w:val="21"/>
        </w:rPr>
        <w:t>基金份额持有人名册由基金的</w:t>
      </w:r>
      <w:r>
        <w:rPr>
          <w:rFonts w:hint="eastAsia" w:ascii="宋体" w:hAnsi="宋体" w:cs="Arial"/>
          <w:szCs w:val="21"/>
        </w:rPr>
        <w:t>基金登记机构根据基金管理人的指令编制和保管</w:t>
      </w:r>
      <w:r>
        <w:rPr>
          <w:rFonts w:hint="eastAsia" w:ascii="宋体" w:hAnsi="宋体"/>
          <w:szCs w:val="21"/>
        </w:rPr>
        <w:t>，基金管理人应按照目前相关规则保管基金份额持有人名册。保管方式可以采用电子或文档的形式。保管期限不低于法律</w:t>
      </w:r>
      <w:r>
        <w:rPr>
          <w:rFonts w:ascii="宋体" w:hAnsi="宋体"/>
          <w:szCs w:val="21"/>
        </w:rPr>
        <w:t>法规</w:t>
      </w:r>
      <w:r>
        <w:rPr>
          <w:rFonts w:hint="eastAsia" w:ascii="宋体" w:hAnsi="宋体"/>
          <w:szCs w:val="21"/>
        </w:rPr>
        <w:t>规定</w:t>
      </w:r>
      <w:r>
        <w:rPr>
          <w:rFonts w:ascii="宋体" w:hAnsi="宋体"/>
          <w:szCs w:val="21"/>
        </w:rPr>
        <w:t>的最低期限</w:t>
      </w:r>
      <w:r>
        <w:rPr>
          <w:rFonts w:hint="eastAsia" w:ascii="宋体" w:hAnsi="宋体"/>
          <w:szCs w:val="21"/>
        </w:rPr>
        <w:t>。</w:t>
      </w:r>
    </w:p>
    <w:p w14:paraId="7C4A2931">
      <w:pPr>
        <w:spacing w:line="360" w:lineRule="auto"/>
        <w:ind w:firstLine="420" w:firstLineChars="200"/>
        <w:rPr>
          <w:rFonts w:hint="eastAsia" w:ascii="宋体" w:hAnsi="宋体" w:cs="Arial"/>
          <w:szCs w:val="21"/>
        </w:rPr>
      </w:pPr>
      <w:r>
        <w:rPr>
          <w:rFonts w:hint="eastAsia" w:ascii="宋体" w:hAnsi="宋体"/>
          <w:szCs w:val="21"/>
        </w:rPr>
        <w:t>在基金托管人编制中期报告和</w:t>
      </w:r>
      <w:r>
        <w:rPr>
          <w:rFonts w:ascii="宋体" w:hAnsi="宋体"/>
          <w:szCs w:val="21"/>
        </w:rPr>
        <w:t>年度报告</w:t>
      </w:r>
      <w:r>
        <w:rPr>
          <w:rFonts w:hint="eastAsia" w:ascii="宋体" w:hAnsi="宋体"/>
          <w:szCs w:val="21"/>
        </w:rPr>
        <w:t>前，基金管理人应将每年6月30日、12月31日的基金持有人名册送交基金托管人，文件方式可以采用电子或文档的形式并且保证其的真实、准确、完整。基金托管人应妥善保管，不得将持有人名册用于基金托管业务以外的其他用途。</w:t>
      </w:r>
    </w:p>
    <w:p w14:paraId="3C02DBB4">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75" w:name="_Toc382819127"/>
      <w:r>
        <w:rPr>
          <w:rFonts w:hint="eastAsia" w:ascii="宋体" w:hAnsi="宋体" w:eastAsia="宋体" w:cs="Arial"/>
          <w:sz w:val="21"/>
          <w:szCs w:val="21"/>
        </w:rPr>
        <w:t>基金有关文件和档案的保存</w:t>
      </w:r>
      <w:bookmarkEnd w:id="75"/>
    </w:p>
    <w:p w14:paraId="45BBCC75">
      <w:pPr>
        <w:spacing w:line="360" w:lineRule="auto"/>
        <w:ind w:firstLine="420" w:firstLineChars="200"/>
        <w:outlineLvl w:val="1"/>
        <w:rPr>
          <w:rFonts w:hint="eastAsia" w:ascii="宋体" w:hAnsi="宋体" w:cs="Arial"/>
          <w:szCs w:val="21"/>
        </w:rPr>
      </w:pPr>
      <w:r>
        <w:rPr>
          <w:rFonts w:hint="eastAsia" w:ascii="宋体" w:hAnsi="宋体" w:cs="Arial"/>
          <w:szCs w:val="21"/>
        </w:rPr>
        <w:t>（一）档案保存</w:t>
      </w:r>
    </w:p>
    <w:p w14:paraId="0A9D9527">
      <w:pPr>
        <w:spacing w:line="360" w:lineRule="auto"/>
        <w:ind w:firstLine="420" w:firstLineChars="200"/>
        <w:rPr>
          <w:rFonts w:hint="eastAsia" w:ascii="宋体" w:hAnsi="宋体" w:cs="Arial"/>
          <w:szCs w:val="21"/>
        </w:rPr>
      </w:pPr>
      <w:r>
        <w:rPr>
          <w:rFonts w:hint="eastAsia" w:ascii="宋体" w:hAnsi="宋体" w:cs="Arial"/>
          <w:szCs w:val="21"/>
        </w:rPr>
        <w:t>基金管理人和基金托管人应按各自职责完整保存本基金的基金账册、原始凭证、记账凭证、交易记录、公告、重要合同等相关资料，承担保密义务并按规定的期限保管。基金管理人应保存基金财产管理业务活动的记录、账册、报表和其他相关资料，基金托管人应保存基金托管业务活动的记录、账册、报表和其他相关资料。保存期限</w:t>
      </w:r>
      <w:r>
        <w:rPr>
          <w:rFonts w:hint="eastAsia" w:ascii="宋体" w:hAnsi="宋体"/>
          <w:szCs w:val="21"/>
        </w:rPr>
        <w:t>不低于法律</w:t>
      </w:r>
      <w:r>
        <w:rPr>
          <w:rFonts w:ascii="宋体" w:hAnsi="宋体"/>
          <w:szCs w:val="21"/>
        </w:rPr>
        <w:t>法规</w:t>
      </w:r>
      <w:r>
        <w:rPr>
          <w:rFonts w:hint="eastAsia" w:ascii="宋体" w:hAnsi="宋体"/>
          <w:szCs w:val="21"/>
        </w:rPr>
        <w:t>规定</w:t>
      </w:r>
      <w:r>
        <w:rPr>
          <w:rFonts w:ascii="宋体" w:hAnsi="宋体"/>
          <w:szCs w:val="21"/>
        </w:rPr>
        <w:t>的最低期限</w:t>
      </w:r>
      <w:r>
        <w:rPr>
          <w:rFonts w:hint="eastAsia" w:ascii="宋体" w:hAnsi="宋体"/>
          <w:szCs w:val="21"/>
        </w:rPr>
        <w:t>。</w:t>
      </w:r>
    </w:p>
    <w:p w14:paraId="308A8997">
      <w:pPr>
        <w:spacing w:line="360" w:lineRule="auto"/>
        <w:ind w:firstLine="420" w:firstLineChars="200"/>
        <w:outlineLvl w:val="1"/>
        <w:rPr>
          <w:rFonts w:hint="eastAsia" w:ascii="宋体" w:hAnsi="宋体" w:cs="Arial"/>
          <w:szCs w:val="21"/>
        </w:rPr>
      </w:pPr>
      <w:r>
        <w:rPr>
          <w:rFonts w:hint="eastAsia" w:ascii="宋体" w:hAnsi="宋体" w:cs="Arial"/>
          <w:szCs w:val="21"/>
        </w:rPr>
        <w:t>（二）合同档案的建立</w:t>
      </w:r>
    </w:p>
    <w:p w14:paraId="66AE52E1">
      <w:pPr>
        <w:spacing w:line="360" w:lineRule="auto"/>
        <w:ind w:firstLine="420" w:firstLineChars="200"/>
        <w:rPr>
          <w:rFonts w:hint="eastAsia" w:ascii="宋体" w:hAnsi="宋体" w:cs="Arial"/>
          <w:szCs w:val="21"/>
        </w:rPr>
      </w:pPr>
      <w:r>
        <w:rPr>
          <w:rFonts w:hint="eastAsia" w:ascii="宋体" w:hAnsi="宋体" w:cs="Arial"/>
          <w:szCs w:val="21"/>
        </w:rPr>
        <w:t>1、基金管理人或基金托管人在签署与本基金有关的合同文本后，应及时按相关法律法规及本协议的规定将合同正本或副本提交对方。</w:t>
      </w:r>
    </w:p>
    <w:p w14:paraId="6E1C0090">
      <w:pPr>
        <w:spacing w:line="360" w:lineRule="auto"/>
        <w:ind w:firstLine="420" w:firstLineChars="200"/>
        <w:rPr>
          <w:rFonts w:hint="eastAsia" w:ascii="宋体" w:hAnsi="宋体" w:cs="Arial"/>
          <w:szCs w:val="21"/>
        </w:rPr>
      </w:pPr>
      <w:r>
        <w:rPr>
          <w:rFonts w:hint="eastAsia" w:ascii="宋体" w:hAnsi="宋体" w:cs="Arial"/>
          <w:szCs w:val="21"/>
        </w:rPr>
        <w:t>2、基金管理人和基金托管人应按各自职责保管就基金资产对外签署的全部合同的正本。</w:t>
      </w:r>
    </w:p>
    <w:p w14:paraId="422D4997">
      <w:pPr>
        <w:spacing w:line="360" w:lineRule="auto"/>
        <w:ind w:firstLine="420" w:firstLineChars="200"/>
        <w:outlineLvl w:val="1"/>
        <w:rPr>
          <w:rFonts w:hint="eastAsia" w:ascii="宋体" w:hAnsi="宋体" w:cs="Arial"/>
          <w:szCs w:val="21"/>
        </w:rPr>
      </w:pPr>
      <w:r>
        <w:rPr>
          <w:rFonts w:hint="eastAsia" w:ascii="宋体" w:hAnsi="宋体" w:cs="Arial"/>
          <w:szCs w:val="21"/>
        </w:rPr>
        <w:t>（三）变更与协助</w:t>
      </w:r>
    </w:p>
    <w:p w14:paraId="35B29088">
      <w:pPr>
        <w:spacing w:line="360" w:lineRule="auto"/>
        <w:ind w:firstLine="420" w:firstLineChars="200"/>
        <w:rPr>
          <w:rFonts w:hint="eastAsia" w:ascii="宋体" w:hAnsi="宋体"/>
          <w:szCs w:val="21"/>
        </w:rPr>
      </w:pPr>
      <w:r>
        <w:rPr>
          <w:rFonts w:hint="eastAsia" w:ascii="宋体" w:hAnsi="宋体" w:cs="Arial"/>
          <w:szCs w:val="21"/>
        </w:rPr>
        <w:t>若基金管理人和基金托管人发生变更，未变更的一方有义务协助变更后的接任人接收相应文件。</w:t>
      </w:r>
    </w:p>
    <w:p w14:paraId="3E001EA1">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76" w:name="_Toc382819128"/>
      <w:bookmarkStart w:id="77" w:name="_Hlk207919470"/>
      <w:r>
        <w:rPr>
          <w:rFonts w:hint="eastAsia" w:ascii="宋体" w:hAnsi="宋体" w:eastAsia="宋体" w:cs="Arial"/>
          <w:sz w:val="21"/>
          <w:szCs w:val="21"/>
        </w:rPr>
        <w:t>基金管理人和基金托管人的更换</w:t>
      </w:r>
      <w:bookmarkEnd w:id="76"/>
    </w:p>
    <w:p w14:paraId="1B3D973D">
      <w:pPr>
        <w:pStyle w:val="3"/>
        <w:keepNext w:val="0"/>
        <w:keepLines w:val="0"/>
        <w:autoSpaceDE w:val="0"/>
        <w:autoSpaceDN w:val="0"/>
        <w:adjustRightInd w:val="0"/>
        <w:spacing w:before="0" w:after="0" w:line="360" w:lineRule="auto"/>
        <w:ind w:firstLine="308" w:firstLineChars="147"/>
        <w:textAlignment w:val="baseline"/>
        <w:rPr>
          <w:rFonts w:hint="eastAsia" w:ascii="宋体" w:hAnsi="宋体" w:eastAsia="宋体" w:cs="Arial"/>
          <w:b w:val="0"/>
          <w:bCs w:val="0"/>
          <w:kern w:val="0"/>
          <w:sz w:val="21"/>
          <w:szCs w:val="21"/>
        </w:rPr>
      </w:pPr>
      <w:bookmarkStart w:id="78" w:name="_Toc382819129"/>
      <w:r>
        <w:rPr>
          <w:rFonts w:hint="eastAsia" w:ascii="宋体" w:hAnsi="宋体" w:eastAsia="宋体" w:cs="Arial"/>
          <w:b w:val="0"/>
          <w:bCs w:val="0"/>
          <w:kern w:val="0"/>
          <w:sz w:val="21"/>
          <w:szCs w:val="21"/>
        </w:rPr>
        <w:t>（一）基金管理人的更换</w:t>
      </w:r>
      <w:bookmarkEnd w:id="78"/>
    </w:p>
    <w:p w14:paraId="0C013166">
      <w:pPr>
        <w:spacing w:line="360" w:lineRule="auto"/>
        <w:ind w:firstLine="420" w:firstLineChars="200"/>
        <w:rPr>
          <w:rFonts w:hint="eastAsia" w:ascii="宋体" w:hAnsi="宋体"/>
          <w:szCs w:val="21"/>
        </w:rPr>
      </w:pPr>
      <w:r>
        <w:rPr>
          <w:rFonts w:hint="eastAsia" w:ascii="宋体" w:hAnsi="宋体"/>
          <w:szCs w:val="21"/>
        </w:rPr>
        <w:t>1.基金管理人的更换条件</w:t>
      </w:r>
    </w:p>
    <w:p w14:paraId="37B0D9D9">
      <w:pPr>
        <w:spacing w:line="360" w:lineRule="auto"/>
        <w:ind w:firstLine="420" w:firstLineChars="200"/>
        <w:rPr>
          <w:rFonts w:hint="eastAsia" w:ascii="宋体" w:hAnsi="宋体"/>
          <w:szCs w:val="21"/>
        </w:rPr>
      </w:pPr>
      <w:r>
        <w:rPr>
          <w:rFonts w:hint="eastAsia" w:ascii="宋体" w:hAnsi="宋体"/>
          <w:szCs w:val="21"/>
        </w:rPr>
        <w:t>有下列情形之一的，基金管理人职责终止：</w:t>
      </w:r>
    </w:p>
    <w:p w14:paraId="3159CC56">
      <w:pPr>
        <w:spacing w:line="360" w:lineRule="auto"/>
        <w:ind w:firstLine="420" w:firstLineChars="200"/>
        <w:rPr>
          <w:rFonts w:hint="eastAsia" w:ascii="宋体" w:hAnsi="宋体"/>
          <w:szCs w:val="21"/>
        </w:rPr>
      </w:pPr>
      <w:r>
        <w:rPr>
          <w:rFonts w:hint="eastAsia" w:ascii="宋体" w:hAnsi="宋体"/>
          <w:szCs w:val="21"/>
        </w:rPr>
        <w:t>(1) 被依法取消基金管理资格；</w:t>
      </w:r>
    </w:p>
    <w:p w14:paraId="378A4659">
      <w:pPr>
        <w:spacing w:line="360" w:lineRule="auto"/>
        <w:ind w:firstLine="420" w:firstLineChars="200"/>
        <w:rPr>
          <w:rFonts w:hint="eastAsia" w:ascii="宋体" w:hAnsi="宋体"/>
          <w:szCs w:val="21"/>
        </w:rPr>
      </w:pPr>
      <w:r>
        <w:rPr>
          <w:rFonts w:hint="eastAsia" w:ascii="宋体" w:hAnsi="宋体"/>
          <w:szCs w:val="21"/>
        </w:rPr>
        <w:t>(2) 被基金份额持有人大会解任；</w:t>
      </w:r>
    </w:p>
    <w:p w14:paraId="0B4B5D8D">
      <w:pPr>
        <w:spacing w:line="360" w:lineRule="auto"/>
        <w:ind w:firstLine="420" w:firstLineChars="200"/>
        <w:rPr>
          <w:rFonts w:hint="eastAsia" w:ascii="宋体" w:hAnsi="宋体"/>
          <w:szCs w:val="21"/>
        </w:rPr>
      </w:pPr>
      <w:r>
        <w:rPr>
          <w:rFonts w:hint="eastAsia" w:ascii="宋体" w:hAnsi="宋体"/>
          <w:szCs w:val="21"/>
        </w:rPr>
        <w:t>(3) 依法解散、被依法撤销或被依法宣告破产；</w:t>
      </w:r>
    </w:p>
    <w:p w14:paraId="02318F52">
      <w:pPr>
        <w:spacing w:line="360" w:lineRule="auto"/>
        <w:ind w:firstLine="420" w:firstLineChars="200"/>
        <w:rPr>
          <w:rFonts w:hint="eastAsia" w:ascii="宋体" w:hAnsi="宋体"/>
          <w:szCs w:val="21"/>
        </w:rPr>
      </w:pPr>
      <w:r>
        <w:rPr>
          <w:rFonts w:hint="eastAsia" w:ascii="宋体" w:hAnsi="宋体"/>
          <w:szCs w:val="21"/>
        </w:rPr>
        <w:t>(4) 法律法规</w:t>
      </w:r>
      <w:r>
        <w:rPr>
          <w:rFonts w:hint="eastAsia" w:ascii="宋体" w:hAnsi="宋体"/>
          <w:bCs/>
          <w:szCs w:val="21"/>
        </w:rPr>
        <w:t>及中国证监会规定的</w:t>
      </w:r>
      <w:r>
        <w:rPr>
          <w:rFonts w:hint="eastAsia" w:ascii="宋体" w:hAnsi="宋体"/>
          <w:szCs w:val="21"/>
        </w:rPr>
        <w:t>和《基金合同》规定的其它情形。</w:t>
      </w:r>
    </w:p>
    <w:p w14:paraId="6FF8ECDA">
      <w:pPr>
        <w:spacing w:line="360" w:lineRule="auto"/>
        <w:ind w:firstLine="420" w:firstLineChars="200"/>
        <w:rPr>
          <w:rFonts w:hint="eastAsia" w:ascii="宋体" w:hAnsi="宋体"/>
          <w:szCs w:val="21"/>
        </w:rPr>
      </w:pPr>
      <w:r>
        <w:rPr>
          <w:rFonts w:hint="eastAsia" w:ascii="宋体" w:hAnsi="宋体"/>
          <w:szCs w:val="21"/>
        </w:rPr>
        <w:t>2.更换基金管理人的程序</w:t>
      </w:r>
    </w:p>
    <w:p w14:paraId="57621EAD">
      <w:pPr>
        <w:spacing w:line="360" w:lineRule="auto"/>
        <w:ind w:firstLine="420" w:firstLineChars="200"/>
        <w:rPr>
          <w:rFonts w:hint="eastAsia" w:ascii="宋体" w:hAnsi="宋体"/>
          <w:szCs w:val="21"/>
        </w:rPr>
      </w:pPr>
      <w:r>
        <w:rPr>
          <w:rFonts w:hint="eastAsia" w:ascii="宋体" w:hAnsi="宋体"/>
          <w:szCs w:val="21"/>
        </w:rPr>
        <w:t>（1）提名：新任基金管理人由基金托管人或由单独或合计持有10%以上（含10%）基金份额的基金份额持有人提名；</w:t>
      </w:r>
    </w:p>
    <w:p w14:paraId="5F18706D">
      <w:pPr>
        <w:spacing w:line="360" w:lineRule="auto"/>
        <w:ind w:firstLine="420" w:firstLineChars="200"/>
        <w:rPr>
          <w:rFonts w:hint="eastAsia" w:ascii="宋体" w:hAnsi="宋体"/>
          <w:szCs w:val="21"/>
        </w:rPr>
      </w:pPr>
      <w:r>
        <w:rPr>
          <w:rFonts w:hint="eastAsia" w:ascii="宋体" w:hAnsi="宋体"/>
          <w:szCs w:val="21"/>
        </w:rPr>
        <w:t>（2）决议：基金份额持有人大会在基金管理人职责终止后6个月内对被提名的</w:t>
      </w:r>
      <w:r>
        <w:rPr>
          <w:rFonts w:hint="eastAsia" w:ascii="宋体" w:hAnsi="宋体"/>
          <w:bCs/>
          <w:szCs w:val="21"/>
        </w:rPr>
        <w:t>新任</w:t>
      </w:r>
      <w:r>
        <w:rPr>
          <w:rFonts w:hint="eastAsia" w:ascii="宋体" w:hAnsi="宋体"/>
          <w:szCs w:val="21"/>
        </w:rPr>
        <w:t>基金管理人形成决议，该决议需经参加大会的基金份额持有人所持表决权的2/3以上（含2/3）表决通过</w:t>
      </w:r>
      <w:r>
        <w:rPr>
          <w:rFonts w:ascii="宋体" w:hAnsi="宋体"/>
          <w:bCs/>
          <w:szCs w:val="21"/>
        </w:rPr>
        <w:t>，决议自表决通过之日起生效</w:t>
      </w:r>
      <w:r>
        <w:rPr>
          <w:rFonts w:hint="eastAsia" w:ascii="宋体" w:hAnsi="宋体"/>
          <w:bCs/>
          <w:szCs w:val="21"/>
        </w:rPr>
        <w:t>，新任基金管理人应当符合法律法规及中国证监会规定的资格条件</w:t>
      </w:r>
      <w:r>
        <w:rPr>
          <w:rFonts w:hint="eastAsia" w:ascii="宋体" w:hAnsi="宋体"/>
          <w:szCs w:val="21"/>
        </w:rPr>
        <w:t>；</w:t>
      </w:r>
    </w:p>
    <w:p w14:paraId="193A8F75">
      <w:pPr>
        <w:spacing w:line="360" w:lineRule="auto"/>
        <w:ind w:firstLine="420" w:firstLineChars="200"/>
        <w:rPr>
          <w:rFonts w:hint="eastAsia" w:ascii="宋体" w:hAnsi="宋体"/>
          <w:szCs w:val="21"/>
        </w:rPr>
      </w:pPr>
      <w:r>
        <w:rPr>
          <w:rFonts w:hint="eastAsia" w:ascii="宋体" w:hAnsi="宋体"/>
          <w:szCs w:val="21"/>
        </w:rPr>
        <w:t>（3）临时基金管理人：新任基金管理人产生之前，由中国证监会指定临时基金管理人；</w:t>
      </w:r>
    </w:p>
    <w:p w14:paraId="79582784">
      <w:pPr>
        <w:spacing w:line="360" w:lineRule="auto"/>
        <w:ind w:firstLine="420" w:firstLineChars="200"/>
        <w:rPr>
          <w:rFonts w:hint="eastAsia" w:ascii="宋体" w:hAnsi="宋体"/>
          <w:szCs w:val="21"/>
        </w:rPr>
      </w:pPr>
      <w:r>
        <w:rPr>
          <w:rFonts w:hint="eastAsia" w:ascii="宋体" w:hAnsi="宋体"/>
          <w:szCs w:val="21"/>
        </w:rPr>
        <w:t>（4）</w:t>
      </w:r>
      <w:r>
        <w:rPr>
          <w:rFonts w:ascii="宋体" w:hAnsi="宋体"/>
          <w:szCs w:val="21"/>
        </w:rPr>
        <w:t>备案</w:t>
      </w:r>
      <w:r>
        <w:rPr>
          <w:rFonts w:hint="eastAsia" w:ascii="宋体" w:hAnsi="宋体"/>
          <w:szCs w:val="21"/>
        </w:rPr>
        <w:t>：基金份额持有人大会</w:t>
      </w:r>
      <w:r>
        <w:rPr>
          <w:rFonts w:ascii="宋体" w:hAnsi="宋体"/>
          <w:szCs w:val="21"/>
        </w:rPr>
        <w:t>更换</w:t>
      </w:r>
      <w:r>
        <w:rPr>
          <w:rFonts w:hint="eastAsia" w:ascii="宋体" w:hAnsi="宋体"/>
          <w:szCs w:val="21"/>
        </w:rPr>
        <w:t>基金管理人的决议须</w:t>
      </w:r>
      <w:r>
        <w:rPr>
          <w:rFonts w:ascii="宋体" w:hAnsi="宋体"/>
          <w:szCs w:val="21"/>
        </w:rPr>
        <w:t>报</w:t>
      </w:r>
      <w:r>
        <w:rPr>
          <w:rFonts w:hint="eastAsia" w:ascii="宋体" w:hAnsi="宋体"/>
          <w:szCs w:val="21"/>
        </w:rPr>
        <w:t>中国证监会</w:t>
      </w:r>
      <w:r>
        <w:rPr>
          <w:rFonts w:ascii="宋体" w:hAnsi="宋体"/>
          <w:szCs w:val="21"/>
        </w:rPr>
        <w:t>备案</w:t>
      </w:r>
      <w:r>
        <w:rPr>
          <w:rFonts w:hint="eastAsia" w:ascii="宋体" w:hAnsi="宋体"/>
          <w:szCs w:val="21"/>
        </w:rPr>
        <w:t>；</w:t>
      </w:r>
    </w:p>
    <w:p w14:paraId="62FA5194">
      <w:pPr>
        <w:spacing w:line="360" w:lineRule="auto"/>
        <w:ind w:firstLine="420" w:firstLineChars="200"/>
        <w:rPr>
          <w:rFonts w:hint="eastAsia" w:ascii="宋体" w:hAnsi="宋体"/>
          <w:szCs w:val="21"/>
        </w:rPr>
      </w:pPr>
      <w:r>
        <w:rPr>
          <w:rFonts w:hint="eastAsia" w:ascii="宋体" w:hAnsi="宋体"/>
          <w:szCs w:val="21"/>
        </w:rPr>
        <w:t>（5）公告：基金管理人更换后，由基金托管人在</w:t>
      </w:r>
      <w:r>
        <w:rPr>
          <w:rFonts w:ascii="宋体" w:hAnsi="宋体"/>
          <w:bCs/>
          <w:szCs w:val="21"/>
        </w:rPr>
        <w:t>更换基金管理人的基金份额持有人大会决议生效后</w:t>
      </w:r>
      <w:r>
        <w:rPr>
          <w:rFonts w:hint="eastAsia" w:ascii="宋体" w:hAnsi="宋体"/>
          <w:bCs/>
          <w:szCs w:val="21"/>
        </w:rPr>
        <w:t>依照《信息披露办法》的规定</w:t>
      </w:r>
      <w:r>
        <w:rPr>
          <w:rFonts w:ascii="宋体" w:hAnsi="宋体"/>
          <w:bCs/>
          <w:szCs w:val="21"/>
        </w:rPr>
        <w:t>在</w:t>
      </w:r>
      <w:r>
        <w:rPr>
          <w:rFonts w:hint="eastAsia" w:ascii="宋体" w:hAnsi="宋体"/>
          <w:bCs/>
          <w:szCs w:val="21"/>
        </w:rPr>
        <w:t>规定媒介</w:t>
      </w:r>
      <w:r>
        <w:rPr>
          <w:rFonts w:ascii="宋体" w:hAnsi="宋体"/>
          <w:bCs/>
          <w:szCs w:val="21"/>
        </w:rPr>
        <w:t>公告</w:t>
      </w:r>
      <w:r>
        <w:rPr>
          <w:rFonts w:hint="eastAsia" w:ascii="宋体" w:hAnsi="宋体"/>
          <w:szCs w:val="21"/>
        </w:rPr>
        <w:t>；</w:t>
      </w:r>
    </w:p>
    <w:p w14:paraId="00A634F4">
      <w:pPr>
        <w:spacing w:line="360" w:lineRule="auto"/>
        <w:ind w:firstLine="420" w:firstLineChars="200"/>
        <w:rPr>
          <w:rFonts w:hint="eastAsia" w:ascii="宋体" w:hAnsi="宋体"/>
          <w:szCs w:val="21"/>
        </w:rPr>
      </w:pPr>
      <w:r>
        <w:rPr>
          <w:rFonts w:hint="eastAsia" w:ascii="宋体" w:hAnsi="宋体"/>
          <w:bCs/>
          <w:szCs w:val="21"/>
        </w:rPr>
        <w:t>（6）</w:t>
      </w:r>
      <w:r>
        <w:rPr>
          <w:rFonts w:ascii="宋体" w:hAnsi="宋体"/>
          <w:bCs/>
          <w:szCs w:val="21"/>
        </w:rPr>
        <w:t>交接：基金管理人职责终止的，</w:t>
      </w:r>
      <w:r>
        <w:rPr>
          <w:rFonts w:hint="eastAsia" w:ascii="宋体" w:hAnsi="宋体"/>
          <w:szCs w:val="21"/>
        </w:rPr>
        <w:t>基金管理人应妥善保管基金管理业务资料，及时向临时基金管理人或新任基金管理人办理基金管理业务的移交手续，临时基金管理人或新任基金管理人应及时接收</w:t>
      </w:r>
      <w:r>
        <w:rPr>
          <w:rFonts w:ascii="宋体" w:hAnsi="宋体"/>
          <w:bCs/>
          <w:szCs w:val="21"/>
        </w:rPr>
        <w:t>。新任基金管理人</w:t>
      </w:r>
      <w:r>
        <w:rPr>
          <w:rFonts w:hint="eastAsia" w:ascii="宋体" w:hAnsi="宋体"/>
          <w:bCs/>
          <w:szCs w:val="21"/>
        </w:rPr>
        <w:t>或者临时基金管理人</w:t>
      </w:r>
      <w:r>
        <w:rPr>
          <w:rFonts w:ascii="宋体" w:hAnsi="宋体"/>
          <w:bCs/>
          <w:szCs w:val="21"/>
        </w:rPr>
        <w:t>应与基金托管人核对基金资产总值</w:t>
      </w:r>
      <w:r>
        <w:rPr>
          <w:rFonts w:hint="eastAsia" w:ascii="宋体" w:hAnsi="宋体"/>
          <w:bCs/>
          <w:szCs w:val="21"/>
        </w:rPr>
        <w:t>和净值</w:t>
      </w:r>
      <w:r>
        <w:rPr>
          <w:rFonts w:hint="eastAsia" w:ascii="宋体" w:hAnsi="宋体"/>
          <w:szCs w:val="21"/>
        </w:rPr>
        <w:t>；</w:t>
      </w:r>
    </w:p>
    <w:p w14:paraId="36AD7639">
      <w:pPr>
        <w:spacing w:line="360" w:lineRule="auto"/>
        <w:ind w:firstLine="420" w:firstLineChars="200"/>
        <w:rPr>
          <w:rFonts w:hint="eastAsia" w:ascii="宋体" w:hAnsi="宋体"/>
          <w:szCs w:val="21"/>
        </w:rPr>
      </w:pPr>
      <w:r>
        <w:rPr>
          <w:rFonts w:hint="eastAsia" w:ascii="宋体" w:hAnsi="宋体"/>
          <w:szCs w:val="21"/>
        </w:rPr>
        <w:t>（</w:t>
      </w:r>
      <w:r>
        <w:rPr>
          <w:rFonts w:ascii="宋体" w:hAnsi="宋体"/>
          <w:szCs w:val="21"/>
        </w:rPr>
        <w:t>7</w:t>
      </w:r>
      <w:r>
        <w:rPr>
          <w:rFonts w:hint="eastAsia" w:ascii="宋体" w:hAnsi="宋体"/>
          <w:szCs w:val="21"/>
        </w:rPr>
        <w:t>）审计：基金管理人职责终止的，应当按照法律法规规定聘请</w:t>
      </w:r>
      <w:r>
        <w:rPr>
          <w:rFonts w:hint="eastAsia" w:ascii="宋体" w:hAnsi="宋体"/>
          <w:bCs/>
          <w:szCs w:val="21"/>
        </w:rPr>
        <w:t>符合《中华人民共和国证券法》规定的</w:t>
      </w:r>
      <w:r>
        <w:rPr>
          <w:rFonts w:hint="eastAsia" w:ascii="宋体" w:hAnsi="宋体"/>
          <w:szCs w:val="21"/>
        </w:rPr>
        <w:t>会计师事务所对基金财产进行审计，并将审计结果予以公告，同时报中国证监会备案</w:t>
      </w:r>
      <w:r>
        <w:rPr>
          <w:rFonts w:hint="eastAsia" w:ascii="宋体" w:hAnsi="宋体"/>
          <w:bCs/>
          <w:szCs w:val="21"/>
        </w:rPr>
        <w:t>，审计费用从基金财产中列支</w:t>
      </w:r>
      <w:r>
        <w:rPr>
          <w:rFonts w:hint="eastAsia" w:ascii="宋体" w:hAnsi="宋体"/>
          <w:szCs w:val="21"/>
        </w:rPr>
        <w:t>；</w:t>
      </w:r>
    </w:p>
    <w:p w14:paraId="7CA634FB">
      <w:pPr>
        <w:spacing w:line="360" w:lineRule="auto"/>
        <w:ind w:firstLine="420" w:firstLineChars="200"/>
        <w:rPr>
          <w:rFonts w:hint="eastAsia" w:ascii="宋体" w:hAnsi="宋体"/>
          <w:szCs w:val="21"/>
        </w:rPr>
      </w:pPr>
      <w:r>
        <w:rPr>
          <w:rFonts w:hint="eastAsia" w:ascii="宋体" w:hAnsi="宋体"/>
          <w:szCs w:val="21"/>
        </w:rPr>
        <w:t>（</w:t>
      </w:r>
      <w:r>
        <w:rPr>
          <w:rFonts w:ascii="宋体" w:hAnsi="宋体"/>
          <w:szCs w:val="21"/>
        </w:rPr>
        <w:t>8</w:t>
      </w:r>
      <w:r>
        <w:rPr>
          <w:rFonts w:hint="eastAsia" w:ascii="宋体" w:hAnsi="宋体"/>
          <w:szCs w:val="21"/>
        </w:rPr>
        <w:t>）基金名称变更：基金管理人更换后，如果原任或新任基金管理人要求，应按其要求替换或删除基金名称中与原基金管理人有关的名称字样。</w:t>
      </w:r>
    </w:p>
    <w:p w14:paraId="3FAE3495">
      <w:pPr>
        <w:spacing w:line="360" w:lineRule="auto"/>
        <w:ind w:firstLine="420" w:firstLineChars="200"/>
        <w:rPr>
          <w:rFonts w:hint="eastAsia" w:ascii="宋体" w:hAnsi="宋体"/>
          <w:szCs w:val="21"/>
        </w:rPr>
      </w:pPr>
      <w:r>
        <w:rPr>
          <w:rFonts w:hint="eastAsia" w:ascii="宋体" w:hAnsi="宋体"/>
          <w:szCs w:val="21"/>
        </w:rPr>
        <w:t>3.原任基金管理人职责终止后，新任基金管理人或临时基金管理人接收基金管理业务前，原任基金管理人和基金托管人需采取审慎措施确保基金财产的安全，不对基金份额持有人的利益造成损失，并有义务协助新任基金管理人或临时基金管理人尽快恢复基金财产的投资运作。</w:t>
      </w:r>
    </w:p>
    <w:p w14:paraId="53DCA851">
      <w:pPr>
        <w:pStyle w:val="3"/>
        <w:keepNext w:val="0"/>
        <w:keepLines w:val="0"/>
        <w:autoSpaceDE w:val="0"/>
        <w:autoSpaceDN w:val="0"/>
        <w:adjustRightInd w:val="0"/>
        <w:spacing w:before="0" w:after="0" w:line="360" w:lineRule="auto"/>
        <w:ind w:firstLine="308" w:firstLineChars="147"/>
        <w:textAlignment w:val="baseline"/>
        <w:rPr>
          <w:rFonts w:hint="eastAsia" w:ascii="宋体" w:hAnsi="宋体" w:eastAsia="宋体" w:cs="Arial"/>
          <w:b w:val="0"/>
          <w:bCs w:val="0"/>
          <w:kern w:val="0"/>
          <w:sz w:val="21"/>
          <w:szCs w:val="21"/>
        </w:rPr>
      </w:pPr>
      <w:bookmarkStart w:id="79" w:name="_Toc382819130"/>
      <w:r>
        <w:rPr>
          <w:rFonts w:hint="eastAsia" w:ascii="宋体" w:hAnsi="宋体" w:eastAsia="宋体" w:cs="Arial"/>
          <w:b w:val="0"/>
          <w:bCs w:val="0"/>
          <w:kern w:val="0"/>
          <w:sz w:val="21"/>
          <w:szCs w:val="21"/>
        </w:rPr>
        <w:t>（二）基金托管人的更换</w:t>
      </w:r>
      <w:bookmarkEnd w:id="79"/>
    </w:p>
    <w:p w14:paraId="3FB508C6">
      <w:pPr>
        <w:spacing w:line="360" w:lineRule="auto"/>
        <w:ind w:firstLine="420" w:firstLineChars="200"/>
        <w:rPr>
          <w:rFonts w:hint="eastAsia" w:ascii="宋体" w:hAnsi="宋体"/>
          <w:szCs w:val="21"/>
        </w:rPr>
      </w:pPr>
      <w:r>
        <w:rPr>
          <w:rFonts w:hint="eastAsia" w:ascii="宋体" w:hAnsi="宋体"/>
          <w:szCs w:val="21"/>
        </w:rPr>
        <w:t>1.基金托管人的更换条件</w:t>
      </w:r>
    </w:p>
    <w:p w14:paraId="5C7264CA">
      <w:pPr>
        <w:spacing w:line="360" w:lineRule="auto"/>
        <w:ind w:firstLine="420" w:firstLineChars="200"/>
        <w:rPr>
          <w:rFonts w:hint="eastAsia" w:ascii="宋体" w:hAnsi="宋体"/>
          <w:szCs w:val="21"/>
        </w:rPr>
      </w:pPr>
      <w:r>
        <w:rPr>
          <w:rFonts w:hint="eastAsia" w:ascii="宋体" w:hAnsi="宋体"/>
          <w:szCs w:val="21"/>
        </w:rPr>
        <w:t>有下列情形之一的，基金托管人职责终止：</w:t>
      </w:r>
    </w:p>
    <w:p w14:paraId="56B6E9A2">
      <w:pPr>
        <w:spacing w:line="360" w:lineRule="auto"/>
        <w:ind w:firstLine="420" w:firstLineChars="200"/>
        <w:rPr>
          <w:rFonts w:hint="eastAsia" w:ascii="宋体" w:hAnsi="宋体"/>
          <w:szCs w:val="21"/>
        </w:rPr>
      </w:pPr>
      <w:r>
        <w:rPr>
          <w:rFonts w:hint="eastAsia" w:ascii="宋体" w:hAnsi="宋体"/>
          <w:szCs w:val="21"/>
        </w:rPr>
        <w:t>(1) 被依法取消基金托管资格；</w:t>
      </w:r>
    </w:p>
    <w:p w14:paraId="4F69069E">
      <w:pPr>
        <w:spacing w:line="360" w:lineRule="auto"/>
        <w:ind w:firstLine="420" w:firstLineChars="200"/>
        <w:rPr>
          <w:rFonts w:hint="eastAsia" w:ascii="宋体" w:hAnsi="宋体"/>
          <w:szCs w:val="21"/>
        </w:rPr>
      </w:pPr>
      <w:r>
        <w:rPr>
          <w:rFonts w:hint="eastAsia" w:ascii="宋体" w:hAnsi="宋体"/>
          <w:szCs w:val="21"/>
        </w:rPr>
        <w:t>(2) 被基金份额持有人大会解任；</w:t>
      </w:r>
    </w:p>
    <w:p w14:paraId="68A2EE06">
      <w:pPr>
        <w:spacing w:line="360" w:lineRule="auto"/>
        <w:ind w:firstLine="420" w:firstLineChars="200"/>
        <w:rPr>
          <w:rFonts w:hint="eastAsia" w:ascii="宋体" w:hAnsi="宋体"/>
          <w:szCs w:val="21"/>
        </w:rPr>
      </w:pPr>
      <w:r>
        <w:rPr>
          <w:rFonts w:hint="eastAsia" w:ascii="宋体" w:hAnsi="宋体"/>
          <w:szCs w:val="21"/>
        </w:rPr>
        <w:t>(3) 依法解散、被依法撤销或被依法宣告破产；</w:t>
      </w:r>
    </w:p>
    <w:p w14:paraId="6F9CD422">
      <w:pPr>
        <w:spacing w:line="360" w:lineRule="auto"/>
        <w:ind w:firstLine="420" w:firstLineChars="200"/>
        <w:rPr>
          <w:rFonts w:hint="eastAsia" w:ascii="宋体" w:hAnsi="宋体"/>
          <w:szCs w:val="21"/>
        </w:rPr>
      </w:pPr>
      <w:r>
        <w:rPr>
          <w:rFonts w:hint="eastAsia" w:ascii="宋体" w:hAnsi="宋体"/>
          <w:szCs w:val="21"/>
        </w:rPr>
        <w:t>(4) 法律法规</w:t>
      </w:r>
      <w:r>
        <w:rPr>
          <w:rFonts w:hint="eastAsia" w:ascii="宋体" w:hAnsi="宋体"/>
          <w:bCs/>
          <w:szCs w:val="21"/>
        </w:rPr>
        <w:t>及中国证监会规定的</w:t>
      </w:r>
      <w:r>
        <w:rPr>
          <w:rFonts w:hint="eastAsia" w:ascii="宋体" w:hAnsi="宋体"/>
          <w:szCs w:val="21"/>
        </w:rPr>
        <w:t>和《基金合同》规定的其它情形。</w:t>
      </w:r>
    </w:p>
    <w:p w14:paraId="6458C67E">
      <w:pPr>
        <w:spacing w:line="360" w:lineRule="auto"/>
        <w:ind w:firstLine="420" w:firstLineChars="200"/>
        <w:rPr>
          <w:rFonts w:hint="eastAsia" w:ascii="宋体" w:hAnsi="宋体"/>
          <w:szCs w:val="21"/>
        </w:rPr>
      </w:pPr>
      <w:r>
        <w:rPr>
          <w:rFonts w:hint="eastAsia" w:ascii="宋体" w:hAnsi="宋体"/>
          <w:szCs w:val="21"/>
        </w:rPr>
        <w:t>2.更换基金托管人的程序</w:t>
      </w:r>
    </w:p>
    <w:p w14:paraId="1F3F7165">
      <w:pPr>
        <w:spacing w:line="360" w:lineRule="auto"/>
        <w:ind w:firstLine="420" w:firstLineChars="200"/>
        <w:rPr>
          <w:rFonts w:hint="eastAsia" w:ascii="宋体" w:hAnsi="宋体"/>
          <w:szCs w:val="21"/>
        </w:rPr>
      </w:pPr>
      <w:r>
        <w:rPr>
          <w:rFonts w:hint="eastAsia" w:ascii="宋体" w:hAnsi="宋体"/>
          <w:szCs w:val="21"/>
        </w:rPr>
        <w:t>（1）提名：新任基金托管人由基金管理人或由单独或合计持有10%以上（含10%）基金份额的基金份额持有人提名；</w:t>
      </w:r>
    </w:p>
    <w:p w14:paraId="54F50DB0">
      <w:pPr>
        <w:spacing w:line="360" w:lineRule="auto"/>
        <w:ind w:firstLine="420" w:firstLineChars="200"/>
        <w:rPr>
          <w:rFonts w:hint="eastAsia" w:ascii="宋体" w:hAnsi="宋体"/>
          <w:szCs w:val="21"/>
        </w:rPr>
      </w:pPr>
      <w:r>
        <w:rPr>
          <w:rFonts w:hint="eastAsia" w:ascii="宋体" w:hAnsi="宋体"/>
          <w:szCs w:val="21"/>
        </w:rPr>
        <w:t>（2）决议：基金份额持有人大会在基金托管人职责终止后6个月内对被提名的</w:t>
      </w:r>
      <w:r>
        <w:rPr>
          <w:rFonts w:ascii="宋体" w:hAnsi="宋体"/>
          <w:bCs/>
          <w:szCs w:val="21"/>
        </w:rPr>
        <w:t>新任</w:t>
      </w:r>
      <w:r>
        <w:rPr>
          <w:rFonts w:hint="eastAsia" w:ascii="宋体" w:hAnsi="宋体"/>
          <w:szCs w:val="21"/>
        </w:rPr>
        <w:t>基金托管人形成决议，该决议需经参加大会的基金份额持有人所持表决权的2/3以上（含2/3）表决通过，</w:t>
      </w:r>
      <w:r>
        <w:rPr>
          <w:rFonts w:hint="eastAsia" w:ascii="宋体" w:hAnsi="宋体"/>
          <w:bCs/>
          <w:szCs w:val="21"/>
        </w:rPr>
        <w:t>决议</w:t>
      </w:r>
      <w:r>
        <w:rPr>
          <w:rFonts w:hint="eastAsia" w:ascii="宋体" w:hAnsi="宋体"/>
          <w:szCs w:val="21"/>
        </w:rPr>
        <w:t>自表决通过之日起生效</w:t>
      </w:r>
      <w:r>
        <w:rPr>
          <w:rFonts w:hint="eastAsia" w:ascii="宋体" w:hAnsi="宋体"/>
          <w:bCs/>
          <w:szCs w:val="21"/>
        </w:rPr>
        <w:t>，新任基金托管人应当符合法律法规及中国证监会规定的资格条件</w:t>
      </w:r>
      <w:r>
        <w:rPr>
          <w:rFonts w:hint="eastAsia" w:ascii="宋体" w:hAnsi="宋体"/>
          <w:szCs w:val="21"/>
        </w:rPr>
        <w:t>；</w:t>
      </w:r>
    </w:p>
    <w:p w14:paraId="42AD8505">
      <w:pPr>
        <w:spacing w:line="360" w:lineRule="auto"/>
        <w:ind w:firstLine="420" w:firstLineChars="200"/>
        <w:rPr>
          <w:rFonts w:hint="eastAsia" w:ascii="宋体" w:hAnsi="宋体"/>
          <w:szCs w:val="21"/>
        </w:rPr>
      </w:pPr>
      <w:r>
        <w:rPr>
          <w:rFonts w:hint="eastAsia" w:ascii="宋体" w:hAnsi="宋体"/>
          <w:szCs w:val="21"/>
        </w:rPr>
        <w:t>（3）临时基金托管人：新任基金托管人产生之前，由中国证监会指定临时基金托管人；</w:t>
      </w:r>
    </w:p>
    <w:p w14:paraId="1CDBD615">
      <w:pPr>
        <w:spacing w:line="360" w:lineRule="auto"/>
        <w:ind w:firstLine="420" w:firstLineChars="200"/>
        <w:rPr>
          <w:rFonts w:hint="eastAsia" w:ascii="宋体" w:hAnsi="宋体"/>
          <w:szCs w:val="21"/>
        </w:rPr>
      </w:pPr>
      <w:r>
        <w:rPr>
          <w:rFonts w:hint="eastAsia" w:ascii="宋体" w:hAnsi="宋体"/>
          <w:szCs w:val="21"/>
        </w:rPr>
        <w:t>（4）</w:t>
      </w:r>
      <w:r>
        <w:rPr>
          <w:rFonts w:hint="eastAsia" w:ascii="宋体" w:hAnsi="宋体"/>
          <w:bCs/>
          <w:szCs w:val="21"/>
        </w:rPr>
        <w:t>备案</w:t>
      </w:r>
      <w:r>
        <w:rPr>
          <w:rFonts w:hint="eastAsia" w:ascii="宋体" w:hAnsi="宋体"/>
          <w:szCs w:val="21"/>
        </w:rPr>
        <w:t>：基金份额持有人大会</w:t>
      </w:r>
      <w:r>
        <w:rPr>
          <w:rFonts w:ascii="宋体" w:hAnsi="宋体"/>
          <w:szCs w:val="21"/>
        </w:rPr>
        <w:t>更换</w:t>
      </w:r>
      <w:r>
        <w:rPr>
          <w:rFonts w:hint="eastAsia" w:ascii="宋体" w:hAnsi="宋体"/>
          <w:szCs w:val="21"/>
        </w:rPr>
        <w:t>基金托管人的决议须</w:t>
      </w:r>
      <w:r>
        <w:rPr>
          <w:rFonts w:ascii="宋体" w:hAnsi="宋体"/>
          <w:szCs w:val="21"/>
        </w:rPr>
        <w:t>报</w:t>
      </w:r>
      <w:r>
        <w:rPr>
          <w:rFonts w:hint="eastAsia" w:ascii="宋体" w:hAnsi="宋体"/>
          <w:szCs w:val="21"/>
        </w:rPr>
        <w:t>中国证监会</w:t>
      </w:r>
      <w:r>
        <w:rPr>
          <w:rFonts w:hint="eastAsia" w:ascii="宋体" w:hAnsi="宋体"/>
          <w:bCs/>
          <w:szCs w:val="21"/>
        </w:rPr>
        <w:t>备案</w:t>
      </w:r>
      <w:r>
        <w:rPr>
          <w:rFonts w:hint="eastAsia" w:ascii="宋体" w:hAnsi="宋体"/>
          <w:szCs w:val="21"/>
        </w:rPr>
        <w:t>；</w:t>
      </w:r>
    </w:p>
    <w:p w14:paraId="4BC07F7F">
      <w:pPr>
        <w:spacing w:line="360" w:lineRule="auto"/>
        <w:ind w:firstLine="420" w:firstLineChars="200"/>
        <w:rPr>
          <w:rFonts w:hint="eastAsia" w:ascii="宋体" w:hAnsi="宋体"/>
          <w:bCs/>
          <w:szCs w:val="21"/>
        </w:rPr>
      </w:pPr>
      <w:r>
        <w:rPr>
          <w:rFonts w:hint="eastAsia" w:ascii="宋体" w:hAnsi="宋体"/>
          <w:szCs w:val="21"/>
        </w:rPr>
        <w:t>（5）公告：</w:t>
      </w:r>
      <w:r>
        <w:rPr>
          <w:rFonts w:ascii="宋体" w:hAnsi="宋体"/>
          <w:szCs w:val="21"/>
        </w:rPr>
        <w:t>基金托管人更换后，由基金管理人在</w:t>
      </w:r>
      <w:r>
        <w:rPr>
          <w:rFonts w:ascii="宋体" w:hAnsi="宋体"/>
          <w:bCs/>
          <w:szCs w:val="21"/>
        </w:rPr>
        <w:t>更换基金托管人的基金份额持有人大会决议生效</w:t>
      </w:r>
      <w:r>
        <w:rPr>
          <w:rFonts w:ascii="宋体" w:hAnsi="宋体"/>
          <w:szCs w:val="21"/>
        </w:rPr>
        <w:t>后</w:t>
      </w:r>
      <w:r>
        <w:rPr>
          <w:rFonts w:hint="eastAsia" w:ascii="宋体" w:hAnsi="宋体"/>
          <w:bCs/>
          <w:szCs w:val="21"/>
        </w:rPr>
        <w:t>依照《信息披露办法》的</w:t>
      </w:r>
      <w:r>
        <w:rPr>
          <w:rFonts w:hint="eastAsia" w:ascii="宋体" w:hAnsi="宋体"/>
          <w:szCs w:val="21"/>
        </w:rPr>
        <w:t>规定</w:t>
      </w:r>
      <w:r>
        <w:rPr>
          <w:rFonts w:ascii="宋体" w:hAnsi="宋体"/>
          <w:bCs/>
          <w:szCs w:val="21"/>
        </w:rPr>
        <w:t>在</w:t>
      </w:r>
      <w:r>
        <w:rPr>
          <w:rFonts w:hint="eastAsia" w:ascii="宋体" w:hAnsi="宋体"/>
          <w:bCs/>
          <w:szCs w:val="21"/>
        </w:rPr>
        <w:t>规定</w:t>
      </w:r>
      <w:r>
        <w:rPr>
          <w:rFonts w:hint="eastAsia" w:ascii="宋体" w:hAnsi="宋体"/>
          <w:szCs w:val="21"/>
        </w:rPr>
        <w:t>媒介</w:t>
      </w:r>
      <w:r>
        <w:rPr>
          <w:rFonts w:ascii="宋体" w:hAnsi="宋体"/>
          <w:szCs w:val="21"/>
        </w:rPr>
        <w:t>公告</w:t>
      </w:r>
      <w:r>
        <w:rPr>
          <w:rFonts w:hint="eastAsia" w:ascii="宋体" w:hAnsi="宋体"/>
          <w:bCs/>
          <w:szCs w:val="21"/>
        </w:rPr>
        <w:t>；</w:t>
      </w:r>
    </w:p>
    <w:p w14:paraId="1D5BB114">
      <w:pPr>
        <w:spacing w:line="360" w:lineRule="auto"/>
        <w:ind w:firstLine="420" w:firstLineChars="200"/>
        <w:rPr>
          <w:rFonts w:hint="eastAsia" w:ascii="宋体" w:hAnsi="宋体"/>
          <w:szCs w:val="21"/>
        </w:rPr>
      </w:pPr>
      <w:r>
        <w:rPr>
          <w:rFonts w:hint="eastAsia" w:ascii="宋体" w:hAnsi="宋体"/>
          <w:bCs/>
          <w:szCs w:val="21"/>
        </w:rPr>
        <w:t>（6）</w:t>
      </w:r>
      <w:r>
        <w:rPr>
          <w:rFonts w:ascii="宋体" w:hAnsi="宋体"/>
          <w:bCs/>
          <w:szCs w:val="21"/>
        </w:rPr>
        <w:t>交接：基金托管人职责终止的，应当妥善保管基金财产和基金托管业务资料，及时办理基金财产和基金托管业务的移交手续，</w:t>
      </w:r>
      <w:r>
        <w:rPr>
          <w:rFonts w:ascii="宋体" w:hAnsi="宋体"/>
          <w:szCs w:val="21"/>
        </w:rPr>
        <w:t>新任基金托管人</w:t>
      </w:r>
      <w:r>
        <w:rPr>
          <w:rFonts w:ascii="宋体" w:hAnsi="宋体"/>
          <w:bCs/>
          <w:szCs w:val="21"/>
        </w:rPr>
        <w:t>或者临时基金托管人应当及时接收。新任基金托管人</w:t>
      </w:r>
      <w:r>
        <w:rPr>
          <w:rFonts w:hint="eastAsia" w:ascii="宋体" w:hAnsi="宋体"/>
          <w:bCs/>
          <w:szCs w:val="21"/>
        </w:rPr>
        <w:t>或者临时基金托管人</w:t>
      </w:r>
      <w:r>
        <w:rPr>
          <w:rFonts w:ascii="宋体" w:hAnsi="宋体"/>
          <w:szCs w:val="21"/>
        </w:rPr>
        <w:t>与基金管理人核对</w:t>
      </w:r>
      <w:r>
        <w:rPr>
          <w:rFonts w:ascii="宋体" w:hAnsi="宋体"/>
          <w:bCs/>
          <w:szCs w:val="21"/>
        </w:rPr>
        <w:t>基金</w:t>
      </w:r>
      <w:r>
        <w:rPr>
          <w:rFonts w:ascii="宋体" w:hAnsi="宋体"/>
          <w:szCs w:val="21"/>
        </w:rPr>
        <w:t>资产总值</w:t>
      </w:r>
      <w:r>
        <w:rPr>
          <w:rFonts w:hint="eastAsia" w:ascii="宋体" w:hAnsi="宋体"/>
          <w:bCs/>
          <w:szCs w:val="21"/>
        </w:rPr>
        <w:t>和净值</w:t>
      </w:r>
      <w:r>
        <w:rPr>
          <w:rFonts w:ascii="宋体" w:hAnsi="宋体"/>
          <w:szCs w:val="21"/>
        </w:rPr>
        <w:t>；</w:t>
      </w:r>
    </w:p>
    <w:p w14:paraId="4B598C9A">
      <w:pPr>
        <w:spacing w:line="360" w:lineRule="auto"/>
        <w:ind w:firstLine="420" w:firstLineChars="200"/>
        <w:rPr>
          <w:rFonts w:hint="eastAsia" w:ascii="宋体" w:hAnsi="宋体"/>
          <w:szCs w:val="21"/>
        </w:rPr>
      </w:pPr>
      <w:r>
        <w:rPr>
          <w:rFonts w:hint="eastAsia" w:ascii="宋体" w:hAnsi="宋体"/>
          <w:szCs w:val="21"/>
        </w:rPr>
        <w:t>（7）审计：基金托管人职责终止的，应当按照法律法规规定聘请</w:t>
      </w:r>
      <w:r>
        <w:rPr>
          <w:rFonts w:hint="eastAsia" w:ascii="宋体" w:hAnsi="宋体"/>
          <w:bCs/>
          <w:szCs w:val="21"/>
        </w:rPr>
        <w:t>符合《中华人民共和国证券法》规定的</w:t>
      </w:r>
      <w:r>
        <w:rPr>
          <w:rFonts w:hint="eastAsia" w:ascii="宋体" w:hAnsi="宋体"/>
          <w:szCs w:val="21"/>
        </w:rPr>
        <w:t>会计师事务所对基金财产进行审计，并</w:t>
      </w:r>
      <w:r>
        <w:rPr>
          <w:rFonts w:ascii="宋体" w:hAnsi="宋体"/>
          <w:bCs/>
          <w:szCs w:val="21"/>
        </w:rPr>
        <w:t>将审计结果</w:t>
      </w:r>
      <w:r>
        <w:rPr>
          <w:rFonts w:hint="eastAsia" w:ascii="宋体" w:hAnsi="宋体"/>
          <w:szCs w:val="21"/>
        </w:rPr>
        <w:t>予以公告，同时报中国证监会备案</w:t>
      </w:r>
      <w:r>
        <w:rPr>
          <w:rFonts w:hint="eastAsia" w:ascii="宋体" w:hAnsi="宋体"/>
          <w:bCs/>
          <w:szCs w:val="21"/>
        </w:rPr>
        <w:t>，审计费用从基金财产中列支</w:t>
      </w:r>
      <w:r>
        <w:rPr>
          <w:rFonts w:hint="eastAsia" w:ascii="宋体" w:hAnsi="宋体"/>
          <w:szCs w:val="21"/>
        </w:rPr>
        <w:t>。</w:t>
      </w:r>
    </w:p>
    <w:p w14:paraId="5F74AE8A">
      <w:pPr>
        <w:spacing w:line="360" w:lineRule="auto"/>
        <w:ind w:firstLine="472" w:firstLineChars="225"/>
        <w:rPr>
          <w:rFonts w:hint="eastAsia" w:ascii="宋体" w:hAnsi="宋体"/>
          <w:szCs w:val="21"/>
        </w:rPr>
      </w:pPr>
      <w:r>
        <w:rPr>
          <w:rFonts w:hint="eastAsia" w:ascii="宋体" w:hAnsi="宋体"/>
          <w:szCs w:val="21"/>
        </w:rPr>
        <w:t>3.原基金托管人职责终止后，新任基金托管人或临时基金托管人接收基金财产和基金托管业务前，原基金托管人和基金管理人需采取审慎措施确保基金财产的安全，不对基金份额持有人的利益造成损失，并有义务协助新任基金托管人或临时基金托管人尽快交接基金资产。</w:t>
      </w:r>
    </w:p>
    <w:p w14:paraId="62C769C8">
      <w:pPr>
        <w:spacing w:line="360" w:lineRule="auto"/>
        <w:ind w:firstLine="420" w:firstLineChars="200"/>
        <w:outlineLvl w:val="1"/>
        <w:rPr>
          <w:rFonts w:hint="eastAsia" w:ascii="宋体" w:hAnsi="宋体"/>
          <w:bCs/>
          <w:szCs w:val="21"/>
        </w:rPr>
      </w:pPr>
      <w:r>
        <w:rPr>
          <w:rFonts w:hint="eastAsia" w:ascii="宋体" w:hAnsi="宋体"/>
          <w:bCs/>
          <w:szCs w:val="21"/>
        </w:rPr>
        <w:t>（三）</w:t>
      </w:r>
      <w:r>
        <w:rPr>
          <w:rFonts w:hint="eastAsia" w:ascii="宋体" w:hAnsi="宋体"/>
          <w:bCs/>
          <w:szCs w:val="21"/>
        </w:rPr>
        <w:tab/>
      </w:r>
      <w:r>
        <w:rPr>
          <w:rFonts w:hint="eastAsia" w:ascii="宋体" w:hAnsi="宋体"/>
          <w:bCs/>
          <w:szCs w:val="21"/>
        </w:rPr>
        <w:t>基金管理人和基金托管人的同时更换程序</w:t>
      </w:r>
    </w:p>
    <w:p w14:paraId="1CCC6022">
      <w:pPr>
        <w:spacing w:line="360" w:lineRule="auto"/>
        <w:ind w:firstLine="472" w:firstLineChars="225"/>
        <w:rPr>
          <w:rFonts w:hint="eastAsia" w:ascii="宋体" w:hAnsi="宋体"/>
          <w:szCs w:val="21"/>
        </w:rPr>
      </w:pPr>
      <w:r>
        <w:rPr>
          <w:rFonts w:hint="eastAsia" w:ascii="宋体" w:hAnsi="宋体"/>
          <w:szCs w:val="21"/>
        </w:rPr>
        <w:t>1.提名：如果基金管理人和基金托管人同时更换，由单独或合计持有基金总份额10%以上（含10%）的基金份额持有人提名新的基金管理人和基金托管人；</w:t>
      </w:r>
    </w:p>
    <w:p w14:paraId="4DEB9918">
      <w:pPr>
        <w:spacing w:line="360" w:lineRule="auto"/>
        <w:ind w:firstLine="472" w:firstLineChars="225"/>
        <w:rPr>
          <w:rFonts w:hint="eastAsia" w:ascii="宋体" w:hAnsi="宋体"/>
          <w:szCs w:val="21"/>
        </w:rPr>
      </w:pPr>
      <w:r>
        <w:rPr>
          <w:rFonts w:hint="eastAsia" w:ascii="宋体" w:hAnsi="宋体"/>
          <w:szCs w:val="21"/>
        </w:rPr>
        <w:t>2.基金管理人和基金托管人的更换分别按上述程序进行；</w:t>
      </w:r>
    </w:p>
    <w:p w14:paraId="78A10F1B">
      <w:pPr>
        <w:spacing w:line="360" w:lineRule="auto"/>
        <w:ind w:firstLine="472" w:firstLineChars="225"/>
        <w:rPr>
          <w:rFonts w:hint="eastAsia" w:ascii="宋体" w:hAnsi="宋体"/>
          <w:szCs w:val="21"/>
        </w:rPr>
      </w:pPr>
      <w:r>
        <w:rPr>
          <w:rFonts w:hint="eastAsia" w:ascii="宋体" w:hAnsi="宋体"/>
          <w:szCs w:val="21"/>
        </w:rPr>
        <w:t>3.公告：新任基金管理人和新任基金托管人应在更换基金管理人和基金托管人的基金份额持有人大会决议生效后依照《信息披露办法》的规定在规定媒介上联合公告。</w:t>
      </w:r>
    </w:p>
    <w:bookmarkEnd w:id="77"/>
    <w:p w14:paraId="36C70815">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80" w:name="_Toc382819131"/>
      <w:r>
        <w:rPr>
          <w:rFonts w:hint="eastAsia" w:ascii="宋体" w:hAnsi="宋体" w:eastAsia="宋体" w:cs="Arial"/>
          <w:sz w:val="21"/>
          <w:szCs w:val="21"/>
        </w:rPr>
        <w:t>禁止行为</w:t>
      </w:r>
      <w:bookmarkEnd w:id="80"/>
    </w:p>
    <w:p w14:paraId="3B65D7B4">
      <w:pPr>
        <w:spacing w:line="360" w:lineRule="auto"/>
        <w:ind w:firstLine="472" w:firstLineChars="225"/>
        <w:rPr>
          <w:rFonts w:hint="eastAsia" w:ascii="宋体" w:hAnsi="宋体"/>
          <w:szCs w:val="21"/>
        </w:rPr>
      </w:pPr>
      <w:r>
        <w:rPr>
          <w:rFonts w:hint="eastAsia" w:ascii="宋体" w:hAnsi="宋体"/>
          <w:szCs w:val="21"/>
        </w:rPr>
        <w:t>托管协议当事人禁止从事的行为，包括但不限于：</w:t>
      </w:r>
    </w:p>
    <w:p w14:paraId="64BB962C">
      <w:pPr>
        <w:spacing w:line="360" w:lineRule="auto"/>
        <w:ind w:firstLine="472" w:firstLineChars="225"/>
        <w:rPr>
          <w:rFonts w:hint="eastAsia" w:ascii="宋体" w:hAnsi="宋体"/>
          <w:szCs w:val="21"/>
        </w:rPr>
      </w:pPr>
      <w:r>
        <w:rPr>
          <w:rFonts w:hint="eastAsia" w:ascii="宋体" w:hAnsi="宋体"/>
          <w:szCs w:val="21"/>
        </w:rPr>
        <w:t>（一）基金管理人、基金托管人将其固有财产或者他人财产混同于基金财产从事证券投资。</w:t>
      </w:r>
    </w:p>
    <w:p w14:paraId="2EC5FC5E">
      <w:pPr>
        <w:spacing w:line="360" w:lineRule="auto"/>
        <w:ind w:firstLine="472" w:firstLineChars="225"/>
        <w:rPr>
          <w:rFonts w:hint="eastAsia" w:ascii="宋体" w:hAnsi="宋体"/>
          <w:szCs w:val="21"/>
        </w:rPr>
      </w:pPr>
      <w:r>
        <w:rPr>
          <w:rFonts w:hint="eastAsia" w:ascii="宋体" w:hAnsi="宋体"/>
          <w:szCs w:val="21"/>
        </w:rPr>
        <w:t>（二）基金管理人、基金托管人不公平地对待其管理或托管的不同基金财产。</w:t>
      </w:r>
    </w:p>
    <w:p w14:paraId="4818BB9B">
      <w:pPr>
        <w:spacing w:line="360" w:lineRule="auto"/>
        <w:ind w:firstLine="472" w:firstLineChars="225"/>
        <w:rPr>
          <w:rFonts w:hint="eastAsia" w:ascii="宋体" w:hAnsi="宋体"/>
          <w:szCs w:val="21"/>
        </w:rPr>
      </w:pPr>
      <w:r>
        <w:rPr>
          <w:rFonts w:hint="eastAsia" w:ascii="宋体" w:hAnsi="宋体"/>
          <w:szCs w:val="21"/>
        </w:rPr>
        <w:t>（三）基金管理人、基金托管人利用基金财产为基金份额持有人以外的第三人牟取利益。</w:t>
      </w:r>
    </w:p>
    <w:p w14:paraId="387E4E3B">
      <w:pPr>
        <w:spacing w:line="360" w:lineRule="auto"/>
        <w:ind w:firstLine="472" w:firstLineChars="225"/>
        <w:rPr>
          <w:rFonts w:hint="eastAsia" w:ascii="宋体" w:hAnsi="宋体"/>
          <w:szCs w:val="21"/>
        </w:rPr>
      </w:pPr>
      <w:r>
        <w:rPr>
          <w:rFonts w:hint="eastAsia" w:ascii="宋体" w:hAnsi="宋体"/>
          <w:szCs w:val="21"/>
        </w:rPr>
        <w:t>（四）基金管理人、基金托管人向基金份额持有人违规承诺收益或者承担损失。</w:t>
      </w:r>
    </w:p>
    <w:p w14:paraId="3ED35B87">
      <w:pPr>
        <w:spacing w:line="360" w:lineRule="auto"/>
        <w:ind w:firstLine="472" w:firstLineChars="225"/>
        <w:rPr>
          <w:rFonts w:hint="eastAsia" w:ascii="宋体" w:hAnsi="宋体"/>
          <w:szCs w:val="21"/>
        </w:rPr>
      </w:pPr>
      <w:r>
        <w:rPr>
          <w:rFonts w:hint="eastAsia" w:ascii="宋体" w:hAnsi="宋体"/>
          <w:szCs w:val="21"/>
        </w:rPr>
        <w:t>（五）基金管理人、基金托管人对他人泄露基金经营过程中任何尚未按法律法规规定的方式公开披露的信息。</w:t>
      </w:r>
    </w:p>
    <w:p w14:paraId="5E61B19B">
      <w:pPr>
        <w:spacing w:line="360" w:lineRule="auto"/>
        <w:ind w:firstLine="472" w:firstLineChars="225"/>
        <w:rPr>
          <w:rFonts w:hint="eastAsia" w:ascii="宋体" w:hAnsi="宋体"/>
          <w:szCs w:val="21"/>
        </w:rPr>
      </w:pPr>
      <w:r>
        <w:rPr>
          <w:rFonts w:hint="eastAsia" w:ascii="宋体" w:hAnsi="宋体"/>
          <w:szCs w:val="21"/>
        </w:rPr>
        <w:t>（六）基金管理人在没有充足资金的情况下向基金托管人发出投资指令和赎回、分红资金的划拨指令，或违规向基金托管人发出指令。</w:t>
      </w:r>
    </w:p>
    <w:p w14:paraId="382FD883">
      <w:pPr>
        <w:spacing w:line="360" w:lineRule="auto"/>
        <w:ind w:firstLine="472" w:firstLineChars="225"/>
        <w:rPr>
          <w:rFonts w:hint="eastAsia" w:ascii="宋体" w:hAnsi="宋体"/>
          <w:szCs w:val="21"/>
        </w:rPr>
      </w:pPr>
      <w:r>
        <w:rPr>
          <w:rFonts w:hint="eastAsia" w:ascii="宋体" w:hAnsi="宋体"/>
          <w:szCs w:val="21"/>
        </w:rPr>
        <w:t>（七）基金托管人对基金管理人的符合本协议约定的有效指令拖延或拒绝执行。</w:t>
      </w:r>
    </w:p>
    <w:p w14:paraId="1775AF4F">
      <w:pPr>
        <w:spacing w:line="360" w:lineRule="auto"/>
        <w:ind w:firstLine="472" w:firstLineChars="225"/>
        <w:rPr>
          <w:rFonts w:hint="eastAsia" w:ascii="宋体" w:hAnsi="宋体"/>
          <w:szCs w:val="21"/>
        </w:rPr>
      </w:pPr>
      <w:r>
        <w:rPr>
          <w:rFonts w:hint="eastAsia" w:ascii="宋体" w:hAnsi="宋体"/>
          <w:szCs w:val="21"/>
        </w:rPr>
        <w:t xml:space="preserve">（八）基金管理人、基金托管人在行政上、财务上不独立，其高级管理人员相互兼职。 </w:t>
      </w:r>
    </w:p>
    <w:p w14:paraId="32AEFB5C">
      <w:pPr>
        <w:spacing w:line="360" w:lineRule="auto"/>
        <w:ind w:firstLine="472" w:firstLineChars="225"/>
        <w:rPr>
          <w:rFonts w:hint="eastAsia" w:ascii="宋体" w:hAnsi="宋体"/>
          <w:szCs w:val="21"/>
        </w:rPr>
      </w:pPr>
      <w:r>
        <w:rPr>
          <w:rFonts w:hint="eastAsia" w:ascii="宋体" w:hAnsi="宋体"/>
          <w:szCs w:val="21"/>
        </w:rPr>
        <w:t xml:space="preserve">（九）基金托管人私自动用或处分基金资产，根据基金管理人的合法指令、基金合同或托管协议的规定进行处分的除外。 </w:t>
      </w:r>
    </w:p>
    <w:p w14:paraId="2146311C">
      <w:pPr>
        <w:spacing w:line="360" w:lineRule="auto"/>
        <w:ind w:firstLine="472" w:firstLineChars="225"/>
        <w:rPr>
          <w:rFonts w:hint="eastAsia" w:ascii="宋体" w:hAnsi="宋体"/>
          <w:szCs w:val="21"/>
        </w:rPr>
      </w:pPr>
      <w:r>
        <w:rPr>
          <w:rFonts w:hint="eastAsia" w:ascii="宋体" w:hAnsi="宋体"/>
          <w:szCs w:val="21"/>
        </w:rPr>
        <w:t>（十）基金管理人、基金托管人不得利用基金财产用于下列投资或者活动：（1）承销证券；（2）违反规定向他人贷款或者提供担保；（3）从事承担无限责任的投资；（4）买卖其他基金份额，但是中国证监会另有规定的除外；（5）向其基金管理人、基金托管人出资；（6）从事内幕交易、操纵证券交易价格及其他不正当的证券交易活动；（7）法律、行政法规和中国证监会规定禁止的其他活动。</w:t>
      </w:r>
    </w:p>
    <w:p w14:paraId="646AE20A">
      <w:pPr>
        <w:spacing w:line="360" w:lineRule="auto"/>
        <w:ind w:firstLine="472" w:firstLineChars="225"/>
        <w:rPr>
          <w:rFonts w:hint="eastAsia" w:ascii="宋体" w:hAnsi="宋体"/>
          <w:szCs w:val="21"/>
        </w:rPr>
      </w:pPr>
      <w:r>
        <w:rPr>
          <w:rFonts w:hint="eastAsia" w:ascii="宋体" w:hAnsi="宋体"/>
          <w:szCs w:val="21"/>
        </w:rPr>
        <w:t>（十一）法律法规和基金合同禁止的其他行为，以及依照法律法规有关规定，由中国证监会规定禁止基金管理人、基金托管人从事的其他行为。</w:t>
      </w:r>
    </w:p>
    <w:p w14:paraId="1B5FF4EF">
      <w:pPr>
        <w:spacing w:line="360" w:lineRule="auto"/>
        <w:ind w:firstLine="472" w:firstLineChars="225"/>
        <w:rPr>
          <w:rFonts w:hint="eastAsia" w:ascii="宋体" w:hAnsi="宋体"/>
          <w:szCs w:val="21"/>
        </w:rPr>
      </w:pPr>
      <w:r>
        <w:rPr>
          <w:rFonts w:hint="eastAsia" w:ascii="宋体" w:hAnsi="宋体"/>
          <w:szCs w:val="21"/>
        </w:rPr>
        <w:t>（十二）基金托管人不得承担以下职责：</w:t>
      </w:r>
    </w:p>
    <w:p w14:paraId="3CF19E8B">
      <w:pPr>
        <w:pStyle w:val="46"/>
        <w:numPr>
          <w:ilvl w:val="0"/>
          <w:numId w:val="3"/>
        </w:numPr>
        <w:spacing w:line="360" w:lineRule="auto"/>
        <w:ind w:firstLineChars="0"/>
        <w:rPr>
          <w:rFonts w:hint="eastAsia" w:ascii="宋体" w:hAnsi="宋体"/>
          <w:szCs w:val="21"/>
        </w:rPr>
      </w:pPr>
      <w:r>
        <w:rPr>
          <w:rFonts w:hint="eastAsia" w:ascii="宋体" w:hAnsi="宋体"/>
          <w:szCs w:val="21"/>
        </w:rPr>
        <w:t>承担基金财产的信用风险、市场风险等；</w:t>
      </w:r>
    </w:p>
    <w:p w14:paraId="6B149CE9">
      <w:pPr>
        <w:pStyle w:val="46"/>
        <w:numPr>
          <w:ilvl w:val="0"/>
          <w:numId w:val="3"/>
        </w:numPr>
        <w:spacing w:line="360" w:lineRule="auto"/>
        <w:ind w:firstLineChars="0"/>
        <w:rPr>
          <w:rFonts w:hint="eastAsia" w:ascii="宋体" w:hAnsi="宋体"/>
          <w:szCs w:val="21"/>
        </w:rPr>
      </w:pPr>
      <w:r>
        <w:rPr>
          <w:rFonts w:hint="eastAsia" w:ascii="宋体" w:hAnsi="宋体"/>
          <w:szCs w:val="21"/>
        </w:rPr>
        <w:t>为基金财产提供直接或间接、显性或隐性担保，包括承诺本金或保证收益；</w:t>
      </w:r>
    </w:p>
    <w:p w14:paraId="44E9FD88">
      <w:pPr>
        <w:pStyle w:val="46"/>
        <w:numPr>
          <w:ilvl w:val="0"/>
          <w:numId w:val="3"/>
        </w:numPr>
        <w:spacing w:line="360" w:lineRule="auto"/>
        <w:ind w:firstLineChars="0"/>
        <w:rPr>
          <w:rFonts w:hint="eastAsia" w:ascii="宋体" w:hAnsi="宋体"/>
          <w:szCs w:val="21"/>
        </w:rPr>
      </w:pPr>
      <w:r>
        <w:rPr>
          <w:rFonts w:hint="eastAsia" w:ascii="宋体" w:hAnsi="宋体"/>
          <w:b/>
          <w:bCs/>
          <w:szCs w:val="21"/>
        </w:rPr>
        <w:t>为基金财产垫付资金、提供流动性支持或融资承诺等；</w:t>
      </w:r>
    </w:p>
    <w:p w14:paraId="5F1364C2">
      <w:pPr>
        <w:pStyle w:val="46"/>
        <w:numPr>
          <w:ilvl w:val="0"/>
          <w:numId w:val="3"/>
        </w:numPr>
        <w:spacing w:line="360" w:lineRule="auto"/>
        <w:ind w:firstLineChars="0"/>
        <w:rPr>
          <w:rFonts w:hint="eastAsia" w:ascii="宋体" w:hAnsi="宋体"/>
          <w:szCs w:val="21"/>
        </w:rPr>
      </w:pPr>
      <w:r>
        <w:rPr>
          <w:rFonts w:hint="eastAsia" w:ascii="宋体" w:hAnsi="宋体"/>
          <w:szCs w:val="21"/>
        </w:rPr>
        <w:t xml:space="preserve">参与投资者适当性管理； </w:t>
      </w:r>
    </w:p>
    <w:p w14:paraId="449649A5">
      <w:pPr>
        <w:pStyle w:val="46"/>
        <w:numPr>
          <w:ilvl w:val="0"/>
          <w:numId w:val="3"/>
        </w:numPr>
        <w:spacing w:line="360" w:lineRule="auto"/>
        <w:ind w:firstLineChars="0"/>
        <w:rPr>
          <w:rFonts w:hint="eastAsia" w:ascii="宋体" w:hAnsi="宋体"/>
          <w:szCs w:val="21"/>
        </w:rPr>
      </w:pPr>
      <w:r>
        <w:rPr>
          <w:rFonts w:hint="eastAsia" w:ascii="宋体" w:hAnsi="宋体"/>
          <w:szCs w:val="21"/>
        </w:rPr>
        <w:t xml:space="preserve">保证投资项目及交易信息真实性； </w:t>
      </w:r>
    </w:p>
    <w:p w14:paraId="0D72AAB5">
      <w:pPr>
        <w:pStyle w:val="46"/>
        <w:numPr>
          <w:ilvl w:val="0"/>
          <w:numId w:val="3"/>
        </w:numPr>
        <w:spacing w:line="360" w:lineRule="auto"/>
        <w:ind w:firstLineChars="0"/>
        <w:rPr>
          <w:rFonts w:hint="eastAsia" w:ascii="宋体" w:hAnsi="宋体"/>
          <w:szCs w:val="21"/>
        </w:rPr>
      </w:pPr>
      <w:r>
        <w:rPr>
          <w:rFonts w:hint="eastAsia" w:ascii="宋体" w:hAnsi="宋体"/>
          <w:szCs w:val="21"/>
        </w:rPr>
        <w:t>保证基金财产资金来源的合法合规性；</w:t>
      </w:r>
    </w:p>
    <w:p w14:paraId="56AE6928">
      <w:pPr>
        <w:pStyle w:val="46"/>
        <w:numPr>
          <w:ilvl w:val="0"/>
          <w:numId w:val="3"/>
        </w:numPr>
        <w:spacing w:line="360" w:lineRule="auto"/>
        <w:ind w:firstLineChars="0"/>
        <w:rPr>
          <w:rFonts w:hint="eastAsia" w:ascii="宋体" w:hAnsi="宋体"/>
          <w:szCs w:val="21"/>
        </w:rPr>
      </w:pPr>
      <w:r>
        <w:rPr>
          <w:rFonts w:hint="eastAsia" w:ascii="宋体" w:hAnsi="宋体"/>
          <w:b/>
          <w:bCs/>
          <w:szCs w:val="21"/>
        </w:rPr>
        <w:t>对已划出托管账户以及处于基金托管人实际控制之外的资产承担保管责任；</w:t>
      </w:r>
    </w:p>
    <w:p w14:paraId="0584F327">
      <w:pPr>
        <w:pStyle w:val="46"/>
        <w:numPr>
          <w:ilvl w:val="0"/>
          <w:numId w:val="3"/>
        </w:numPr>
        <w:spacing w:line="360" w:lineRule="auto"/>
        <w:ind w:firstLineChars="0"/>
        <w:rPr>
          <w:rFonts w:hint="eastAsia" w:ascii="宋体" w:hAnsi="宋体"/>
          <w:szCs w:val="21"/>
        </w:rPr>
      </w:pPr>
      <w:r>
        <w:rPr>
          <w:rFonts w:hint="eastAsia" w:ascii="宋体" w:hAnsi="宋体"/>
          <w:szCs w:val="21"/>
        </w:rPr>
        <w:t>参与基金管理人对托管产品的投资决策；</w:t>
      </w:r>
    </w:p>
    <w:p w14:paraId="0AA5DE5B">
      <w:pPr>
        <w:pStyle w:val="46"/>
        <w:numPr>
          <w:ilvl w:val="0"/>
          <w:numId w:val="3"/>
        </w:numPr>
        <w:spacing w:line="360" w:lineRule="auto"/>
        <w:ind w:firstLineChars="0"/>
        <w:rPr>
          <w:rFonts w:hint="eastAsia" w:ascii="宋体" w:hAnsi="宋体"/>
          <w:szCs w:val="21"/>
        </w:rPr>
      </w:pPr>
      <w:r>
        <w:rPr>
          <w:rFonts w:hint="eastAsia" w:ascii="宋体" w:hAnsi="宋体"/>
          <w:b/>
          <w:bCs/>
          <w:szCs w:val="21"/>
        </w:rPr>
        <w:t xml:space="preserve">违规代替基金管理人向其他机构或者个人进行托管产品信息披露或提供相关数据信息； </w:t>
      </w:r>
    </w:p>
    <w:p w14:paraId="1E4A5211">
      <w:pPr>
        <w:pStyle w:val="46"/>
        <w:numPr>
          <w:ilvl w:val="0"/>
          <w:numId w:val="3"/>
        </w:numPr>
        <w:spacing w:line="360" w:lineRule="auto"/>
        <w:ind w:firstLineChars="0"/>
        <w:rPr>
          <w:rFonts w:hint="eastAsia" w:ascii="宋体" w:hAnsi="宋体"/>
          <w:szCs w:val="21"/>
        </w:rPr>
      </w:pPr>
      <w:r>
        <w:rPr>
          <w:rFonts w:hint="eastAsia" w:ascii="宋体" w:hAnsi="宋体"/>
          <w:szCs w:val="21"/>
        </w:rPr>
        <w:t>基金管理人未接受基金托管人的复核意见进行信息披露产生的相应责任；</w:t>
      </w:r>
    </w:p>
    <w:p w14:paraId="34FE90BD">
      <w:pPr>
        <w:pStyle w:val="46"/>
        <w:numPr>
          <w:ilvl w:val="0"/>
          <w:numId w:val="3"/>
        </w:numPr>
        <w:spacing w:line="360" w:lineRule="auto"/>
        <w:ind w:firstLineChars="0"/>
        <w:rPr>
          <w:rFonts w:hint="eastAsia" w:ascii="宋体" w:hAnsi="宋体"/>
          <w:szCs w:val="21"/>
        </w:rPr>
      </w:pPr>
      <w:r>
        <w:rPr>
          <w:rFonts w:hint="eastAsia" w:ascii="宋体" w:hAnsi="宋体"/>
          <w:szCs w:val="21"/>
        </w:rPr>
        <w:t>负责未兑付产品的资金追偿、财产保全、诉讼仲裁、债务重组和破产程序等，法律另有规定的除外；</w:t>
      </w:r>
    </w:p>
    <w:p w14:paraId="2B337DE4">
      <w:pPr>
        <w:pStyle w:val="46"/>
        <w:numPr>
          <w:ilvl w:val="0"/>
          <w:numId w:val="3"/>
        </w:numPr>
        <w:spacing w:line="360" w:lineRule="auto"/>
        <w:ind w:firstLineChars="0"/>
        <w:rPr>
          <w:rFonts w:hint="eastAsia" w:ascii="宋体" w:hAnsi="宋体"/>
          <w:szCs w:val="21"/>
        </w:rPr>
      </w:pPr>
      <w:r>
        <w:rPr>
          <w:rFonts w:hint="eastAsia" w:ascii="宋体" w:hAnsi="宋体"/>
          <w:szCs w:val="21"/>
        </w:rPr>
        <w:t>因不可抗力，以及非本机构履职错误或过失造成的基金财产损失；</w:t>
      </w:r>
    </w:p>
    <w:p w14:paraId="63832077">
      <w:pPr>
        <w:pStyle w:val="46"/>
        <w:numPr>
          <w:ilvl w:val="0"/>
          <w:numId w:val="3"/>
        </w:numPr>
        <w:spacing w:line="360" w:lineRule="auto"/>
        <w:ind w:firstLineChars="0"/>
        <w:rPr>
          <w:rFonts w:hint="eastAsia" w:ascii="宋体" w:hAnsi="宋体"/>
          <w:szCs w:val="21"/>
        </w:rPr>
      </w:pPr>
      <w:r>
        <w:rPr>
          <w:rFonts w:hint="eastAsia" w:ascii="宋体" w:hAnsi="宋体"/>
          <w:szCs w:val="21"/>
        </w:rPr>
        <w:t>国务院金融监管部门规定的不属于基金托管人托管业务范围的其他职责。</w:t>
      </w:r>
    </w:p>
    <w:p w14:paraId="15A23A50">
      <w:pPr>
        <w:spacing w:line="360" w:lineRule="auto"/>
        <w:rPr>
          <w:rFonts w:hint="eastAsia" w:ascii="宋体" w:hAnsi="宋体"/>
          <w:szCs w:val="21"/>
        </w:rPr>
      </w:pPr>
      <w:r>
        <w:rPr>
          <w:rFonts w:hint="eastAsia" w:ascii="宋体" w:hAnsi="宋体"/>
          <w:szCs w:val="21"/>
        </w:rPr>
        <w:t xml:space="preserve">   （十三）如法律、行政法规或监管部门取消或变更上述规定，如适用于本基金，基金管理人在履行适当程序后，本基金可不受上述规定的限制或以变更后的规定为准。</w:t>
      </w:r>
      <w:bookmarkStart w:id="81" w:name="_Toc382819132"/>
    </w:p>
    <w:p w14:paraId="03540AF1">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r>
        <w:rPr>
          <w:rFonts w:hint="eastAsia" w:ascii="宋体" w:hAnsi="宋体" w:eastAsia="宋体" w:cs="Arial"/>
          <w:sz w:val="21"/>
          <w:szCs w:val="21"/>
        </w:rPr>
        <w:t>基金托管协议的变更、终止与基金财产的清算</w:t>
      </w:r>
      <w:bookmarkEnd w:id="81"/>
    </w:p>
    <w:p w14:paraId="0EA09DFB">
      <w:pPr>
        <w:spacing w:line="360" w:lineRule="auto"/>
        <w:ind w:firstLine="420" w:firstLineChars="200"/>
        <w:outlineLvl w:val="1"/>
        <w:rPr>
          <w:rFonts w:hint="eastAsia" w:ascii="宋体" w:hAnsi="宋体"/>
          <w:szCs w:val="21"/>
        </w:rPr>
      </w:pPr>
      <w:r>
        <w:rPr>
          <w:rFonts w:hint="eastAsia" w:ascii="宋体" w:hAnsi="宋体"/>
          <w:szCs w:val="21"/>
        </w:rPr>
        <w:t>（一）托管协议的变更与终止</w:t>
      </w:r>
    </w:p>
    <w:p w14:paraId="7BA6033F">
      <w:pPr>
        <w:spacing w:line="360" w:lineRule="auto"/>
        <w:ind w:firstLine="420" w:firstLineChars="200"/>
        <w:outlineLvl w:val="2"/>
        <w:rPr>
          <w:rFonts w:hint="eastAsia" w:ascii="宋体" w:hAnsi="宋体"/>
          <w:szCs w:val="21"/>
        </w:rPr>
      </w:pPr>
      <w:r>
        <w:rPr>
          <w:rFonts w:hint="eastAsia" w:ascii="宋体" w:hAnsi="宋体"/>
          <w:szCs w:val="21"/>
        </w:rPr>
        <w:t>1.托管协议的变更程序</w:t>
      </w:r>
    </w:p>
    <w:p w14:paraId="60DCD866">
      <w:pPr>
        <w:autoSpaceDE w:val="0"/>
        <w:autoSpaceDN w:val="0"/>
        <w:adjustRightInd w:val="0"/>
        <w:spacing w:line="360" w:lineRule="auto"/>
        <w:ind w:firstLine="444" w:firstLineChars="200"/>
        <w:jc w:val="left"/>
        <w:rPr>
          <w:rFonts w:hint="eastAsia" w:ascii="宋体" w:hAnsi="宋体"/>
          <w:spacing w:val="6"/>
          <w:szCs w:val="21"/>
        </w:rPr>
      </w:pPr>
      <w:r>
        <w:rPr>
          <w:rFonts w:hint="eastAsia" w:ascii="宋体" w:hAnsi="宋体"/>
          <w:spacing w:val="6"/>
          <w:szCs w:val="21"/>
        </w:rPr>
        <w:t>本协议双方当事人经协商一致，可以对协议的内容进行变更。变更后的托管协议，其内容不得与《基金合同》的规定有任何冲突</w:t>
      </w:r>
      <w:r>
        <w:rPr>
          <w:rStyle w:val="22"/>
          <w:rFonts w:hint="eastAsia"/>
        </w:rPr>
        <w:t>，</w:t>
      </w:r>
      <w:r>
        <w:rPr>
          <w:rFonts w:hint="eastAsia" w:ascii="宋体" w:hAnsi="宋体"/>
          <w:spacing w:val="6"/>
          <w:szCs w:val="21"/>
        </w:rPr>
        <w:t>基金托管协议的变更按规定报中国证监会备案。</w:t>
      </w:r>
    </w:p>
    <w:p w14:paraId="1AB1D20B">
      <w:pPr>
        <w:spacing w:line="360" w:lineRule="auto"/>
        <w:ind w:firstLine="420" w:firstLineChars="200"/>
        <w:outlineLvl w:val="2"/>
        <w:rPr>
          <w:rFonts w:hint="eastAsia" w:ascii="宋体" w:hAnsi="宋体"/>
          <w:szCs w:val="21"/>
        </w:rPr>
      </w:pPr>
      <w:r>
        <w:rPr>
          <w:rFonts w:hint="eastAsia" w:ascii="宋体" w:hAnsi="宋体"/>
          <w:szCs w:val="21"/>
        </w:rPr>
        <w:t>2.基金托管协议终止的情形</w:t>
      </w:r>
    </w:p>
    <w:p w14:paraId="20F39DAF">
      <w:pPr>
        <w:autoSpaceDE w:val="0"/>
        <w:autoSpaceDN w:val="0"/>
        <w:adjustRightInd w:val="0"/>
        <w:spacing w:line="360" w:lineRule="auto"/>
        <w:ind w:firstLine="444" w:firstLineChars="200"/>
        <w:jc w:val="left"/>
        <w:rPr>
          <w:rFonts w:hint="eastAsia" w:ascii="宋体" w:hAnsi="宋体"/>
          <w:spacing w:val="6"/>
          <w:szCs w:val="21"/>
        </w:rPr>
      </w:pPr>
      <w:r>
        <w:rPr>
          <w:rFonts w:hint="eastAsia" w:ascii="宋体" w:hAnsi="宋体"/>
          <w:spacing w:val="6"/>
          <w:szCs w:val="21"/>
        </w:rPr>
        <w:t>发生以下情况，本托管协议终止：</w:t>
      </w:r>
    </w:p>
    <w:p w14:paraId="7E0AAC1B">
      <w:pPr>
        <w:autoSpaceDE w:val="0"/>
        <w:autoSpaceDN w:val="0"/>
        <w:adjustRightInd w:val="0"/>
        <w:spacing w:line="360" w:lineRule="auto"/>
        <w:ind w:firstLine="444" w:firstLineChars="200"/>
        <w:jc w:val="left"/>
        <w:rPr>
          <w:rFonts w:hint="eastAsia" w:ascii="宋体" w:hAnsi="宋体"/>
          <w:spacing w:val="6"/>
          <w:szCs w:val="21"/>
        </w:rPr>
      </w:pPr>
      <w:r>
        <w:rPr>
          <w:rFonts w:hint="eastAsia" w:ascii="宋体" w:hAnsi="宋体"/>
          <w:spacing w:val="6"/>
          <w:szCs w:val="21"/>
        </w:rPr>
        <w:t>（1）《基金合同》终止；</w:t>
      </w:r>
    </w:p>
    <w:p w14:paraId="44E95267">
      <w:pPr>
        <w:autoSpaceDE w:val="0"/>
        <w:autoSpaceDN w:val="0"/>
        <w:adjustRightInd w:val="0"/>
        <w:spacing w:line="360" w:lineRule="auto"/>
        <w:ind w:firstLine="444" w:firstLineChars="200"/>
        <w:jc w:val="left"/>
        <w:rPr>
          <w:rFonts w:hint="eastAsia" w:ascii="宋体" w:hAnsi="宋体"/>
          <w:spacing w:val="6"/>
          <w:szCs w:val="21"/>
        </w:rPr>
      </w:pPr>
      <w:r>
        <w:rPr>
          <w:rFonts w:hint="eastAsia" w:ascii="宋体" w:hAnsi="宋体"/>
          <w:spacing w:val="6"/>
          <w:szCs w:val="21"/>
        </w:rPr>
        <w:t>（2）基金托管人解散、依法被撤销、破产或有其他基金托管人接管基金资产；</w:t>
      </w:r>
    </w:p>
    <w:p w14:paraId="6549A286">
      <w:pPr>
        <w:autoSpaceDE w:val="0"/>
        <w:autoSpaceDN w:val="0"/>
        <w:adjustRightInd w:val="0"/>
        <w:spacing w:line="360" w:lineRule="auto"/>
        <w:ind w:firstLine="444" w:firstLineChars="200"/>
        <w:jc w:val="left"/>
        <w:rPr>
          <w:rFonts w:hint="eastAsia" w:ascii="宋体" w:hAnsi="宋体"/>
          <w:spacing w:val="6"/>
          <w:szCs w:val="21"/>
        </w:rPr>
      </w:pPr>
      <w:r>
        <w:rPr>
          <w:rFonts w:hint="eastAsia" w:ascii="宋体" w:hAnsi="宋体"/>
          <w:spacing w:val="6"/>
          <w:szCs w:val="21"/>
        </w:rPr>
        <w:t>（3）基金管理人解散、依法被撤销、破产或有其他基金管理人接管基金管理权；</w:t>
      </w:r>
    </w:p>
    <w:p w14:paraId="3226D381">
      <w:pPr>
        <w:autoSpaceDE w:val="0"/>
        <w:autoSpaceDN w:val="0"/>
        <w:adjustRightInd w:val="0"/>
        <w:spacing w:line="360" w:lineRule="auto"/>
        <w:ind w:firstLine="444" w:firstLineChars="200"/>
        <w:jc w:val="left"/>
        <w:rPr>
          <w:rFonts w:hint="eastAsia" w:ascii="宋体" w:hAnsi="宋体"/>
          <w:spacing w:val="6"/>
          <w:szCs w:val="21"/>
        </w:rPr>
      </w:pPr>
      <w:r>
        <w:rPr>
          <w:rFonts w:hint="eastAsia" w:ascii="宋体" w:hAnsi="宋体"/>
          <w:spacing w:val="6"/>
          <w:szCs w:val="21"/>
        </w:rPr>
        <w:t>（4）发生法律法规或《基金合同》规定的终止事项。</w:t>
      </w:r>
    </w:p>
    <w:p w14:paraId="757C85BE">
      <w:pPr>
        <w:spacing w:line="360" w:lineRule="auto"/>
        <w:ind w:firstLine="420" w:firstLineChars="200"/>
        <w:outlineLvl w:val="1"/>
        <w:rPr>
          <w:rFonts w:hint="eastAsia" w:ascii="宋体" w:hAnsi="宋体"/>
          <w:szCs w:val="21"/>
        </w:rPr>
      </w:pPr>
      <w:bookmarkStart w:id="82" w:name="_Hlk207919495"/>
      <w:r>
        <w:rPr>
          <w:rFonts w:hint="eastAsia" w:ascii="宋体" w:hAnsi="宋体"/>
          <w:szCs w:val="21"/>
        </w:rPr>
        <w:t>（二）基金财产的清算</w:t>
      </w:r>
    </w:p>
    <w:p w14:paraId="609FC03F">
      <w:pPr>
        <w:spacing w:line="360" w:lineRule="auto"/>
        <w:ind w:firstLine="420" w:firstLineChars="200"/>
        <w:rPr>
          <w:rFonts w:hint="eastAsia" w:ascii="宋体" w:hAnsi="宋体"/>
          <w:szCs w:val="21"/>
        </w:rPr>
      </w:pPr>
      <w:r>
        <w:rPr>
          <w:rFonts w:hint="eastAsia" w:ascii="宋体" w:hAnsi="宋体"/>
          <w:szCs w:val="21"/>
        </w:rPr>
        <w:t>1.基金财产清算小组：自出现《基金合同》终止事由之日起30个工作日内成立清算小组，基金管理人组织基金财产清算小组并在中国证监会的监督下进行基金清算。</w:t>
      </w:r>
    </w:p>
    <w:p w14:paraId="3AAB0032">
      <w:pPr>
        <w:spacing w:line="360" w:lineRule="auto"/>
        <w:ind w:firstLine="420" w:firstLineChars="200"/>
        <w:rPr>
          <w:rFonts w:hint="eastAsia" w:ascii="宋体" w:hAnsi="宋体"/>
          <w:szCs w:val="21"/>
        </w:rPr>
      </w:pPr>
      <w:r>
        <w:rPr>
          <w:rFonts w:hint="eastAsia" w:ascii="宋体" w:hAnsi="宋体"/>
          <w:szCs w:val="21"/>
        </w:rPr>
        <w:t>2.</w:t>
      </w:r>
      <w:r>
        <w:rPr>
          <w:rFonts w:hint="eastAsia" w:ascii="宋体" w:hAnsi="宋体"/>
          <w:kern w:val="0"/>
          <w:szCs w:val="21"/>
        </w:rPr>
        <w:t>在基金财产清算小组接管基金财产之前，基金管理人和基金托管人应按照《基金合同》和本托管协议的规定继续履行保护基金财产安全的职责。</w:t>
      </w:r>
    </w:p>
    <w:p w14:paraId="2AEE9D36">
      <w:pPr>
        <w:spacing w:line="360" w:lineRule="auto"/>
        <w:ind w:firstLine="420" w:firstLineChars="200"/>
        <w:rPr>
          <w:rFonts w:hint="eastAsia" w:ascii="宋体" w:hAnsi="宋体"/>
          <w:szCs w:val="21"/>
        </w:rPr>
      </w:pPr>
      <w:r>
        <w:rPr>
          <w:rFonts w:hint="eastAsia" w:ascii="宋体" w:hAnsi="宋体"/>
          <w:szCs w:val="21"/>
        </w:rPr>
        <w:t>3.基金财产清算小组组成：基金财产清算小组成员由基金管理人、基金托管人、符合《中华人民共和国证券法》规定的注册会计师、律师以及中国证监会指定的人员组成。基金财产清算小组可以聘用必要的工作人员。</w:t>
      </w:r>
    </w:p>
    <w:p w14:paraId="30BA923F">
      <w:pPr>
        <w:spacing w:line="360" w:lineRule="auto"/>
        <w:ind w:firstLine="420" w:firstLineChars="200"/>
        <w:rPr>
          <w:rFonts w:hint="eastAsia" w:ascii="宋体" w:hAnsi="宋体"/>
          <w:szCs w:val="21"/>
        </w:rPr>
      </w:pPr>
      <w:r>
        <w:rPr>
          <w:rFonts w:hint="eastAsia" w:ascii="宋体" w:hAnsi="宋体"/>
          <w:szCs w:val="21"/>
        </w:rPr>
        <w:t>4.基金财产清算小组职责：基金财产清算小组负责基金财产的保管、清理、估价、变现和分配。基金财产清算小组可以依法进行必要的民事活动。</w:t>
      </w:r>
    </w:p>
    <w:p w14:paraId="35B9F375">
      <w:pPr>
        <w:tabs>
          <w:tab w:val="left" w:pos="6435"/>
        </w:tabs>
        <w:spacing w:line="360" w:lineRule="auto"/>
        <w:ind w:firstLine="420" w:firstLineChars="200"/>
        <w:rPr>
          <w:rFonts w:hint="eastAsia" w:ascii="宋体" w:hAnsi="宋体"/>
          <w:szCs w:val="21"/>
        </w:rPr>
      </w:pPr>
      <w:r>
        <w:rPr>
          <w:rFonts w:hint="eastAsia" w:ascii="宋体" w:hAnsi="宋体"/>
          <w:szCs w:val="21"/>
        </w:rPr>
        <w:t>5.基金财产清算程序：</w:t>
      </w:r>
      <w:r>
        <w:rPr>
          <w:rFonts w:hint="eastAsia" w:ascii="宋体" w:hAnsi="宋体"/>
          <w:szCs w:val="21"/>
        </w:rPr>
        <w:tab/>
      </w:r>
    </w:p>
    <w:p w14:paraId="226A83C6">
      <w:pPr>
        <w:spacing w:line="360" w:lineRule="auto"/>
        <w:ind w:firstLine="420" w:firstLineChars="200"/>
        <w:rPr>
          <w:rFonts w:hint="eastAsia" w:ascii="宋体" w:hAnsi="宋体"/>
          <w:szCs w:val="21"/>
        </w:rPr>
      </w:pPr>
      <w:r>
        <w:rPr>
          <w:rFonts w:hint="eastAsia" w:ascii="宋体" w:hAnsi="宋体"/>
          <w:szCs w:val="21"/>
        </w:rPr>
        <w:t>（1）《基金合同》终止情形出现时，由基金财产清算小组统一接管基金财产；</w:t>
      </w:r>
    </w:p>
    <w:p w14:paraId="0C11CCA8">
      <w:pPr>
        <w:spacing w:line="360" w:lineRule="auto"/>
        <w:ind w:firstLine="420" w:firstLineChars="200"/>
        <w:rPr>
          <w:rFonts w:hint="eastAsia" w:ascii="宋体" w:hAnsi="宋体"/>
          <w:szCs w:val="21"/>
        </w:rPr>
      </w:pPr>
      <w:r>
        <w:rPr>
          <w:rFonts w:hint="eastAsia" w:ascii="宋体" w:hAnsi="宋体"/>
          <w:szCs w:val="21"/>
        </w:rPr>
        <w:t>（2）对基金财产和债权债务进行清理和确认；</w:t>
      </w:r>
    </w:p>
    <w:p w14:paraId="2E117A2E">
      <w:pPr>
        <w:spacing w:line="360" w:lineRule="auto"/>
        <w:ind w:firstLine="420" w:firstLineChars="200"/>
        <w:rPr>
          <w:rFonts w:hint="eastAsia" w:ascii="宋体" w:hAnsi="宋体"/>
          <w:szCs w:val="21"/>
        </w:rPr>
      </w:pPr>
      <w:r>
        <w:rPr>
          <w:rFonts w:hint="eastAsia" w:ascii="宋体" w:hAnsi="宋体"/>
          <w:szCs w:val="21"/>
        </w:rPr>
        <w:t>（3）对基金财产进行估值和变现；</w:t>
      </w:r>
    </w:p>
    <w:p w14:paraId="5CB7BB44">
      <w:pPr>
        <w:spacing w:line="360" w:lineRule="auto"/>
        <w:ind w:firstLine="420" w:firstLineChars="200"/>
        <w:rPr>
          <w:rFonts w:hint="eastAsia" w:ascii="宋体" w:hAnsi="宋体"/>
          <w:szCs w:val="21"/>
        </w:rPr>
      </w:pPr>
      <w:r>
        <w:rPr>
          <w:rFonts w:hint="eastAsia" w:ascii="宋体" w:hAnsi="宋体"/>
          <w:szCs w:val="21"/>
        </w:rPr>
        <w:t>（4）制作清算报告；</w:t>
      </w:r>
    </w:p>
    <w:p w14:paraId="18762957">
      <w:pPr>
        <w:spacing w:line="360" w:lineRule="auto"/>
        <w:ind w:firstLine="420" w:firstLineChars="200"/>
        <w:rPr>
          <w:rFonts w:hint="eastAsia" w:ascii="宋体" w:hAnsi="宋体"/>
          <w:szCs w:val="21"/>
        </w:rPr>
      </w:pPr>
      <w:r>
        <w:rPr>
          <w:rFonts w:hint="eastAsia" w:ascii="宋体" w:hAnsi="宋体"/>
          <w:szCs w:val="21"/>
        </w:rPr>
        <w:t>（5）</w:t>
      </w:r>
      <w:r>
        <w:rPr>
          <w:rFonts w:hint="eastAsia" w:ascii="宋体" w:hAnsi="宋体"/>
          <w:bCs/>
          <w:szCs w:val="21"/>
        </w:rPr>
        <w:t>聘请符合《中华人民共和国证券法》规定的会计师事务所对清算报告进行外部审计，聘请律师事务所对清算报告出具法律意见书；</w:t>
      </w:r>
    </w:p>
    <w:p w14:paraId="246B47FC">
      <w:pPr>
        <w:spacing w:line="360" w:lineRule="auto"/>
        <w:ind w:firstLine="420" w:firstLineChars="200"/>
        <w:rPr>
          <w:rFonts w:hint="eastAsia" w:ascii="宋体" w:hAnsi="宋体"/>
          <w:kern w:val="0"/>
          <w:szCs w:val="21"/>
        </w:rPr>
      </w:pPr>
      <w:r>
        <w:rPr>
          <w:rFonts w:hint="eastAsia" w:ascii="宋体" w:hAnsi="宋体"/>
          <w:szCs w:val="21"/>
        </w:rPr>
        <w:t>（6）将清算报告报中国证监会备案并公告；</w:t>
      </w:r>
    </w:p>
    <w:p w14:paraId="516D681C">
      <w:pPr>
        <w:spacing w:line="360" w:lineRule="auto"/>
        <w:ind w:firstLine="420" w:firstLineChars="200"/>
        <w:rPr>
          <w:rFonts w:hint="eastAsia" w:ascii="宋体" w:hAnsi="宋体"/>
          <w:bCs/>
          <w:szCs w:val="21"/>
        </w:rPr>
      </w:pPr>
      <w:r>
        <w:rPr>
          <w:rFonts w:hint="eastAsia" w:ascii="宋体" w:hAnsi="宋体"/>
          <w:szCs w:val="21"/>
        </w:rPr>
        <w:t>（7）</w:t>
      </w:r>
      <w:r>
        <w:rPr>
          <w:rFonts w:hint="eastAsia" w:ascii="宋体" w:hAnsi="宋体"/>
          <w:bCs/>
          <w:szCs w:val="21"/>
        </w:rPr>
        <w:t>对基金剩余财产进行分配。</w:t>
      </w:r>
    </w:p>
    <w:p w14:paraId="0EDE9B16">
      <w:pPr>
        <w:spacing w:line="360" w:lineRule="auto"/>
        <w:ind w:firstLine="420" w:firstLineChars="200"/>
        <w:rPr>
          <w:rFonts w:hint="eastAsia" w:ascii="宋体" w:hAnsi="宋体"/>
          <w:szCs w:val="21"/>
        </w:rPr>
      </w:pPr>
      <w:r>
        <w:rPr>
          <w:rFonts w:hint="eastAsia" w:ascii="宋体" w:hAnsi="宋体"/>
          <w:bCs/>
          <w:szCs w:val="21"/>
        </w:rPr>
        <w:t>基金财产清算的期限为6个月，但因本基金所持证券的流动性受到限制而不能及时变现的，清算期限相应顺延。</w:t>
      </w:r>
    </w:p>
    <w:p w14:paraId="71823F87">
      <w:pPr>
        <w:adjustRightInd w:val="0"/>
        <w:snapToGrid w:val="0"/>
        <w:spacing w:line="360" w:lineRule="auto"/>
        <w:ind w:firstLine="420" w:firstLineChars="200"/>
        <w:rPr>
          <w:rFonts w:hint="eastAsia" w:ascii="宋体" w:hAnsi="宋体" w:cs="Arial"/>
          <w:szCs w:val="21"/>
        </w:rPr>
      </w:pPr>
      <w:r>
        <w:rPr>
          <w:rFonts w:hint="eastAsia" w:ascii="宋体" w:hAnsi="宋体" w:cs="Arial"/>
          <w:szCs w:val="21"/>
        </w:rPr>
        <w:t>6.清算费用</w:t>
      </w:r>
    </w:p>
    <w:p w14:paraId="51A21AF2">
      <w:pPr>
        <w:adjustRightInd w:val="0"/>
        <w:snapToGrid w:val="0"/>
        <w:spacing w:line="360" w:lineRule="auto"/>
        <w:ind w:firstLine="420" w:firstLineChars="200"/>
        <w:rPr>
          <w:rFonts w:hint="eastAsia" w:ascii="宋体" w:hAnsi="宋体" w:cs="Arial"/>
          <w:szCs w:val="21"/>
        </w:rPr>
      </w:pPr>
      <w:r>
        <w:rPr>
          <w:rFonts w:hint="eastAsia" w:ascii="宋体" w:hAnsi="宋体" w:cs="Arial"/>
          <w:szCs w:val="21"/>
        </w:rPr>
        <w:t>清算费用是指基金财产清算小组在进行基金财产清算过程中发生的所有合理费用，清算费用由基金财产清算小组优先从基金财产中支付。</w:t>
      </w:r>
    </w:p>
    <w:p w14:paraId="46749F94">
      <w:pPr>
        <w:adjustRightInd w:val="0"/>
        <w:snapToGrid w:val="0"/>
        <w:spacing w:line="360" w:lineRule="auto"/>
        <w:ind w:firstLine="420" w:firstLineChars="200"/>
        <w:rPr>
          <w:rFonts w:hint="eastAsia" w:ascii="宋体" w:hAnsi="宋体" w:cs="Arial"/>
          <w:szCs w:val="21"/>
        </w:rPr>
      </w:pPr>
      <w:r>
        <w:rPr>
          <w:rFonts w:hint="eastAsia" w:ascii="宋体" w:hAnsi="宋体" w:cs="Arial"/>
          <w:szCs w:val="21"/>
        </w:rPr>
        <w:t>7.基金财产按下列顺序清偿：</w:t>
      </w:r>
    </w:p>
    <w:p w14:paraId="2B1E29DC">
      <w:pPr>
        <w:adjustRightInd w:val="0"/>
        <w:snapToGrid w:val="0"/>
        <w:spacing w:line="360" w:lineRule="auto"/>
        <w:ind w:firstLine="420" w:firstLineChars="200"/>
        <w:rPr>
          <w:rFonts w:hint="eastAsia" w:ascii="宋体" w:hAnsi="宋体" w:cs="Arial"/>
          <w:szCs w:val="21"/>
        </w:rPr>
      </w:pPr>
      <w:r>
        <w:rPr>
          <w:rFonts w:hint="eastAsia" w:ascii="宋体" w:hAnsi="宋体" w:cs="Arial"/>
          <w:szCs w:val="21"/>
        </w:rPr>
        <w:t>(1)支付清算费用；</w:t>
      </w:r>
    </w:p>
    <w:p w14:paraId="76001598">
      <w:pPr>
        <w:adjustRightInd w:val="0"/>
        <w:snapToGrid w:val="0"/>
        <w:spacing w:line="360" w:lineRule="auto"/>
        <w:ind w:firstLine="420" w:firstLineChars="200"/>
        <w:rPr>
          <w:rFonts w:hint="eastAsia" w:ascii="宋体" w:hAnsi="宋体" w:cs="Arial"/>
          <w:szCs w:val="21"/>
        </w:rPr>
      </w:pPr>
      <w:r>
        <w:rPr>
          <w:rFonts w:hint="eastAsia" w:ascii="宋体" w:hAnsi="宋体" w:cs="Arial"/>
          <w:szCs w:val="21"/>
        </w:rPr>
        <w:t>(2)交纳所欠税款；</w:t>
      </w:r>
    </w:p>
    <w:p w14:paraId="05E5075D">
      <w:pPr>
        <w:adjustRightInd w:val="0"/>
        <w:snapToGrid w:val="0"/>
        <w:spacing w:line="360" w:lineRule="auto"/>
        <w:ind w:firstLine="420" w:firstLineChars="200"/>
        <w:rPr>
          <w:rFonts w:hint="eastAsia" w:ascii="宋体" w:hAnsi="宋体" w:cs="Arial"/>
          <w:szCs w:val="21"/>
        </w:rPr>
      </w:pPr>
      <w:r>
        <w:rPr>
          <w:rFonts w:hint="eastAsia" w:ascii="宋体" w:hAnsi="宋体" w:cs="Arial"/>
          <w:szCs w:val="21"/>
        </w:rPr>
        <w:t>(3)清偿基金债务；</w:t>
      </w:r>
    </w:p>
    <w:p w14:paraId="6B7A6A26">
      <w:pPr>
        <w:adjustRightInd w:val="0"/>
        <w:snapToGrid w:val="0"/>
        <w:spacing w:line="360" w:lineRule="auto"/>
        <w:ind w:firstLine="420" w:firstLineChars="200"/>
        <w:rPr>
          <w:rFonts w:hint="eastAsia" w:ascii="宋体" w:hAnsi="宋体" w:cs="Arial"/>
          <w:szCs w:val="21"/>
        </w:rPr>
      </w:pPr>
      <w:r>
        <w:rPr>
          <w:rFonts w:hint="eastAsia" w:ascii="宋体" w:hAnsi="宋体" w:cs="Arial"/>
          <w:szCs w:val="21"/>
        </w:rPr>
        <w:t>(4)按基金份额持有人持有的基金份额比例进行分配。</w:t>
      </w:r>
    </w:p>
    <w:p w14:paraId="6C44BB77">
      <w:pPr>
        <w:spacing w:line="360" w:lineRule="auto"/>
        <w:ind w:firstLine="420" w:firstLineChars="200"/>
        <w:rPr>
          <w:rFonts w:hint="eastAsia" w:ascii="宋体" w:hAnsi="宋体" w:cs="Arial"/>
          <w:szCs w:val="21"/>
        </w:rPr>
      </w:pPr>
      <w:r>
        <w:rPr>
          <w:rFonts w:hint="eastAsia" w:ascii="宋体" w:hAnsi="宋体" w:cs="Arial"/>
          <w:szCs w:val="21"/>
        </w:rPr>
        <w:t>基金财产未按前款(1)－(3)项规定清偿前，不分配给基金份额持有人。</w:t>
      </w:r>
    </w:p>
    <w:p w14:paraId="4D210C57">
      <w:pPr>
        <w:spacing w:line="360" w:lineRule="auto"/>
        <w:ind w:firstLine="420" w:firstLineChars="200"/>
        <w:rPr>
          <w:rFonts w:hint="eastAsia" w:ascii="宋体" w:hAnsi="宋体" w:cs="Arial"/>
          <w:szCs w:val="21"/>
        </w:rPr>
      </w:pPr>
      <w:r>
        <w:rPr>
          <w:rFonts w:hint="eastAsia" w:ascii="宋体" w:hAnsi="宋体" w:cs="Arial"/>
          <w:szCs w:val="21"/>
        </w:rPr>
        <w:t>其中，对于投资人通过直销机构认购/申购的C类基金份额所计提的销售服务费，或者通过其他销售机构认购/申购的C类基金份额持续持有超过一年后所计提的销售服务费，将在基金合同终止时随剩余资产分配款项一并返还给投资人。</w:t>
      </w:r>
    </w:p>
    <w:p w14:paraId="0FB4F953">
      <w:pPr>
        <w:spacing w:line="360" w:lineRule="auto"/>
        <w:ind w:firstLine="420" w:firstLineChars="200"/>
        <w:outlineLvl w:val="1"/>
        <w:rPr>
          <w:rFonts w:hint="eastAsia" w:ascii="宋体" w:hAnsi="宋体"/>
          <w:bCs/>
          <w:szCs w:val="21"/>
        </w:rPr>
      </w:pPr>
      <w:r>
        <w:rPr>
          <w:rFonts w:hint="eastAsia" w:ascii="宋体" w:hAnsi="宋体"/>
          <w:bCs/>
          <w:szCs w:val="21"/>
        </w:rPr>
        <w:t>（三）基金财产清算的公告</w:t>
      </w:r>
    </w:p>
    <w:p w14:paraId="6A81D456">
      <w:pPr>
        <w:spacing w:line="360" w:lineRule="auto"/>
        <w:ind w:firstLine="420" w:firstLineChars="200"/>
        <w:rPr>
          <w:rFonts w:hint="eastAsia" w:ascii="宋体" w:hAnsi="宋体"/>
          <w:szCs w:val="21"/>
        </w:rPr>
      </w:pPr>
      <w:r>
        <w:rPr>
          <w:rFonts w:hint="eastAsia" w:ascii="宋体" w:hAnsi="宋体"/>
          <w:szCs w:val="21"/>
        </w:rPr>
        <w:t>清算过程中的有关重大事项须及时公告；基金财产清算报告经</w:t>
      </w:r>
      <w:r>
        <w:rPr>
          <w:rFonts w:ascii="宋体" w:hAnsi="宋体"/>
          <w:bCs/>
          <w:szCs w:val="21"/>
        </w:rPr>
        <w:t>符合</w:t>
      </w:r>
      <w:r>
        <w:rPr>
          <w:rFonts w:hint="eastAsia" w:ascii="宋体" w:hAnsi="宋体"/>
          <w:bCs/>
          <w:szCs w:val="21"/>
        </w:rPr>
        <w:t>《中华人民共和国证券法》规定的</w:t>
      </w:r>
      <w:r>
        <w:rPr>
          <w:rFonts w:hint="eastAsia" w:ascii="宋体" w:hAnsi="宋体"/>
          <w:szCs w:val="21"/>
        </w:rPr>
        <w:t>会计师事务所审计并由律师事务所出具法律意见书后报中国证监会备案并公告。基金财产清算公告于基金财产清算报告报中国证监会备案后5个工作日内由基金财产清算小组进行公告</w:t>
      </w:r>
      <w:r>
        <w:rPr>
          <w:rFonts w:hint="eastAsia" w:ascii="宋体" w:hAnsi="宋体"/>
          <w:bCs/>
          <w:szCs w:val="21"/>
        </w:rPr>
        <w:t>，基金财产清算小组应当将清算报告登载在规定网站上，并将清算报告提示性公告登载在规定报刊上</w:t>
      </w:r>
      <w:r>
        <w:rPr>
          <w:rFonts w:hint="eastAsia" w:ascii="宋体" w:hAnsi="宋体"/>
          <w:szCs w:val="21"/>
        </w:rPr>
        <w:t>。</w:t>
      </w:r>
    </w:p>
    <w:p w14:paraId="54774897">
      <w:pPr>
        <w:spacing w:line="360" w:lineRule="auto"/>
        <w:ind w:firstLine="420" w:firstLineChars="200"/>
        <w:outlineLvl w:val="1"/>
        <w:rPr>
          <w:rFonts w:hint="eastAsia" w:ascii="宋体" w:hAnsi="宋体"/>
          <w:bCs/>
          <w:szCs w:val="21"/>
        </w:rPr>
      </w:pPr>
      <w:r>
        <w:rPr>
          <w:rFonts w:hint="eastAsia" w:ascii="宋体" w:hAnsi="宋体"/>
          <w:bCs/>
          <w:szCs w:val="21"/>
        </w:rPr>
        <w:t>（四）基金财产清算账册及文件的保存</w:t>
      </w:r>
    </w:p>
    <w:p w14:paraId="6D354EBE">
      <w:pPr>
        <w:spacing w:line="360" w:lineRule="auto"/>
        <w:ind w:firstLine="200"/>
        <w:rPr>
          <w:rFonts w:hint="eastAsia" w:ascii="宋体" w:hAnsi="宋体"/>
          <w:szCs w:val="21"/>
        </w:rPr>
      </w:pPr>
      <w:r>
        <w:rPr>
          <w:rFonts w:hint="eastAsia" w:ascii="宋体" w:hAnsi="宋体"/>
          <w:szCs w:val="21"/>
        </w:rPr>
        <w:t>基金财产清算账册及有关文件由基金托管人保存不低于法律</w:t>
      </w:r>
      <w:r>
        <w:rPr>
          <w:rFonts w:ascii="宋体" w:hAnsi="宋体"/>
          <w:szCs w:val="21"/>
        </w:rPr>
        <w:t>法规规定的最低期限</w:t>
      </w:r>
      <w:r>
        <w:rPr>
          <w:rFonts w:hint="eastAsia" w:ascii="宋体" w:hAnsi="宋体"/>
          <w:szCs w:val="21"/>
        </w:rPr>
        <w:t>。</w:t>
      </w:r>
    </w:p>
    <w:bookmarkEnd w:id="82"/>
    <w:p w14:paraId="561D350B">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83" w:name="_Toc382819133"/>
      <w:r>
        <w:rPr>
          <w:rFonts w:hint="eastAsia" w:ascii="宋体" w:hAnsi="宋体" w:eastAsia="宋体" w:cs="Arial"/>
          <w:sz w:val="21"/>
          <w:szCs w:val="21"/>
        </w:rPr>
        <w:t>违约责任</w:t>
      </w:r>
      <w:bookmarkEnd w:id="83"/>
    </w:p>
    <w:p w14:paraId="7009F610">
      <w:pPr>
        <w:spacing w:line="360" w:lineRule="auto"/>
        <w:ind w:firstLine="420" w:firstLineChars="200"/>
        <w:rPr>
          <w:bCs/>
          <w:szCs w:val="21"/>
        </w:rPr>
      </w:pPr>
      <w:r>
        <w:rPr>
          <w:rFonts w:hint="eastAsia" w:ascii="宋体" w:hAnsi="宋体"/>
          <w:szCs w:val="21"/>
        </w:rPr>
        <w:t>（一）如果由于基金管理人或基金托管人的过错，不履行本协议或者违反本协议约定的，有过错的一方应当承担违约责任，给另一方当事人造成损失的，应就直接损失进行赔偿。如果由于双方的过错，不履行本协议或者违反本协议约定的，应根据实际情况，由双方分别承担各自应负的违约责任</w:t>
      </w:r>
      <w:r>
        <w:rPr>
          <w:rFonts w:hint="eastAsia"/>
          <w:bCs/>
          <w:szCs w:val="21"/>
        </w:rPr>
        <w:t>，给基金财产或者基金份额持有人造成损害的，应当分别对各自的行为依法承担赔偿责任；因共同行为给基金财产或者基金份额持有人造成损害的，应当承担连带赔偿责任。对损失的赔偿，仅限于直接损失。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ascii="宋体" w:hAnsi="宋体"/>
          <w:szCs w:val="21"/>
        </w:rPr>
        <w:t>但是发生下列情况，当事人免责：</w:t>
      </w:r>
    </w:p>
    <w:p w14:paraId="766CE48C">
      <w:pPr>
        <w:spacing w:line="360" w:lineRule="auto"/>
        <w:ind w:firstLine="420" w:firstLineChars="200"/>
        <w:rPr>
          <w:rFonts w:hint="eastAsia" w:ascii="宋体" w:hAnsi="宋体"/>
          <w:szCs w:val="21"/>
        </w:rPr>
      </w:pPr>
      <w:r>
        <w:rPr>
          <w:rFonts w:hint="eastAsia" w:ascii="宋体" w:hAnsi="宋体"/>
          <w:szCs w:val="21"/>
        </w:rPr>
        <w:t>1、不可抗力；</w:t>
      </w:r>
    </w:p>
    <w:p w14:paraId="77773672">
      <w:pPr>
        <w:spacing w:line="360" w:lineRule="auto"/>
        <w:ind w:firstLine="420" w:firstLineChars="200"/>
        <w:rPr>
          <w:rFonts w:hint="eastAsia" w:ascii="宋体" w:hAnsi="宋体"/>
          <w:szCs w:val="21"/>
        </w:rPr>
      </w:pPr>
      <w:r>
        <w:rPr>
          <w:rFonts w:hint="eastAsia" w:ascii="宋体" w:hAnsi="宋体"/>
          <w:szCs w:val="21"/>
        </w:rPr>
        <w:t>2、基金管理人和/或基金托管人按照当时有效的法律法规或中国证监会等监管机构的规定作为或不作为而造成的损失等；</w:t>
      </w:r>
    </w:p>
    <w:p w14:paraId="3134147A">
      <w:pPr>
        <w:spacing w:line="360" w:lineRule="auto"/>
        <w:ind w:firstLine="420" w:firstLineChars="200"/>
        <w:rPr>
          <w:rFonts w:hint="eastAsia" w:ascii="宋体" w:hAnsi="宋体"/>
          <w:szCs w:val="21"/>
        </w:rPr>
      </w:pPr>
      <w:r>
        <w:rPr>
          <w:rFonts w:hint="eastAsia" w:ascii="宋体" w:hAnsi="宋体"/>
          <w:szCs w:val="21"/>
        </w:rPr>
        <w:t>3、基金管理人由于按照基金合同规定的投资原则行使或不行使其投资权而造成的损失等。</w:t>
      </w:r>
    </w:p>
    <w:p w14:paraId="0C725E83">
      <w:pPr>
        <w:spacing w:line="360" w:lineRule="auto"/>
        <w:ind w:firstLine="420" w:firstLineChars="200"/>
        <w:rPr>
          <w:bCs/>
          <w:szCs w:val="21"/>
        </w:rPr>
      </w:pPr>
      <w:r>
        <w:rPr>
          <w:rFonts w:hint="eastAsia" w:ascii="宋体" w:hAnsi="宋体"/>
          <w:szCs w:val="21"/>
        </w:rPr>
        <w:t>（二）</w:t>
      </w:r>
      <w:r>
        <w:rPr>
          <w:rFonts w:hint="eastAsia"/>
          <w:bCs/>
          <w:szCs w:val="21"/>
        </w:rPr>
        <w:t>在发生一方或多方违约的情况下，在最大限度地保护基金份额持有人利益的前提下，《基金合同》和本协议能够继续履行的应当继续履行。非违约方当事人在职责范围内有义务及时采取必要的措施，尽力防止损失的扩大。没有采取适当措施致使损失进一步扩大的，不得就扩大的损失要求赔偿。非违约方因防止损失扩大而支出的合理费用由违约方承担。</w:t>
      </w:r>
    </w:p>
    <w:p w14:paraId="60A4DF2C">
      <w:pPr>
        <w:spacing w:line="360" w:lineRule="auto"/>
        <w:ind w:firstLine="420" w:firstLineChars="200"/>
        <w:rPr>
          <w:rFonts w:hint="eastAsia" w:ascii="宋体" w:hAnsi="宋体"/>
          <w:szCs w:val="21"/>
          <w:lang w:val="zh-CN"/>
        </w:rPr>
      </w:pPr>
      <w:r>
        <w:rPr>
          <w:rFonts w:hint="eastAsia" w:ascii="宋体" w:hAnsi="宋体"/>
          <w:szCs w:val="21"/>
        </w:rPr>
        <w:t>（三）基金托管人发现基金管理人借助托管银行的品牌、声誉开展不当营销宣传的，应当督促相关机构及时纠正。相关机构未及时采取有效纠正措施的，基金托管人在遵守相关法律法规、监管规定，在履行适当程序以及不损害基金份额持有人利益前提下有权按照托管协议约定终止业务合作，并进行通知。</w:t>
      </w:r>
    </w:p>
    <w:p w14:paraId="114C0879">
      <w:pPr>
        <w:spacing w:line="360" w:lineRule="auto"/>
        <w:ind w:firstLine="420" w:firstLineChars="200"/>
        <w:rPr>
          <w:rFonts w:hint="eastAsia" w:ascii="宋体" w:hAnsi="宋体"/>
          <w:szCs w:val="21"/>
          <w:lang w:val="zh-CN"/>
        </w:rPr>
      </w:pPr>
      <w:r>
        <w:rPr>
          <w:rFonts w:hint="eastAsia" w:ascii="宋体" w:hAnsi="宋体"/>
          <w:szCs w:val="21"/>
          <w:lang w:val="zh-CN"/>
        </w:rPr>
        <w:t>（四）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减轻或消除由此造成的影响。</w:t>
      </w:r>
    </w:p>
    <w:p w14:paraId="0EF35BA6">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84" w:name="_Toc382819134"/>
      <w:r>
        <w:rPr>
          <w:rFonts w:hint="eastAsia" w:ascii="宋体" w:hAnsi="宋体" w:eastAsia="宋体" w:cs="Arial"/>
          <w:sz w:val="21"/>
          <w:szCs w:val="21"/>
        </w:rPr>
        <w:t>适用法律及争议解决方式</w:t>
      </w:r>
      <w:bookmarkEnd w:id="84"/>
    </w:p>
    <w:p w14:paraId="1FD8CDCD">
      <w:pPr>
        <w:spacing w:line="360" w:lineRule="auto"/>
        <w:ind w:firstLine="420" w:firstLineChars="200"/>
        <w:rPr>
          <w:rFonts w:hint="eastAsia" w:ascii="宋体" w:hAnsi="宋体"/>
          <w:szCs w:val="21"/>
          <w:lang w:val="zh-CN"/>
        </w:rPr>
      </w:pPr>
      <w:r>
        <w:rPr>
          <w:rFonts w:hint="eastAsia" w:ascii="宋体" w:hAnsi="宋体"/>
          <w:szCs w:val="21"/>
          <w:lang w:val="zh-CN"/>
        </w:rPr>
        <w:t>（一）</w:t>
      </w:r>
      <w:r>
        <w:rPr>
          <w:rFonts w:hint="eastAsia" w:ascii="宋体" w:hAnsi="宋体"/>
          <w:szCs w:val="21"/>
        </w:rPr>
        <w:t>本协议适用中华人民共和国法律（为本协议之目的，在此不包括香港、澳门特别行政区和台湾地区法律），并从其解释。</w:t>
      </w:r>
    </w:p>
    <w:p w14:paraId="5FB130EE">
      <w:pPr>
        <w:spacing w:line="360" w:lineRule="auto"/>
        <w:ind w:firstLine="422" w:firstLineChars="200"/>
        <w:rPr>
          <w:rFonts w:hint="eastAsia" w:ascii="宋体" w:hAnsi="宋体"/>
          <w:b/>
          <w:bCs/>
          <w:szCs w:val="21"/>
        </w:rPr>
      </w:pPr>
      <w:r>
        <w:rPr>
          <w:rFonts w:hint="eastAsia" w:ascii="宋体" w:hAnsi="宋体"/>
          <w:b/>
          <w:bCs/>
          <w:szCs w:val="21"/>
        </w:rPr>
        <w:t>（二）</w:t>
      </w:r>
      <w:r>
        <w:rPr>
          <w:rFonts w:ascii="宋体" w:hAnsi="宋体"/>
          <w:b/>
          <w:bCs/>
          <w:szCs w:val="21"/>
        </w:rPr>
        <w:t>双方</w:t>
      </w:r>
      <w:r>
        <w:rPr>
          <w:rFonts w:hint="eastAsia" w:ascii="宋体" w:hAnsi="宋体"/>
          <w:b/>
          <w:bCs/>
          <w:szCs w:val="21"/>
        </w:rPr>
        <w:t>当事人同意，因本协议而产生的或与本协议有关的一切争议，除经友好协商可以解决的，任何一方均有权将争议提交</w:t>
      </w:r>
      <w:bookmarkStart w:id="85" w:name="OLE_LINK19"/>
      <w:bookmarkStart w:id="86" w:name="OLE_LINK18"/>
      <w:r>
        <w:rPr>
          <w:rFonts w:hint="eastAsia" w:ascii="宋体" w:hAnsi="宋体"/>
          <w:b/>
          <w:bCs/>
          <w:szCs w:val="21"/>
        </w:rPr>
        <w:t>上海国际经济贸易仲裁委员会</w:t>
      </w:r>
      <w:bookmarkEnd w:id="85"/>
      <w:bookmarkEnd w:id="86"/>
      <w:r>
        <w:rPr>
          <w:rFonts w:hint="eastAsia" w:ascii="宋体" w:hAnsi="宋体"/>
          <w:b/>
          <w:bCs/>
          <w:szCs w:val="21"/>
        </w:rPr>
        <w:t>，根据该会届时有效的仲裁规则进行仲裁，仲裁的地点在</w:t>
      </w:r>
      <w:r>
        <w:rPr>
          <w:rFonts w:hint="eastAsia" w:ascii="宋体" w:hAnsi="宋体"/>
          <w:b/>
          <w:bCs/>
          <w:szCs w:val="21"/>
          <w:u w:val="single"/>
        </w:rPr>
        <w:t>上海市</w:t>
      </w:r>
      <w:r>
        <w:rPr>
          <w:rFonts w:hint="eastAsia" w:ascii="宋体" w:hAnsi="宋体"/>
          <w:b/>
          <w:bCs/>
          <w:szCs w:val="21"/>
        </w:rPr>
        <w:t>，仲裁裁决是终局性的并对</w:t>
      </w:r>
      <w:r>
        <w:rPr>
          <w:rFonts w:ascii="宋体" w:hAnsi="宋体"/>
          <w:b/>
          <w:bCs/>
          <w:szCs w:val="21"/>
        </w:rPr>
        <w:t>双方</w:t>
      </w:r>
      <w:r>
        <w:rPr>
          <w:rFonts w:hint="eastAsia" w:ascii="宋体" w:hAnsi="宋体"/>
          <w:b/>
          <w:bCs/>
          <w:szCs w:val="21"/>
        </w:rPr>
        <w:t>均有约束力，除非仲裁裁决另有规定，仲裁费用由败诉方承担。</w:t>
      </w:r>
    </w:p>
    <w:p w14:paraId="3ADA5AAE">
      <w:pPr>
        <w:spacing w:line="360" w:lineRule="auto"/>
        <w:ind w:firstLine="420" w:firstLineChars="200"/>
        <w:rPr>
          <w:rFonts w:hint="eastAsia" w:ascii="宋体" w:hAnsi="宋体"/>
          <w:szCs w:val="21"/>
        </w:rPr>
      </w:pPr>
      <w:r>
        <w:rPr>
          <w:rFonts w:hint="eastAsia" w:ascii="宋体" w:hAnsi="宋体"/>
          <w:szCs w:val="21"/>
        </w:rPr>
        <w:t>争议处理期间，</w:t>
      </w:r>
      <w:r>
        <w:rPr>
          <w:rFonts w:ascii="宋体" w:hAnsi="宋体"/>
          <w:szCs w:val="21"/>
        </w:rPr>
        <w:t>双方</w:t>
      </w:r>
      <w:r>
        <w:rPr>
          <w:rFonts w:hint="eastAsia" w:ascii="宋体" w:hAnsi="宋体"/>
          <w:szCs w:val="21"/>
        </w:rPr>
        <w:t>当事人应恪守基金管理人和基金托管人职责，继续忠实、勤勉、尽责地履行《基金合同》和本托管协议规定的义务，维护基金份额持有人的合法权益。</w:t>
      </w:r>
    </w:p>
    <w:p w14:paraId="2BA382B6">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bookmarkStart w:id="87" w:name="_Toc382819135"/>
      <w:r>
        <w:rPr>
          <w:rFonts w:hint="eastAsia" w:ascii="宋体" w:hAnsi="宋体" w:eastAsia="宋体" w:cs="Arial"/>
          <w:sz w:val="21"/>
          <w:szCs w:val="21"/>
        </w:rPr>
        <w:t>基金托管协议的效力和文本</w:t>
      </w:r>
      <w:bookmarkEnd w:id="87"/>
    </w:p>
    <w:p w14:paraId="0499E458">
      <w:pPr>
        <w:pStyle w:val="11"/>
        <w:rPr>
          <w:rFonts w:hint="eastAsia" w:ascii="宋体" w:hAnsi="宋体"/>
          <w:szCs w:val="21"/>
        </w:rPr>
      </w:pPr>
      <w:r>
        <w:rPr>
          <w:rFonts w:hint="eastAsia" w:ascii="宋体" w:hAnsi="宋体"/>
          <w:szCs w:val="21"/>
        </w:rPr>
        <w:t>（一）</w:t>
      </w:r>
      <w:r>
        <w:rPr>
          <w:rFonts w:hint="eastAsia" w:ascii="宋体" w:hAnsi="宋体" w:cs="Arial"/>
          <w:kern w:val="44"/>
          <w:szCs w:val="21"/>
        </w:rPr>
        <w:t>本协议经基金管理人、基金托管人双方法定代表人或授权代表签字（或盖章）并加盖公章（或合同专用章）后成立</w:t>
      </w:r>
      <w:r>
        <w:rPr>
          <w:rFonts w:hint="eastAsia" w:ascii="宋体" w:hAnsi="宋体"/>
          <w:szCs w:val="21"/>
        </w:rPr>
        <w:t>。本协议以中国证监会注册的文本为正式文本。</w:t>
      </w:r>
    </w:p>
    <w:p w14:paraId="3B77FF26">
      <w:pPr>
        <w:pStyle w:val="11"/>
        <w:rPr>
          <w:rFonts w:hint="eastAsia" w:ascii="宋体" w:hAnsi="宋体"/>
          <w:szCs w:val="21"/>
        </w:rPr>
      </w:pPr>
      <w:r>
        <w:rPr>
          <w:rFonts w:hint="eastAsia" w:ascii="宋体" w:hAnsi="宋体"/>
          <w:szCs w:val="21"/>
        </w:rPr>
        <w:t>（二）本协议自《基金合同》生效之日起生效，有效期自其生效之日起至该基金财产清算结果报中国证监会备案并公告之日止。</w:t>
      </w:r>
    </w:p>
    <w:p w14:paraId="3301848E">
      <w:pPr>
        <w:spacing w:line="360" w:lineRule="auto"/>
        <w:ind w:firstLine="420" w:firstLineChars="200"/>
        <w:rPr>
          <w:rFonts w:hint="eastAsia" w:ascii="宋体" w:hAnsi="宋体"/>
          <w:szCs w:val="21"/>
        </w:rPr>
      </w:pPr>
      <w:r>
        <w:rPr>
          <w:rFonts w:hint="eastAsia" w:ascii="宋体" w:hAnsi="宋体"/>
          <w:szCs w:val="21"/>
        </w:rPr>
        <w:t>（三）本协议自生效之日起对各当事人具有同等的法律约束力。</w:t>
      </w:r>
    </w:p>
    <w:p w14:paraId="62EB4CF0">
      <w:pPr>
        <w:spacing w:line="360" w:lineRule="auto"/>
        <w:ind w:firstLine="420" w:firstLineChars="200"/>
        <w:rPr>
          <w:rFonts w:hint="eastAsia" w:ascii="宋体" w:hAnsi="宋体"/>
          <w:szCs w:val="21"/>
        </w:rPr>
      </w:pPr>
      <w:r>
        <w:rPr>
          <w:rFonts w:hint="eastAsia" w:ascii="宋体" w:hAnsi="宋体"/>
          <w:szCs w:val="21"/>
        </w:rPr>
        <w:t>（四）本协议一式三份，除上报有关监管机构一份外，基金管理人和基金托管人分别持一份，每份具有同等的法律效力。</w:t>
      </w:r>
    </w:p>
    <w:p w14:paraId="55CA83AD">
      <w:pPr>
        <w:pStyle w:val="2"/>
        <w:keepNext w:val="0"/>
        <w:keepLines w:val="0"/>
        <w:numPr>
          <w:ilvl w:val="0"/>
          <w:numId w:val="2"/>
        </w:numPr>
        <w:tabs>
          <w:tab w:val="left" w:pos="420"/>
        </w:tabs>
        <w:autoSpaceDE w:val="0"/>
        <w:autoSpaceDN w:val="0"/>
        <w:adjustRightInd w:val="0"/>
        <w:spacing w:before="360" w:after="360"/>
        <w:textAlignment w:val="baseline"/>
        <w:rPr>
          <w:rFonts w:hint="eastAsia" w:ascii="宋体" w:hAnsi="宋体" w:eastAsia="宋体" w:cs="Arial"/>
          <w:sz w:val="21"/>
          <w:szCs w:val="21"/>
        </w:rPr>
      </w:pPr>
      <w:r>
        <w:rPr>
          <w:rFonts w:hint="eastAsia" w:ascii="宋体" w:hAnsi="宋体" w:eastAsia="宋体" w:cs="Arial"/>
          <w:sz w:val="21"/>
          <w:szCs w:val="21"/>
        </w:rPr>
        <w:t xml:space="preserve"> </w:t>
      </w:r>
      <w:bookmarkStart w:id="88" w:name="_Toc382819136"/>
      <w:r>
        <w:rPr>
          <w:rFonts w:hint="eastAsia" w:ascii="宋体" w:hAnsi="宋体" w:eastAsia="宋体" w:cs="Arial"/>
          <w:sz w:val="21"/>
          <w:szCs w:val="21"/>
        </w:rPr>
        <w:t>其他事项</w:t>
      </w:r>
      <w:bookmarkEnd w:id="88"/>
    </w:p>
    <w:p w14:paraId="0B3FA6B8">
      <w:pPr>
        <w:pStyle w:val="11"/>
        <w:rPr>
          <w:rFonts w:hint="eastAsia" w:ascii="宋体" w:hAnsi="宋体"/>
          <w:szCs w:val="21"/>
        </w:rPr>
      </w:pPr>
      <w:r>
        <w:rPr>
          <w:rFonts w:hint="eastAsia" w:ascii="宋体" w:hAnsi="宋体"/>
          <w:szCs w:val="21"/>
        </w:rPr>
        <w:t>（一）双方在此确认，双方均已充分了解和知悉各方反对其员工利用职务之便谋取任何形式利益之立场，并承诺将本着廉洁公平原则避免此类情形，不向对方的员工私自提供任何形式的回扣、礼金、有价证券、贵重物品、各种奖励、私人费用补偿、私人旅游、高消费娱乐等不当利益。</w:t>
      </w:r>
    </w:p>
    <w:p w14:paraId="7C7B909A">
      <w:pPr>
        <w:pStyle w:val="11"/>
        <w:rPr>
          <w:rFonts w:hint="eastAsia" w:ascii="宋体" w:hAnsi="宋体"/>
          <w:szCs w:val="21"/>
        </w:rPr>
      </w:pPr>
      <w:r>
        <w:rPr>
          <w:rFonts w:hint="eastAsia" w:ascii="宋体" w:hAnsi="宋体"/>
          <w:szCs w:val="21"/>
        </w:rPr>
        <w:t>（二）反洗钱义务</w:t>
      </w:r>
    </w:p>
    <w:p w14:paraId="0C2355E4">
      <w:pPr>
        <w:pStyle w:val="11"/>
        <w:rPr>
          <w:rFonts w:hint="eastAsia" w:ascii="宋体" w:hAnsi="宋体"/>
          <w:szCs w:val="21"/>
        </w:rPr>
      </w:pPr>
      <w:r>
        <w:rPr>
          <w:rFonts w:hint="eastAsia" w:ascii="宋体" w:hAnsi="宋体"/>
          <w:szCs w:val="21"/>
        </w:rPr>
        <w:t>基金管理人承诺自愿遵守反洗钱、反恐怖融资法律法规，不参与涉嫌洗钱、恐怖融资、扩散融资等违法犯罪活动；主动配合基金托管人进行客户身份识别与尽职调查，提供真实、准确、完整客户资料，遵守各方反洗钱与反恐怖融资相关管理规定。如基金管理人信息（包括但不限于名称、法定代表人、住所、经营范围等）发生变化时，应当及时告知基金托管人。基金托管人若具备合理理由怀疑基金管理人涉嫌洗钱、恐怖融资的，有权按照中国人民银行反洗钱监管规定采取必要管控措施，或单方面终止本协议且不执行基金管理人的交易指令。</w:t>
      </w:r>
    </w:p>
    <w:p w14:paraId="6E534EB4">
      <w:pPr>
        <w:pStyle w:val="11"/>
        <w:rPr>
          <w:rFonts w:hint="eastAsia" w:ascii="宋体" w:hAnsi="宋体"/>
          <w:szCs w:val="21"/>
        </w:rPr>
      </w:pPr>
      <w:r>
        <w:rPr>
          <w:rFonts w:hint="eastAsia" w:ascii="宋体" w:hAnsi="宋体"/>
          <w:szCs w:val="21"/>
        </w:rPr>
        <w:t>基金管理人确认并同意，基金托管人有权根据适用的反洗钱法律法规规定对基金管理人及本协议项下合作所涉及的交易等进行洗钱风险评估，若基金管理人违反银行反洗钱管理规定，或基金托管人具备合理理由怀疑基金管理人及/或本协议项下业务涉嫌参与联合国安理会、反洗钱金融行动特别工作组、中国、美国、欧盟、英国、新加坡等国际组织或国家认定的洗钱、 制裁、恐怖融资或大规模杀伤性武器扩散融资活动、出口管制、或逃税等违法违规行为的，基金托管人有权按照中国人民银行反洗钱监管规定等采取必要的管控措施。</w:t>
      </w:r>
    </w:p>
    <w:p w14:paraId="46A33729">
      <w:pPr>
        <w:pStyle w:val="11"/>
        <w:rPr>
          <w:rFonts w:hint="eastAsia" w:ascii="宋体" w:hAnsi="宋体"/>
          <w:szCs w:val="21"/>
        </w:rPr>
      </w:pPr>
      <w:r>
        <w:rPr>
          <w:rFonts w:hint="eastAsia" w:ascii="宋体" w:hAnsi="宋体"/>
          <w:szCs w:val="21"/>
        </w:rPr>
        <w:t>（三）通知</w:t>
      </w:r>
    </w:p>
    <w:p w14:paraId="1A87C67F">
      <w:pPr>
        <w:pStyle w:val="11"/>
        <w:rPr>
          <w:rFonts w:hint="eastAsia" w:ascii="宋体" w:hAnsi="宋体"/>
          <w:szCs w:val="21"/>
        </w:rPr>
      </w:pPr>
      <w:r>
        <w:rPr>
          <w:rFonts w:hint="eastAsia" w:ascii="宋体" w:hAnsi="宋体"/>
          <w:szCs w:val="21"/>
        </w:rPr>
        <w:t>1、除本协议另有约定外，其他与本协议有关的通知应以书面形式作出，并送达至协议约定的地址，如果相关信息发生变动，变动的一方应当在变动发生之日起五（5）日书面通知其他各方。</w:t>
      </w:r>
    </w:p>
    <w:p w14:paraId="39694126">
      <w:pPr>
        <w:pStyle w:val="11"/>
        <w:rPr>
          <w:rFonts w:hint="eastAsia" w:ascii="宋体" w:hAnsi="宋体"/>
          <w:szCs w:val="21"/>
        </w:rPr>
      </w:pPr>
      <w:r>
        <w:rPr>
          <w:rFonts w:hint="eastAsia" w:ascii="宋体" w:hAnsi="宋体"/>
          <w:szCs w:val="21"/>
        </w:rPr>
        <w:t>2、由本协议一方以专人递送给另一方，或以邮递方式发出。该等通知以专人递送，于递交时视为送达；以邮递方式发出，于收件人签收时视为送达；以电子邮件方式发出，收件方服务器接收视为送达。</w:t>
      </w:r>
    </w:p>
    <w:p w14:paraId="252E2449">
      <w:pPr>
        <w:pStyle w:val="11"/>
        <w:rPr>
          <w:rFonts w:hint="eastAsia" w:ascii="宋体" w:hAnsi="宋体"/>
          <w:szCs w:val="21"/>
        </w:rPr>
      </w:pPr>
      <w:r>
        <w:rPr>
          <w:rFonts w:hint="eastAsia" w:ascii="宋体" w:hAnsi="宋体"/>
          <w:szCs w:val="21"/>
        </w:rPr>
        <w:t>3、任何一方在任何时间改变接收通知所用的地址都应立即将该变更通过本协议约定或各方认可的方式通知另一方，基金管理人发布公告视为已通知托管人送达地址变更事项；如果该变更通知未能送达，递交给上述收件人或地址的通知或联络应视为被正常发送和接收。</w:t>
      </w:r>
    </w:p>
    <w:p w14:paraId="5D242C69">
      <w:pPr>
        <w:pStyle w:val="11"/>
        <w:rPr>
          <w:rFonts w:hint="eastAsia" w:ascii="宋体" w:hAnsi="宋体"/>
          <w:szCs w:val="21"/>
        </w:rPr>
      </w:pPr>
      <w:r>
        <w:rPr>
          <w:rFonts w:hint="eastAsia" w:ascii="宋体" w:hAnsi="宋体"/>
          <w:szCs w:val="21"/>
        </w:rPr>
        <w:t>4、各方确认，本协议首页列明的各方地址为其有效的送达地址。对本协议项下所发生的任何诉讼（包括一审、二审和再审等任何诉讼程序和执行程序）过程中对其发出的函件、传票、通知等法律文书，只要以邮寄或本协议约定或各方认可的方式发送至本协议首页列明的送达地址即视为送达，具体送达日期适用《民事诉讼法》中关于送达日期的规定。上述邮寄送达地址的变更非经提前通知另一方，不发生法律效力，本协议中确认的送达地址仍然视为有效的送达地址。</w:t>
      </w:r>
    </w:p>
    <w:p w14:paraId="26D36206">
      <w:pPr>
        <w:pStyle w:val="11"/>
        <w:rPr>
          <w:rFonts w:hint="eastAsia" w:ascii="宋体" w:hAnsi="宋体"/>
          <w:szCs w:val="21"/>
        </w:rPr>
      </w:pPr>
      <w:r>
        <w:rPr>
          <w:rFonts w:hint="eastAsia" w:ascii="宋体" w:hAnsi="宋体"/>
          <w:szCs w:val="21"/>
        </w:rPr>
        <w:t>（</w:t>
      </w:r>
      <w:r>
        <w:rPr>
          <w:rFonts w:hint="eastAsia" w:ascii="宋体" w:hAnsi="宋体"/>
          <w:szCs w:val="21"/>
          <w:lang w:val="en-US"/>
        </w:rPr>
        <w:t>四</w:t>
      </w:r>
      <w:r>
        <w:rPr>
          <w:rFonts w:hint="eastAsia" w:ascii="宋体" w:hAnsi="宋体"/>
          <w:szCs w:val="21"/>
        </w:rPr>
        <w:t>）本协议未尽事宜，当事人依据《基金合同》以及有关法律、法规和规定协商办理。</w:t>
      </w:r>
    </w:p>
    <w:p w14:paraId="43F23A95">
      <w:pPr>
        <w:pStyle w:val="11"/>
        <w:ind w:firstLine="0" w:firstLineChars="0"/>
        <w:rPr>
          <w:rFonts w:hint="eastAsia" w:ascii="宋体" w:hAnsi="宋体"/>
          <w:szCs w:val="21"/>
        </w:rPr>
      </w:pPr>
      <w:r>
        <w:rPr>
          <w:rFonts w:hint="eastAsia" w:ascii="宋体" w:hAnsi="宋体"/>
          <w:szCs w:val="21"/>
        </w:rPr>
        <w:t>（以下无正文）</w:t>
      </w:r>
    </w:p>
    <w:p w14:paraId="1FEEA4B5">
      <w:pPr>
        <w:widowControl/>
        <w:spacing w:beforeAutospacing="1" w:line="360" w:lineRule="auto"/>
        <w:jc w:val="left"/>
        <w:rPr>
          <w:rFonts w:hint="eastAsia" w:ascii="宋体" w:hAnsi="宋体"/>
          <w:szCs w:val="21"/>
          <w:lang w:val="zh-CN"/>
        </w:rPr>
        <w:sectPr>
          <w:footerReference r:id="rId8" w:type="default"/>
          <w:pgSz w:w="11906" w:h="16838"/>
          <w:pgMar w:top="1440" w:right="1800" w:bottom="1440" w:left="1800" w:header="851" w:footer="992" w:gutter="0"/>
          <w:pgNumType w:start="1"/>
          <w:cols w:space="720" w:num="1"/>
          <w:docGrid w:type="lines" w:linePitch="312" w:charSpace="0"/>
        </w:sectPr>
      </w:pPr>
    </w:p>
    <w:p w14:paraId="258A6B38">
      <w:pPr>
        <w:spacing w:after="120" w:line="360" w:lineRule="auto"/>
        <w:ind w:firstLine="420" w:firstLineChars="200"/>
        <w:rPr>
          <w:rFonts w:hint="eastAsia" w:ascii="宋体" w:hAnsi="宋体"/>
          <w:szCs w:val="21"/>
        </w:rPr>
      </w:pPr>
      <w:r>
        <w:rPr>
          <w:rFonts w:hint="eastAsia" w:ascii="宋体" w:hAnsi="宋体"/>
          <w:szCs w:val="21"/>
        </w:rPr>
        <w:t>（本页为《交银施罗德低碳经济研选混合型发起式证券投资基金托管协议》签署页，无正文）</w:t>
      </w:r>
    </w:p>
    <w:p w14:paraId="58FBD457">
      <w:pPr>
        <w:spacing w:line="360" w:lineRule="auto"/>
        <w:ind w:right="26"/>
        <w:rPr>
          <w:rFonts w:hint="eastAsia" w:ascii="宋体" w:hAnsi="宋体"/>
          <w:b/>
          <w:bCs/>
          <w:szCs w:val="21"/>
        </w:rPr>
      </w:pPr>
    </w:p>
    <w:p w14:paraId="3476FA40">
      <w:pPr>
        <w:spacing w:line="360" w:lineRule="auto"/>
        <w:ind w:right="26"/>
        <w:rPr>
          <w:rFonts w:hint="eastAsia" w:ascii="宋体" w:hAnsi="宋体"/>
          <w:b/>
          <w:szCs w:val="21"/>
        </w:rPr>
      </w:pPr>
      <w:r>
        <w:rPr>
          <w:rFonts w:hint="eastAsia" w:ascii="宋体" w:hAnsi="宋体"/>
          <w:b/>
          <w:bCs/>
          <w:szCs w:val="21"/>
        </w:rPr>
        <w:t xml:space="preserve">    </w:t>
      </w:r>
      <w:r>
        <w:rPr>
          <w:rFonts w:hint="eastAsia" w:ascii="宋体" w:hAnsi="宋体"/>
          <w:b/>
          <w:szCs w:val="21"/>
        </w:rPr>
        <w:t>本协议由下述双方于__________年______月______日签署。双方确认，在签署本协议时，双方已就全部条款进行了详细地说明和讨论，双方对协议的全部条款均无疑义，并对本协议中当事人有关权利义务和责任限制或免除条款的法律含义有准确无误的理解。</w:t>
      </w:r>
    </w:p>
    <w:p w14:paraId="64FC4F34">
      <w:pPr>
        <w:spacing w:line="360" w:lineRule="auto"/>
        <w:ind w:right="26"/>
        <w:rPr>
          <w:rFonts w:hint="eastAsia" w:ascii="宋体" w:hAnsi="宋体"/>
          <w:szCs w:val="21"/>
        </w:rPr>
      </w:pPr>
    </w:p>
    <w:p w14:paraId="64A512B9">
      <w:pPr>
        <w:spacing w:line="360" w:lineRule="auto"/>
        <w:ind w:right="26"/>
        <w:rPr>
          <w:rFonts w:hint="eastAsia" w:ascii="宋体" w:hAnsi="宋体"/>
          <w:szCs w:val="21"/>
        </w:rPr>
      </w:pPr>
    </w:p>
    <w:tbl>
      <w:tblPr>
        <w:tblStyle w:val="19"/>
        <w:tblW w:w="0" w:type="auto"/>
        <w:tblInd w:w="0" w:type="dxa"/>
        <w:tblLayout w:type="autofit"/>
        <w:tblCellMar>
          <w:top w:w="0" w:type="dxa"/>
          <w:left w:w="108" w:type="dxa"/>
          <w:bottom w:w="0" w:type="dxa"/>
          <w:right w:w="108" w:type="dxa"/>
        </w:tblCellMar>
      </w:tblPr>
      <w:tblGrid>
        <w:gridCol w:w="4261"/>
        <w:gridCol w:w="4261"/>
      </w:tblGrid>
      <w:tr w14:paraId="3FAB5481">
        <w:tblPrEx>
          <w:tblCellMar>
            <w:top w:w="0" w:type="dxa"/>
            <w:left w:w="108" w:type="dxa"/>
            <w:bottom w:w="0" w:type="dxa"/>
            <w:right w:w="108" w:type="dxa"/>
          </w:tblCellMar>
        </w:tblPrEx>
        <w:tc>
          <w:tcPr>
            <w:tcW w:w="4261" w:type="dxa"/>
            <w:shd w:val="clear" w:color="auto" w:fill="auto"/>
          </w:tcPr>
          <w:p w14:paraId="339955CD">
            <w:pPr>
              <w:spacing w:line="360" w:lineRule="auto"/>
              <w:ind w:right="26"/>
              <w:rPr>
                <w:rFonts w:hint="eastAsia" w:ascii="宋体" w:hAnsi="宋体"/>
                <w:b/>
                <w:bCs/>
                <w:szCs w:val="21"/>
              </w:rPr>
            </w:pPr>
            <w:r>
              <w:rPr>
                <w:rFonts w:hint="eastAsia" w:ascii="宋体" w:hAnsi="宋体"/>
                <w:b/>
                <w:szCs w:val="21"/>
              </w:rPr>
              <w:t>基金管理人</w:t>
            </w:r>
            <w:r>
              <w:rPr>
                <w:rFonts w:hint="eastAsia" w:ascii="宋体" w:hAnsi="宋体"/>
                <w:b/>
                <w:bCs/>
                <w:szCs w:val="21"/>
              </w:rPr>
              <w:t>：</w:t>
            </w:r>
          </w:p>
          <w:p w14:paraId="55457160">
            <w:pPr>
              <w:spacing w:line="360" w:lineRule="auto"/>
              <w:ind w:right="26"/>
              <w:rPr>
                <w:rFonts w:hint="eastAsia" w:ascii="宋体" w:hAnsi="宋体"/>
                <w:b/>
                <w:szCs w:val="21"/>
              </w:rPr>
            </w:pPr>
            <w:r>
              <w:rPr>
                <w:rFonts w:hint="eastAsia" w:ascii="宋体" w:hAnsi="宋体"/>
                <w:b/>
                <w:szCs w:val="21"/>
              </w:rPr>
              <w:t>交银施罗德基金管理有限公司</w:t>
            </w:r>
          </w:p>
        </w:tc>
        <w:tc>
          <w:tcPr>
            <w:tcW w:w="4261" w:type="dxa"/>
            <w:shd w:val="clear" w:color="auto" w:fill="auto"/>
          </w:tcPr>
          <w:p w14:paraId="3C0CE4DD">
            <w:pPr>
              <w:spacing w:line="360" w:lineRule="auto"/>
              <w:ind w:right="26"/>
              <w:rPr>
                <w:rFonts w:hint="eastAsia" w:ascii="宋体" w:hAnsi="宋体"/>
                <w:b/>
                <w:szCs w:val="21"/>
              </w:rPr>
            </w:pPr>
            <w:r>
              <w:rPr>
                <w:rFonts w:hint="eastAsia" w:ascii="宋体" w:hAnsi="宋体"/>
                <w:b/>
                <w:szCs w:val="21"/>
              </w:rPr>
              <w:t>基金托管人：</w:t>
            </w:r>
          </w:p>
          <w:p w14:paraId="6FC000B5">
            <w:pPr>
              <w:spacing w:line="360" w:lineRule="auto"/>
              <w:ind w:right="26"/>
              <w:rPr>
                <w:rFonts w:hint="eastAsia" w:ascii="宋体" w:hAnsi="宋体"/>
                <w:szCs w:val="21"/>
              </w:rPr>
            </w:pPr>
            <w:r>
              <w:rPr>
                <w:rFonts w:hint="eastAsia" w:ascii="宋体" w:hAnsi="宋体"/>
                <w:b/>
                <w:szCs w:val="21"/>
              </w:rPr>
              <w:t>上海浦东发展银行股份有限公司</w:t>
            </w:r>
          </w:p>
        </w:tc>
      </w:tr>
      <w:tr w14:paraId="032406A1">
        <w:tblPrEx>
          <w:tblCellMar>
            <w:top w:w="0" w:type="dxa"/>
            <w:left w:w="108" w:type="dxa"/>
            <w:bottom w:w="0" w:type="dxa"/>
            <w:right w:w="108" w:type="dxa"/>
          </w:tblCellMar>
        </w:tblPrEx>
        <w:tc>
          <w:tcPr>
            <w:tcW w:w="4261" w:type="dxa"/>
            <w:shd w:val="clear" w:color="auto" w:fill="auto"/>
          </w:tcPr>
          <w:p w14:paraId="5FD28F43">
            <w:pPr>
              <w:spacing w:line="360" w:lineRule="auto"/>
              <w:ind w:right="26"/>
              <w:rPr>
                <w:rFonts w:hint="eastAsia" w:ascii="宋体" w:hAnsi="宋体"/>
                <w:b/>
                <w:szCs w:val="21"/>
              </w:rPr>
            </w:pPr>
            <w:r>
              <w:rPr>
                <w:rFonts w:hint="eastAsia" w:ascii="宋体" w:hAnsi="宋体"/>
                <w:b/>
                <w:szCs w:val="21"/>
              </w:rPr>
              <w:t>（公章或合同专用章）</w:t>
            </w:r>
          </w:p>
          <w:p w14:paraId="0921A9B3">
            <w:pPr>
              <w:spacing w:line="360" w:lineRule="auto"/>
              <w:ind w:right="26"/>
              <w:rPr>
                <w:rFonts w:hint="eastAsia" w:ascii="宋体" w:hAnsi="宋体"/>
                <w:szCs w:val="21"/>
              </w:rPr>
            </w:pPr>
          </w:p>
          <w:p w14:paraId="0DA6F829">
            <w:pPr>
              <w:spacing w:line="360" w:lineRule="auto"/>
              <w:ind w:right="26"/>
              <w:rPr>
                <w:rFonts w:hint="eastAsia" w:ascii="宋体" w:hAnsi="宋体"/>
                <w:szCs w:val="21"/>
              </w:rPr>
            </w:pPr>
          </w:p>
        </w:tc>
        <w:tc>
          <w:tcPr>
            <w:tcW w:w="4261" w:type="dxa"/>
            <w:shd w:val="clear" w:color="auto" w:fill="auto"/>
          </w:tcPr>
          <w:p w14:paraId="3AC8CCD9">
            <w:pPr>
              <w:spacing w:line="360" w:lineRule="auto"/>
              <w:ind w:right="26"/>
              <w:rPr>
                <w:rFonts w:hint="eastAsia" w:ascii="宋体" w:hAnsi="宋体"/>
                <w:b/>
                <w:szCs w:val="21"/>
              </w:rPr>
            </w:pPr>
            <w:r>
              <w:rPr>
                <w:rFonts w:hint="eastAsia" w:ascii="宋体" w:hAnsi="宋体"/>
                <w:b/>
                <w:szCs w:val="21"/>
              </w:rPr>
              <w:t>（公章或合同专用章）</w:t>
            </w:r>
          </w:p>
          <w:p w14:paraId="5F393529">
            <w:pPr>
              <w:spacing w:line="360" w:lineRule="auto"/>
              <w:ind w:right="26"/>
              <w:rPr>
                <w:rFonts w:hint="eastAsia" w:ascii="宋体" w:hAnsi="宋体"/>
                <w:szCs w:val="21"/>
              </w:rPr>
            </w:pPr>
          </w:p>
          <w:p w14:paraId="0A52FB7F">
            <w:pPr>
              <w:spacing w:line="360" w:lineRule="auto"/>
              <w:ind w:right="26"/>
              <w:rPr>
                <w:rFonts w:hint="eastAsia" w:ascii="宋体" w:hAnsi="宋体"/>
                <w:szCs w:val="21"/>
              </w:rPr>
            </w:pPr>
          </w:p>
        </w:tc>
      </w:tr>
      <w:tr w14:paraId="4ADB094D">
        <w:tblPrEx>
          <w:tblCellMar>
            <w:top w:w="0" w:type="dxa"/>
            <w:left w:w="108" w:type="dxa"/>
            <w:bottom w:w="0" w:type="dxa"/>
            <w:right w:w="108" w:type="dxa"/>
          </w:tblCellMar>
        </w:tblPrEx>
        <w:tc>
          <w:tcPr>
            <w:tcW w:w="4261" w:type="dxa"/>
            <w:shd w:val="clear" w:color="auto" w:fill="auto"/>
          </w:tcPr>
          <w:p w14:paraId="062BCCFB">
            <w:pPr>
              <w:spacing w:line="360" w:lineRule="auto"/>
              <w:ind w:right="26"/>
              <w:rPr>
                <w:rFonts w:hint="eastAsia" w:ascii="宋体" w:hAnsi="宋体"/>
                <w:szCs w:val="21"/>
              </w:rPr>
            </w:pPr>
            <w:r>
              <w:rPr>
                <w:rFonts w:hint="eastAsia" w:ascii="宋体" w:hAnsi="宋体"/>
                <w:b/>
                <w:szCs w:val="21"/>
              </w:rPr>
              <w:t>法定代表人或授权代表：</w:t>
            </w:r>
          </w:p>
        </w:tc>
        <w:tc>
          <w:tcPr>
            <w:tcW w:w="4261" w:type="dxa"/>
            <w:shd w:val="clear" w:color="auto" w:fill="auto"/>
          </w:tcPr>
          <w:p w14:paraId="3D6954B0">
            <w:pPr>
              <w:spacing w:line="360" w:lineRule="auto"/>
              <w:ind w:right="26"/>
              <w:rPr>
                <w:rFonts w:hint="eastAsia" w:ascii="宋体" w:hAnsi="宋体"/>
                <w:szCs w:val="21"/>
              </w:rPr>
            </w:pPr>
            <w:r>
              <w:rPr>
                <w:rFonts w:hint="eastAsia" w:ascii="宋体" w:hAnsi="宋体"/>
                <w:b/>
                <w:szCs w:val="21"/>
              </w:rPr>
              <w:t>法定代表人或授权代表：</w:t>
            </w:r>
          </w:p>
        </w:tc>
      </w:tr>
      <w:tr w14:paraId="43AFF203">
        <w:tblPrEx>
          <w:tblCellMar>
            <w:top w:w="0" w:type="dxa"/>
            <w:left w:w="108" w:type="dxa"/>
            <w:bottom w:w="0" w:type="dxa"/>
            <w:right w:w="108" w:type="dxa"/>
          </w:tblCellMar>
        </w:tblPrEx>
        <w:tc>
          <w:tcPr>
            <w:tcW w:w="4261" w:type="dxa"/>
            <w:shd w:val="clear" w:color="auto" w:fill="auto"/>
          </w:tcPr>
          <w:p w14:paraId="7D0E7DDB">
            <w:pPr>
              <w:spacing w:line="360" w:lineRule="auto"/>
              <w:ind w:right="26"/>
              <w:rPr>
                <w:rFonts w:hint="eastAsia" w:ascii="宋体" w:hAnsi="宋体"/>
                <w:b/>
                <w:szCs w:val="21"/>
              </w:rPr>
            </w:pPr>
            <w:r>
              <w:rPr>
                <w:rFonts w:hint="eastAsia" w:ascii="宋体" w:hAnsi="宋体"/>
                <w:b/>
                <w:szCs w:val="21"/>
              </w:rPr>
              <w:t>（签字或盖章）</w:t>
            </w:r>
          </w:p>
          <w:p w14:paraId="68E78091">
            <w:pPr>
              <w:spacing w:line="360" w:lineRule="auto"/>
              <w:ind w:right="26"/>
              <w:rPr>
                <w:rFonts w:hint="eastAsia" w:ascii="宋体" w:hAnsi="宋体"/>
                <w:szCs w:val="21"/>
              </w:rPr>
            </w:pPr>
          </w:p>
        </w:tc>
        <w:tc>
          <w:tcPr>
            <w:tcW w:w="4261" w:type="dxa"/>
            <w:shd w:val="clear" w:color="auto" w:fill="auto"/>
          </w:tcPr>
          <w:p w14:paraId="6BCC6151">
            <w:pPr>
              <w:spacing w:line="360" w:lineRule="auto"/>
              <w:ind w:right="26"/>
              <w:rPr>
                <w:rFonts w:hint="eastAsia" w:ascii="宋体" w:hAnsi="宋体"/>
                <w:b/>
                <w:szCs w:val="21"/>
              </w:rPr>
            </w:pPr>
            <w:r>
              <w:rPr>
                <w:rFonts w:hint="eastAsia" w:ascii="宋体" w:hAnsi="宋体"/>
                <w:b/>
                <w:szCs w:val="21"/>
              </w:rPr>
              <w:t>（签字或盖章）</w:t>
            </w:r>
          </w:p>
          <w:p w14:paraId="57CD7DA4">
            <w:pPr>
              <w:spacing w:line="360" w:lineRule="auto"/>
              <w:ind w:right="26"/>
              <w:rPr>
                <w:rFonts w:hint="eastAsia" w:ascii="宋体" w:hAnsi="宋体"/>
                <w:szCs w:val="21"/>
              </w:rPr>
            </w:pPr>
          </w:p>
        </w:tc>
      </w:tr>
      <w:tr w14:paraId="2B0B4EF1">
        <w:tblPrEx>
          <w:tblCellMar>
            <w:top w:w="0" w:type="dxa"/>
            <w:left w:w="108" w:type="dxa"/>
            <w:bottom w:w="0" w:type="dxa"/>
            <w:right w:w="108" w:type="dxa"/>
          </w:tblCellMar>
        </w:tblPrEx>
        <w:tc>
          <w:tcPr>
            <w:tcW w:w="4261" w:type="dxa"/>
            <w:shd w:val="clear" w:color="auto" w:fill="auto"/>
          </w:tcPr>
          <w:p w14:paraId="6758A5C6">
            <w:pPr>
              <w:spacing w:line="360" w:lineRule="auto"/>
              <w:ind w:right="26"/>
              <w:rPr>
                <w:rFonts w:hint="eastAsia" w:ascii="宋体" w:hAnsi="宋体"/>
                <w:szCs w:val="21"/>
              </w:rPr>
            </w:pPr>
          </w:p>
        </w:tc>
        <w:tc>
          <w:tcPr>
            <w:tcW w:w="4261" w:type="dxa"/>
            <w:shd w:val="clear" w:color="auto" w:fill="auto"/>
          </w:tcPr>
          <w:p w14:paraId="144A4161">
            <w:pPr>
              <w:spacing w:line="360" w:lineRule="auto"/>
              <w:ind w:right="26"/>
              <w:rPr>
                <w:rFonts w:hint="eastAsia" w:ascii="宋体" w:hAnsi="宋体"/>
                <w:szCs w:val="21"/>
              </w:rPr>
            </w:pPr>
          </w:p>
        </w:tc>
      </w:tr>
    </w:tbl>
    <w:p w14:paraId="72B57F0E">
      <w:pPr>
        <w:spacing w:line="360" w:lineRule="auto"/>
        <w:ind w:right="26"/>
        <w:rPr>
          <w:rFonts w:hint="eastAsia" w:ascii="宋体" w:hAnsi="宋体"/>
          <w:szCs w:val="21"/>
        </w:rPr>
      </w:pPr>
    </w:p>
    <w:p w14:paraId="228DAF9A">
      <w:pPr>
        <w:spacing w:line="360" w:lineRule="auto"/>
        <w:ind w:right="26"/>
        <w:rPr>
          <w:rFonts w:hint="eastAsia" w:ascii="宋体" w:hAnsi="宋体"/>
          <w:szCs w:val="21"/>
        </w:rPr>
      </w:pPr>
    </w:p>
    <w:p w14:paraId="0EF9C4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89BF8">
    <w:pPr>
      <w:pStyle w:val="1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38CFD">
    <w:pPr>
      <w:pStyle w:val="14"/>
    </w:pPr>
  </w:p>
  <w:p w14:paraId="39D32317">
    <w:pPr>
      <w:pStyle w:val="14"/>
    </w:pPr>
  </w:p>
  <w:p w14:paraId="3B1A1241">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0367A">
    <w:pPr>
      <w:pStyle w:val="14"/>
      <w:jc w:val="center"/>
    </w:pPr>
  </w:p>
  <w:p w14:paraId="706BF34A">
    <w:pPr>
      <w:pStyle w:val="14"/>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9222A">
    <w:pPr>
      <w:pStyle w:val="14"/>
      <w:jc w:val="center"/>
    </w:pPr>
    <w:r>
      <w:fldChar w:fldCharType="begin"/>
    </w:r>
    <w:r>
      <w:instrText xml:space="preserve">PAGE   \* MERGEFORMAT</w:instrText>
    </w:r>
    <w:r>
      <w:fldChar w:fldCharType="separate"/>
    </w:r>
    <w:r>
      <w:rPr>
        <w:lang w:val="zh-CN"/>
      </w:rPr>
      <w:t>19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34DA6">
    <w:pPr>
      <w:pStyle w:val="15"/>
      <w:pBdr>
        <w:bottom w:val="thickThinLargeGap" w:color="auto" w:sz="24" w:space="10"/>
      </w:pBdr>
      <w:tabs>
        <w:tab w:val="right" w:pos="8280"/>
      </w:tabs>
      <w:wordWrap w:val="0"/>
      <w:adjustRightInd w:val="0"/>
      <w:jc w:val="both"/>
    </w:pPr>
    <w:r>
      <w:rPr>
        <w:rFonts w:hint="eastAsia"/>
        <w:color w:val="000000"/>
      </w:rPr>
      <w:t>远见成长</w:t>
    </w:r>
    <w:r>
      <w:rPr>
        <w:rFonts w:hint="eastAsia"/>
      </w:rPr>
      <w:t>证券投资基金                             募集申请材料－基金合同（草案）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BF296">
    <w:pPr>
      <w:pStyle w:val="15"/>
      <w:jc w:val="right"/>
    </w:pPr>
    <w:r>
      <w:rPr>
        <w:rFonts w:hint="eastAsia"/>
      </w:rPr>
      <w:t>交银施罗德低碳经济研选混合型发起式证券投资基金托管协议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6538E2"/>
    <w:multiLevelType w:val="multilevel"/>
    <w:tmpl w:val="266538E2"/>
    <w:lvl w:ilvl="0" w:tentative="0">
      <w:start w:val="1"/>
      <w:numFmt w:val="chineseCountingThousand"/>
      <w:pStyle w:val="2"/>
      <w:lvlText w:val="第%1章  "/>
      <w:lvlJc w:val="left"/>
      <w:pPr>
        <w:tabs>
          <w:tab w:val="left" w:pos="1922"/>
        </w:tabs>
        <w:ind w:left="0" w:firstLine="482"/>
      </w:pPr>
      <w:rPr>
        <w:rFonts w:hint="eastAsia"/>
      </w:rPr>
    </w:lvl>
    <w:lvl w:ilvl="1" w:tentative="0">
      <w:start w:val="1"/>
      <w:numFmt w:val="chineseCountingThousand"/>
      <w:lvlText w:val="第%2节  "/>
      <w:lvlJc w:val="left"/>
      <w:pPr>
        <w:tabs>
          <w:tab w:val="left" w:pos="1922"/>
        </w:tabs>
        <w:ind w:left="0" w:firstLine="482"/>
      </w:pPr>
      <w:rPr>
        <w:rFonts w:hint="eastAsia"/>
      </w:rPr>
    </w:lvl>
    <w:lvl w:ilvl="2" w:tentative="0">
      <w:start w:val="1"/>
      <w:numFmt w:val="chineseCountingThousand"/>
      <w:pStyle w:val="4"/>
      <w:suff w:val="nothing"/>
      <w:lvlText w:val="%3、"/>
      <w:lvlJc w:val="left"/>
      <w:pPr>
        <w:ind w:left="0" w:firstLine="482"/>
      </w:pPr>
      <w:rPr>
        <w:rFonts w:hint="eastAsia" w:ascii="黑体" w:eastAsia="黑体"/>
        <w:b/>
        <w:i w:val="0"/>
        <w:sz w:val="24"/>
      </w:rPr>
    </w:lvl>
    <w:lvl w:ilvl="3" w:tentative="0">
      <w:start w:val="1"/>
      <w:numFmt w:val="chineseCountingThousand"/>
      <w:pStyle w:val="5"/>
      <w:suff w:val="nothing"/>
      <w:lvlText w:val="(%4)"/>
      <w:lvlJc w:val="left"/>
      <w:pPr>
        <w:ind w:left="0" w:firstLine="482"/>
      </w:pPr>
      <w:rPr>
        <w:rFonts w:hint="eastAsia" w:ascii="仿宋_GB2312" w:eastAsia="仿宋_GB2312"/>
        <w:b w:val="0"/>
        <w:i w:val="0"/>
        <w:sz w:val="24"/>
      </w:rPr>
    </w:lvl>
    <w:lvl w:ilvl="4" w:tentative="0">
      <w:start w:val="1"/>
      <w:numFmt w:val="decimal"/>
      <w:pStyle w:val="6"/>
      <w:suff w:val="nothing"/>
      <w:lvlText w:val="%5."/>
      <w:lvlJc w:val="left"/>
      <w:pPr>
        <w:ind w:left="0" w:firstLine="527"/>
      </w:pPr>
      <w:rPr>
        <w:rFonts w:hint="eastAsia" w:ascii="仿宋_GB2312" w:eastAsia="仿宋_GB2312"/>
        <w:b w:val="0"/>
        <w:i w:val="0"/>
        <w:sz w:val="24"/>
      </w:rPr>
    </w:lvl>
    <w:lvl w:ilvl="5" w:tentative="0">
      <w:start w:val="1"/>
      <w:numFmt w:val="decimal"/>
      <w:pStyle w:val="7"/>
      <w:suff w:val="nothing"/>
      <w:lvlText w:val="(%6)"/>
      <w:lvlJc w:val="left"/>
      <w:pPr>
        <w:ind w:left="0" w:firstLine="482"/>
      </w:pPr>
      <w:rPr>
        <w:rFonts w:hint="eastAsia" w:ascii="仿宋_GB2312" w:eastAsia="仿宋_GB2312"/>
        <w:b w:val="0"/>
        <w:i w:val="0"/>
        <w:sz w:val="24"/>
      </w:rPr>
    </w:lvl>
    <w:lvl w:ilvl="6" w:tentative="0">
      <w:start w:val="1"/>
      <w:numFmt w:val="bullet"/>
      <w:pStyle w:val="8"/>
      <w:lvlText w:val="①"/>
      <w:lvlJc w:val="left"/>
      <w:pPr>
        <w:tabs>
          <w:tab w:val="left" w:pos="2835"/>
        </w:tabs>
        <w:ind w:left="2835" w:hanging="426"/>
      </w:pPr>
      <w:rPr>
        <w:rFonts w:hint="eastAsia" w:ascii="宋体" w:eastAsia="宋体"/>
      </w:rPr>
    </w:lvl>
    <w:lvl w:ilvl="7" w:tentative="0">
      <w:start w:val="1"/>
      <w:numFmt w:val="lowerLetter"/>
      <w:lvlText w:val="%8."/>
      <w:lvlJc w:val="left"/>
      <w:pPr>
        <w:tabs>
          <w:tab w:val="left" w:pos="3260"/>
        </w:tabs>
        <w:ind w:left="3260" w:hanging="425"/>
      </w:pPr>
      <w:rPr>
        <w:rFonts w:hint="eastAsia"/>
      </w:rPr>
    </w:lvl>
    <w:lvl w:ilvl="8" w:tentative="0">
      <w:start w:val="1"/>
      <w:numFmt w:val="lowerRoman"/>
      <w:lvlText w:val="%9."/>
      <w:lvlJc w:val="left"/>
      <w:pPr>
        <w:tabs>
          <w:tab w:val="left" w:pos="3685"/>
        </w:tabs>
        <w:ind w:left="3685" w:hanging="425"/>
      </w:pPr>
      <w:rPr>
        <w:rFonts w:hint="eastAsia"/>
      </w:rPr>
    </w:lvl>
  </w:abstractNum>
  <w:abstractNum w:abstractNumId="1">
    <w:nsid w:val="37F54340"/>
    <w:multiLevelType w:val="multilevel"/>
    <w:tmpl w:val="37F54340"/>
    <w:lvl w:ilvl="0" w:tentative="0">
      <w:start w:val="1"/>
      <w:numFmt w:val="decimal"/>
      <w:lvlText w:val="%1."/>
      <w:lvlJc w:val="left"/>
      <w:pPr>
        <w:ind w:left="840" w:hanging="420"/>
      </w:pPr>
    </w:lvl>
    <w:lvl w:ilvl="1" w:tentative="0">
      <w:start w:val="1"/>
      <w:numFmt w:val="lowerLetter"/>
      <w:lvlText w:val="%2)"/>
      <w:lvlJc w:val="left"/>
      <w:pPr>
        <w:ind w:left="1313" w:hanging="420"/>
      </w:pPr>
    </w:lvl>
    <w:lvl w:ilvl="2" w:tentative="0">
      <w:start w:val="1"/>
      <w:numFmt w:val="lowerRoman"/>
      <w:lvlText w:val="%3."/>
      <w:lvlJc w:val="right"/>
      <w:pPr>
        <w:ind w:left="1733" w:hanging="420"/>
      </w:pPr>
    </w:lvl>
    <w:lvl w:ilvl="3" w:tentative="0">
      <w:start w:val="1"/>
      <w:numFmt w:val="decimal"/>
      <w:lvlText w:val="%4."/>
      <w:lvlJc w:val="left"/>
      <w:pPr>
        <w:ind w:left="2153" w:hanging="420"/>
      </w:pPr>
    </w:lvl>
    <w:lvl w:ilvl="4" w:tentative="0">
      <w:start w:val="1"/>
      <w:numFmt w:val="lowerLetter"/>
      <w:lvlText w:val="%5)"/>
      <w:lvlJc w:val="left"/>
      <w:pPr>
        <w:ind w:left="2573" w:hanging="420"/>
      </w:pPr>
    </w:lvl>
    <w:lvl w:ilvl="5" w:tentative="0">
      <w:start w:val="1"/>
      <w:numFmt w:val="lowerRoman"/>
      <w:lvlText w:val="%6."/>
      <w:lvlJc w:val="right"/>
      <w:pPr>
        <w:ind w:left="2993" w:hanging="420"/>
      </w:pPr>
    </w:lvl>
    <w:lvl w:ilvl="6" w:tentative="0">
      <w:start w:val="1"/>
      <w:numFmt w:val="decimal"/>
      <w:lvlText w:val="%7."/>
      <w:lvlJc w:val="left"/>
      <w:pPr>
        <w:ind w:left="3413" w:hanging="420"/>
      </w:pPr>
    </w:lvl>
    <w:lvl w:ilvl="7" w:tentative="0">
      <w:start w:val="1"/>
      <w:numFmt w:val="lowerLetter"/>
      <w:lvlText w:val="%8)"/>
      <w:lvlJc w:val="left"/>
      <w:pPr>
        <w:ind w:left="3833" w:hanging="420"/>
      </w:pPr>
    </w:lvl>
    <w:lvl w:ilvl="8" w:tentative="0">
      <w:start w:val="1"/>
      <w:numFmt w:val="lowerRoman"/>
      <w:lvlText w:val="%9."/>
      <w:lvlJc w:val="right"/>
      <w:pPr>
        <w:ind w:left="4253" w:hanging="420"/>
      </w:pPr>
    </w:lvl>
  </w:abstractNum>
  <w:abstractNum w:abstractNumId="2">
    <w:nsid w:val="5F952C2D"/>
    <w:multiLevelType w:val="multilevel"/>
    <w:tmpl w:val="5F952C2D"/>
    <w:lvl w:ilvl="0" w:tentative="0">
      <w:start w:val="1"/>
      <w:numFmt w:val="chineseCountingThousand"/>
      <w:suff w:val="nothing"/>
      <w:lvlText w:val="%1、"/>
      <w:lvlJc w:val="center"/>
      <w:pPr>
        <w:ind w:left="0" w:firstLine="288"/>
      </w:pPr>
      <w:rPr>
        <w:rFonts w:hint="eastAsia"/>
        <w:sz w:val="21"/>
        <w:szCs w:val="30"/>
        <w:lang w:val="en-US"/>
      </w:rPr>
    </w:lvl>
    <w:lvl w:ilvl="1" w:tentative="0">
      <w:start w:val="1"/>
      <w:numFmt w:val="japaneseCounting"/>
      <w:lvlText w:val="（%2）"/>
      <w:lvlJc w:val="left"/>
      <w:pPr>
        <w:tabs>
          <w:tab w:val="left" w:pos="720"/>
        </w:tabs>
        <w:ind w:left="720" w:hanging="720"/>
      </w:pPr>
      <w:rPr>
        <w:rFonts w:hint="default"/>
      </w:rPr>
    </w:lvl>
    <w:lvl w:ilvl="2" w:tentative="0">
      <w:start w:val="1"/>
      <w:numFmt w:val="decimal"/>
      <w:lvlText w:val="%3."/>
      <w:lvlJc w:val="left"/>
      <w:pPr>
        <w:tabs>
          <w:tab w:val="left" w:pos="360"/>
        </w:tabs>
        <w:ind w:left="0" w:firstLine="0"/>
      </w:pPr>
      <w:rPr>
        <w:rFonts w:hint="eastAsia"/>
      </w:rPr>
    </w:lvl>
    <w:lvl w:ilvl="3" w:tentative="0">
      <w:start w:val="1"/>
      <w:numFmt w:val="decimal"/>
      <w:lvlText w:val="（%4）"/>
      <w:lvlJc w:val="left"/>
      <w:pPr>
        <w:tabs>
          <w:tab w:val="left" w:pos="720"/>
        </w:tabs>
        <w:ind w:left="0" w:firstLine="0"/>
      </w:pPr>
      <w:rPr>
        <w:rFonts w:hint="default" w:ascii="Times New Roman" w:hAnsi="Times New Roman" w:eastAsia="宋体"/>
        <w:sz w:val="21"/>
      </w:rPr>
    </w:lvl>
    <w:lvl w:ilvl="4" w:tentative="0">
      <w:start w:val="1"/>
      <w:numFmt w:val="none"/>
      <w:lvlText w:val=""/>
      <w:lvlJc w:val="left"/>
      <w:pPr>
        <w:tabs>
          <w:tab w:val="left" w:pos="360"/>
        </w:tabs>
        <w:ind w:left="0" w:firstLine="0"/>
      </w:pPr>
      <w:rPr>
        <w:rFonts w:hint="eastAsia"/>
        <w:sz w:val="24"/>
      </w:rPr>
    </w:lvl>
    <w:lvl w:ilvl="5" w:tentative="0">
      <w:start w:val="1"/>
      <w:numFmt w:val="upperLetter"/>
      <w:lvlText w:val="%6."/>
      <w:lvlJc w:val="left"/>
      <w:pPr>
        <w:tabs>
          <w:tab w:val="left" w:pos="927"/>
        </w:tabs>
        <w:ind w:left="0" w:firstLine="567"/>
      </w:pPr>
      <w:rPr>
        <w:rFonts w:hint="eastAsia"/>
        <w:sz w:val="24"/>
      </w:rPr>
    </w:lvl>
    <w:lvl w:ilvl="6" w:tentative="0">
      <w:start w:val="1"/>
      <w:numFmt w:val="none"/>
      <w:lvlText w:val=""/>
      <w:lvlJc w:val="left"/>
      <w:pPr>
        <w:tabs>
          <w:tab w:val="left" w:pos="3827"/>
        </w:tabs>
        <w:ind w:left="3827" w:hanging="1276"/>
      </w:pPr>
      <w:rPr>
        <w:rFonts w:hint="eastAsia"/>
      </w:rPr>
    </w:lvl>
    <w:lvl w:ilvl="7" w:tentative="0">
      <w:start w:val="1"/>
      <w:numFmt w:val="none"/>
      <w:lvlText w:val=""/>
      <w:lvlJc w:val="left"/>
      <w:pPr>
        <w:tabs>
          <w:tab w:val="left" w:pos="4394"/>
        </w:tabs>
        <w:ind w:left="4394" w:hanging="1418"/>
      </w:pPr>
      <w:rPr>
        <w:rFonts w:hint="eastAsia"/>
      </w:rPr>
    </w:lvl>
    <w:lvl w:ilvl="8" w:tentative="0">
      <w:start w:val="1"/>
      <w:numFmt w:val="none"/>
      <w:lvlText w:val=""/>
      <w:lvlJc w:val="left"/>
      <w:pPr>
        <w:tabs>
          <w:tab w:val="left" w:pos="5102"/>
        </w:tabs>
        <w:ind w:left="5102" w:hanging="1700"/>
      </w:pPr>
      <w:rPr>
        <w:rFonts w:hint="eastAsia"/>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trackRevisions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B06"/>
    <w:rsid w:val="00006183"/>
    <w:rsid w:val="00010CC9"/>
    <w:rsid w:val="00014998"/>
    <w:rsid w:val="000157A8"/>
    <w:rsid w:val="00021B4E"/>
    <w:rsid w:val="000246AC"/>
    <w:rsid w:val="00025052"/>
    <w:rsid w:val="0003144A"/>
    <w:rsid w:val="00034A0F"/>
    <w:rsid w:val="0004463F"/>
    <w:rsid w:val="00044EF4"/>
    <w:rsid w:val="00046762"/>
    <w:rsid w:val="00047276"/>
    <w:rsid w:val="00050C79"/>
    <w:rsid w:val="0005155A"/>
    <w:rsid w:val="00051815"/>
    <w:rsid w:val="00052848"/>
    <w:rsid w:val="00053197"/>
    <w:rsid w:val="0005414C"/>
    <w:rsid w:val="00054496"/>
    <w:rsid w:val="00054591"/>
    <w:rsid w:val="00056200"/>
    <w:rsid w:val="00057B6A"/>
    <w:rsid w:val="0006509E"/>
    <w:rsid w:val="00070C46"/>
    <w:rsid w:val="00080622"/>
    <w:rsid w:val="00094282"/>
    <w:rsid w:val="00097C82"/>
    <w:rsid w:val="000A2206"/>
    <w:rsid w:val="000A5A7A"/>
    <w:rsid w:val="000B4FF8"/>
    <w:rsid w:val="000B7B45"/>
    <w:rsid w:val="000C145C"/>
    <w:rsid w:val="000D109D"/>
    <w:rsid w:val="000D11A4"/>
    <w:rsid w:val="000D1C93"/>
    <w:rsid w:val="000D411C"/>
    <w:rsid w:val="000D41DC"/>
    <w:rsid w:val="000D7AB0"/>
    <w:rsid w:val="000E0D20"/>
    <w:rsid w:val="000E264D"/>
    <w:rsid w:val="000E4F5D"/>
    <w:rsid w:val="000E7AE1"/>
    <w:rsid w:val="000F1EB1"/>
    <w:rsid w:val="000F581B"/>
    <w:rsid w:val="0010311F"/>
    <w:rsid w:val="00107311"/>
    <w:rsid w:val="00110B8C"/>
    <w:rsid w:val="0011401A"/>
    <w:rsid w:val="001142CF"/>
    <w:rsid w:val="001151AC"/>
    <w:rsid w:val="001279F8"/>
    <w:rsid w:val="00127DF0"/>
    <w:rsid w:val="0013477F"/>
    <w:rsid w:val="00136594"/>
    <w:rsid w:val="001412F5"/>
    <w:rsid w:val="0015297C"/>
    <w:rsid w:val="0016119F"/>
    <w:rsid w:val="00161647"/>
    <w:rsid w:val="00162C4A"/>
    <w:rsid w:val="0016302A"/>
    <w:rsid w:val="0016497E"/>
    <w:rsid w:val="00170D13"/>
    <w:rsid w:val="001721C0"/>
    <w:rsid w:val="00177C69"/>
    <w:rsid w:val="001815B6"/>
    <w:rsid w:val="001820B6"/>
    <w:rsid w:val="0018526F"/>
    <w:rsid w:val="00194AC3"/>
    <w:rsid w:val="001A1969"/>
    <w:rsid w:val="001A76BE"/>
    <w:rsid w:val="001B21A0"/>
    <w:rsid w:val="001C483E"/>
    <w:rsid w:val="001C5433"/>
    <w:rsid w:val="001C5813"/>
    <w:rsid w:val="001E315F"/>
    <w:rsid w:val="00201FD4"/>
    <w:rsid w:val="00203F42"/>
    <w:rsid w:val="002060EF"/>
    <w:rsid w:val="002079A0"/>
    <w:rsid w:val="0024067D"/>
    <w:rsid w:val="00241ABC"/>
    <w:rsid w:val="002527C3"/>
    <w:rsid w:val="00253964"/>
    <w:rsid w:val="00253A68"/>
    <w:rsid w:val="002613EE"/>
    <w:rsid w:val="002614A0"/>
    <w:rsid w:val="00262FEF"/>
    <w:rsid w:val="0026380E"/>
    <w:rsid w:val="0026466E"/>
    <w:rsid w:val="00264994"/>
    <w:rsid w:val="00267EB6"/>
    <w:rsid w:val="00275457"/>
    <w:rsid w:val="002755B8"/>
    <w:rsid w:val="00276C95"/>
    <w:rsid w:val="002774B7"/>
    <w:rsid w:val="00283C66"/>
    <w:rsid w:val="0029461F"/>
    <w:rsid w:val="002A00AB"/>
    <w:rsid w:val="002A0411"/>
    <w:rsid w:val="002A152C"/>
    <w:rsid w:val="002A18AE"/>
    <w:rsid w:val="002A60AD"/>
    <w:rsid w:val="002B4412"/>
    <w:rsid w:val="002B5538"/>
    <w:rsid w:val="002C1EAB"/>
    <w:rsid w:val="002C7C71"/>
    <w:rsid w:val="002E3226"/>
    <w:rsid w:val="002E4F30"/>
    <w:rsid w:val="002E69D0"/>
    <w:rsid w:val="002E7534"/>
    <w:rsid w:val="002F6C41"/>
    <w:rsid w:val="0031777D"/>
    <w:rsid w:val="00321C58"/>
    <w:rsid w:val="00322D2C"/>
    <w:rsid w:val="003238AE"/>
    <w:rsid w:val="00327D4B"/>
    <w:rsid w:val="00327DA9"/>
    <w:rsid w:val="00335399"/>
    <w:rsid w:val="00341323"/>
    <w:rsid w:val="00343C48"/>
    <w:rsid w:val="00350C1E"/>
    <w:rsid w:val="00356671"/>
    <w:rsid w:val="00356A82"/>
    <w:rsid w:val="00361F6D"/>
    <w:rsid w:val="00366D06"/>
    <w:rsid w:val="00367714"/>
    <w:rsid w:val="0037148E"/>
    <w:rsid w:val="00374C61"/>
    <w:rsid w:val="00382975"/>
    <w:rsid w:val="0039575B"/>
    <w:rsid w:val="00395C3C"/>
    <w:rsid w:val="0039663C"/>
    <w:rsid w:val="003979E4"/>
    <w:rsid w:val="003A2B06"/>
    <w:rsid w:val="003A3453"/>
    <w:rsid w:val="003B0C66"/>
    <w:rsid w:val="003B3DDA"/>
    <w:rsid w:val="003B40EE"/>
    <w:rsid w:val="003B69E7"/>
    <w:rsid w:val="003B7EFD"/>
    <w:rsid w:val="003C3043"/>
    <w:rsid w:val="003C61C9"/>
    <w:rsid w:val="003C6896"/>
    <w:rsid w:val="003C79A0"/>
    <w:rsid w:val="003D136C"/>
    <w:rsid w:val="003D4060"/>
    <w:rsid w:val="003E1C92"/>
    <w:rsid w:val="003E4EBA"/>
    <w:rsid w:val="004079DF"/>
    <w:rsid w:val="00411554"/>
    <w:rsid w:val="0042019F"/>
    <w:rsid w:val="00424B34"/>
    <w:rsid w:val="0043058C"/>
    <w:rsid w:val="004315E0"/>
    <w:rsid w:val="004337DA"/>
    <w:rsid w:val="00436201"/>
    <w:rsid w:val="0047059D"/>
    <w:rsid w:val="0047313B"/>
    <w:rsid w:val="00473C91"/>
    <w:rsid w:val="00482CCB"/>
    <w:rsid w:val="0048402F"/>
    <w:rsid w:val="00496FB8"/>
    <w:rsid w:val="004B0946"/>
    <w:rsid w:val="004B1591"/>
    <w:rsid w:val="004B557B"/>
    <w:rsid w:val="004B7EAD"/>
    <w:rsid w:val="004C06C6"/>
    <w:rsid w:val="004C3FC1"/>
    <w:rsid w:val="004C5AC8"/>
    <w:rsid w:val="004E2435"/>
    <w:rsid w:val="004E4CB4"/>
    <w:rsid w:val="004F0C70"/>
    <w:rsid w:val="004F25BD"/>
    <w:rsid w:val="004F2BA2"/>
    <w:rsid w:val="004F5C6C"/>
    <w:rsid w:val="00506D57"/>
    <w:rsid w:val="00511FC1"/>
    <w:rsid w:val="005134AB"/>
    <w:rsid w:val="00517911"/>
    <w:rsid w:val="00527566"/>
    <w:rsid w:val="0053788A"/>
    <w:rsid w:val="005423D2"/>
    <w:rsid w:val="00542EBE"/>
    <w:rsid w:val="0054433F"/>
    <w:rsid w:val="00553789"/>
    <w:rsid w:val="0056355B"/>
    <w:rsid w:val="00565005"/>
    <w:rsid w:val="00567AA7"/>
    <w:rsid w:val="00587F80"/>
    <w:rsid w:val="00593BD2"/>
    <w:rsid w:val="005945B3"/>
    <w:rsid w:val="005A1730"/>
    <w:rsid w:val="005A24B0"/>
    <w:rsid w:val="005A2B5B"/>
    <w:rsid w:val="005A2C89"/>
    <w:rsid w:val="005A4382"/>
    <w:rsid w:val="005B0D1C"/>
    <w:rsid w:val="005B47FC"/>
    <w:rsid w:val="005B5D51"/>
    <w:rsid w:val="005D05AF"/>
    <w:rsid w:val="005E1774"/>
    <w:rsid w:val="005E4D85"/>
    <w:rsid w:val="005E4EF4"/>
    <w:rsid w:val="005F1CBD"/>
    <w:rsid w:val="005F2BB7"/>
    <w:rsid w:val="005F5071"/>
    <w:rsid w:val="00601B9E"/>
    <w:rsid w:val="00606F78"/>
    <w:rsid w:val="006140F3"/>
    <w:rsid w:val="00617BE4"/>
    <w:rsid w:val="006208B9"/>
    <w:rsid w:val="0062565D"/>
    <w:rsid w:val="0062599F"/>
    <w:rsid w:val="006270CD"/>
    <w:rsid w:val="006302ED"/>
    <w:rsid w:val="0063212C"/>
    <w:rsid w:val="00632BB1"/>
    <w:rsid w:val="006341C7"/>
    <w:rsid w:val="006442DD"/>
    <w:rsid w:val="0064794A"/>
    <w:rsid w:val="0065263F"/>
    <w:rsid w:val="006534BE"/>
    <w:rsid w:val="00675B08"/>
    <w:rsid w:val="006835B2"/>
    <w:rsid w:val="00694F09"/>
    <w:rsid w:val="0069592C"/>
    <w:rsid w:val="006B1820"/>
    <w:rsid w:val="006B632E"/>
    <w:rsid w:val="006D7AE7"/>
    <w:rsid w:val="006E1290"/>
    <w:rsid w:val="006F01E1"/>
    <w:rsid w:val="006F1B2A"/>
    <w:rsid w:val="006F35A8"/>
    <w:rsid w:val="006F510F"/>
    <w:rsid w:val="006F7236"/>
    <w:rsid w:val="006F783E"/>
    <w:rsid w:val="00701CDE"/>
    <w:rsid w:val="0070524E"/>
    <w:rsid w:val="00716876"/>
    <w:rsid w:val="00720BD2"/>
    <w:rsid w:val="007245A1"/>
    <w:rsid w:val="00725946"/>
    <w:rsid w:val="007315AE"/>
    <w:rsid w:val="00732C5F"/>
    <w:rsid w:val="00737DA9"/>
    <w:rsid w:val="0074280D"/>
    <w:rsid w:val="007524FE"/>
    <w:rsid w:val="007527AD"/>
    <w:rsid w:val="00755EAD"/>
    <w:rsid w:val="007569FF"/>
    <w:rsid w:val="00781A9B"/>
    <w:rsid w:val="00790C10"/>
    <w:rsid w:val="007A0D38"/>
    <w:rsid w:val="007A1768"/>
    <w:rsid w:val="007A3D27"/>
    <w:rsid w:val="007B0921"/>
    <w:rsid w:val="007B0D03"/>
    <w:rsid w:val="007B4D43"/>
    <w:rsid w:val="007C735E"/>
    <w:rsid w:val="007D520B"/>
    <w:rsid w:val="007D5F9E"/>
    <w:rsid w:val="007E145C"/>
    <w:rsid w:val="007F6FAD"/>
    <w:rsid w:val="008007E7"/>
    <w:rsid w:val="00802827"/>
    <w:rsid w:val="008050F2"/>
    <w:rsid w:val="00805782"/>
    <w:rsid w:val="00812211"/>
    <w:rsid w:val="00824605"/>
    <w:rsid w:val="00826455"/>
    <w:rsid w:val="00833F4A"/>
    <w:rsid w:val="00840319"/>
    <w:rsid w:val="0084271B"/>
    <w:rsid w:val="00842931"/>
    <w:rsid w:val="008434C1"/>
    <w:rsid w:val="008450D5"/>
    <w:rsid w:val="008513E3"/>
    <w:rsid w:val="008557DF"/>
    <w:rsid w:val="00856D03"/>
    <w:rsid w:val="00856F2D"/>
    <w:rsid w:val="008639B4"/>
    <w:rsid w:val="00870130"/>
    <w:rsid w:val="00870EF8"/>
    <w:rsid w:val="0087186C"/>
    <w:rsid w:val="00882F11"/>
    <w:rsid w:val="00891412"/>
    <w:rsid w:val="008923C7"/>
    <w:rsid w:val="008A6986"/>
    <w:rsid w:val="008B4AA9"/>
    <w:rsid w:val="008B78EF"/>
    <w:rsid w:val="008C1C0E"/>
    <w:rsid w:val="008C3149"/>
    <w:rsid w:val="008C5D33"/>
    <w:rsid w:val="008D2280"/>
    <w:rsid w:val="008D4C0E"/>
    <w:rsid w:val="008E525C"/>
    <w:rsid w:val="008E53B3"/>
    <w:rsid w:val="008E5DC6"/>
    <w:rsid w:val="008F0CBE"/>
    <w:rsid w:val="008F150F"/>
    <w:rsid w:val="0090455E"/>
    <w:rsid w:val="00914AAD"/>
    <w:rsid w:val="00921B1B"/>
    <w:rsid w:val="0092747D"/>
    <w:rsid w:val="009336ED"/>
    <w:rsid w:val="009342DB"/>
    <w:rsid w:val="00951330"/>
    <w:rsid w:val="00960954"/>
    <w:rsid w:val="0096114D"/>
    <w:rsid w:val="0097751A"/>
    <w:rsid w:val="00977A77"/>
    <w:rsid w:val="00980631"/>
    <w:rsid w:val="009826C6"/>
    <w:rsid w:val="009850E8"/>
    <w:rsid w:val="00987DDD"/>
    <w:rsid w:val="0099494F"/>
    <w:rsid w:val="00995BB2"/>
    <w:rsid w:val="009A216F"/>
    <w:rsid w:val="009A7E32"/>
    <w:rsid w:val="009B6A63"/>
    <w:rsid w:val="009C08CC"/>
    <w:rsid w:val="009C1201"/>
    <w:rsid w:val="009C12A8"/>
    <w:rsid w:val="009C238F"/>
    <w:rsid w:val="009C733B"/>
    <w:rsid w:val="009D2D46"/>
    <w:rsid w:val="009E1907"/>
    <w:rsid w:val="009E4A3B"/>
    <w:rsid w:val="009E7F25"/>
    <w:rsid w:val="009F39BB"/>
    <w:rsid w:val="009F61BD"/>
    <w:rsid w:val="00A040BD"/>
    <w:rsid w:val="00A04572"/>
    <w:rsid w:val="00A05ED3"/>
    <w:rsid w:val="00A06F16"/>
    <w:rsid w:val="00A12310"/>
    <w:rsid w:val="00A141D1"/>
    <w:rsid w:val="00A16100"/>
    <w:rsid w:val="00A16F02"/>
    <w:rsid w:val="00A25EF4"/>
    <w:rsid w:val="00A2646C"/>
    <w:rsid w:val="00A265EC"/>
    <w:rsid w:val="00A300A1"/>
    <w:rsid w:val="00A436B5"/>
    <w:rsid w:val="00A53663"/>
    <w:rsid w:val="00A5681B"/>
    <w:rsid w:val="00A5737F"/>
    <w:rsid w:val="00A862CE"/>
    <w:rsid w:val="00A90925"/>
    <w:rsid w:val="00A96B43"/>
    <w:rsid w:val="00AA13D2"/>
    <w:rsid w:val="00AA629C"/>
    <w:rsid w:val="00AB1729"/>
    <w:rsid w:val="00AB2720"/>
    <w:rsid w:val="00AB5978"/>
    <w:rsid w:val="00AB5CA0"/>
    <w:rsid w:val="00AB7F9E"/>
    <w:rsid w:val="00AC6403"/>
    <w:rsid w:val="00AD2057"/>
    <w:rsid w:val="00AE6D54"/>
    <w:rsid w:val="00AE75B2"/>
    <w:rsid w:val="00AF4107"/>
    <w:rsid w:val="00AF5BE0"/>
    <w:rsid w:val="00AF74F7"/>
    <w:rsid w:val="00B05B23"/>
    <w:rsid w:val="00B073CC"/>
    <w:rsid w:val="00B2567B"/>
    <w:rsid w:val="00B26A0A"/>
    <w:rsid w:val="00B33E86"/>
    <w:rsid w:val="00B36173"/>
    <w:rsid w:val="00B37C0C"/>
    <w:rsid w:val="00B40CF5"/>
    <w:rsid w:val="00B43288"/>
    <w:rsid w:val="00B44094"/>
    <w:rsid w:val="00B475FC"/>
    <w:rsid w:val="00B6172F"/>
    <w:rsid w:val="00B648E5"/>
    <w:rsid w:val="00B65358"/>
    <w:rsid w:val="00B778E6"/>
    <w:rsid w:val="00B77B61"/>
    <w:rsid w:val="00B834CA"/>
    <w:rsid w:val="00B90424"/>
    <w:rsid w:val="00B935B0"/>
    <w:rsid w:val="00B972AD"/>
    <w:rsid w:val="00B97DCB"/>
    <w:rsid w:val="00BA076E"/>
    <w:rsid w:val="00BA5E58"/>
    <w:rsid w:val="00BB0664"/>
    <w:rsid w:val="00BB42A9"/>
    <w:rsid w:val="00BC11DA"/>
    <w:rsid w:val="00BC3F42"/>
    <w:rsid w:val="00BD0108"/>
    <w:rsid w:val="00BE10A1"/>
    <w:rsid w:val="00BF1034"/>
    <w:rsid w:val="00BF2196"/>
    <w:rsid w:val="00BF2228"/>
    <w:rsid w:val="00BF75B2"/>
    <w:rsid w:val="00C16B60"/>
    <w:rsid w:val="00C2346D"/>
    <w:rsid w:val="00C23720"/>
    <w:rsid w:val="00C41C25"/>
    <w:rsid w:val="00C41E76"/>
    <w:rsid w:val="00C47001"/>
    <w:rsid w:val="00C60616"/>
    <w:rsid w:val="00C61BA6"/>
    <w:rsid w:val="00C62ACD"/>
    <w:rsid w:val="00C65903"/>
    <w:rsid w:val="00C65909"/>
    <w:rsid w:val="00C70DAB"/>
    <w:rsid w:val="00C81594"/>
    <w:rsid w:val="00C820A3"/>
    <w:rsid w:val="00C838D1"/>
    <w:rsid w:val="00CA221E"/>
    <w:rsid w:val="00CA6158"/>
    <w:rsid w:val="00CB57D1"/>
    <w:rsid w:val="00CC18E7"/>
    <w:rsid w:val="00CD100F"/>
    <w:rsid w:val="00CD1C39"/>
    <w:rsid w:val="00CD5705"/>
    <w:rsid w:val="00CD5D47"/>
    <w:rsid w:val="00CD77ED"/>
    <w:rsid w:val="00CD7920"/>
    <w:rsid w:val="00CE0369"/>
    <w:rsid w:val="00CE2D52"/>
    <w:rsid w:val="00CF114B"/>
    <w:rsid w:val="00CF2413"/>
    <w:rsid w:val="00CF6712"/>
    <w:rsid w:val="00D03533"/>
    <w:rsid w:val="00D045BF"/>
    <w:rsid w:val="00D048EB"/>
    <w:rsid w:val="00D131DE"/>
    <w:rsid w:val="00D16C91"/>
    <w:rsid w:val="00D2097F"/>
    <w:rsid w:val="00D2119B"/>
    <w:rsid w:val="00D2332F"/>
    <w:rsid w:val="00D30E3A"/>
    <w:rsid w:val="00D32C3A"/>
    <w:rsid w:val="00D34883"/>
    <w:rsid w:val="00D3667B"/>
    <w:rsid w:val="00D3680D"/>
    <w:rsid w:val="00D369D6"/>
    <w:rsid w:val="00D51F48"/>
    <w:rsid w:val="00D53EFD"/>
    <w:rsid w:val="00D54D38"/>
    <w:rsid w:val="00D606A2"/>
    <w:rsid w:val="00D61D60"/>
    <w:rsid w:val="00D7102A"/>
    <w:rsid w:val="00D7545E"/>
    <w:rsid w:val="00D77662"/>
    <w:rsid w:val="00D82F8A"/>
    <w:rsid w:val="00D85EAE"/>
    <w:rsid w:val="00D8649A"/>
    <w:rsid w:val="00DA1DEF"/>
    <w:rsid w:val="00DA668B"/>
    <w:rsid w:val="00DC4E34"/>
    <w:rsid w:val="00DC510C"/>
    <w:rsid w:val="00DC53E6"/>
    <w:rsid w:val="00DC5AE5"/>
    <w:rsid w:val="00DD0B0E"/>
    <w:rsid w:val="00DD2666"/>
    <w:rsid w:val="00DD3B3B"/>
    <w:rsid w:val="00DD4D55"/>
    <w:rsid w:val="00E01C79"/>
    <w:rsid w:val="00E13468"/>
    <w:rsid w:val="00E1455B"/>
    <w:rsid w:val="00E14764"/>
    <w:rsid w:val="00E1614E"/>
    <w:rsid w:val="00E20A2F"/>
    <w:rsid w:val="00E3001C"/>
    <w:rsid w:val="00E3720B"/>
    <w:rsid w:val="00E37B8E"/>
    <w:rsid w:val="00E44CB0"/>
    <w:rsid w:val="00E47959"/>
    <w:rsid w:val="00E50A2C"/>
    <w:rsid w:val="00E6390C"/>
    <w:rsid w:val="00E65EC9"/>
    <w:rsid w:val="00E6790D"/>
    <w:rsid w:val="00E710CD"/>
    <w:rsid w:val="00E741E2"/>
    <w:rsid w:val="00E851A7"/>
    <w:rsid w:val="00E86DC0"/>
    <w:rsid w:val="00E971F6"/>
    <w:rsid w:val="00EA2610"/>
    <w:rsid w:val="00EB73FA"/>
    <w:rsid w:val="00EC18E2"/>
    <w:rsid w:val="00EC6BAB"/>
    <w:rsid w:val="00ED244A"/>
    <w:rsid w:val="00ED2841"/>
    <w:rsid w:val="00ED47D6"/>
    <w:rsid w:val="00EE70A6"/>
    <w:rsid w:val="00EF244B"/>
    <w:rsid w:val="00F10A9C"/>
    <w:rsid w:val="00F11E90"/>
    <w:rsid w:val="00F17853"/>
    <w:rsid w:val="00F33371"/>
    <w:rsid w:val="00F4405E"/>
    <w:rsid w:val="00F510D3"/>
    <w:rsid w:val="00F51164"/>
    <w:rsid w:val="00F5511B"/>
    <w:rsid w:val="00F64E86"/>
    <w:rsid w:val="00F65359"/>
    <w:rsid w:val="00F67842"/>
    <w:rsid w:val="00F714E4"/>
    <w:rsid w:val="00F728EC"/>
    <w:rsid w:val="00F80AE3"/>
    <w:rsid w:val="00F86691"/>
    <w:rsid w:val="00F86C1B"/>
    <w:rsid w:val="00F95771"/>
    <w:rsid w:val="00FA3F83"/>
    <w:rsid w:val="00FA77A2"/>
    <w:rsid w:val="00FB1113"/>
    <w:rsid w:val="00FC0797"/>
    <w:rsid w:val="00FC6CC7"/>
    <w:rsid w:val="00FD1578"/>
    <w:rsid w:val="00FD51F5"/>
    <w:rsid w:val="00FE0246"/>
    <w:rsid w:val="00FE3D58"/>
    <w:rsid w:val="00FE4EC8"/>
    <w:rsid w:val="00FF2790"/>
    <w:rsid w:val="00FF4C78"/>
    <w:rsid w:val="01EC61EC"/>
    <w:rsid w:val="02C12188"/>
    <w:rsid w:val="03BC047B"/>
    <w:rsid w:val="055E1B86"/>
    <w:rsid w:val="07551406"/>
    <w:rsid w:val="084C7436"/>
    <w:rsid w:val="08697C16"/>
    <w:rsid w:val="089645E3"/>
    <w:rsid w:val="09A7068C"/>
    <w:rsid w:val="0B271CFF"/>
    <w:rsid w:val="0BA72079"/>
    <w:rsid w:val="0DB63570"/>
    <w:rsid w:val="0E3F5632"/>
    <w:rsid w:val="0E91663C"/>
    <w:rsid w:val="10246EEB"/>
    <w:rsid w:val="104C65B2"/>
    <w:rsid w:val="12547624"/>
    <w:rsid w:val="14BD37D2"/>
    <w:rsid w:val="171417DB"/>
    <w:rsid w:val="17391135"/>
    <w:rsid w:val="19C177C7"/>
    <w:rsid w:val="19E56DD6"/>
    <w:rsid w:val="1C5C2900"/>
    <w:rsid w:val="1E990AA4"/>
    <w:rsid w:val="214E3B8E"/>
    <w:rsid w:val="22407BB4"/>
    <w:rsid w:val="22C43431"/>
    <w:rsid w:val="25D548D9"/>
    <w:rsid w:val="280E42A4"/>
    <w:rsid w:val="28107B4C"/>
    <w:rsid w:val="2A4251D5"/>
    <w:rsid w:val="2CC903EC"/>
    <w:rsid w:val="2DE308C4"/>
    <w:rsid w:val="2FE42139"/>
    <w:rsid w:val="302A1F5F"/>
    <w:rsid w:val="34C128D2"/>
    <w:rsid w:val="35066EF1"/>
    <w:rsid w:val="361D008B"/>
    <w:rsid w:val="38543B72"/>
    <w:rsid w:val="390734BA"/>
    <w:rsid w:val="398C1DD1"/>
    <w:rsid w:val="3B4E3C3F"/>
    <w:rsid w:val="3B551934"/>
    <w:rsid w:val="3ECB47FB"/>
    <w:rsid w:val="407D4E4E"/>
    <w:rsid w:val="421A0B83"/>
    <w:rsid w:val="44352862"/>
    <w:rsid w:val="448E55F3"/>
    <w:rsid w:val="45BC60CC"/>
    <w:rsid w:val="469C08BA"/>
    <w:rsid w:val="48651873"/>
    <w:rsid w:val="4908520C"/>
    <w:rsid w:val="49DA6DB1"/>
    <w:rsid w:val="4F0A6CD0"/>
    <w:rsid w:val="500D0E60"/>
    <w:rsid w:val="503D056A"/>
    <w:rsid w:val="50BE32A4"/>
    <w:rsid w:val="512858A0"/>
    <w:rsid w:val="543A1059"/>
    <w:rsid w:val="57894333"/>
    <w:rsid w:val="57EC0BF7"/>
    <w:rsid w:val="58AB7559"/>
    <w:rsid w:val="58E80BC1"/>
    <w:rsid w:val="599B14A4"/>
    <w:rsid w:val="59EC1D37"/>
    <w:rsid w:val="5A146C55"/>
    <w:rsid w:val="5B184523"/>
    <w:rsid w:val="5B413A7A"/>
    <w:rsid w:val="5C372409"/>
    <w:rsid w:val="5D5940F3"/>
    <w:rsid w:val="5D8E0ED7"/>
    <w:rsid w:val="5EEA0AA3"/>
    <w:rsid w:val="5FE134B4"/>
    <w:rsid w:val="60C07C62"/>
    <w:rsid w:val="60D11AA8"/>
    <w:rsid w:val="61214489"/>
    <w:rsid w:val="6284035A"/>
    <w:rsid w:val="62A72D5C"/>
    <w:rsid w:val="638D24E1"/>
    <w:rsid w:val="65E8113B"/>
    <w:rsid w:val="66157FDD"/>
    <w:rsid w:val="66804266"/>
    <w:rsid w:val="672727D5"/>
    <w:rsid w:val="687D3BC2"/>
    <w:rsid w:val="69F37401"/>
    <w:rsid w:val="6A331C23"/>
    <w:rsid w:val="6A806127"/>
    <w:rsid w:val="6AD05BDB"/>
    <w:rsid w:val="6BF97ACE"/>
    <w:rsid w:val="6E3D7B6E"/>
    <w:rsid w:val="6F2A56B4"/>
    <w:rsid w:val="6F423A58"/>
    <w:rsid w:val="6F706FED"/>
    <w:rsid w:val="70684AFE"/>
    <w:rsid w:val="713654EF"/>
    <w:rsid w:val="71D13952"/>
    <w:rsid w:val="72DC75C6"/>
    <w:rsid w:val="751B3BD6"/>
    <w:rsid w:val="75C77401"/>
    <w:rsid w:val="763B18E2"/>
    <w:rsid w:val="794E2422"/>
    <w:rsid w:val="7C2A0A63"/>
    <w:rsid w:val="7D5527B7"/>
    <w:rsid w:val="7E6B261C"/>
    <w:rsid w:val="CD7F48E0"/>
    <w:rsid w:val="FFFCD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numPr>
        <w:ilvl w:val="0"/>
        <w:numId w:val="1"/>
      </w:numPr>
      <w:spacing w:before="120" w:after="120" w:line="360" w:lineRule="auto"/>
      <w:jc w:val="center"/>
      <w:outlineLvl w:val="0"/>
    </w:pPr>
    <w:rPr>
      <w:rFonts w:ascii="黑体" w:eastAsia="黑体"/>
      <w:b/>
      <w:kern w:val="44"/>
      <w:sz w:val="28"/>
      <w:szCs w:val="20"/>
      <w:lang w:val="zh-CN"/>
    </w:rPr>
  </w:style>
  <w:style w:type="paragraph" w:styleId="3">
    <w:name w:val="heading 2"/>
    <w:basedOn w:val="1"/>
    <w:next w:val="1"/>
    <w:link w:val="2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7"/>
    <w:qFormat/>
    <w:uiPriority w:val="0"/>
    <w:pPr>
      <w:numPr>
        <w:ilvl w:val="2"/>
        <w:numId w:val="1"/>
      </w:numPr>
      <w:spacing w:line="300" w:lineRule="auto"/>
      <w:outlineLvl w:val="2"/>
    </w:pPr>
    <w:rPr>
      <w:rFonts w:ascii="Arial" w:hAnsi="Arial" w:eastAsia="仿宋_GB2312"/>
      <w:b/>
      <w:sz w:val="24"/>
      <w:szCs w:val="20"/>
      <w:lang w:val="zh-CN"/>
    </w:rPr>
  </w:style>
  <w:style w:type="paragraph" w:styleId="5">
    <w:name w:val="heading 4"/>
    <w:basedOn w:val="1"/>
    <w:next w:val="1"/>
    <w:link w:val="28"/>
    <w:qFormat/>
    <w:uiPriority w:val="0"/>
    <w:pPr>
      <w:keepNext/>
      <w:keepLines/>
      <w:numPr>
        <w:ilvl w:val="3"/>
        <w:numId w:val="1"/>
      </w:numPr>
      <w:spacing w:line="360" w:lineRule="auto"/>
      <w:outlineLvl w:val="3"/>
    </w:pPr>
    <w:rPr>
      <w:rFonts w:ascii="Arial" w:hAnsi="Arial" w:eastAsia="仿宋_GB2312"/>
      <w:sz w:val="24"/>
      <w:szCs w:val="20"/>
      <w:lang w:val="zh-CN"/>
    </w:rPr>
  </w:style>
  <w:style w:type="paragraph" w:styleId="6">
    <w:name w:val="heading 5"/>
    <w:basedOn w:val="1"/>
    <w:next w:val="1"/>
    <w:link w:val="29"/>
    <w:qFormat/>
    <w:uiPriority w:val="0"/>
    <w:pPr>
      <w:numPr>
        <w:ilvl w:val="4"/>
        <w:numId w:val="1"/>
      </w:numPr>
      <w:spacing w:line="360" w:lineRule="auto"/>
      <w:outlineLvl w:val="4"/>
    </w:pPr>
    <w:rPr>
      <w:rFonts w:ascii="Arial" w:hAnsi="Arial" w:eastAsia="仿宋_GB2312"/>
      <w:sz w:val="24"/>
      <w:szCs w:val="20"/>
      <w:lang w:val="zh-CN"/>
    </w:rPr>
  </w:style>
  <w:style w:type="paragraph" w:styleId="7">
    <w:name w:val="heading 6"/>
    <w:basedOn w:val="1"/>
    <w:next w:val="1"/>
    <w:link w:val="30"/>
    <w:qFormat/>
    <w:uiPriority w:val="0"/>
    <w:pPr>
      <w:numPr>
        <w:ilvl w:val="5"/>
        <w:numId w:val="1"/>
      </w:numPr>
      <w:spacing w:line="300" w:lineRule="auto"/>
      <w:outlineLvl w:val="5"/>
    </w:pPr>
    <w:rPr>
      <w:rFonts w:ascii="Arial" w:hAnsi="Arial" w:eastAsia="仿宋_GB2312"/>
      <w:sz w:val="24"/>
      <w:szCs w:val="20"/>
      <w:lang w:val="zh-CN"/>
    </w:rPr>
  </w:style>
  <w:style w:type="paragraph" w:styleId="8">
    <w:name w:val="heading 7"/>
    <w:basedOn w:val="1"/>
    <w:next w:val="9"/>
    <w:link w:val="31"/>
    <w:qFormat/>
    <w:uiPriority w:val="0"/>
    <w:pPr>
      <w:keepNext/>
      <w:keepLines/>
      <w:numPr>
        <w:ilvl w:val="6"/>
        <w:numId w:val="1"/>
      </w:numPr>
      <w:spacing w:line="360" w:lineRule="auto"/>
      <w:outlineLvl w:val="6"/>
    </w:pPr>
    <w:rPr>
      <w:rFonts w:ascii="仿宋_GB2312" w:eastAsia="仿宋_GB2312"/>
      <w:sz w:val="24"/>
      <w:szCs w:val="20"/>
      <w:lang w:val="zh-CN"/>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34"/>
    <w:qFormat/>
    <w:uiPriority w:val="99"/>
    <w:pPr>
      <w:ind w:firstLine="420" w:firstLineChars="200"/>
    </w:pPr>
    <w:rPr>
      <w:rFonts w:ascii="Calibri" w:hAnsi="Calibri"/>
    </w:rPr>
  </w:style>
  <w:style w:type="paragraph" w:styleId="10">
    <w:name w:val="annotation text"/>
    <w:basedOn w:val="1"/>
    <w:link w:val="40"/>
    <w:unhideWhenUsed/>
    <w:qFormat/>
    <w:uiPriority w:val="99"/>
    <w:pPr>
      <w:jc w:val="left"/>
    </w:pPr>
  </w:style>
  <w:style w:type="paragraph" w:styleId="11">
    <w:name w:val="Body Text Indent"/>
    <w:basedOn w:val="1"/>
    <w:link w:val="33"/>
    <w:qFormat/>
    <w:uiPriority w:val="0"/>
    <w:pPr>
      <w:spacing w:line="360" w:lineRule="auto"/>
      <w:ind w:firstLine="359" w:firstLineChars="171"/>
    </w:pPr>
    <w:rPr>
      <w:lang w:val="zh-CN"/>
    </w:rPr>
  </w:style>
  <w:style w:type="paragraph" w:styleId="12">
    <w:name w:val="Body Text Indent 2"/>
    <w:basedOn w:val="1"/>
    <w:link w:val="32"/>
    <w:qFormat/>
    <w:uiPriority w:val="0"/>
    <w:pPr>
      <w:spacing w:line="360" w:lineRule="auto"/>
      <w:ind w:firstLine="480"/>
      <w:outlineLvl w:val="0"/>
    </w:pPr>
    <w:rPr>
      <w:rFonts w:ascii="仿宋_GB2312" w:hAnsi="Calibri" w:eastAsia="仿宋_GB2312"/>
      <w:sz w:val="24"/>
      <w:szCs w:val="20"/>
    </w:rPr>
  </w:style>
  <w:style w:type="paragraph" w:styleId="13">
    <w:name w:val="Balloon Text"/>
    <w:basedOn w:val="1"/>
    <w:link w:val="36"/>
    <w:semiHidden/>
    <w:unhideWhenUsed/>
    <w:qFormat/>
    <w:uiPriority w:val="99"/>
    <w:rPr>
      <w:sz w:val="18"/>
      <w:szCs w:val="18"/>
    </w:rPr>
  </w:style>
  <w:style w:type="paragraph" w:styleId="14">
    <w:name w:val="footer"/>
    <w:basedOn w:val="1"/>
    <w:link w:val="24"/>
    <w:unhideWhenUsed/>
    <w:qFormat/>
    <w:uiPriority w:val="99"/>
    <w:pPr>
      <w:tabs>
        <w:tab w:val="center" w:pos="4153"/>
        <w:tab w:val="right" w:pos="8306"/>
      </w:tabs>
      <w:snapToGrid w:val="0"/>
      <w:jc w:val="left"/>
    </w:pPr>
    <w:rPr>
      <w:sz w:val="18"/>
      <w:szCs w:val="18"/>
    </w:rPr>
  </w:style>
  <w:style w:type="paragraph" w:styleId="15">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8">
    <w:name w:val="annotation subject"/>
    <w:basedOn w:val="10"/>
    <w:next w:val="10"/>
    <w:link w:val="38"/>
    <w:semiHidden/>
    <w:unhideWhenUsed/>
    <w:qFormat/>
    <w:uiPriority w:val="99"/>
    <w:rPr>
      <w:b/>
      <w:bCs/>
    </w:rPr>
  </w:style>
  <w:style w:type="character" w:styleId="21">
    <w:name w:val="Hyperlink"/>
    <w:qFormat/>
    <w:uiPriority w:val="99"/>
    <w:rPr>
      <w:color w:val="0000FF"/>
      <w:u w:val="single"/>
    </w:rPr>
  </w:style>
  <w:style w:type="character" w:styleId="22">
    <w:name w:val="annotation reference"/>
    <w:basedOn w:val="20"/>
    <w:semiHidden/>
    <w:unhideWhenUsed/>
    <w:qFormat/>
    <w:uiPriority w:val="99"/>
    <w:rPr>
      <w:sz w:val="21"/>
      <w:szCs w:val="21"/>
    </w:rPr>
  </w:style>
  <w:style w:type="character" w:customStyle="1" w:styleId="23">
    <w:name w:val="页眉 字符"/>
    <w:basedOn w:val="20"/>
    <w:link w:val="15"/>
    <w:qFormat/>
    <w:uiPriority w:val="0"/>
    <w:rPr>
      <w:sz w:val="18"/>
      <w:szCs w:val="18"/>
    </w:rPr>
  </w:style>
  <w:style w:type="character" w:customStyle="1" w:styleId="24">
    <w:name w:val="页脚 字符"/>
    <w:basedOn w:val="20"/>
    <w:link w:val="14"/>
    <w:qFormat/>
    <w:uiPriority w:val="99"/>
    <w:rPr>
      <w:sz w:val="18"/>
      <w:szCs w:val="18"/>
    </w:rPr>
  </w:style>
  <w:style w:type="character" w:customStyle="1" w:styleId="25">
    <w:name w:val="标题 1 字符"/>
    <w:basedOn w:val="20"/>
    <w:link w:val="2"/>
    <w:qFormat/>
    <w:uiPriority w:val="0"/>
    <w:rPr>
      <w:rFonts w:ascii="黑体" w:eastAsia="黑体"/>
      <w:b/>
      <w:kern w:val="44"/>
      <w:sz w:val="28"/>
      <w:lang w:val="zh-CN"/>
    </w:rPr>
  </w:style>
  <w:style w:type="character" w:customStyle="1" w:styleId="26">
    <w:name w:val="标题 2 字符"/>
    <w:basedOn w:val="20"/>
    <w:link w:val="3"/>
    <w:qFormat/>
    <w:uiPriority w:val="0"/>
    <w:rPr>
      <w:rFonts w:ascii="Arial" w:hAnsi="Arial" w:eastAsia="黑体" w:cs="Times New Roman"/>
      <w:b/>
      <w:bCs/>
      <w:sz w:val="32"/>
      <w:szCs w:val="32"/>
    </w:rPr>
  </w:style>
  <w:style w:type="character" w:customStyle="1" w:styleId="27">
    <w:name w:val="标题 3 字符"/>
    <w:basedOn w:val="20"/>
    <w:link w:val="4"/>
    <w:qFormat/>
    <w:uiPriority w:val="0"/>
    <w:rPr>
      <w:rFonts w:ascii="Arial" w:hAnsi="Arial" w:eastAsia="仿宋_GB2312" w:cs="Times New Roman"/>
      <w:b/>
      <w:sz w:val="24"/>
      <w:szCs w:val="20"/>
      <w:lang w:val="zh-CN" w:eastAsia="zh-CN"/>
    </w:rPr>
  </w:style>
  <w:style w:type="character" w:customStyle="1" w:styleId="28">
    <w:name w:val="标题 4 字符"/>
    <w:basedOn w:val="20"/>
    <w:link w:val="5"/>
    <w:qFormat/>
    <w:uiPriority w:val="0"/>
    <w:rPr>
      <w:rFonts w:ascii="Arial" w:hAnsi="Arial" w:eastAsia="仿宋_GB2312" w:cs="Times New Roman"/>
      <w:sz w:val="24"/>
      <w:szCs w:val="20"/>
      <w:lang w:val="zh-CN" w:eastAsia="zh-CN"/>
    </w:rPr>
  </w:style>
  <w:style w:type="character" w:customStyle="1" w:styleId="29">
    <w:name w:val="标题 5 字符"/>
    <w:basedOn w:val="20"/>
    <w:link w:val="6"/>
    <w:qFormat/>
    <w:uiPriority w:val="0"/>
    <w:rPr>
      <w:rFonts w:ascii="Arial" w:hAnsi="Arial" w:eastAsia="仿宋_GB2312" w:cs="Times New Roman"/>
      <w:sz w:val="24"/>
      <w:szCs w:val="20"/>
      <w:lang w:val="zh-CN" w:eastAsia="zh-CN"/>
    </w:rPr>
  </w:style>
  <w:style w:type="character" w:customStyle="1" w:styleId="30">
    <w:name w:val="标题 6 字符"/>
    <w:basedOn w:val="20"/>
    <w:link w:val="7"/>
    <w:qFormat/>
    <w:uiPriority w:val="0"/>
    <w:rPr>
      <w:rFonts w:ascii="Arial" w:hAnsi="Arial" w:eastAsia="仿宋_GB2312" w:cs="Times New Roman"/>
      <w:sz w:val="24"/>
      <w:szCs w:val="20"/>
      <w:lang w:val="zh-CN" w:eastAsia="zh-CN"/>
    </w:rPr>
  </w:style>
  <w:style w:type="character" w:customStyle="1" w:styleId="31">
    <w:name w:val="标题 7 字符"/>
    <w:basedOn w:val="20"/>
    <w:link w:val="8"/>
    <w:qFormat/>
    <w:uiPriority w:val="0"/>
    <w:rPr>
      <w:rFonts w:ascii="仿宋_GB2312" w:hAnsi="Times New Roman" w:eastAsia="仿宋_GB2312" w:cs="Times New Roman"/>
      <w:sz w:val="24"/>
      <w:szCs w:val="20"/>
      <w:lang w:val="zh-CN" w:eastAsia="zh-CN"/>
    </w:rPr>
  </w:style>
  <w:style w:type="character" w:customStyle="1" w:styleId="32">
    <w:name w:val="正文文本缩进 2 字符"/>
    <w:basedOn w:val="20"/>
    <w:link w:val="12"/>
    <w:qFormat/>
    <w:uiPriority w:val="0"/>
    <w:rPr>
      <w:rFonts w:ascii="仿宋_GB2312" w:hAnsi="Calibri" w:eastAsia="仿宋_GB2312" w:cs="Times New Roman"/>
      <w:sz w:val="24"/>
      <w:szCs w:val="20"/>
    </w:rPr>
  </w:style>
  <w:style w:type="character" w:customStyle="1" w:styleId="33">
    <w:name w:val="正文文本缩进 字符"/>
    <w:basedOn w:val="20"/>
    <w:link w:val="11"/>
    <w:qFormat/>
    <w:uiPriority w:val="0"/>
    <w:rPr>
      <w:rFonts w:ascii="Times New Roman" w:hAnsi="Times New Roman" w:eastAsia="宋体" w:cs="Times New Roman"/>
      <w:szCs w:val="24"/>
      <w:lang w:val="zh-CN" w:eastAsia="zh-CN"/>
    </w:rPr>
  </w:style>
  <w:style w:type="character" w:customStyle="1" w:styleId="34">
    <w:name w:val="正文缩进 字符"/>
    <w:link w:val="9"/>
    <w:qFormat/>
    <w:uiPriority w:val="99"/>
    <w:rPr>
      <w:rFonts w:ascii="Calibri" w:hAnsi="Calibri" w:eastAsia="宋体" w:cs="Times New Roman"/>
      <w:szCs w:val="24"/>
    </w:rPr>
  </w:style>
  <w:style w:type="paragraph" w:customStyle="1" w:styleId="35">
    <w:name w:val="正文正文"/>
    <w:basedOn w:val="1"/>
    <w:qFormat/>
    <w:uiPriority w:val="99"/>
    <w:pPr>
      <w:spacing w:after="25" w:afterLines="25" w:line="360" w:lineRule="auto"/>
      <w:ind w:firstLine="200" w:firstLineChars="200"/>
    </w:pPr>
    <w:rPr>
      <w:sz w:val="24"/>
    </w:rPr>
  </w:style>
  <w:style w:type="character" w:customStyle="1" w:styleId="36">
    <w:name w:val="批注框文本 字符"/>
    <w:basedOn w:val="20"/>
    <w:link w:val="13"/>
    <w:semiHidden/>
    <w:qFormat/>
    <w:uiPriority w:val="99"/>
    <w:rPr>
      <w:rFonts w:ascii="Times New Roman" w:hAnsi="Times New Roman" w:eastAsia="宋体" w:cs="Times New Roman"/>
      <w:sz w:val="18"/>
      <w:szCs w:val="18"/>
    </w:rPr>
  </w:style>
  <w:style w:type="character" w:customStyle="1" w:styleId="37">
    <w:name w:val="批注文字 字符"/>
    <w:basedOn w:val="20"/>
    <w:semiHidden/>
    <w:qFormat/>
    <w:uiPriority w:val="99"/>
    <w:rPr>
      <w:rFonts w:ascii="Times New Roman" w:hAnsi="Times New Roman" w:eastAsia="宋体" w:cs="Times New Roman"/>
      <w:szCs w:val="24"/>
    </w:rPr>
  </w:style>
  <w:style w:type="character" w:customStyle="1" w:styleId="38">
    <w:name w:val="批注主题 字符"/>
    <w:basedOn w:val="37"/>
    <w:link w:val="18"/>
    <w:semiHidden/>
    <w:qFormat/>
    <w:uiPriority w:val="99"/>
    <w:rPr>
      <w:rFonts w:ascii="Times New Roman" w:hAnsi="Times New Roman" w:eastAsia="宋体" w:cs="Times New Roman"/>
      <w:b/>
      <w:bCs/>
      <w:szCs w:val="24"/>
    </w:rPr>
  </w:style>
  <w:style w:type="paragraph" w:customStyle="1" w:styleId="39">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40">
    <w:name w:val="批注文字 字符1"/>
    <w:basedOn w:val="20"/>
    <w:link w:val="10"/>
    <w:qFormat/>
    <w:uiPriority w:val="0"/>
    <w:rPr>
      <w:rFonts w:hint="default" w:ascii="Times New Roman" w:hAnsi="Times New Roman" w:cs="Times New Roman"/>
      <w:kern w:val="2"/>
      <w:sz w:val="21"/>
      <w:szCs w:val="24"/>
    </w:rPr>
  </w:style>
  <w:style w:type="paragraph" w:customStyle="1" w:styleId="41">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42">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4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44">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45">
    <w:name w:val="修订6"/>
    <w:hidden/>
    <w:unhideWhenUsed/>
    <w:qFormat/>
    <w:uiPriority w:val="99"/>
    <w:rPr>
      <w:rFonts w:ascii="Times New Roman" w:hAnsi="Times New Roman" w:eastAsia="宋体" w:cs="Times New Roman"/>
      <w:kern w:val="2"/>
      <w:sz w:val="21"/>
      <w:szCs w:val="24"/>
      <w:lang w:val="en-US" w:eastAsia="zh-CN" w:bidi="ar-SA"/>
    </w:rPr>
  </w:style>
  <w:style w:type="paragraph" w:styleId="46">
    <w:name w:val="List Paragraph"/>
    <w:basedOn w:val="1"/>
    <w:qFormat/>
    <w:uiPriority w:val="34"/>
    <w:pPr>
      <w:ind w:firstLine="420" w:firstLineChars="200"/>
    </w:pPr>
  </w:style>
  <w:style w:type="paragraph" w:customStyle="1" w:styleId="47">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19209</Words>
  <Characters>19402</Characters>
  <Lines>692</Lines>
  <Paragraphs>594</Paragraphs>
  <TotalTime>70</TotalTime>
  <ScaleCrop>false</ScaleCrop>
  <LinksUpToDate>false</LinksUpToDate>
  <CharactersWithSpaces>38017</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2026-03-18T14:23:00Z</dcterms:created>
  <dc:creator>Administrator</dc:creator>
  <cp:lastModifiedBy>zhangjing1</cp:lastModifiedBy>
  <dcterms:modified xsi:type="dcterms:W3CDTF">2026-10-19T01:56:28Z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1433C604CB7B492D9678A1ED0545A350_13</vt:lpwstr>
  </property>
  <property fmtid="{D5CDD505-2E9C-101B-9397-08002B2CF9AE}" pid="4" name="KSOTemplateDocerSaveRecord">
    <vt:lpwstr>eyJoZGlkIjoiYmJlMTM1OTQzNjc4MDU2M2Q4N2QwZWU0ZjYyZTMyZmIiLCJ1c2VySWQiOiI2NTE1MDQyNjQifQ==</vt:lpwstr>
  </property>
</Properties>
</file>