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937F1" w14:textId="77777777" w:rsidR="00F633B7" w:rsidRPr="000C0420" w:rsidRDefault="00F633B7">
      <w:pPr>
        <w:rPr>
          <w:rFonts w:ascii="宋体" w:hAnsi="宋体"/>
          <w:color w:val="000000" w:themeColor="text1"/>
          <w:sz w:val="24"/>
        </w:rPr>
      </w:pPr>
      <w:bookmarkStart w:id="0" w:name="_GoBack"/>
      <w:bookmarkEnd w:id="0"/>
    </w:p>
    <w:p w14:paraId="5E393847" w14:textId="77777777" w:rsidR="00F633B7" w:rsidRPr="000C0420" w:rsidRDefault="00F633B7">
      <w:pPr>
        <w:tabs>
          <w:tab w:val="left" w:pos="3495"/>
        </w:tabs>
        <w:rPr>
          <w:rFonts w:eastAsia="黑体"/>
          <w:color w:val="000000" w:themeColor="text1"/>
          <w:sz w:val="52"/>
          <w:szCs w:val="52"/>
        </w:rPr>
      </w:pPr>
    </w:p>
    <w:p w14:paraId="5430E3CB" w14:textId="77777777" w:rsidR="00F633B7" w:rsidRPr="000C0420" w:rsidRDefault="00F633B7">
      <w:pPr>
        <w:tabs>
          <w:tab w:val="center" w:pos="4164"/>
          <w:tab w:val="left" w:pos="5455"/>
        </w:tabs>
        <w:ind w:rightChars="-8" w:right="-17"/>
        <w:jc w:val="center"/>
        <w:rPr>
          <w:rFonts w:eastAsia="黑体"/>
          <w:color w:val="000000" w:themeColor="text1"/>
          <w:sz w:val="52"/>
          <w:szCs w:val="52"/>
        </w:rPr>
      </w:pPr>
    </w:p>
    <w:p w14:paraId="729FC114" w14:textId="77777777" w:rsidR="00F633B7" w:rsidRPr="000C0420" w:rsidRDefault="00F633B7">
      <w:pPr>
        <w:tabs>
          <w:tab w:val="center" w:pos="4164"/>
          <w:tab w:val="left" w:pos="5455"/>
        </w:tabs>
        <w:ind w:rightChars="-8" w:right="-17"/>
        <w:jc w:val="center"/>
        <w:rPr>
          <w:rFonts w:eastAsia="黑体"/>
          <w:color w:val="000000" w:themeColor="text1"/>
          <w:sz w:val="52"/>
          <w:szCs w:val="52"/>
        </w:rPr>
      </w:pPr>
    </w:p>
    <w:p w14:paraId="75BF1067" w14:textId="77777777" w:rsidR="00F633B7" w:rsidRPr="000C0420" w:rsidRDefault="00F633B7">
      <w:pPr>
        <w:jc w:val="center"/>
        <w:rPr>
          <w:rFonts w:ascii="宋体" w:hAnsi="宋体"/>
          <w:color w:val="000000" w:themeColor="text1"/>
          <w:sz w:val="24"/>
        </w:rPr>
      </w:pPr>
    </w:p>
    <w:p w14:paraId="3DE52E3D" w14:textId="77777777" w:rsidR="00F633B7" w:rsidRPr="000C0420" w:rsidRDefault="00F633B7">
      <w:pPr>
        <w:jc w:val="center"/>
        <w:rPr>
          <w:b/>
          <w:color w:val="000000" w:themeColor="text1"/>
          <w:sz w:val="52"/>
          <w:szCs w:val="52"/>
        </w:rPr>
      </w:pPr>
    </w:p>
    <w:p w14:paraId="1C2BA684" w14:textId="77777777" w:rsidR="00F633B7" w:rsidRPr="000C0420" w:rsidRDefault="00F633B7">
      <w:pPr>
        <w:jc w:val="center"/>
        <w:rPr>
          <w:rFonts w:ascii="仿宋_GB2312" w:eastAsia="仿宋_GB2312"/>
          <w:b/>
          <w:color w:val="000000" w:themeColor="text1"/>
          <w:sz w:val="32"/>
          <w:szCs w:val="32"/>
        </w:rPr>
      </w:pPr>
    </w:p>
    <w:p w14:paraId="519FCCF3" w14:textId="61EE2EE8" w:rsidR="00F633B7" w:rsidRPr="000C0420" w:rsidRDefault="000A2CE7">
      <w:pPr>
        <w:jc w:val="center"/>
        <w:rPr>
          <w:rFonts w:ascii="黑体" w:eastAsia="黑体" w:hAnsi="黑体"/>
          <w:b/>
          <w:color w:val="000000" w:themeColor="text1"/>
          <w:sz w:val="44"/>
          <w:szCs w:val="44"/>
        </w:rPr>
      </w:pPr>
      <w:r w:rsidRPr="000C0420">
        <w:rPr>
          <w:rFonts w:ascii="黑体" w:eastAsia="黑体" w:hAnsi="黑体" w:hint="eastAsia"/>
          <w:b/>
          <w:color w:val="000000" w:themeColor="text1"/>
          <w:sz w:val="44"/>
          <w:szCs w:val="44"/>
        </w:rPr>
        <w:t>广发中</w:t>
      </w:r>
      <w:proofErr w:type="gramStart"/>
      <w:r w:rsidRPr="000C0420">
        <w:rPr>
          <w:rFonts w:ascii="黑体" w:eastAsia="黑体" w:hAnsi="黑体" w:hint="eastAsia"/>
          <w:b/>
          <w:color w:val="000000" w:themeColor="text1"/>
          <w:sz w:val="44"/>
          <w:szCs w:val="44"/>
        </w:rPr>
        <w:t>证工业</w:t>
      </w:r>
      <w:proofErr w:type="gramEnd"/>
      <w:r w:rsidRPr="000C0420">
        <w:rPr>
          <w:rFonts w:ascii="黑体" w:eastAsia="黑体" w:hAnsi="黑体" w:hint="eastAsia"/>
          <w:b/>
          <w:color w:val="000000" w:themeColor="text1"/>
          <w:sz w:val="44"/>
          <w:szCs w:val="44"/>
        </w:rPr>
        <w:t>有色金属主题交易型开放式指数证券投资基金托管协议</w:t>
      </w:r>
    </w:p>
    <w:p w14:paraId="7A866C8D" w14:textId="77777777" w:rsidR="00F633B7" w:rsidRPr="000C0420" w:rsidRDefault="00F633B7">
      <w:pPr>
        <w:jc w:val="center"/>
        <w:rPr>
          <w:rFonts w:ascii="宋体" w:hAnsi="宋体"/>
          <w:color w:val="000000" w:themeColor="text1"/>
          <w:sz w:val="44"/>
          <w:szCs w:val="44"/>
        </w:rPr>
      </w:pPr>
    </w:p>
    <w:p w14:paraId="11FF5B1B" w14:textId="77777777" w:rsidR="00F633B7" w:rsidRPr="000C0420" w:rsidRDefault="00F633B7">
      <w:pPr>
        <w:jc w:val="center"/>
        <w:rPr>
          <w:rFonts w:ascii="宋体" w:hAnsi="宋体"/>
          <w:color w:val="000000" w:themeColor="text1"/>
          <w:sz w:val="44"/>
          <w:szCs w:val="44"/>
        </w:rPr>
      </w:pPr>
    </w:p>
    <w:p w14:paraId="0C56D448" w14:textId="6BA6D7FB" w:rsidR="00F633B7" w:rsidRDefault="00F633B7">
      <w:pPr>
        <w:jc w:val="center"/>
        <w:rPr>
          <w:rFonts w:ascii="宋体" w:hAnsi="宋体"/>
          <w:color w:val="000000" w:themeColor="text1"/>
          <w:sz w:val="44"/>
          <w:szCs w:val="44"/>
        </w:rPr>
      </w:pPr>
    </w:p>
    <w:p w14:paraId="7AB8AB1F" w14:textId="1989B6AE" w:rsidR="002771A6" w:rsidRDefault="002771A6">
      <w:pPr>
        <w:jc w:val="center"/>
        <w:rPr>
          <w:rFonts w:ascii="宋体" w:hAnsi="宋体"/>
          <w:color w:val="000000" w:themeColor="text1"/>
          <w:sz w:val="44"/>
          <w:szCs w:val="44"/>
        </w:rPr>
      </w:pPr>
    </w:p>
    <w:p w14:paraId="5331F2C6" w14:textId="77777777" w:rsidR="002771A6" w:rsidRPr="000C0420" w:rsidRDefault="002771A6">
      <w:pPr>
        <w:jc w:val="center"/>
        <w:rPr>
          <w:rFonts w:ascii="宋体" w:hAnsi="宋体"/>
          <w:color w:val="000000" w:themeColor="text1"/>
          <w:sz w:val="44"/>
          <w:szCs w:val="44"/>
        </w:rPr>
      </w:pPr>
    </w:p>
    <w:p w14:paraId="7A1A8DD8" w14:textId="77777777" w:rsidR="00F633B7" w:rsidRPr="000C0420" w:rsidRDefault="00F633B7">
      <w:pPr>
        <w:jc w:val="center"/>
        <w:rPr>
          <w:rFonts w:ascii="宋体" w:hAnsi="宋体"/>
          <w:color w:val="000000" w:themeColor="text1"/>
          <w:sz w:val="44"/>
          <w:szCs w:val="44"/>
        </w:rPr>
      </w:pPr>
    </w:p>
    <w:p w14:paraId="67C08071" w14:textId="77777777" w:rsidR="00F633B7" w:rsidRPr="000C0420" w:rsidRDefault="00F633B7">
      <w:pPr>
        <w:rPr>
          <w:rFonts w:ascii="宋体"/>
          <w:color w:val="000000" w:themeColor="text1"/>
          <w:sz w:val="30"/>
        </w:rPr>
      </w:pPr>
    </w:p>
    <w:p w14:paraId="5F0C5B52" w14:textId="77777777" w:rsidR="00F633B7" w:rsidRPr="000C0420" w:rsidRDefault="000A2CE7">
      <w:pPr>
        <w:ind w:leftChars="540" w:left="1135" w:hanging="1"/>
        <w:jc w:val="left"/>
        <w:rPr>
          <w:color w:val="000000" w:themeColor="text1"/>
          <w:sz w:val="32"/>
          <w:szCs w:val="32"/>
        </w:rPr>
      </w:pPr>
      <w:bookmarkStart w:id="1" w:name="_Toc382819065"/>
      <w:bookmarkStart w:id="2" w:name="_Toc382818591"/>
      <w:r w:rsidRPr="000C0420">
        <w:rPr>
          <w:rFonts w:hint="eastAsia"/>
          <w:color w:val="000000" w:themeColor="text1"/>
          <w:sz w:val="32"/>
          <w:szCs w:val="32"/>
        </w:rPr>
        <w:t>基金管理人：</w:t>
      </w:r>
      <w:bookmarkEnd w:id="1"/>
      <w:bookmarkEnd w:id="2"/>
      <w:r w:rsidRPr="000C0420">
        <w:rPr>
          <w:rFonts w:hint="eastAsia"/>
          <w:color w:val="000000" w:themeColor="text1"/>
          <w:sz w:val="32"/>
          <w:szCs w:val="32"/>
        </w:rPr>
        <w:t>广发基金管理有限公司</w:t>
      </w:r>
      <w:r w:rsidRPr="000C0420">
        <w:rPr>
          <w:color w:val="000000" w:themeColor="text1"/>
          <w:sz w:val="32"/>
          <w:szCs w:val="32"/>
        </w:rPr>
        <w:t xml:space="preserve">                            </w:t>
      </w:r>
    </w:p>
    <w:p w14:paraId="781844AF" w14:textId="77777777" w:rsidR="00F633B7" w:rsidRPr="000C0420" w:rsidRDefault="000A2CE7">
      <w:pPr>
        <w:ind w:leftChars="540" w:left="1135" w:hanging="1"/>
        <w:jc w:val="left"/>
        <w:rPr>
          <w:color w:val="000000" w:themeColor="text1"/>
          <w:sz w:val="32"/>
          <w:szCs w:val="32"/>
        </w:rPr>
      </w:pPr>
      <w:bookmarkStart w:id="3" w:name="_Toc382818592"/>
      <w:bookmarkStart w:id="4" w:name="_Toc382819066"/>
      <w:r w:rsidRPr="000C0420">
        <w:rPr>
          <w:rFonts w:hint="eastAsia"/>
          <w:color w:val="000000" w:themeColor="text1"/>
          <w:sz w:val="32"/>
          <w:szCs w:val="32"/>
        </w:rPr>
        <w:t>基金托管人：上海浦东发展银行股份有限公司</w:t>
      </w:r>
      <w:bookmarkEnd w:id="3"/>
      <w:bookmarkEnd w:id="4"/>
    </w:p>
    <w:p w14:paraId="560FDCFE" w14:textId="77777777" w:rsidR="00F633B7" w:rsidRPr="000C0420" w:rsidRDefault="000A2CE7">
      <w:pPr>
        <w:spacing w:line="500" w:lineRule="atLeast"/>
        <w:jc w:val="center"/>
        <w:outlineLvl w:val="0"/>
        <w:rPr>
          <w:rFonts w:ascii="黑体" w:eastAsia="黑体" w:hAnsi="宋体"/>
          <w:b/>
          <w:color w:val="000000" w:themeColor="text1"/>
          <w:sz w:val="28"/>
          <w:szCs w:val="28"/>
        </w:rPr>
      </w:pPr>
      <w:r w:rsidRPr="000C0420">
        <w:rPr>
          <w:rFonts w:ascii="黑体" w:eastAsia="黑体" w:hAnsi="宋体" w:hint="eastAsia"/>
          <w:b/>
          <w:color w:val="000000" w:themeColor="text1"/>
          <w:sz w:val="28"/>
          <w:szCs w:val="28"/>
        </w:rPr>
        <w:br w:type="page"/>
      </w:r>
      <w:bookmarkStart w:id="5" w:name="_Toc382818593"/>
      <w:bookmarkStart w:id="6" w:name="_Toc382819067"/>
    </w:p>
    <w:p w14:paraId="399DDA02" w14:textId="77777777" w:rsidR="00F633B7" w:rsidRPr="000C0420" w:rsidRDefault="000A2CE7">
      <w:pPr>
        <w:spacing w:line="500" w:lineRule="atLeast"/>
        <w:jc w:val="center"/>
        <w:outlineLvl w:val="0"/>
        <w:rPr>
          <w:rFonts w:ascii="宋体" w:hAnsi="宋体"/>
          <w:b/>
          <w:color w:val="000000" w:themeColor="text1"/>
          <w:sz w:val="36"/>
          <w:szCs w:val="28"/>
        </w:rPr>
      </w:pPr>
      <w:r w:rsidRPr="000C0420">
        <w:rPr>
          <w:rFonts w:ascii="宋体" w:hAnsi="宋体" w:hint="eastAsia"/>
          <w:b/>
          <w:color w:val="000000" w:themeColor="text1"/>
          <w:sz w:val="32"/>
          <w:szCs w:val="28"/>
        </w:rPr>
        <w:lastRenderedPageBreak/>
        <w:t>目 录</w:t>
      </w:r>
      <w:bookmarkEnd w:id="5"/>
      <w:bookmarkEnd w:id="6"/>
    </w:p>
    <w:p w14:paraId="77C1617B" w14:textId="77777777" w:rsidR="00F633B7" w:rsidRPr="000C0420" w:rsidRDefault="000A2CE7">
      <w:pPr>
        <w:pStyle w:val="11"/>
        <w:tabs>
          <w:tab w:val="left" w:pos="440"/>
          <w:tab w:val="right" w:leader="dot" w:pos="8296"/>
        </w:tabs>
        <w:spacing w:line="360" w:lineRule="auto"/>
        <w:rPr>
          <w:rFonts w:ascii="Calibri" w:hAnsi="Calibri"/>
          <w:noProof/>
          <w:color w:val="000000" w:themeColor="text1"/>
          <w:szCs w:val="21"/>
        </w:rPr>
      </w:pPr>
      <w:r w:rsidRPr="000C0420">
        <w:rPr>
          <w:rFonts w:ascii="宋体" w:hAnsi="宋体"/>
          <w:color w:val="000000" w:themeColor="text1"/>
          <w:szCs w:val="21"/>
        </w:rPr>
        <w:fldChar w:fldCharType="begin"/>
      </w:r>
      <w:r w:rsidRPr="000C0420">
        <w:rPr>
          <w:rFonts w:ascii="宋体" w:hAnsi="宋体"/>
          <w:color w:val="000000" w:themeColor="text1"/>
          <w:szCs w:val="21"/>
        </w:rPr>
        <w:instrText xml:space="preserve"> TOC \o "1-3" \h \z \u </w:instrText>
      </w:r>
      <w:r w:rsidRPr="000C0420">
        <w:rPr>
          <w:rFonts w:ascii="宋体" w:hAnsi="宋体"/>
          <w:color w:val="000000" w:themeColor="text1"/>
          <w:szCs w:val="21"/>
        </w:rPr>
        <w:fldChar w:fldCharType="separate"/>
      </w:r>
    </w:p>
    <w:p w14:paraId="50C594F5" w14:textId="38403DDE"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71" w:history="1">
        <w:r w:rsidR="000A2CE7" w:rsidRPr="000C0420">
          <w:rPr>
            <w:rStyle w:val="af2"/>
            <w:rFonts w:ascii="宋体" w:hAnsi="宋体" w:cs="Arial" w:hint="eastAsia"/>
            <w:noProof/>
            <w:color w:val="000000" w:themeColor="text1"/>
            <w:szCs w:val="21"/>
          </w:rPr>
          <w:t>一、</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基金托管协议的依据、目的、原则和解释</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_Toc382819071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w:t>
        </w:r>
        <w:r w:rsidR="000A2CE7" w:rsidRPr="000C0420">
          <w:rPr>
            <w:noProof/>
            <w:color w:val="000000" w:themeColor="text1"/>
            <w:szCs w:val="21"/>
          </w:rPr>
          <w:fldChar w:fldCharType="end"/>
        </w:r>
      </w:hyperlink>
    </w:p>
    <w:p w14:paraId="46F05CC9" w14:textId="3E3DFE74"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72" w:history="1">
        <w:r w:rsidR="000A2CE7" w:rsidRPr="000C0420">
          <w:rPr>
            <w:rStyle w:val="af2"/>
            <w:rFonts w:ascii="宋体" w:hAnsi="宋体" w:cs="Arial" w:hint="eastAsia"/>
            <w:noProof/>
            <w:color w:val="000000" w:themeColor="text1"/>
            <w:szCs w:val="21"/>
          </w:rPr>
          <w:t>二、</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基金托管人对基金管理人的业务监督和核查</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_Toc382819072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w:t>
        </w:r>
        <w:r w:rsidR="000A2CE7" w:rsidRPr="000C0420">
          <w:rPr>
            <w:noProof/>
            <w:color w:val="000000" w:themeColor="text1"/>
            <w:szCs w:val="21"/>
          </w:rPr>
          <w:fldChar w:fldCharType="end"/>
        </w:r>
      </w:hyperlink>
    </w:p>
    <w:p w14:paraId="0E24666F" w14:textId="52A0574C"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76" w:history="1">
        <w:r w:rsidR="000A2CE7" w:rsidRPr="000C0420">
          <w:rPr>
            <w:rStyle w:val="af2"/>
            <w:rFonts w:ascii="宋体" w:hAnsi="宋体" w:cs="Arial" w:hint="eastAsia"/>
            <w:noProof/>
            <w:color w:val="000000" w:themeColor="text1"/>
            <w:szCs w:val="21"/>
          </w:rPr>
          <w:t>三、</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基金管理人对基金托管人的业务核查</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_Toc382819076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10</w:t>
        </w:r>
        <w:r w:rsidR="000A2CE7" w:rsidRPr="000C0420">
          <w:rPr>
            <w:noProof/>
            <w:color w:val="000000" w:themeColor="text1"/>
            <w:szCs w:val="21"/>
          </w:rPr>
          <w:fldChar w:fldCharType="end"/>
        </w:r>
      </w:hyperlink>
    </w:p>
    <w:p w14:paraId="257A7AE1" w14:textId="79F4A3E9"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78" w:history="1">
        <w:r w:rsidR="000A2CE7" w:rsidRPr="000C0420">
          <w:rPr>
            <w:rStyle w:val="af2"/>
            <w:rFonts w:ascii="宋体" w:hAnsi="宋体" w:cs="Arial" w:hint="eastAsia"/>
            <w:noProof/>
            <w:color w:val="000000" w:themeColor="text1"/>
            <w:szCs w:val="21"/>
          </w:rPr>
          <w:t>四、</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基金财产保管</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_Toc382819078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10</w:t>
        </w:r>
        <w:r w:rsidR="000A2CE7" w:rsidRPr="000C0420">
          <w:rPr>
            <w:noProof/>
            <w:color w:val="000000" w:themeColor="text1"/>
            <w:szCs w:val="21"/>
          </w:rPr>
          <w:fldChar w:fldCharType="end"/>
        </w:r>
      </w:hyperlink>
    </w:p>
    <w:p w14:paraId="66C8D94F" w14:textId="1EEEE465"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88" w:history="1">
        <w:r w:rsidR="000A2CE7" w:rsidRPr="000C0420">
          <w:rPr>
            <w:rStyle w:val="af2"/>
            <w:rFonts w:ascii="宋体" w:hAnsi="宋体" w:cs="Arial" w:hint="eastAsia"/>
            <w:noProof/>
            <w:color w:val="000000" w:themeColor="text1"/>
            <w:szCs w:val="21"/>
          </w:rPr>
          <w:t>五、</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指令的发送、确认和执行</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_Toc382819088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14</w:t>
        </w:r>
        <w:r w:rsidR="000A2CE7" w:rsidRPr="000C0420">
          <w:rPr>
            <w:noProof/>
            <w:color w:val="000000" w:themeColor="text1"/>
            <w:szCs w:val="21"/>
          </w:rPr>
          <w:fldChar w:fldCharType="end"/>
        </w:r>
      </w:hyperlink>
    </w:p>
    <w:p w14:paraId="4245A828" w14:textId="033B5E4D"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097" w:history="1">
        <w:r w:rsidR="000A2CE7" w:rsidRPr="000C0420">
          <w:rPr>
            <w:rStyle w:val="af2"/>
            <w:rFonts w:ascii="宋体" w:hAnsi="宋体" w:cs="Arial" w:hint="eastAsia"/>
            <w:noProof/>
            <w:color w:val="000000" w:themeColor="text1"/>
            <w:szCs w:val="21"/>
          </w:rPr>
          <w:t>六、</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交易及清算交收安排</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_Toc382819097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17</w:t>
        </w:r>
        <w:r w:rsidR="000A2CE7" w:rsidRPr="000C0420">
          <w:rPr>
            <w:noProof/>
            <w:color w:val="000000" w:themeColor="text1"/>
            <w:szCs w:val="21"/>
          </w:rPr>
          <w:fldChar w:fldCharType="end"/>
        </w:r>
      </w:hyperlink>
    </w:p>
    <w:p w14:paraId="0550D50F" w14:textId="76F30C66"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03" w:history="1">
        <w:r w:rsidR="000A2CE7" w:rsidRPr="000C0420">
          <w:rPr>
            <w:rStyle w:val="af2"/>
            <w:rFonts w:ascii="宋体" w:hAnsi="宋体" w:cs="Arial" w:hint="eastAsia"/>
            <w:noProof/>
            <w:color w:val="000000" w:themeColor="text1"/>
            <w:szCs w:val="21"/>
          </w:rPr>
          <w:t>七、</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基金资产净值计算和会计核算</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_Toc382819103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20</w:t>
        </w:r>
        <w:r w:rsidR="000A2CE7" w:rsidRPr="000C0420">
          <w:rPr>
            <w:noProof/>
            <w:color w:val="000000" w:themeColor="text1"/>
            <w:szCs w:val="21"/>
          </w:rPr>
          <w:fldChar w:fldCharType="end"/>
        </w:r>
      </w:hyperlink>
    </w:p>
    <w:p w14:paraId="090A61B7" w14:textId="700882CA"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18" w:history="1">
        <w:r w:rsidR="000A2CE7" w:rsidRPr="000C0420">
          <w:rPr>
            <w:rStyle w:val="af2"/>
            <w:rFonts w:ascii="宋体" w:hAnsi="宋体" w:cs="Arial" w:hint="eastAsia"/>
            <w:noProof/>
            <w:color w:val="000000" w:themeColor="text1"/>
            <w:szCs w:val="21"/>
          </w:rPr>
          <w:t>八、</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基金收益分配</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_Toc382819118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23</w:t>
        </w:r>
        <w:r w:rsidR="000A2CE7" w:rsidRPr="000C0420">
          <w:rPr>
            <w:noProof/>
            <w:color w:val="000000" w:themeColor="text1"/>
            <w:szCs w:val="21"/>
          </w:rPr>
          <w:fldChar w:fldCharType="end"/>
        </w:r>
      </w:hyperlink>
    </w:p>
    <w:p w14:paraId="6E5364F9" w14:textId="2AEEFF15"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21" w:history="1">
        <w:r w:rsidR="000A2CE7" w:rsidRPr="000C0420">
          <w:rPr>
            <w:rStyle w:val="af2"/>
            <w:rFonts w:ascii="宋体" w:hAnsi="宋体" w:cs="Arial" w:hint="eastAsia"/>
            <w:noProof/>
            <w:color w:val="000000" w:themeColor="text1"/>
            <w:szCs w:val="21"/>
          </w:rPr>
          <w:t>九、</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信息披露</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_Toc382819121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23</w:t>
        </w:r>
        <w:r w:rsidR="000A2CE7" w:rsidRPr="000C0420">
          <w:rPr>
            <w:noProof/>
            <w:color w:val="000000" w:themeColor="text1"/>
            <w:szCs w:val="21"/>
          </w:rPr>
          <w:fldChar w:fldCharType="end"/>
        </w:r>
      </w:hyperlink>
    </w:p>
    <w:p w14:paraId="105586D7" w14:textId="3A281DDE"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25" w:history="1">
        <w:r w:rsidR="000A2CE7" w:rsidRPr="000C0420">
          <w:rPr>
            <w:rStyle w:val="af2"/>
            <w:rFonts w:ascii="宋体" w:hAnsi="宋体" w:cs="Arial" w:hint="eastAsia"/>
            <w:noProof/>
            <w:color w:val="000000" w:themeColor="text1"/>
            <w:szCs w:val="21"/>
          </w:rPr>
          <w:t>十、</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托管费用</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_Toc382819125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25</w:t>
        </w:r>
        <w:r w:rsidR="000A2CE7" w:rsidRPr="000C0420">
          <w:rPr>
            <w:noProof/>
            <w:color w:val="000000" w:themeColor="text1"/>
            <w:szCs w:val="21"/>
          </w:rPr>
          <w:fldChar w:fldCharType="end"/>
        </w:r>
      </w:hyperlink>
    </w:p>
    <w:p w14:paraId="3C22AC9D" w14:textId="65F8D5DF"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26" w:history="1">
        <w:r w:rsidR="000A2CE7" w:rsidRPr="000C0420">
          <w:rPr>
            <w:rStyle w:val="af2"/>
            <w:rFonts w:ascii="宋体" w:hAnsi="宋体" w:cs="Arial" w:hint="eastAsia"/>
            <w:noProof/>
            <w:color w:val="000000" w:themeColor="text1"/>
            <w:szCs w:val="21"/>
          </w:rPr>
          <w:t>十一、</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基金份额持有人名册的保管</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_Toc382819126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25</w:t>
        </w:r>
        <w:r w:rsidR="000A2CE7" w:rsidRPr="000C0420">
          <w:rPr>
            <w:noProof/>
            <w:color w:val="000000" w:themeColor="text1"/>
            <w:szCs w:val="21"/>
          </w:rPr>
          <w:fldChar w:fldCharType="end"/>
        </w:r>
      </w:hyperlink>
    </w:p>
    <w:p w14:paraId="1944D9F4" w14:textId="4987A44E"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27" w:history="1">
        <w:r w:rsidR="000A2CE7" w:rsidRPr="000C0420">
          <w:rPr>
            <w:rStyle w:val="af2"/>
            <w:rFonts w:ascii="宋体" w:hAnsi="宋体" w:cs="Arial" w:hint="eastAsia"/>
            <w:noProof/>
            <w:color w:val="000000" w:themeColor="text1"/>
            <w:szCs w:val="21"/>
          </w:rPr>
          <w:t>十二、</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基金有关文件和档案的保存</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_Toc382819127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26</w:t>
        </w:r>
        <w:r w:rsidR="000A2CE7" w:rsidRPr="000C0420">
          <w:rPr>
            <w:noProof/>
            <w:color w:val="000000" w:themeColor="text1"/>
            <w:szCs w:val="21"/>
          </w:rPr>
          <w:fldChar w:fldCharType="end"/>
        </w:r>
      </w:hyperlink>
    </w:p>
    <w:p w14:paraId="016A3418" w14:textId="2CA3DC7D"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28" w:history="1">
        <w:r w:rsidR="000A2CE7" w:rsidRPr="000C0420">
          <w:rPr>
            <w:rStyle w:val="af2"/>
            <w:rFonts w:ascii="宋体" w:hAnsi="宋体" w:cs="Arial" w:hint="eastAsia"/>
            <w:noProof/>
            <w:color w:val="000000" w:themeColor="text1"/>
            <w:szCs w:val="21"/>
          </w:rPr>
          <w:t>十三、</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基金管理人和基金托管人的更换</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_Toc382819128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26</w:t>
        </w:r>
        <w:r w:rsidR="000A2CE7" w:rsidRPr="000C0420">
          <w:rPr>
            <w:noProof/>
            <w:color w:val="000000" w:themeColor="text1"/>
            <w:szCs w:val="21"/>
          </w:rPr>
          <w:fldChar w:fldCharType="end"/>
        </w:r>
      </w:hyperlink>
    </w:p>
    <w:p w14:paraId="625D3703" w14:textId="01AAD4ED"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1" w:history="1">
        <w:r w:rsidR="000A2CE7" w:rsidRPr="000C0420">
          <w:rPr>
            <w:rStyle w:val="af2"/>
            <w:rFonts w:ascii="宋体" w:hAnsi="宋体" w:cs="Arial" w:hint="eastAsia"/>
            <w:noProof/>
            <w:color w:val="000000" w:themeColor="text1"/>
            <w:szCs w:val="21"/>
          </w:rPr>
          <w:t>十四、</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禁止行为</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_Toc382819131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29</w:t>
        </w:r>
        <w:r w:rsidR="000A2CE7" w:rsidRPr="000C0420">
          <w:rPr>
            <w:noProof/>
            <w:color w:val="000000" w:themeColor="text1"/>
            <w:szCs w:val="21"/>
          </w:rPr>
          <w:fldChar w:fldCharType="end"/>
        </w:r>
      </w:hyperlink>
    </w:p>
    <w:p w14:paraId="2D145412" w14:textId="43D9943B"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2" w:history="1">
        <w:r w:rsidR="000A2CE7" w:rsidRPr="000C0420">
          <w:rPr>
            <w:rStyle w:val="af2"/>
            <w:rFonts w:ascii="宋体" w:hAnsi="宋体" w:cs="Arial" w:hint="eastAsia"/>
            <w:noProof/>
            <w:color w:val="000000" w:themeColor="text1"/>
            <w:szCs w:val="21"/>
          </w:rPr>
          <w:t>十五、</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基金托管协议的变更、终止与基金财产的清算</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_Toc382819132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30</w:t>
        </w:r>
        <w:r w:rsidR="000A2CE7" w:rsidRPr="000C0420">
          <w:rPr>
            <w:noProof/>
            <w:color w:val="000000" w:themeColor="text1"/>
            <w:szCs w:val="21"/>
          </w:rPr>
          <w:fldChar w:fldCharType="end"/>
        </w:r>
      </w:hyperlink>
    </w:p>
    <w:p w14:paraId="7FE9FDA4" w14:textId="513A1BB3"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3" w:history="1">
        <w:r w:rsidR="000A2CE7" w:rsidRPr="000C0420">
          <w:rPr>
            <w:rStyle w:val="af2"/>
            <w:rFonts w:ascii="宋体" w:hAnsi="宋体" w:cs="Arial" w:hint="eastAsia"/>
            <w:noProof/>
            <w:color w:val="000000" w:themeColor="text1"/>
            <w:szCs w:val="21"/>
          </w:rPr>
          <w:t>十六、</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违约责任</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_Toc382819133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32</w:t>
        </w:r>
        <w:r w:rsidR="000A2CE7" w:rsidRPr="000C0420">
          <w:rPr>
            <w:noProof/>
            <w:color w:val="000000" w:themeColor="text1"/>
            <w:szCs w:val="21"/>
          </w:rPr>
          <w:fldChar w:fldCharType="end"/>
        </w:r>
      </w:hyperlink>
    </w:p>
    <w:p w14:paraId="4EB48B3E" w14:textId="33855967"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4" w:history="1">
        <w:r w:rsidR="000A2CE7" w:rsidRPr="000C0420">
          <w:rPr>
            <w:rStyle w:val="af2"/>
            <w:rFonts w:ascii="宋体" w:hAnsi="宋体" w:cs="Arial" w:hint="eastAsia"/>
            <w:noProof/>
            <w:color w:val="000000" w:themeColor="text1"/>
            <w:szCs w:val="21"/>
          </w:rPr>
          <w:t>十七、</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适用法律及争议解决方式</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_Toc382819134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33</w:t>
        </w:r>
        <w:r w:rsidR="000A2CE7" w:rsidRPr="000C0420">
          <w:rPr>
            <w:noProof/>
            <w:color w:val="000000" w:themeColor="text1"/>
            <w:szCs w:val="21"/>
          </w:rPr>
          <w:fldChar w:fldCharType="end"/>
        </w:r>
      </w:hyperlink>
    </w:p>
    <w:p w14:paraId="7F4E9D5D" w14:textId="354EDDBA"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5" w:history="1">
        <w:r w:rsidR="000A2CE7" w:rsidRPr="000C0420">
          <w:rPr>
            <w:rStyle w:val="af2"/>
            <w:rFonts w:ascii="宋体" w:hAnsi="宋体" w:cs="Arial" w:hint="eastAsia"/>
            <w:noProof/>
            <w:color w:val="000000" w:themeColor="text1"/>
            <w:szCs w:val="21"/>
          </w:rPr>
          <w:t>十八、</w:t>
        </w:r>
        <w:r w:rsidR="000A2CE7" w:rsidRPr="000C0420">
          <w:rPr>
            <w:rStyle w:val="af2"/>
            <w:rFonts w:ascii="宋体" w:hAnsi="宋体" w:cs="Arial"/>
            <w:noProof/>
            <w:color w:val="000000" w:themeColor="text1"/>
            <w:szCs w:val="21"/>
          </w:rPr>
          <w:t xml:space="preserve"> </w:t>
        </w:r>
        <w:r w:rsidR="000A2CE7" w:rsidRPr="000C0420">
          <w:rPr>
            <w:rStyle w:val="af2"/>
            <w:rFonts w:ascii="宋体" w:hAnsi="宋体" w:cs="Arial" w:hint="eastAsia"/>
            <w:noProof/>
            <w:color w:val="000000" w:themeColor="text1"/>
            <w:szCs w:val="21"/>
          </w:rPr>
          <w:t>基金托管协议的效力和文本</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_Toc382819135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33</w:t>
        </w:r>
        <w:r w:rsidR="000A2CE7" w:rsidRPr="000C0420">
          <w:rPr>
            <w:noProof/>
            <w:color w:val="000000" w:themeColor="text1"/>
            <w:szCs w:val="21"/>
          </w:rPr>
          <w:fldChar w:fldCharType="end"/>
        </w:r>
      </w:hyperlink>
    </w:p>
    <w:p w14:paraId="05F802CF" w14:textId="6FEEA281" w:rsidR="00F633B7" w:rsidRPr="000C0420" w:rsidRDefault="00DE6DC3">
      <w:pPr>
        <w:pStyle w:val="11"/>
        <w:tabs>
          <w:tab w:val="right" w:leader="dot" w:pos="8296"/>
        </w:tabs>
        <w:spacing w:line="360" w:lineRule="auto"/>
        <w:rPr>
          <w:rFonts w:ascii="Calibri" w:hAnsi="Calibri"/>
          <w:noProof/>
          <w:color w:val="000000" w:themeColor="text1"/>
          <w:szCs w:val="21"/>
        </w:rPr>
      </w:pPr>
      <w:hyperlink w:anchor="_Toc382819136" w:history="1">
        <w:r w:rsidR="000A2CE7" w:rsidRPr="000C0420">
          <w:rPr>
            <w:rStyle w:val="af2"/>
            <w:rFonts w:ascii="宋体" w:hAnsi="宋体" w:hint="eastAsia"/>
            <w:noProof/>
            <w:color w:val="000000" w:themeColor="text1"/>
            <w:szCs w:val="21"/>
          </w:rPr>
          <w:t>十九、</w:t>
        </w:r>
        <w:r w:rsidR="000A2CE7" w:rsidRPr="000C0420">
          <w:rPr>
            <w:rStyle w:val="af2"/>
            <w:rFonts w:ascii="宋体" w:hAnsi="宋体" w:cs="Arial"/>
            <w:noProof/>
            <w:color w:val="000000" w:themeColor="text1"/>
            <w:szCs w:val="21"/>
          </w:rPr>
          <w:t xml:space="preserve"> 其他事项</w:t>
        </w:r>
        <w:r w:rsidR="000A2CE7" w:rsidRPr="000C0420">
          <w:rPr>
            <w:noProof/>
            <w:color w:val="000000" w:themeColor="text1"/>
            <w:szCs w:val="21"/>
          </w:rPr>
          <w:tab/>
        </w:r>
        <w:r w:rsidR="000A2CE7" w:rsidRPr="000C0420">
          <w:rPr>
            <w:noProof/>
            <w:color w:val="000000" w:themeColor="text1"/>
            <w:szCs w:val="21"/>
          </w:rPr>
          <w:fldChar w:fldCharType="begin"/>
        </w:r>
        <w:r w:rsidR="000A2CE7" w:rsidRPr="000C0420">
          <w:rPr>
            <w:noProof/>
            <w:color w:val="000000" w:themeColor="text1"/>
            <w:szCs w:val="21"/>
          </w:rPr>
          <w:instrText xml:space="preserve"> PAGEREF _Toc382819136 \h </w:instrText>
        </w:r>
        <w:r w:rsidR="000A2CE7" w:rsidRPr="000C0420">
          <w:rPr>
            <w:noProof/>
            <w:color w:val="000000" w:themeColor="text1"/>
            <w:szCs w:val="21"/>
          </w:rPr>
        </w:r>
        <w:r w:rsidR="000A2CE7" w:rsidRPr="000C0420">
          <w:rPr>
            <w:noProof/>
            <w:color w:val="000000" w:themeColor="text1"/>
            <w:szCs w:val="21"/>
          </w:rPr>
          <w:fldChar w:fldCharType="separate"/>
        </w:r>
        <w:r w:rsidR="00B12A3A">
          <w:rPr>
            <w:noProof/>
            <w:color w:val="000000" w:themeColor="text1"/>
            <w:szCs w:val="21"/>
          </w:rPr>
          <w:t>33</w:t>
        </w:r>
        <w:r w:rsidR="000A2CE7" w:rsidRPr="000C0420">
          <w:rPr>
            <w:noProof/>
            <w:color w:val="000000" w:themeColor="text1"/>
            <w:szCs w:val="21"/>
          </w:rPr>
          <w:fldChar w:fldCharType="end"/>
        </w:r>
      </w:hyperlink>
    </w:p>
    <w:p w14:paraId="169062CB" w14:textId="77777777" w:rsidR="00F633B7" w:rsidRPr="000C0420" w:rsidRDefault="000A2CE7">
      <w:pPr>
        <w:spacing w:line="360" w:lineRule="auto"/>
        <w:rPr>
          <w:rFonts w:ascii="仿宋_GB2312" w:eastAsia="仿宋_GB2312"/>
          <w:color w:val="000000" w:themeColor="text1"/>
          <w:sz w:val="24"/>
        </w:rPr>
        <w:sectPr w:rsidR="00F633B7" w:rsidRPr="000C0420">
          <w:headerReference w:type="default" r:id="rId11"/>
          <w:footerReference w:type="default" r:id="rId12"/>
          <w:pgSz w:w="11906" w:h="16838"/>
          <w:pgMar w:top="1440" w:right="1800" w:bottom="1440" w:left="1800" w:header="851" w:footer="992" w:gutter="0"/>
          <w:pgNumType w:start="1"/>
          <w:cols w:space="720"/>
          <w:docGrid w:type="lines" w:linePitch="312"/>
        </w:sectPr>
      </w:pPr>
      <w:r w:rsidRPr="000C0420">
        <w:rPr>
          <w:rFonts w:ascii="宋体" w:hAnsi="宋体"/>
          <w:color w:val="000000" w:themeColor="text1"/>
          <w:szCs w:val="21"/>
        </w:rPr>
        <w:fldChar w:fldCharType="end"/>
      </w:r>
    </w:p>
    <w:p w14:paraId="3C2AC3F0" w14:textId="77777777" w:rsidR="00F633B7" w:rsidRPr="000C0420" w:rsidRDefault="00F633B7">
      <w:pPr>
        <w:rPr>
          <w:color w:val="000000" w:themeColor="text1"/>
          <w:lang w:val="zh-CN"/>
        </w:rPr>
      </w:pPr>
    </w:p>
    <w:p w14:paraId="4FAB9EE2" w14:textId="77777777" w:rsidR="00F633B7" w:rsidRPr="000C0420" w:rsidRDefault="000A2CE7">
      <w:pPr>
        <w:spacing w:line="360" w:lineRule="auto"/>
        <w:ind w:firstLineChars="200" w:firstLine="422"/>
        <w:rPr>
          <w:rFonts w:ascii="宋体" w:hAnsi="宋体"/>
          <w:color w:val="000000" w:themeColor="text1"/>
          <w:szCs w:val="21"/>
        </w:rPr>
      </w:pPr>
      <w:bookmarkStart w:id="7" w:name="_Toc382819069"/>
      <w:r w:rsidRPr="000C0420">
        <w:rPr>
          <w:rFonts w:ascii="宋体" w:hAnsi="宋体" w:hint="eastAsia"/>
          <w:b/>
          <w:color w:val="000000" w:themeColor="text1"/>
          <w:szCs w:val="21"/>
        </w:rPr>
        <w:t>基金管理人：</w:t>
      </w:r>
      <w:bookmarkEnd w:id="7"/>
      <w:r w:rsidRPr="000C0420">
        <w:rPr>
          <w:rFonts w:ascii="宋体" w:hAnsi="宋体" w:hint="eastAsia"/>
          <w:b/>
          <w:color w:val="000000" w:themeColor="text1"/>
          <w:szCs w:val="21"/>
        </w:rPr>
        <w:t>广发基金管理有限公司</w:t>
      </w:r>
    </w:p>
    <w:p w14:paraId="05FB35F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住所：广东省珠海市横琴新区环岛东路3018号2608室</w:t>
      </w:r>
    </w:p>
    <w:p w14:paraId="11532EB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法定代表人：葛长伟</w:t>
      </w:r>
    </w:p>
    <w:p w14:paraId="3F33C30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成立时间：2003年8月5日</w:t>
      </w:r>
    </w:p>
    <w:p w14:paraId="3FCCAA6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批准设立机关及批准设立文号：中国证券监督管理委员会证</w:t>
      </w:r>
      <w:proofErr w:type="gramStart"/>
      <w:r w:rsidRPr="000C0420">
        <w:rPr>
          <w:rFonts w:ascii="宋体" w:hAnsi="宋体" w:hint="eastAsia"/>
          <w:color w:val="000000" w:themeColor="text1"/>
          <w:szCs w:val="21"/>
        </w:rPr>
        <w:t>监基金字</w:t>
      </w:r>
      <w:proofErr w:type="gramEnd"/>
      <w:r w:rsidRPr="000C0420">
        <w:rPr>
          <w:rFonts w:ascii="宋体" w:hAnsi="宋体" w:hint="eastAsia"/>
          <w:color w:val="000000" w:themeColor="text1"/>
          <w:szCs w:val="21"/>
        </w:rPr>
        <w:t>[2003]91号</w:t>
      </w:r>
    </w:p>
    <w:p w14:paraId="29B1C4E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组织形式: 有限责任公司</w:t>
      </w:r>
    </w:p>
    <w:p w14:paraId="23DB8E1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注册资本： 14,097.8万元人民币</w:t>
      </w:r>
    </w:p>
    <w:p w14:paraId="38E6B65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经营期限：持续经营</w:t>
      </w:r>
      <w:r w:rsidRPr="000C0420">
        <w:rPr>
          <w:rFonts w:ascii="宋体" w:hAnsi="宋体"/>
          <w:color w:val="000000" w:themeColor="text1"/>
          <w:szCs w:val="21"/>
        </w:rPr>
        <w:t xml:space="preserve"> </w:t>
      </w:r>
    </w:p>
    <w:p w14:paraId="05EED57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电话：020-83936666</w:t>
      </w:r>
    </w:p>
    <w:p w14:paraId="3681161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联系人：项军</w:t>
      </w:r>
    </w:p>
    <w:p w14:paraId="11396FF6" w14:textId="77777777" w:rsidR="00F633B7" w:rsidRPr="000C0420" w:rsidRDefault="00F633B7">
      <w:pPr>
        <w:spacing w:line="360" w:lineRule="auto"/>
        <w:rPr>
          <w:rFonts w:ascii="宋体" w:hAnsi="宋体"/>
          <w:color w:val="000000" w:themeColor="text1"/>
          <w:szCs w:val="21"/>
        </w:rPr>
      </w:pPr>
    </w:p>
    <w:p w14:paraId="6388F0A7" w14:textId="77777777" w:rsidR="00F633B7" w:rsidRPr="000C0420" w:rsidRDefault="00F633B7">
      <w:pPr>
        <w:spacing w:line="360" w:lineRule="auto"/>
        <w:ind w:firstLineChars="200" w:firstLine="420"/>
        <w:rPr>
          <w:rFonts w:ascii="宋体" w:hAnsi="宋体"/>
          <w:color w:val="000000" w:themeColor="text1"/>
          <w:szCs w:val="21"/>
        </w:rPr>
      </w:pPr>
    </w:p>
    <w:p w14:paraId="17853107" w14:textId="77777777" w:rsidR="00F633B7" w:rsidRPr="000C0420" w:rsidRDefault="00F633B7">
      <w:pPr>
        <w:spacing w:line="360" w:lineRule="auto"/>
        <w:ind w:firstLineChars="200" w:firstLine="420"/>
        <w:rPr>
          <w:rFonts w:ascii="宋体" w:hAnsi="宋体"/>
          <w:color w:val="000000" w:themeColor="text1"/>
          <w:szCs w:val="21"/>
        </w:rPr>
      </w:pPr>
    </w:p>
    <w:p w14:paraId="6BB6A4C5" w14:textId="77777777" w:rsidR="00F633B7" w:rsidRPr="000C0420" w:rsidRDefault="000A2CE7">
      <w:pPr>
        <w:spacing w:line="360" w:lineRule="auto"/>
        <w:ind w:firstLineChars="200" w:firstLine="422"/>
        <w:rPr>
          <w:rFonts w:ascii="宋体" w:hAnsi="宋体"/>
          <w:b/>
          <w:color w:val="000000" w:themeColor="text1"/>
          <w:szCs w:val="21"/>
        </w:rPr>
      </w:pPr>
      <w:bookmarkStart w:id="8" w:name="_Toc382819070"/>
      <w:r w:rsidRPr="000C0420">
        <w:rPr>
          <w:rFonts w:ascii="宋体" w:hAnsi="宋体" w:hint="eastAsia"/>
          <w:b/>
          <w:color w:val="000000" w:themeColor="text1"/>
          <w:szCs w:val="21"/>
        </w:rPr>
        <w:t>基金托管人：上海浦东发展银行股份有限公司</w:t>
      </w:r>
      <w:bookmarkEnd w:id="8"/>
    </w:p>
    <w:p w14:paraId="58DC017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住所：</w:t>
      </w:r>
      <w:proofErr w:type="gramStart"/>
      <w:r w:rsidRPr="000C0420">
        <w:rPr>
          <w:rFonts w:ascii="宋体" w:hAnsi="宋体" w:hint="eastAsia"/>
          <w:color w:val="000000" w:themeColor="text1"/>
          <w:szCs w:val="21"/>
        </w:rPr>
        <w:t>上海市博成路1388号浦银中心</w:t>
      </w:r>
      <w:proofErr w:type="gramEnd"/>
      <w:r w:rsidRPr="000C0420">
        <w:rPr>
          <w:rFonts w:ascii="宋体" w:hAnsi="宋体" w:hint="eastAsia"/>
          <w:color w:val="000000" w:themeColor="text1"/>
          <w:szCs w:val="21"/>
        </w:rPr>
        <w:t>A栋</w:t>
      </w:r>
    </w:p>
    <w:p w14:paraId="0B32163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法定代表人：张为忠</w:t>
      </w:r>
    </w:p>
    <w:p w14:paraId="1B8B14D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成立日期：1992年10月19日</w:t>
      </w:r>
    </w:p>
    <w:p w14:paraId="41AB8CA4"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基金托管业务资格批准机关：中国证监会</w:t>
      </w:r>
    </w:p>
    <w:p w14:paraId="6D3F582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基金托管业务资格文号：证</w:t>
      </w:r>
      <w:proofErr w:type="gramStart"/>
      <w:r w:rsidRPr="000C0420">
        <w:rPr>
          <w:rFonts w:ascii="宋体" w:hAnsi="宋体" w:hint="eastAsia"/>
          <w:color w:val="000000" w:themeColor="text1"/>
          <w:szCs w:val="21"/>
        </w:rPr>
        <w:t>监基金字</w:t>
      </w:r>
      <w:proofErr w:type="gramEnd"/>
      <w:r w:rsidRPr="000C0420">
        <w:rPr>
          <w:rFonts w:ascii="宋体" w:hAnsi="宋体" w:hint="eastAsia"/>
          <w:color w:val="000000" w:themeColor="text1"/>
          <w:szCs w:val="21"/>
        </w:rPr>
        <w:t>[2003]105号</w:t>
      </w:r>
    </w:p>
    <w:p w14:paraId="3226A61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组织形式：股份有限公司（上市）</w:t>
      </w:r>
    </w:p>
    <w:p w14:paraId="0FBDAD6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 xml:space="preserve">注册资本：293.52亿元人民币 </w:t>
      </w:r>
    </w:p>
    <w:p w14:paraId="7AB2DA8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经营期限：永久存续</w:t>
      </w:r>
    </w:p>
    <w:p w14:paraId="3A7571A3" w14:textId="77777777" w:rsidR="00F633B7" w:rsidRPr="000C0420" w:rsidRDefault="00F633B7">
      <w:pPr>
        <w:spacing w:line="360" w:lineRule="auto"/>
        <w:ind w:firstLineChars="200" w:firstLine="480"/>
        <w:rPr>
          <w:rFonts w:ascii="宋体" w:hAnsi="宋体"/>
          <w:color w:val="000000" w:themeColor="text1"/>
          <w:sz w:val="24"/>
        </w:rPr>
      </w:pPr>
    </w:p>
    <w:p w14:paraId="46954DE9"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r w:rsidRPr="000C0420">
        <w:rPr>
          <w:rFonts w:ascii="宋体" w:hAnsi="宋体"/>
          <w:color w:val="000000" w:themeColor="text1"/>
          <w:sz w:val="24"/>
        </w:rPr>
        <w:br w:type="page"/>
      </w:r>
      <w:bookmarkStart w:id="9" w:name="_Toc382819071"/>
      <w:r w:rsidRPr="000C0420">
        <w:rPr>
          <w:rFonts w:ascii="宋体" w:hAnsi="宋体" w:hint="eastAsia"/>
          <w:b/>
          <w:color w:val="000000" w:themeColor="text1"/>
          <w:sz w:val="24"/>
        </w:rPr>
        <w:lastRenderedPageBreak/>
        <w:t>一、基金托管协议的依据、目的、原则和解释</w:t>
      </w:r>
      <w:bookmarkEnd w:id="9"/>
    </w:p>
    <w:p w14:paraId="68DAB95C" w14:textId="77777777" w:rsidR="00F633B7" w:rsidRPr="000C0420" w:rsidRDefault="000A2CE7">
      <w:pPr>
        <w:pStyle w:val="2"/>
        <w:keepNext w:val="0"/>
        <w:keepLines w:val="0"/>
        <w:autoSpaceDE w:val="0"/>
        <w:autoSpaceDN w:val="0"/>
        <w:adjustRightInd w:val="0"/>
        <w:spacing w:before="0" w:after="0" w:line="360" w:lineRule="auto"/>
        <w:ind w:firstLineChars="150" w:firstLine="315"/>
        <w:textAlignment w:val="baseline"/>
        <w:rPr>
          <w:rFonts w:ascii="宋体" w:hAnsi="宋体"/>
          <w:color w:val="000000" w:themeColor="text1"/>
          <w:szCs w:val="21"/>
        </w:rPr>
      </w:pPr>
      <w:r w:rsidRPr="000C0420">
        <w:rPr>
          <w:rFonts w:ascii="宋体" w:eastAsia="宋体" w:hAnsi="宋体" w:hint="eastAsia"/>
          <w:b w:val="0"/>
          <w:bCs w:val="0"/>
          <w:color w:val="000000" w:themeColor="text1"/>
          <w:sz w:val="21"/>
          <w:szCs w:val="21"/>
        </w:rPr>
        <w:t>（一）依据</w:t>
      </w:r>
    </w:p>
    <w:p w14:paraId="2A05F6D5" w14:textId="57A5F0EF"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本协议依据《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证券投资基金托管业务管理办法》、、《商业银行托管业务监督管理办法（试行）》、《公开募集证券投资基金业绩比较基准指引》、《证券投资基金信息披露内容与格式准则第7号〈托管协议的内容与格式〉》、《广发中证工业有色金属主题交易型开放式指数证券投资基金基金合同》（以下简称《基金合同》）及其他有关法律、法规制定。</w:t>
      </w:r>
    </w:p>
    <w:p w14:paraId="41DB1F3F" w14:textId="77777777" w:rsidR="00F633B7" w:rsidRPr="000C0420" w:rsidRDefault="000A2CE7">
      <w:pPr>
        <w:pStyle w:val="2"/>
        <w:keepNext w:val="0"/>
        <w:keepLines w:val="0"/>
        <w:autoSpaceDE w:val="0"/>
        <w:autoSpaceDN w:val="0"/>
        <w:adjustRightInd w:val="0"/>
        <w:spacing w:before="0" w:after="0" w:line="360" w:lineRule="auto"/>
        <w:ind w:firstLineChars="150" w:firstLine="315"/>
        <w:textAlignment w:val="baseline"/>
        <w:rPr>
          <w:rFonts w:ascii="宋体" w:hAnsi="宋体"/>
          <w:color w:val="000000" w:themeColor="text1"/>
          <w:szCs w:val="21"/>
        </w:rPr>
      </w:pPr>
      <w:r w:rsidRPr="000C0420">
        <w:rPr>
          <w:rFonts w:ascii="宋体" w:eastAsia="宋体" w:hAnsi="宋体" w:hint="eastAsia"/>
          <w:b w:val="0"/>
          <w:bCs w:val="0"/>
          <w:color w:val="000000" w:themeColor="text1"/>
          <w:sz w:val="21"/>
          <w:szCs w:val="21"/>
        </w:rPr>
        <w:t>（二）目的</w:t>
      </w:r>
    </w:p>
    <w:p w14:paraId="0E4A93E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本协议的目的是明确基金托管人与基金管理人之间在基金财产的保管、投资运作、净值计算、收益分配、信息披露及相互监督等有关事宜中的权利、义务及职责，确保基金财产的安全，保护基金份额持有人的合法权益。</w:t>
      </w:r>
    </w:p>
    <w:p w14:paraId="5E179FA3" w14:textId="77777777" w:rsidR="00F633B7" w:rsidRPr="000C0420" w:rsidRDefault="000A2CE7">
      <w:pPr>
        <w:pStyle w:val="2"/>
        <w:keepNext w:val="0"/>
        <w:keepLines w:val="0"/>
        <w:autoSpaceDE w:val="0"/>
        <w:autoSpaceDN w:val="0"/>
        <w:adjustRightInd w:val="0"/>
        <w:spacing w:before="0" w:after="0" w:line="360" w:lineRule="auto"/>
        <w:ind w:firstLineChars="150" w:firstLine="315"/>
        <w:textAlignment w:val="baseline"/>
        <w:rPr>
          <w:rFonts w:ascii="宋体" w:hAnsi="宋体"/>
          <w:color w:val="000000" w:themeColor="text1"/>
          <w:szCs w:val="21"/>
        </w:rPr>
      </w:pPr>
      <w:r w:rsidRPr="000C0420">
        <w:rPr>
          <w:rFonts w:ascii="宋体" w:eastAsia="宋体" w:hAnsi="宋体" w:hint="eastAsia"/>
          <w:b w:val="0"/>
          <w:bCs w:val="0"/>
          <w:color w:val="000000" w:themeColor="text1"/>
          <w:sz w:val="21"/>
          <w:szCs w:val="21"/>
        </w:rPr>
        <w:t>（三）原则</w:t>
      </w:r>
    </w:p>
    <w:p w14:paraId="4B5410F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基金管理人和基金托管人本着平等自愿、诚实信用、充分保护基金份额持有人合法权益的原则，经协商一致，签订本协议。</w:t>
      </w:r>
    </w:p>
    <w:p w14:paraId="731B00DB" w14:textId="77777777" w:rsidR="00F633B7" w:rsidRPr="000C0420" w:rsidRDefault="000A2CE7">
      <w:pPr>
        <w:pStyle w:val="2"/>
        <w:keepNext w:val="0"/>
        <w:keepLines w:val="0"/>
        <w:autoSpaceDE w:val="0"/>
        <w:autoSpaceDN w:val="0"/>
        <w:adjustRightInd w:val="0"/>
        <w:spacing w:before="0" w:after="0" w:line="360" w:lineRule="auto"/>
        <w:ind w:firstLineChars="150" w:firstLine="315"/>
        <w:textAlignment w:val="baseline"/>
        <w:rPr>
          <w:rFonts w:ascii="宋体" w:hAnsi="宋体"/>
          <w:color w:val="000000" w:themeColor="text1"/>
          <w:szCs w:val="21"/>
        </w:rPr>
      </w:pPr>
      <w:r w:rsidRPr="000C0420">
        <w:rPr>
          <w:rFonts w:ascii="宋体" w:eastAsia="宋体" w:hAnsi="宋体" w:hint="eastAsia"/>
          <w:b w:val="0"/>
          <w:bCs w:val="0"/>
          <w:color w:val="000000" w:themeColor="text1"/>
          <w:sz w:val="21"/>
          <w:szCs w:val="21"/>
        </w:rPr>
        <w:t>（四）解释</w:t>
      </w:r>
    </w:p>
    <w:p w14:paraId="6DFCD5CE"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除非本协议另有约定，本协议所有术语与《基金合同》的相应术语具有相同含义。</w:t>
      </w:r>
    </w:p>
    <w:p w14:paraId="17A3309B" w14:textId="77777777" w:rsidR="00F633B7" w:rsidRPr="000C0420" w:rsidRDefault="000A2CE7">
      <w:pPr>
        <w:widowControl/>
        <w:jc w:val="left"/>
        <w:rPr>
          <w:rFonts w:ascii="宋体" w:hAnsi="宋体"/>
          <w:color w:val="000000" w:themeColor="text1"/>
          <w:szCs w:val="21"/>
        </w:rPr>
      </w:pPr>
      <w:r w:rsidRPr="000C0420">
        <w:rPr>
          <w:rFonts w:ascii="宋体" w:hAnsi="宋体"/>
          <w:b/>
          <w:bCs/>
          <w:color w:val="000000" w:themeColor="text1"/>
          <w:szCs w:val="21"/>
        </w:rPr>
        <w:br w:type="page"/>
      </w:r>
    </w:p>
    <w:p w14:paraId="6A8C6C05"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10" w:name="_Toc382819072"/>
      <w:r w:rsidRPr="000C0420">
        <w:rPr>
          <w:rFonts w:ascii="宋体" w:hAnsi="宋体" w:hint="eastAsia"/>
          <w:b/>
          <w:color w:val="000000" w:themeColor="text1"/>
          <w:sz w:val="24"/>
        </w:rPr>
        <w:lastRenderedPageBreak/>
        <w:t>二、基金托管人对基金管理人的业务监督和核查</w:t>
      </w:r>
      <w:bookmarkEnd w:id="10"/>
    </w:p>
    <w:p w14:paraId="2818E11F" w14:textId="77777777" w:rsidR="00F633B7" w:rsidRPr="000C0420" w:rsidRDefault="000A2CE7">
      <w:pPr>
        <w:spacing w:after="120" w:line="360" w:lineRule="auto"/>
        <w:ind w:firstLineChars="200" w:firstLine="420"/>
        <w:rPr>
          <w:rFonts w:ascii="宋体" w:hAnsi="宋体"/>
          <w:color w:val="000000" w:themeColor="text1"/>
          <w:szCs w:val="21"/>
        </w:rPr>
      </w:pPr>
      <w:bookmarkStart w:id="11" w:name="_Toc382819073"/>
      <w:r w:rsidRPr="000C0420">
        <w:rPr>
          <w:rFonts w:ascii="宋体" w:hAnsi="宋体" w:hint="eastAsia"/>
          <w:color w:val="000000" w:themeColor="text1"/>
          <w:szCs w:val="21"/>
        </w:rPr>
        <w:t>（一）基金托管人对基金管理人的投资行为行使监督权</w:t>
      </w:r>
      <w:bookmarkEnd w:id="11"/>
    </w:p>
    <w:p w14:paraId="5D812BEA" w14:textId="77777777" w:rsidR="00F633B7" w:rsidRPr="000C0420" w:rsidRDefault="000A2CE7">
      <w:pPr>
        <w:widowControl/>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1.基金托管人根据有关法律法规的规定和《基金合同》的约定，对下述基金投资范围、投资对象进行监督。</w:t>
      </w:r>
    </w:p>
    <w:p w14:paraId="3F7E9F0D" w14:textId="77777777" w:rsidR="00F633B7" w:rsidRPr="000C0420" w:rsidRDefault="000A2CE7">
      <w:pPr>
        <w:widowControl/>
        <w:spacing w:line="324" w:lineRule="auto"/>
        <w:ind w:firstLineChars="200" w:firstLine="420"/>
        <w:jc w:val="left"/>
        <w:rPr>
          <w:rFonts w:ascii="宋体" w:hAnsi="宋体" w:cs="宋体"/>
          <w:color w:val="000000" w:themeColor="text1"/>
          <w:kern w:val="0"/>
          <w:szCs w:val="21"/>
        </w:rPr>
      </w:pPr>
      <w:r w:rsidRPr="000C0420">
        <w:rPr>
          <w:rFonts w:ascii="宋体" w:hAnsi="宋体" w:hint="eastAsia"/>
          <w:color w:val="000000" w:themeColor="text1"/>
          <w:szCs w:val="21"/>
        </w:rPr>
        <w:t>本</w:t>
      </w:r>
      <w:r w:rsidRPr="000C0420">
        <w:rPr>
          <w:rFonts w:ascii="宋体" w:hAnsi="宋体" w:cs="宋体" w:hint="eastAsia"/>
          <w:color w:val="000000" w:themeColor="text1"/>
          <w:kern w:val="0"/>
          <w:szCs w:val="21"/>
        </w:rPr>
        <w:t>基金将投资于以下金融工具：</w:t>
      </w:r>
    </w:p>
    <w:p w14:paraId="19B20C50" w14:textId="66E19AF1" w:rsidR="00F633B7" w:rsidRPr="000C0420" w:rsidRDefault="00354379">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本基金主要投资于标的指数（即中</w:t>
      </w:r>
      <w:proofErr w:type="gramStart"/>
      <w:r w:rsidRPr="000C0420">
        <w:rPr>
          <w:rFonts w:ascii="宋体" w:hAnsi="宋体" w:hint="eastAsia"/>
          <w:color w:val="000000" w:themeColor="text1"/>
          <w:szCs w:val="21"/>
        </w:rPr>
        <w:t>证工业</w:t>
      </w:r>
      <w:proofErr w:type="gramEnd"/>
      <w:r w:rsidRPr="000C0420">
        <w:rPr>
          <w:rFonts w:ascii="宋体" w:hAnsi="宋体" w:hint="eastAsia"/>
          <w:color w:val="000000" w:themeColor="text1"/>
          <w:szCs w:val="21"/>
        </w:rPr>
        <w:t>有色金属主题指数）的成份股、备选成份股（</w:t>
      </w:r>
      <w:proofErr w:type="gramStart"/>
      <w:r w:rsidRPr="000C0420">
        <w:rPr>
          <w:rFonts w:ascii="宋体" w:hAnsi="宋体" w:hint="eastAsia"/>
          <w:color w:val="000000" w:themeColor="text1"/>
          <w:szCs w:val="21"/>
        </w:rPr>
        <w:t>含存托</w:t>
      </w:r>
      <w:proofErr w:type="gramEnd"/>
      <w:r w:rsidRPr="000C0420">
        <w:rPr>
          <w:rFonts w:ascii="宋体" w:hAnsi="宋体" w:hint="eastAsia"/>
          <w:color w:val="000000" w:themeColor="text1"/>
          <w:szCs w:val="21"/>
        </w:rPr>
        <w:t>凭证）。为更好地实现投资目标，本基金可少量投资于非成份股（包括创业板、</w:t>
      </w:r>
      <w:proofErr w:type="gramStart"/>
      <w:r w:rsidRPr="000C0420">
        <w:rPr>
          <w:rFonts w:ascii="宋体" w:hAnsi="宋体" w:hint="eastAsia"/>
          <w:color w:val="000000" w:themeColor="text1"/>
          <w:szCs w:val="21"/>
        </w:rPr>
        <w:t>科创板</w:t>
      </w:r>
      <w:proofErr w:type="gramEnd"/>
      <w:r w:rsidRPr="000C0420">
        <w:rPr>
          <w:rFonts w:ascii="宋体" w:hAnsi="宋体" w:hint="eastAsia"/>
          <w:color w:val="000000" w:themeColor="text1"/>
          <w:szCs w:val="21"/>
        </w:rPr>
        <w:t>及其他依法发行上市的股票、存托凭证）、债券、股指期货、股票期权、国债期货、资产支持证券、银行存款、同业存单、债券回购、货币市场工具及中国证监会允许基金投资的其他金融工具，但须符合中国证监会的相关规定。</w:t>
      </w:r>
      <w:r w:rsidR="000A2CE7" w:rsidRPr="000C0420">
        <w:rPr>
          <w:rFonts w:ascii="宋体" w:hAnsi="宋体" w:hint="eastAsia"/>
          <w:color w:val="000000" w:themeColor="text1"/>
          <w:szCs w:val="21"/>
        </w:rPr>
        <w:t xml:space="preserve">本基金可根据法律法规的规定参与转融通证券出借及融资业务。                                                             </w:t>
      </w:r>
    </w:p>
    <w:p w14:paraId="5E8F1E38" w14:textId="77777777" w:rsidR="00F633B7" w:rsidRPr="000C0420" w:rsidRDefault="000A2CE7">
      <w:pPr>
        <w:widowControl/>
        <w:spacing w:line="324" w:lineRule="auto"/>
        <w:ind w:firstLineChars="200" w:firstLine="420"/>
        <w:jc w:val="left"/>
        <w:rPr>
          <w:rFonts w:ascii="宋体" w:hAnsi="宋体"/>
          <w:color w:val="000000" w:themeColor="text1"/>
          <w:kern w:val="0"/>
          <w:szCs w:val="21"/>
        </w:rPr>
      </w:pPr>
      <w:r w:rsidRPr="000C0420">
        <w:rPr>
          <w:rFonts w:ascii="宋体" w:hAnsi="宋体" w:hint="eastAsia"/>
          <w:color w:val="000000" w:themeColor="text1"/>
          <w:kern w:val="0"/>
          <w:szCs w:val="21"/>
        </w:rPr>
        <w:t>《基金合同》已明确约定基金投资风格或证券选择标准的，基金管理人应按照基金托管人要求的格式提供投资品种，以便基金托管人运用相关技术系统，对基金实际投资是否符合《基金合同》关于证券选择标准的约定进行监督，对存在疑义的事项进行核查。</w:t>
      </w:r>
    </w:p>
    <w:p w14:paraId="33873D49" w14:textId="77777777" w:rsidR="00F633B7" w:rsidRPr="000C0420" w:rsidRDefault="000A2CE7">
      <w:pPr>
        <w:widowControl/>
        <w:spacing w:line="324" w:lineRule="auto"/>
        <w:ind w:firstLineChars="200" w:firstLine="420"/>
        <w:jc w:val="left"/>
        <w:rPr>
          <w:rFonts w:ascii="宋体" w:hAnsi="宋体"/>
          <w:color w:val="000000" w:themeColor="text1"/>
          <w:kern w:val="0"/>
          <w:szCs w:val="21"/>
        </w:rPr>
      </w:pPr>
      <w:r w:rsidRPr="000C0420">
        <w:rPr>
          <w:rFonts w:ascii="宋体" w:hAnsi="宋体" w:hint="eastAsia"/>
          <w:color w:val="000000" w:themeColor="text1"/>
          <w:kern w:val="0"/>
          <w:szCs w:val="21"/>
        </w:rPr>
        <w:t>本基金不得投资于相关法律、法规、部门规章及《基金合同》禁止投资的投资工具。</w:t>
      </w:r>
    </w:p>
    <w:p w14:paraId="6646E56B" w14:textId="77777777" w:rsidR="00F633B7" w:rsidRPr="000C0420" w:rsidRDefault="000A2CE7">
      <w:pPr>
        <w:spacing w:after="120" w:line="324"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2.基金托管人根据有关法律法规的规定及《基金合同》的约定对下述基金投融资比例进行监督：</w:t>
      </w:r>
    </w:p>
    <w:p w14:paraId="48DC3A26" w14:textId="77777777" w:rsidR="00F633B7" w:rsidRPr="000C0420" w:rsidRDefault="000A2CE7">
      <w:pPr>
        <w:spacing w:line="324" w:lineRule="auto"/>
        <w:ind w:firstLine="480"/>
        <w:rPr>
          <w:rFonts w:ascii="宋体" w:hAnsi="宋体"/>
          <w:color w:val="000000" w:themeColor="text1"/>
          <w:szCs w:val="21"/>
        </w:rPr>
      </w:pPr>
      <w:r w:rsidRPr="000C0420">
        <w:rPr>
          <w:rFonts w:ascii="宋体" w:hAnsi="宋体" w:hint="eastAsia"/>
          <w:color w:val="000000" w:themeColor="text1"/>
          <w:szCs w:val="21"/>
        </w:rPr>
        <w:t>（1）按法律法规的规定及《基金合同》的约定，本基金的投资资产配置比例为：</w:t>
      </w:r>
    </w:p>
    <w:p w14:paraId="43AF9C72" w14:textId="248F3CA8"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本基金投资于标的指数成份股、备选成份股（</w:t>
      </w:r>
      <w:proofErr w:type="gramStart"/>
      <w:r w:rsidRPr="000C0420">
        <w:rPr>
          <w:rFonts w:ascii="宋体" w:hAnsi="宋体" w:hint="eastAsia"/>
          <w:color w:val="000000" w:themeColor="text1"/>
          <w:szCs w:val="21"/>
        </w:rPr>
        <w:t>含存托</w:t>
      </w:r>
      <w:proofErr w:type="gramEnd"/>
      <w:r w:rsidRPr="000C0420">
        <w:rPr>
          <w:rFonts w:ascii="宋体" w:hAnsi="宋体" w:hint="eastAsia"/>
          <w:color w:val="000000" w:themeColor="text1"/>
          <w:szCs w:val="21"/>
        </w:rPr>
        <w:t>凭证）的比例不低于基金资产净值的90%且不低于非现金基金资产的80%；本基金每个交易日日终在扣除股指期货合约、股票期权合约、国债期货合约需缴纳的交易保证金后，应当保持不低于交易保证金一倍的现金，其中现金不包括结算备付金、存出保证金、应收申购款等；股指期货、股票期权、国债期货及其他金融工具的投资比例依照法律法规或监管机构的规定执行。</w:t>
      </w:r>
    </w:p>
    <w:p w14:paraId="431196AF"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如法律法规或监管机构以后允许基金投资其他品种，基金管理人在履行适当程序后，可以将其纳入投资范围。其投资比例遵循届时有效的法律法规和相关规定。</w:t>
      </w:r>
    </w:p>
    <w:p w14:paraId="14CE862D" w14:textId="77777777" w:rsidR="00F633B7" w:rsidRPr="000C0420" w:rsidRDefault="000A2CE7">
      <w:pPr>
        <w:spacing w:line="324" w:lineRule="auto"/>
        <w:ind w:firstLine="480"/>
        <w:rPr>
          <w:rFonts w:ascii="宋体" w:hAnsi="宋体"/>
          <w:color w:val="000000" w:themeColor="text1"/>
          <w:szCs w:val="21"/>
        </w:rPr>
      </w:pPr>
      <w:r w:rsidRPr="000C0420">
        <w:rPr>
          <w:rFonts w:ascii="宋体" w:hAnsi="宋体" w:hint="eastAsia"/>
          <w:color w:val="000000" w:themeColor="text1"/>
          <w:szCs w:val="21"/>
        </w:rPr>
        <w:t xml:space="preserve">（2）根据法律法规的规定及《基金合同》的约定，本基金投资组合遵循以下投资限制： </w:t>
      </w:r>
    </w:p>
    <w:p w14:paraId="51FE3494"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1）本基金投资于标的指数成份股、备选成份股（</w:t>
      </w:r>
      <w:proofErr w:type="gramStart"/>
      <w:r w:rsidRPr="000C0420">
        <w:rPr>
          <w:rFonts w:ascii="宋体" w:hAnsi="宋体" w:hint="eastAsia"/>
          <w:color w:val="000000" w:themeColor="text1"/>
          <w:szCs w:val="21"/>
        </w:rPr>
        <w:t>含存托</w:t>
      </w:r>
      <w:proofErr w:type="gramEnd"/>
      <w:r w:rsidRPr="000C0420">
        <w:rPr>
          <w:rFonts w:ascii="宋体" w:hAnsi="宋体" w:hint="eastAsia"/>
          <w:color w:val="000000" w:themeColor="text1"/>
          <w:szCs w:val="21"/>
        </w:rPr>
        <w:t>凭证）的比例不低于基金资产净值的90%，且不低于非现金基金资产的80%；</w:t>
      </w:r>
    </w:p>
    <w:p w14:paraId="2033EF81"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2）本基金参与股指期货交易，还须遵守以下限制：在任何交易日日终，持有的买入股指期货合约价值，不得超过基金资产净值的10%；在任何交易日日终，持有的买入股指期货</w:t>
      </w:r>
      <w:r w:rsidRPr="000C0420">
        <w:rPr>
          <w:rFonts w:ascii="宋体" w:hAnsi="宋体" w:hint="eastAsia"/>
          <w:color w:val="000000" w:themeColor="text1"/>
          <w:szCs w:val="21"/>
        </w:rPr>
        <w:lastRenderedPageBreak/>
        <w:t>合约、国债期货合约价值与有价证券市值之和，不得超过基金资产净值的100%，其中，有价证券指股票、债券（不含到期日在一年以内的政府债券）、资产支持证券、买入返售金融资产（不含质押式回购）等；基金在任何交易日日终，持有的卖出股指期货合约价值不得超过基金持有的股票总市值的20%；在任何交易日内交易（不包括平仓）的股指期货合约的成交金额不得超过上一交易日基金资产净值的20%；每个交易日日终在扣除股指期货合约、股票期权合约、国债期货合约需缴纳的交易保证金后，应当保持不低于交易保证金一倍的现金；本基金所持有的股票市值和买入、卖出股指期货合约价值，合计（轧差计算）应当符合基金合同关于股票投资比例的有关约定；</w:t>
      </w:r>
    </w:p>
    <w:p w14:paraId="0377E442"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3）本基金投资于同一原始权益人的各类资产支持证券的比例，不得超过基金资产净值的10%；</w:t>
      </w:r>
    </w:p>
    <w:p w14:paraId="297C7AE4"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4）本基金持有的全部资产支持证券，其市值不得超过基金资产净值的20%；</w:t>
      </w:r>
    </w:p>
    <w:p w14:paraId="2783382C"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5）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14:paraId="700EC46D"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6）本基金持有的同一（指同一信用级别）资产支持证券的比例，不得超过该资产支持证券规模的10%；</w:t>
      </w:r>
    </w:p>
    <w:p w14:paraId="01927EA4"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7）本基金管理人管理的全部基金投资于同一原始权益人的各类资产支持证券，不得超过其各类资产支持证券合计规模的10%；</w:t>
      </w:r>
    </w:p>
    <w:p w14:paraId="6C110290"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8）本基金应投资于信用级别评级为BBB以上（含BBB）的资产支持证券。基金持有资产支持证券期间，如果其信用等级下降、不再符合投资标准，应在评级报告发布之日起3个月内予以全部卖出；</w:t>
      </w:r>
    </w:p>
    <w:p w14:paraId="639C35DD"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9）基金财产参与股票发行申购，本基金所申报的金额不超过本基金的总资产，本基金所申报的股票数量不超过拟发行股票公司本次发行股票的总量；</w:t>
      </w:r>
    </w:p>
    <w:p w14:paraId="7ACB45B5"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10）基金总资产不得超过基金净资产的140%；</w:t>
      </w:r>
    </w:p>
    <w:p w14:paraId="633E3C91"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11）本基金参与转融通证券出借业务的，还须符合以下限制：出借证券资产不得超过基金资产净值的30%；参与出借业务的单只证券不得超过基金持有该证券总量的30%；最近6个月内日均基金资产净值不得低于2亿元；证券出借的平均剩余期限不得超过30天，平均剩余期限按照市值加权平均计算；</w:t>
      </w:r>
    </w:p>
    <w:p w14:paraId="65A684C7"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12）本基金与私募类</w:t>
      </w:r>
      <w:proofErr w:type="gramStart"/>
      <w:r w:rsidRPr="000C0420">
        <w:rPr>
          <w:rFonts w:ascii="宋体" w:hAnsi="宋体" w:hint="eastAsia"/>
          <w:color w:val="000000" w:themeColor="text1"/>
          <w:szCs w:val="21"/>
        </w:rPr>
        <w:t>证券资管产品</w:t>
      </w:r>
      <w:proofErr w:type="gramEnd"/>
      <w:r w:rsidRPr="000C0420">
        <w:rPr>
          <w:rFonts w:ascii="宋体" w:hAnsi="宋体" w:hint="eastAsia"/>
          <w:color w:val="000000" w:themeColor="text1"/>
          <w:szCs w:val="21"/>
        </w:rPr>
        <w:t>及中国证监会认定的其他主体为交易对手开展逆回购交易的，可接受质押品的资质要求应当与基金合同约定的投资范围保持一致；</w:t>
      </w:r>
    </w:p>
    <w:p w14:paraId="4040BB08"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lastRenderedPageBreak/>
        <w:t>13）本基金投资境内发行的存托凭证的比例限制依照境内上市交易的股票执行，与境内上市交易的股票合并计算；</w:t>
      </w:r>
    </w:p>
    <w:p w14:paraId="0E53FB99"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14）本基金参与股票期权交易的，应当符合下列风险控制指标要求：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46E7E051"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15）本基金</w:t>
      </w:r>
      <w:proofErr w:type="gramStart"/>
      <w:r w:rsidRPr="000C0420">
        <w:rPr>
          <w:rFonts w:ascii="宋体" w:hAnsi="宋体" w:hint="eastAsia"/>
          <w:color w:val="000000" w:themeColor="text1"/>
          <w:szCs w:val="21"/>
        </w:rPr>
        <w:t>若参</w:t>
      </w:r>
      <w:proofErr w:type="gramEnd"/>
      <w:r w:rsidRPr="000C0420">
        <w:rPr>
          <w:rFonts w:ascii="宋体" w:hAnsi="宋体" w:hint="eastAsia"/>
          <w:color w:val="000000" w:themeColor="text1"/>
          <w:szCs w:val="21"/>
        </w:rPr>
        <w:t>与国债期货交易，应当符合下列投资限制：</w:t>
      </w:r>
    </w:p>
    <w:p w14:paraId="4895650F"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在任何交易日日终，持有的买入国债期货合约价值，不得超过基金资产净值的15%；在任何交易日日终，持有的卖出国债期货合约价值不得超过基金持有的债券总市值的30%；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30%；</w:t>
      </w:r>
    </w:p>
    <w:p w14:paraId="2652BDED"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16）法律法规及中国证监会规定的和《基金合同》约定的其他投资限制。</w:t>
      </w:r>
    </w:p>
    <w:p w14:paraId="4F4CFFE5"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除第5）、8）、11）、12）项规定的情形外，由于证券、期货市场波动、证券发行人合并、基金规模变动、标的指数成份股调整、标的指数成份股流动性限制等基金管理人之外的原因导致的投资组合不符合上述约定的比例，基金管理人应在10个交易日内进行调整，以达到规定的投资比例限制要求，但中国证监会规定的特殊情形除外。法律法规另有规定的，从其规定。由于证券、期货市场波动、证券发行人合并、基金规模变动、标的指数成份股调整、标的指数成份股流动性限制等基金管理人之外的原因导致的投资组合不符合第11）项规定的，基金管理人不得新增证券出借业务。</w:t>
      </w:r>
    </w:p>
    <w:p w14:paraId="5801C304"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基金管理人应当自基金合同生效之日起6个月内使基金的投资组合比例符合基金合同的有关约定。在上述期间内，本基金的投资范围、投资策略应当符合基金合同的约定。基金托管人对基金的投资的监督与检查自本协议生效</w:t>
      </w:r>
      <w:proofErr w:type="gramStart"/>
      <w:r w:rsidRPr="000C0420">
        <w:rPr>
          <w:rFonts w:ascii="宋体" w:hAnsi="宋体" w:hint="eastAsia"/>
          <w:color w:val="000000" w:themeColor="text1"/>
          <w:szCs w:val="21"/>
        </w:rPr>
        <w:t>且基金</w:t>
      </w:r>
      <w:proofErr w:type="gramEnd"/>
      <w:r w:rsidRPr="000C0420">
        <w:rPr>
          <w:rFonts w:ascii="宋体" w:hAnsi="宋体" w:hint="eastAsia"/>
          <w:color w:val="000000" w:themeColor="text1"/>
          <w:szCs w:val="21"/>
        </w:rPr>
        <w:t>合同生效之日起开始。</w:t>
      </w:r>
    </w:p>
    <w:p w14:paraId="56A34D97"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法律法规对上述投资组合比例限制进行变更的，以变更后的规定为准。法律法规或监管部门取消上述限制，如适用于本基金，基金管理人在履行适当程序后，则本基金投资不再受相关限制。</w:t>
      </w:r>
    </w:p>
    <w:p w14:paraId="51E46B3A"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基金管理人应在出现可预见资产规模大幅变动的情况下，至少提前2个工作日正式向基金托管人发函说明基金可能的变动规模和公司应对措施，便于基金托管人实施交易监督。</w:t>
      </w:r>
    </w:p>
    <w:p w14:paraId="42F273F3" w14:textId="7576E663"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（4）本基金可以按照国家的有关规定进行融资融券</w:t>
      </w:r>
      <w:r w:rsidR="00D810A0" w:rsidRPr="000C0420">
        <w:rPr>
          <w:rFonts w:ascii="宋体" w:hAnsi="宋体" w:hint="eastAsia"/>
          <w:color w:val="000000" w:themeColor="text1"/>
          <w:szCs w:val="21"/>
        </w:rPr>
        <w:t>及融资业务</w:t>
      </w:r>
      <w:r w:rsidRPr="000C0420">
        <w:rPr>
          <w:rFonts w:ascii="宋体" w:hAnsi="宋体" w:hint="eastAsia"/>
          <w:color w:val="000000" w:themeColor="text1"/>
          <w:szCs w:val="21"/>
        </w:rPr>
        <w:t>。</w:t>
      </w:r>
    </w:p>
    <w:p w14:paraId="6A570FFC" w14:textId="77777777" w:rsidR="00F633B7" w:rsidRPr="000C0420" w:rsidRDefault="000A2CE7">
      <w:pPr>
        <w:widowControl/>
        <w:spacing w:line="440" w:lineRule="atLeast"/>
        <w:ind w:firstLineChars="200" w:firstLine="420"/>
        <w:jc w:val="left"/>
        <w:rPr>
          <w:rFonts w:ascii="宋体" w:hAnsi="宋体" w:cs="宋体"/>
          <w:color w:val="000000" w:themeColor="text1"/>
          <w:kern w:val="0"/>
          <w:szCs w:val="21"/>
        </w:rPr>
      </w:pPr>
      <w:r w:rsidRPr="000C0420">
        <w:rPr>
          <w:rFonts w:ascii="宋体" w:hAnsi="宋体" w:cs="宋体" w:hint="eastAsia"/>
          <w:color w:val="000000" w:themeColor="text1"/>
          <w:kern w:val="0"/>
          <w:szCs w:val="21"/>
        </w:rPr>
        <w:lastRenderedPageBreak/>
        <w:t>（5）相关法律、法规或部门规章规定的其他比例限制。</w:t>
      </w:r>
    </w:p>
    <w:p w14:paraId="290D272A" w14:textId="77777777" w:rsidR="00F633B7" w:rsidRPr="000C0420" w:rsidRDefault="000A2CE7">
      <w:pPr>
        <w:spacing w:after="120"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 xml:space="preserve">3.基金托管人根据有关法律法规的规定及《基金合同》的约定对下述基金投资禁止行为进行监督： </w:t>
      </w:r>
    </w:p>
    <w:p w14:paraId="78A45052" w14:textId="77777777" w:rsidR="00F633B7" w:rsidRPr="000C0420" w:rsidRDefault="000A2CE7">
      <w:pPr>
        <w:spacing w:line="360" w:lineRule="auto"/>
        <w:ind w:left="1" w:firstLineChars="225" w:firstLine="473"/>
        <w:rPr>
          <w:rFonts w:ascii="宋体" w:hAnsi="宋体"/>
          <w:color w:val="000000" w:themeColor="text1"/>
          <w:szCs w:val="21"/>
        </w:rPr>
      </w:pPr>
      <w:r w:rsidRPr="000C0420">
        <w:rPr>
          <w:rFonts w:ascii="宋体" w:hAnsi="宋体" w:hint="eastAsia"/>
          <w:color w:val="000000" w:themeColor="text1"/>
          <w:szCs w:val="21"/>
        </w:rPr>
        <w:t>根据法律法规的规定及《基金合同》的约定，本基金禁止从事下列行为：</w:t>
      </w:r>
    </w:p>
    <w:p w14:paraId="52AA405D"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1）承销证券； </w:t>
      </w:r>
    </w:p>
    <w:p w14:paraId="6874233F"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2）违反规定向他人贷款或者提供担保； </w:t>
      </w:r>
    </w:p>
    <w:p w14:paraId="4A792491"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3）从事承担无限责任的投资； </w:t>
      </w:r>
    </w:p>
    <w:p w14:paraId="247CB21C"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4）买卖其他基金份额，但是中国证监会另有规定的除外； </w:t>
      </w:r>
    </w:p>
    <w:p w14:paraId="5EC99112"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5）向其基金管理人、基金托管人出资； </w:t>
      </w:r>
    </w:p>
    <w:p w14:paraId="75CF4284" w14:textId="77777777" w:rsidR="00F633B7" w:rsidRPr="000C0420" w:rsidRDefault="000A2CE7">
      <w:pPr>
        <w:spacing w:line="360" w:lineRule="auto"/>
        <w:ind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 xml:space="preserve">6）从事内幕交易、操纵证券交易价格及其他不正当的证券交易活动； </w:t>
      </w:r>
    </w:p>
    <w:p w14:paraId="2B37C022" w14:textId="77777777" w:rsidR="00F633B7" w:rsidRPr="000C0420" w:rsidRDefault="000A2CE7">
      <w:pPr>
        <w:spacing w:line="360" w:lineRule="auto"/>
        <w:ind w:firstLine="420"/>
        <w:rPr>
          <w:rFonts w:ascii="宋体" w:hAnsi="宋体"/>
          <w:b/>
          <w:color w:val="000000" w:themeColor="text1"/>
          <w:szCs w:val="21"/>
          <w:u w:val="single"/>
        </w:rPr>
      </w:pPr>
      <w:r w:rsidRPr="000C0420">
        <w:rPr>
          <w:rFonts w:ascii="宋体" w:hAnsi="宋体" w:hint="eastAsia"/>
          <w:color w:val="000000" w:themeColor="text1"/>
          <w:szCs w:val="21"/>
        </w:rPr>
        <w:t>（</w:t>
      </w:r>
      <w:r w:rsidRPr="000C0420">
        <w:rPr>
          <w:rFonts w:ascii="宋体" w:hAnsi="宋体"/>
          <w:color w:val="000000" w:themeColor="text1"/>
          <w:szCs w:val="21"/>
        </w:rPr>
        <w:t xml:space="preserve">7）法律、行政法规和中国证监会规定禁止的其他活动。                                                                                                                                                   </w:t>
      </w:r>
    </w:p>
    <w:p w14:paraId="14D2ADB3" w14:textId="77777777" w:rsidR="00F633B7" w:rsidRPr="000C0420" w:rsidRDefault="000A2CE7">
      <w:pPr>
        <w:spacing w:line="360" w:lineRule="auto"/>
        <w:ind w:left="1" w:firstLineChars="225" w:firstLine="473"/>
        <w:rPr>
          <w:rFonts w:ascii="宋体" w:hAnsi="宋体"/>
          <w:color w:val="000000" w:themeColor="text1"/>
          <w:szCs w:val="21"/>
        </w:rPr>
      </w:pPr>
      <w:r w:rsidRPr="000C0420">
        <w:rPr>
          <w:rFonts w:ascii="宋体" w:hAnsi="宋体" w:hint="eastAsia"/>
          <w:color w:val="000000" w:themeColor="text1"/>
          <w:szCs w:val="21"/>
        </w:rPr>
        <w:t>如法律、行政法规或监管部门取消或变更上述禁止性规定，如适用于本基金，基金管理人在履行法律法规或监管部门规定的适当程序后可不受上述规定的限制或以变更后的规定为准。</w:t>
      </w:r>
    </w:p>
    <w:p w14:paraId="715E5B3B" w14:textId="77777777" w:rsidR="00F633B7" w:rsidRPr="000C0420" w:rsidRDefault="000A2CE7">
      <w:pPr>
        <w:spacing w:line="440" w:lineRule="exact"/>
        <w:ind w:firstLine="397"/>
        <w:rPr>
          <w:rFonts w:ascii="宋体" w:hAnsi="宋体"/>
          <w:color w:val="000000" w:themeColor="text1"/>
          <w:szCs w:val="21"/>
        </w:rPr>
      </w:pPr>
      <w:r w:rsidRPr="000C0420">
        <w:rPr>
          <w:rFonts w:ascii="宋体" w:hAnsi="宋体" w:cs="宋体" w:hint="eastAsia"/>
          <w:color w:val="000000" w:themeColor="text1"/>
          <w:kern w:val="0"/>
          <w:szCs w:val="21"/>
        </w:rPr>
        <w:t>4.基金托管人依据有关法律法规的规定和《基金合同》的约定对于基金关联投资限制进行监督。</w:t>
      </w:r>
    </w:p>
    <w:p w14:paraId="4BDED0E8" w14:textId="77777777" w:rsidR="00F633B7" w:rsidRPr="000C0420" w:rsidRDefault="000A2CE7">
      <w:pPr>
        <w:spacing w:after="120"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基金管理人运用基金财产买卖基金管理人、基金托管人及其控股股东、实际控制人或者与其他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履行信息披露义务。重大关联交易应提交基金管理人董事会审议，并经过三分之二以上的独立董事通过。基金管理人董事会应至少每半年对关联交易事项进行审查。</w:t>
      </w:r>
    </w:p>
    <w:p w14:paraId="3E013277" w14:textId="77777777" w:rsidR="00F633B7" w:rsidRPr="000C0420" w:rsidRDefault="000A2CE7">
      <w:pPr>
        <w:spacing w:after="120"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如法律、行政法规或监管部门取消或变更上述规定，如适用于本基金，基金管理人在履行适当程序后，本基金可不受上述规定的限制或以变更后的规定为准。</w:t>
      </w:r>
    </w:p>
    <w:p w14:paraId="4EF9E56F"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如法律、法规或《基金合同》有关于基金从事关联交易的规定，基金管理人和基金托管人事先相互提供与本机构有控股关系的股东、与本机构有其他重大利害关系的公司名单及有关关联</w:t>
      </w:r>
      <w:proofErr w:type="gramStart"/>
      <w:r w:rsidRPr="000C0420">
        <w:rPr>
          <w:rFonts w:ascii="宋体" w:hAnsi="宋体" w:hint="eastAsia"/>
          <w:color w:val="000000" w:themeColor="text1"/>
          <w:szCs w:val="21"/>
        </w:rPr>
        <w:t>方发行</w:t>
      </w:r>
      <w:proofErr w:type="gramEnd"/>
      <w:r w:rsidRPr="000C0420">
        <w:rPr>
          <w:rFonts w:ascii="宋体" w:hAnsi="宋体" w:hint="eastAsia"/>
          <w:color w:val="000000" w:themeColor="text1"/>
          <w:szCs w:val="21"/>
        </w:rPr>
        <w:t>的证券清单。基金管理人有责任确保其向基金托管人提供的关联交易名单的真实性、准确性、完整性，并负责及时将更新后的名单发送给基金托管人。基金管理人的关联方名单变更后基金管理人应及时发送基金托管人，经基金托管人确认后，新的关联交易名单</w:t>
      </w:r>
      <w:r w:rsidRPr="000C0420">
        <w:rPr>
          <w:rFonts w:ascii="宋体" w:hAnsi="宋体" w:hint="eastAsia"/>
          <w:color w:val="000000" w:themeColor="text1"/>
          <w:szCs w:val="21"/>
        </w:rPr>
        <w:lastRenderedPageBreak/>
        <w:t>开始生效。基金托管人仅按基金管理人提供的基金关联方名单为限，进行监督。</w:t>
      </w:r>
    </w:p>
    <w:p w14:paraId="63E3A3DF"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5.基金托管人</w:t>
      </w:r>
      <w:r w:rsidRPr="000C0420">
        <w:rPr>
          <w:rFonts w:ascii="宋体" w:hAnsi="宋体" w:cs="宋体" w:hint="eastAsia"/>
          <w:color w:val="000000" w:themeColor="text1"/>
          <w:kern w:val="0"/>
          <w:szCs w:val="21"/>
        </w:rPr>
        <w:t>依据有关法律法规的规定和《基金合同》的约定</w:t>
      </w:r>
      <w:r w:rsidRPr="000C0420">
        <w:rPr>
          <w:rFonts w:ascii="宋体" w:hAnsi="宋体" w:hint="eastAsia"/>
          <w:color w:val="000000" w:themeColor="text1"/>
          <w:szCs w:val="21"/>
        </w:rPr>
        <w:t>对基金管理人参与银行间债券市场进行监督。</w:t>
      </w:r>
    </w:p>
    <w:p w14:paraId="2F1285F8"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基金托管人根据基金管理人提供的银行间债券市场交易对手名单进行监督。由于交易对手的资信风险引起的损失，基金托管人不承担由此引发的责任及损失。</w:t>
      </w:r>
    </w:p>
    <w:p w14:paraId="74AA3A68"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6. 基金托管人依据有关法律法规的规定和《基金合同》的约定，对基金银行存款业务进行监督。</w:t>
      </w:r>
    </w:p>
    <w:p w14:paraId="418F9447" w14:textId="77777777" w:rsidR="00F633B7" w:rsidRPr="000C0420" w:rsidRDefault="000A2CE7">
      <w:pPr>
        <w:spacing w:line="440" w:lineRule="exact"/>
        <w:ind w:firstLineChars="215" w:firstLine="451"/>
        <w:rPr>
          <w:rFonts w:ascii="宋体" w:hAnsi="宋体"/>
          <w:color w:val="000000" w:themeColor="text1"/>
          <w:kern w:val="0"/>
          <w:szCs w:val="21"/>
        </w:rPr>
      </w:pPr>
      <w:r w:rsidRPr="000C0420">
        <w:rPr>
          <w:rFonts w:ascii="宋体" w:hAnsi="宋体" w:hint="eastAsia"/>
          <w:color w:val="000000" w:themeColor="text1"/>
          <w:szCs w:val="21"/>
        </w:rPr>
        <w:t>基金管理人应当加强对基金投资银行存款风险的评估与研究，严格测算与控制投资银行存款的风险敞口，针对不同类型存款银行建立相关投资限制制度。</w:t>
      </w:r>
      <w:r w:rsidRPr="000C0420">
        <w:rPr>
          <w:rFonts w:ascii="宋体" w:hAnsi="宋体" w:hint="eastAsia"/>
          <w:color w:val="000000" w:themeColor="text1"/>
          <w:kern w:val="0"/>
          <w:szCs w:val="21"/>
        </w:rPr>
        <w:t>如果基金托管人在运作过程中遵循</w:t>
      </w:r>
      <w:r w:rsidRPr="000C0420">
        <w:rPr>
          <w:rFonts w:ascii="宋体" w:hAnsi="宋体" w:cs="宋体" w:hint="eastAsia"/>
          <w:color w:val="000000" w:themeColor="text1"/>
          <w:kern w:val="0"/>
          <w:szCs w:val="21"/>
        </w:rPr>
        <w:t>有关法律法规的规定和《基金合同》的约定</w:t>
      </w:r>
      <w:r w:rsidRPr="000C0420">
        <w:rPr>
          <w:rFonts w:ascii="宋体" w:hAnsi="宋体" w:hint="eastAsia"/>
          <w:color w:val="000000" w:themeColor="text1"/>
          <w:kern w:val="0"/>
          <w:szCs w:val="21"/>
        </w:rPr>
        <w:t>监督流程，则对于由于存款银行信用风险引起的损失，不承担赔偿责任。</w:t>
      </w:r>
    </w:p>
    <w:p w14:paraId="3C38423B" w14:textId="77777777" w:rsidR="00F633B7" w:rsidRPr="000C0420" w:rsidRDefault="000A2CE7">
      <w:pPr>
        <w:spacing w:line="440" w:lineRule="exact"/>
        <w:ind w:firstLineChars="215" w:firstLine="451"/>
        <w:rPr>
          <w:rFonts w:ascii="宋体" w:hAnsi="宋体"/>
          <w:color w:val="000000" w:themeColor="text1"/>
          <w:szCs w:val="21"/>
        </w:rPr>
      </w:pPr>
      <w:r w:rsidRPr="000C0420">
        <w:rPr>
          <w:rFonts w:ascii="宋体" w:hAnsi="宋体" w:hint="eastAsia"/>
          <w:color w:val="000000" w:themeColor="text1"/>
          <w:szCs w:val="21"/>
        </w:rPr>
        <w:t>7.基金托管人对基金投资流通受限证券的监督</w:t>
      </w:r>
    </w:p>
    <w:p w14:paraId="5551B47D" w14:textId="77777777" w:rsidR="00F633B7" w:rsidRPr="000C0420" w:rsidRDefault="000A2CE7">
      <w:pPr>
        <w:spacing w:line="440" w:lineRule="exact"/>
        <w:ind w:firstLineChars="215" w:firstLine="451"/>
        <w:rPr>
          <w:rFonts w:ascii="宋体" w:hAnsi="宋体"/>
          <w:color w:val="000000" w:themeColor="text1"/>
          <w:szCs w:val="21"/>
        </w:rPr>
      </w:pPr>
      <w:r w:rsidRPr="000C0420">
        <w:rPr>
          <w:rFonts w:ascii="宋体" w:hAnsi="宋体" w:hint="eastAsia"/>
          <w:color w:val="000000" w:themeColor="text1"/>
          <w:szCs w:val="21"/>
        </w:rPr>
        <w:t>如下所指“流通受限证券”与本协议以及基金合同所指“流动性受限资产”定义存在不同。就流动性受限资产定义，请参照基金合同的释义部分。</w:t>
      </w:r>
    </w:p>
    <w:p w14:paraId="3A85FE3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基金管理人投资流通受限证券，应事先根据中国证监会相关规定，明确基金投资流通受限证券的比例，制订严格的投资决策流程和风险控制制度，防范流动性风险、法律风险和操作风险等各种风险。</w:t>
      </w:r>
    </w:p>
    <w:p w14:paraId="41759563"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sidRPr="000C0420">
        <w:rPr>
          <w:rFonts w:ascii="宋体" w:hAnsi="宋体" w:hint="eastAsia"/>
          <w:color w:val="000000" w:themeColor="text1"/>
          <w:szCs w:val="21"/>
        </w:rPr>
        <w:t>券</w:t>
      </w:r>
      <w:proofErr w:type="gramEnd"/>
      <w:r w:rsidRPr="000C0420">
        <w:rPr>
          <w:rFonts w:ascii="宋体" w:hAnsi="宋体" w:hint="eastAsia"/>
          <w:color w:val="000000" w:themeColor="text1"/>
          <w:szCs w:val="21"/>
        </w:rPr>
        <w:t>等流通受限证券。本基金不投资有</w:t>
      </w:r>
      <w:proofErr w:type="gramStart"/>
      <w:r w:rsidRPr="000C0420">
        <w:rPr>
          <w:rFonts w:ascii="宋体" w:hAnsi="宋体" w:hint="eastAsia"/>
          <w:color w:val="000000" w:themeColor="text1"/>
          <w:szCs w:val="21"/>
        </w:rPr>
        <w:t>锁定期但锁定</w:t>
      </w:r>
      <w:proofErr w:type="gramEnd"/>
      <w:r w:rsidRPr="000C0420">
        <w:rPr>
          <w:rFonts w:ascii="宋体" w:hAnsi="宋体" w:hint="eastAsia"/>
          <w:color w:val="000000" w:themeColor="text1"/>
          <w:szCs w:val="21"/>
        </w:rPr>
        <w:t>期不明确的证券。</w:t>
      </w:r>
    </w:p>
    <w:p w14:paraId="56F0CCE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管理人投资非公开发行股票，应制订流动性风险处置预案并经其董事会批准。风险处置预案应包括但不限于因投资流通受限证券需要解决的基金投资比例限制失调、基金流动性困难以及相关损失等问题的应对解决措施，以及有关异常情况的处置。基金管理人应在首次投资流通受限证券前向基金托管人提供基金投资非公开发行股票的相关流动性风险处置预案。</w:t>
      </w:r>
    </w:p>
    <w:p w14:paraId="6EF1C73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出现困难时，基金管理人应保证提供足额现金确保基金的支付结算，并承担所有损失。对本基金因投资流通受限证券导致的流动性风险，基金托管</w:t>
      </w:r>
      <w:r w:rsidRPr="000C0420">
        <w:rPr>
          <w:rFonts w:ascii="宋体" w:hAnsi="宋体" w:hint="eastAsia"/>
          <w:color w:val="000000" w:themeColor="text1"/>
          <w:szCs w:val="21"/>
        </w:rPr>
        <w:lastRenderedPageBreak/>
        <w:t>人不承担任何责任。如因基金管理</w:t>
      </w:r>
      <w:proofErr w:type="gramStart"/>
      <w:r w:rsidRPr="000C0420">
        <w:rPr>
          <w:rFonts w:ascii="宋体" w:hAnsi="宋体" w:hint="eastAsia"/>
          <w:color w:val="000000" w:themeColor="text1"/>
          <w:szCs w:val="21"/>
        </w:rPr>
        <w:t>人原因</w:t>
      </w:r>
      <w:proofErr w:type="gramEnd"/>
      <w:r w:rsidRPr="000C0420">
        <w:rPr>
          <w:rFonts w:ascii="宋体" w:hAnsi="宋体" w:hint="eastAsia"/>
          <w:color w:val="000000" w:themeColor="text1"/>
          <w:szCs w:val="21"/>
        </w:rPr>
        <w:t>导致本基金出现损失的，基金托管人不承担任何责任。</w:t>
      </w:r>
    </w:p>
    <w:p w14:paraId="4C75124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管理人应在基金投资非公开发行股票后两个交易日内，在中国证监会规定媒介披露所投资非公开发行股票的名称、数量、总成本、账面价值，以及总成本和账面价值占基金资产净值的比例、锁定期等信息。</w:t>
      </w:r>
    </w:p>
    <w:p w14:paraId="424BF52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有关基金投资的流通受限证券应保证登记存管在相关基金名下，基金管理人负责相关工作的落实和协调，并保证基金托管人能够正常查询。如因流通受限证券的登记存管不能保证基金托管人正常履行资产保管责任，有关此项基金资产存管的责任由基金管理人承担。</w:t>
      </w:r>
    </w:p>
    <w:p w14:paraId="7708C98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如基金管理人未遵守相关制度、流动性风险处置方案以及投资额度和比例限制要求，导致基金出现风险使基金托管人承担赔偿责任的，</w:t>
      </w:r>
      <w:proofErr w:type="gramStart"/>
      <w:r w:rsidRPr="000C0420">
        <w:rPr>
          <w:rFonts w:ascii="宋体" w:hAnsi="宋体" w:hint="eastAsia"/>
          <w:color w:val="000000" w:themeColor="text1"/>
          <w:szCs w:val="21"/>
        </w:rPr>
        <w:t>若基金</w:t>
      </w:r>
      <w:proofErr w:type="gramEnd"/>
      <w:r w:rsidRPr="000C0420">
        <w:rPr>
          <w:rFonts w:ascii="宋体" w:hAnsi="宋体" w:hint="eastAsia"/>
          <w:color w:val="000000" w:themeColor="text1"/>
          <w:szCs w:val="21"/>
        </w:rPr>
        <w:t>托管人此前已切实履行监督职责的，基金管理人应赔偿基金托管人由此遭受的损失。</w:t>
      </w:r>
    </w:p>
    <w:p w14:paraId="27295E7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本基金投资非公开发行股票，基金管理人应至少于执行投资指令之前两个工作日将有关资料书面提交基金托管人，并保证向基金托管人提供的有关资料真实、准确、完整。有关资料如有调整，基金管理人应及时提供调整后的资料。上述书面资料包括但不限于：</w:t>
      </w:r>
    </w:p>
    <w:p w14:paraId="791A149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1）中国证监会批准发行非公开发行股票的批准文件。</w:t>
      </w:r>
    </w:p>
    <w:p w14:paraId="7895778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2）有关非公开发行股票的发行数量、发行价格、锁定期等发行资料。</w:t>
      </w:r>
    </w:p>
    <w:p w14:paraId="1917E57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3）基金拟认购的数量、价格、总成本、账面价值。</w:t>
      </w:r>
    </w:p>
    <w:p w14:paraId="44C9E0B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4）该基金投资流通受限证券的投资额度和投资比例控制。</w:t>
      </w:r>
    </w:p>
    <w:p w14:paraId="0FBE9CF5"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w:t>
      </w:r>
      <w:r w:rsidRPr="000C0420">
        <w:rPr>
          <w:rFonts w:ascii="宋体" w:hAnsi="宋体" w:cs="宋体" w:hint="eastAsia"/>
          <w:color w:val="000000" w:themeColor="text1"/>
          <w:kern w:val="0"/>
          <w:szCs w:val="21"/>
        </w:rPr>
        <w:t>基金托管人应按照《关于基金投资非公开发行股票等流通受限证券有关问题的通知》规定，对基金管理人是否遵守法律法规进行监督，并审核基金管理人提供的有关书面信息。</w:t>
      </w:r>
      <w:r w:rsidRPr="000C0420">
        <w:rPr>
          <w:rFonts w:ascii="宋体" w:hAnsi="宋体" w:hint="eastAsia"/>
          <w:color w:val="000000" w:themeColor="text1"/>
          <w:szCs w:val="21"/>
        </w:rPr>
        <w:t>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资料的权利。</w:t>
      </w:r>
      <w:proofErr w:type="gramStart"/>
      <w:r w:rsidRPr="000C0420">
        <w:rPr>
          <w:rFonts w:ascii="宋体" w:hAnsi="宋体" w:hint="eastAsia"/>
          <w:color w:val="000000" w:themeColor="text1"/>
          <w:szCs w:val="21"/>
        </w:rPr>
        <w:t>若基金</w:t>
      </w:r>
      <w:proofErr w:type="gramEnd"/>
      <w:r w:rsidRPr="000C0420">
        <w:rPr>
          <w:rFonts w:ascii="宋体" w:hAnsi="宋体" w:hint="eastAsia"/>
          <w:color w:val="000000" w:themeColor="text1"/>
          <w:szCs w:val="21"/>
        </w:rPr>
        <w:t>管理人不提供或提供后经基金托管人评估认为可能存在无法消除的风险，基金托管人有权拒绝执行有关指令。因拒绝执行该指令造成基金财产损失的，基金托管人不承担任何责任，并有权报告中国证监会。</w:t>
      </w:r>
    </w:p>
    <w:p w14:paraId="1E9819A1"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如基金管理人和基金托管人无法就上述问题达成一致，应及时上报中国证监会请求解决。基金托管人履行了本协议规定的监督职责后，不承担任何责任。</w:t>
      </w:r>
    </w:p>
    <w:p w14:paraId="4C1BF8EC" w14:textId="3D8B86DC" w:rsidR="00F633B7" w:rsidRPr="000C0420" w:rsidRDefault="000A2CE7" w:rsidP="000C0420">
      <w:pPr>
        <w:widowControl/>
        <w:numPr>
          <w:ilvl w:val="0"/>
          <w:numId w:val="2"/>
        </w:numPr>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相关法律法规对基金投资流通受限证券有新规定的，从其规定。</w:t>
      </w:r>
    </w:p>
    <w:p w14:paraId="76CD7B9C" w14:textId="4623182F" w:rsidR="00F633B7" w:rsidRPr="000C0420" w:rsidRDefault="000A2CE7" w:rsidP="00B34829">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（二）基金托管人应当对定期报告有关业绩比较基准的披露内容进行复核，包括业绩比</w:t>
      </w:r>
      <w:r w:rsidRPr="000C0420">
        <w:rPr>
          <w:rFonts w:ascii="宋体" w:hAnsi="宋体" w:hint="eastAsia"/>
          <w:color w:val="000000" w:themeColor="text1"/>
          <w:szCs w:val="21"/>
        </w:rPr>
        <w:lastRenderedPageBreak/>
        <w:t>较基准披露的财务指标、净值表现、投资组合信息等。</w:t>
      </w:r>
    </w:p>
    <w:p w14:paraId="440C12F2" w14:textId="4B63AD66"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三）基金托管人应当对业绩比较基准的选取、变更进行监督。基金托管人在基金合同审核过程中，应当重点关注业绩比较基准的代表性和客观性。基金托管人发现业绩比较基准与本基金主要的投资目标、投资范围、投资策略、投资比例、投资风格不匹配的，应当及时提醒基金管理人。法律法规有最新要求的，按最新要求执行。</w:t>
      </w:r>
    </w:p>
    <w:p w14:paraId="1E3FB0BF" w14:textId="49FFF23A"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四）基金托管人应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14:paraId="0452E2B5" w14:textId="01F73BEF" w:rsidR="00F633B7" w:rsidRPr="000C0420" w:rsidRDefault="000A2CE7">
      <w:pPr>
        <w:spacing w:after="120" w:line="360" w:lineRule="auto"/>
        <w:ind w:firstLineChars="200" w:firstLine="420"/>
        <w:rPr>
          <w:rFonts w:ascii="宋体" w:hAnsi="宋体"/>
          <w:color w:val="000000" w:themeColor="text1"/>
          <w:szCs w:val="21"/>
        </w:rPr>
      </w:pPr>
      <w:bookmarkStart w:id="12" w:name="_Toc382819075"/>
      <w:r w:rsidRPr="000C0420">
        <w:rPr>
          <w:rFonts w:ascii="宋体" w:hAnsi="宋体" w:hint="eastAsia"/>
          <w:color w:val="000000" w:themeColor="text1"/>
          <w:szCs w:val="21"/>
        </w:rPr>
        <w:t>（五）基金托管人发现基金管理人的投资运作及其他运作违反《基金法》、《基金合同》、基金托管协议等有关规定时，应及时以书面形式通知基金管理人限期纠正，基金管理人收到通知后应在下一个工作日及时核对，并以书面形式向基金托管人发出回函，进行解释或举证。</w:t>
      </w:r>
      <w:bookmarkEnd w:id="12"/>
    </w:p>
    <w:p w14:paraId="7ACFDE8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1.在限期内，基金托管人有权随时对通知事项进行复查，督促基金管理人改正。基金管理人对基金托管人通知的违规事项未能在限期内纠正的，基金托管人应报告中国证监会。</w:t>
      </w:r>
    </w:p>
    <w:p w14:paraId="13995B75"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2.基金管理人应积极配合和协助基金托管人依照法律法规、《基金合同》和本托管协议对基金业务的监督和核查，对基金托管人发出的书面提示，必须在规定时间内答复基金托管人并改正，或就基金托管人的疑义进行解释或举证，对基金托管人按照法律法规、《基金合同》和本托管协议的要求需向中国证监会报送基金监督报告的，基金管理人应积极配合提供相关数据资料和制度等。</w:t>
      </w:r>
    </w:p>
    <w:p w14:paraId="7D564CC6"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3.</w:t>
      </w:r>
      <w:proofErr w:type="gramStart"/>
      <w:r w:rsidRPr="000C0420">
        <w:rPr>
          <w:rFonts w:ascii="宋体" w:hAnsi="宋体" w:hint="eastAsia"/>
          <w:color w:val="000000" w:themeColor="text1"/>
          <w:szCs w:val="21"/>
        </w:rPr>
        <w:t>若基金</w:t>
      </w:r>
      <w:proofErr w:type="gramEnd"/>
      <w:r w:rsidRPr="000C0420">
        <w:rPr>
          <w:rFonts w:ascii="宋体" w:hAnsi="宋体" w:hint="eastAsia"/>
          <w:color w:val="000000" w:themeColor="text1"/>
          <w:szCs w:val="21"/>
        </w:rPr>
        <w:t>托管人发现基金管理人发出但未执行的投资指令或依据交易程序已经生效的投资指令违反法律、行政法规和其他有关规定，或者违反《基金合同》约定的，应当立即通知基金管理人，并报告中国证监会。基金管理人的上述违规失信行为给基金财产或基金份额持有人造成的损失，由基金管理人承担。</w:t>
      </w:r>
    </w:p>
    <w:p w14:paraId="72CC4DC0"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4.对于必须于估值完成后方可获知的监控指标或依据交易程序已经成交的投资指令，基金托管人发现该投资指令违反法律法规或者违反《基金合同》约定的，应当立即通知基金管理人，并报告中国证监会。基金管理人的上述违规失信行为给基金财产或基金份额持有人造成的损失，由基金管理人承担。</w:t>
      </w:r>
    </w:p>
    <w:p w14:paraId="22CFA87A"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t>5.基金托管人发现基金管理人有重大违规行为，应立即报告中国证监会，同时通知基金管理人限期纠正。基金管理人的上述违规失信行为给基金财产或基金份额持有人造成的损失，由基金管理人承担。</w:t>
      </w:r>
    </w:p>
    <w:p w14:paraId="137F0F30" w14:textId="77777777" w:rsidR="00F633B7" w:rsidRPr="000C0420" w:rsidRDefault="000A2CE7">
      <w:pPr>
        <w:spacing w:line="440" w:lineRule="exact"/>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基金管理人无正当理由，拒绝、阻挠基金托管人根据本协议规定行使监督权，或采取拖延、欺诈等手段妨碍基金托管人进行有效监督，情节严重或经基金托管人提出警告仍不改正的，基金托管人应报告中国证监会。基金管理人的上述违规失信行为给基金财产或基金份额持有人造成的损失，由基金管理人承担。</w:t>
      </w:r>
    </w:p>
    <w:p w14:paraId="0C766721" w14:textId="77777777" w:rsidR="00F633B7" w:rsidRPr="000C0420" w:rsidRDefault="00F633B7">
      <w:pPr>
        <w:spacing w:line="440" w:lineRule="exact"/>
        <w:ind w:firstLineChars="200" w:firstLine="420"/>
        <w:rPr>
          <w:rFonts w:ascii="宋体" w:hAnsi="宋体"/>
          <w:color w:val="000000" w:themeColor="text1"/>
          <w:szCs w:val="21"/>
        </w:rPr>
      </w:pPr>
    </w:p>
    <w:p w14:paraId="355F036D"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13" w:name="_Toc382819076"/>
      <w:r w:rsidRPr="000C0420">
        <w:rPr>
          <w:rFonts w:ascii="宋体" w:hAnsi="宋体" w:hint="eastAsia"/>
          <w:b/>
          <w:color w:val="000000" w:themeColor="text1"/>
          <w:sz w:val="24"/>
        </w:rPr>
        <w:t>三、基金管理人对基金托管人的业务核查</w:t>
      </w:r>
      <w:bookmarkEnd w:id="13"/>
    </w:p>
    <w:p w14:paraId="19134D6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对基金托管人履行托管职责情况进行核查，核查事项包括但不限于基金托管人是否安全保管基金财产、是否分别开设基金财产的资金账户和证券账户及投资所需其他账户、是否复核基金管理人计算的基金资产净值和基金份额净值、是否根据基金管理人指令办理清算交收、进行相关信息披露和监督基金投资运作等行为。</w:t>
      </w:r>
    </w:p>
    <w:p w14:paraId="148D5C5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并以书面形式向基金管理人发出回函。在限期内，基金管理人有权随时对通知事项进行复查，督促基金托管人改正。基金托管人对基金管理人通知的违规事项未能在限期内纠正的，基金管理人应报告中国证监会。基金管理人发现基金托管人有重大违规行为，应立即报告中国证监会和银行业监督管理机构，同时通知基金托管人限期纠正。</w:t>
      </w:r>
    </w:p>
    <w:p w14:paraId="0E1C02A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基金托管人应积极配合基金管理人的核查行为，包括但不限于：提交相关资料以</w:t>
      </w:r>
      <w:proofErr w:type="gramStart"/>
      <w:r w:rsidRPr="000C0420">
        <w:rPr>
          <w:rFonts w:ascii="宋体" w:hAnsi="宋体" w:hint="eastAsia"/>
          <w:color w:val="000000" w:themeColor="text1"/>
          <w:szCs w:val="21"/>
        </w:rPr>
        <w:t>供基金</w:t>
      </w:r>
      <w:proofErr w:type="gramEnd"/>
      <w:r w:rsidRPr="000C0420">
        <w:rPr>
          <w:rFonts w:ascii="宋体" w:hAnsi="宋体" w:hint="eastAsia"/>
          <w:color w:val="000000" w:themeColor="text1"/>
          <w:szCs w:val="21"/>
        </w:rPr>
        <w:t>管理人核查托管财产的完整性和真实性，在规定时间内答复基金管理人并改正。</w:t>
      </w:r>
    </w:p>
    <w:p w14:paraId="639E3EA5" w14:textId="77777777" w:rsidR="00F633B7" w:rsidRPr="000C0420" w:rsidRDefault="000A2CE7">
      <w:pPr>
        <w:spacing w:line="360" w:lineRule="auto"/>
        <w:ind w:firstLineChars="200" w:firstLine="420"/>
        <w:rPr>
          <w:rFonts w:ascii="宋体" w:hAnsi="宋体"/>
          <w:color w:val="000000" w:themeColor="text1"/>
          <w:szCs w:val="21"/>
        </w:rPr>
      </w:pPr>
      <w:bookmarkStart w:id="14" w:name="_Toc382819077"/>
      <w:bookmarkStart w:id="15" w:name="_Toc382818598"/>
      <w:r w:rsidRPr="000C0420">
        <w:rPr>
          <w:rFonts w:ascii="宋体" w:hAnsi="宋体" w:hint="eastAsia"/>
          <w:color w:val="000000" w:themeColor="text1"/>
          <w:szCs w:val="21"/>
        </w:rPr>
        <w:t>基金托管人无正当理由，拒绝、阻挠基金管理人根据本协议规定行使监督权，或采取拖延、欺诈等手段妨碍基金管理人进行有效监督，情节严重或经基金管理人提出警告仍不改正的，基金管理人应报告中国证监会。</w:t>
      </w:r>
      <w:bookmarkEnd w:id="14"/>
      <w:bookmarkEnd w:id="15"/>
    </w:p>
    <w:p w14:paraId="48D61D74"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16" w:name="_Toc382819078"/>
      <w:r w:rsidRPr="000C0420">
        <w:rPr>
          <w:rFonts w:ascii="宋体" w:hAnsi="宋体" w:hint="eastAsia"/>
          <w:b/>
          <w:color w:val="000000" w:themeColor="text1"/>
          <w:sz w:val="24"/>
        </w:rPr>
        <w:t>四、基金财产保管</w:t>
      </w:r>
      <w:bookmarkEnd w:id="16"/>
    </w:p>
    <w:p w14:paraId="5934B8FD" w14:textId="77777777" w:rsidR="00F633B7" w:rsidRPr="000C0420" w:rsidRDefault="000A2CE7">
      <w:pPr>
        <w:pStyle w:val="2"/>
        <w:keepNext w:val="0"/>
        <w:keepLines w:val="0"/>
        <w:autoSpaceDE w:val="0"/>
        <w:autoSpaceDN w:val="0"/>
        <w:adjustRightInd w:val="0"/>
        <w:spacing w:before="0" w:after="0" w:line="360" w:lineRule="auto"/>
        <w:ind w:firstLineChars="150" w:firstLine="315"/>
        <w:textAlignment w:val="baseline"/>
        <w:rPr>
          <w:rFonts w:ascii="宋体" w:eastAsia="宋体" w:hAnsi="宋体"/>
          <w:b w:val="0"/>
          <w:bCs w:val="0"/>
          <w:color w:val="000000" w:themeColor="text1"/>
          <w:sz w:val="21"/>
          <w:szCs w:val="21"/>
        </w:rPr>
      </w:pPr>
      <w:bookmarkStart w:id="17" w:name="_Toc382819079"/>
      <w:r w:rsidRPr="000C0420">
        <w:rPr>
          <w:rFonts w:ascii="宋体" w:eastAsia="宋体" w:hAnsi="宋体" w:hint="eastAsia"/>
          <w:b w:val="0"/>
          <w:bCs w:val="0"/>
          <w:color w:val="000000" w:themeColor="text1"/>
          <w:sz w:val="21"/>
          <w:szCs w:val="21"/>
        </w:rPr>
        <w:t>（一）基金财产保管的原则</w:t>
      </w:r>
      <w:bookmarkEnd w:id="17"/>
    </w:p>
    <w:p w14:paraId="56A9B78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1.基金财产应独立于基金管理人、基金托管人的固有财产。</w:t>
      </w:r>
    </w:p>
    <w:p w14:paraId="47F3567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2.基金托管人应按本协议规定安全保管托管财产。未经基金管理人的指令，不得自行运用、处分、分配基金的任何财产（基金托管人主动扣收的</w:t>
      </w:r>
      <w:proofErr w:type="gramStart"/>
      <w:r w:rsidRPr="000C0420">
        <w:rPr>
          <w:rFonts w:ascii="宋体" w:hAnsi="宋体" w:hint="eastAsia"/>
          <w:color w:val="000000" w:themeColor="text1"/>
          <w:szCs w:val="21"/>
        </w:rPr>
        <w:t>汇划费及</w:t>
      </w:r>
      <w:proofErr w:type="gramEnd"/>
      <w:r w:rsidRPr="000C0420">
        <w:rPr>
          <w:rFonts w:ascii="宋体" w:hAnsi="宋体" w:hint="eastAsia"/>
          <w:color w:val="000000" w:themeColor="text1"/>
          <w:szCs w:val="21"/>
        </w:rPr>
        <w:t>依据本协议扣划的托管费</w:t>
      </w:r>
      <w:r w:rsidRPr="000C0420">
        <w:rPr>
          <w:rFonts w:ascii="宋体" w:hAnsi="宋体" w:hint="eastAsia"/>
          <w:color w:val="000000" w:themeColor="text1"/>
          <w:szCs w:val="21"/>
        </w:rPr>
        <w:lastRenderedPageBreak/>
        <w:t>等费用除外）。基金托管人不对处于自身实际控制之外的账户及财产承担责任。</w:t>
      </w:r>
    </w:p>
    <w:p w14:paraId="5D480C0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3.基金托管人按照规定为托管的基金财产开设资金账户和证券账户及投资所需其他账户。</w:t>
      </w:r>
    </w:p>
    <w:p w14:paraId="30038194"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4.基金托管人对所托管的不同基金财产分别设置账户，与基金托管人的其他业务和其他基金的托管业务实行严格的分账管理，确保基金财产的完整与独立。</w:t>
      </w:r>
    </w:p>
    <w:p w14:paraId="118ED45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基金管理人的追偿行为应予以必要的协助与配合，但对基金财产的损失不承担责任。</w:t>
      </w:r>
    </w:p>
    <w:p w14:paraId="2F751C0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color w:val="000000" w:themeColor="text1"/>
          <w:szCs w:val="21"/>
        </w:rPr>
        <w:t>6</w:t>
      </w:r>
      <w:r w:rsidRPr="000C0420">
        <w:rPr>
          <w:rFonts w:ascii="宋体" w:hAnsi="宋体" w:hint="eastAsia"/>
          <w:color w:val="000000" w:themeColor="text1"/>
          <w:szCs w:val="21"/>
        </w:rPr>
        <w:t>.基金托管人对因为基金管理人投资产生的存放或存管在基金托管人以外机构的基金资产，或交由期货公司或证券公司负责清算交收的基金资产（包括但不限于证券交易资金账户内的资金、证券类基金资产、期货保证金账户内的资金、期货合约等）及其收益，由于该等机构或该机构会员单位等本协议当事人外第三方的欺诈、疏忽、过失或破产等原因给基金资产造成的损失等不承担责任。</w:t>
      </w:r>
    </w:p>
    <w:p w14:paraId="3AC1B74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color w:val="000000" w:themeColor="text1"/>
          <w:szCs w:val="21"/>
        </w:rPr>
        <w:t>7</w:t>
      </w:r>
      <w:r w:rsidRPr="000C0420">
        <w:rPr>
          <w:rFonts w:ascii="宋体" w:hAnsi="宋体" w:hint="eastAsia"/>
          <w:color w:val="000000" w:themeColor="text1"/>
          <w:szCs w:val="21"/>
        </w:rPr>
        <w:t>.除依据法律法规和基金合同的规定外，基金托管人不得委托第三人托管基金财产。</w:t>
      </w:r>
    </w:p>
    <w:p w14:paraId="34A1CEA1" w14:textId="09CBA2DA"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18" w:name="_Toc382819080"/>
      <w:r w:rsidRPr="000C0420">
        <w:rPr>
          <w:rFonts w:ascii="宋体" w:eastAsia="宋体" w:hAnsi="宋体" w:hint="eastAsia"/>
          <w:b w:val="0"/>
          <w:bCs w:val="0"/>
          <w:color w:val="000000" w:themeColor="text1"/>
          <w:sz w:val="21"/>
          <w:szCs w:val="21"/>
        </w:rPr>
        <w:t>（二）募集资金的</w:t>
      </w:r>
      <w:r w:rsidR="00D10618" w:rsidRPr="000C0420">
        <w:rPr>
          <w:rFonts w:ascii="宋体" w:eastAsia="宋体" w:hAnsi="宋体" w:hint="eastAsia"/>
          <w:b w:val="0"/>
          <w:bCs w:val="0"/>
          <w:color w:val="000000" w:themeColor="text1"/>
          <w:sz w:val="21"/>
          <w:szCs w:val="21"/>
        </w:rPr>
        <w:t>验资</w:t>
      </w:r>
      <w:bookmarkEnd w:id="18"/>
    </w:p>
    <w:p w14:paraId="3E80BF2B" w14:textId="41B2524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基金募集期间募集的资金应存放于专用账户，募集的股票按照交易所和登记结算机构的规则和流程办理股票的冻结与过户。基金募集期满或基金管理人宣布停止募集时，募集的基金份额总额</w:t>
      </w:r>
      <w:r w:rsidR="00B34829" w:rsidRPr="000C0420">
        <w:rPr>
          <w:rFonts w:ascii="宋体" w:hAnsi="宋体" w:hint="eastAsia"/>
          <w:color w:val="000000" w:themeColor="text1"/>
          <w:szCs w:val="21"/>
        </w:rPr>
        <w:t>（含网下股票认购所募集的股票按基金合同约定的估值方法计算的价值）</w:t>
      </w:r>
      <w:r w:rsidRPr="000C0420">
        <w:rPr>
          <w:rFonts w:ascii="宋体" w:hAnsi="宋体" w:hint="eastAsia"/>
          <w:color w:val="000000" w:themeColor="text1"/>
          <w:szCs w:val="21"/>
        </w:rPr>
        <w:t>、基金募集金额、基金份额持有人人数符合《基金法》、《运作办法》等有关规定后，由基金管理人聘请符合《中华人民共和国证券法》规定的会计师事务所进行验资，出具验资报告，出具的验资报告应由参加验资的2名以上（含2名）符合《证券法》规定的注册会计师签字方为有效。募集的属于本基金财产的全部资金划入基金托管人为基金开立的资产托管专户中，</w:t>
      </w:r>
      <w:r w:rsidR="00B34829" w:rsidRPr="000C0420">
        <w:rPr>
          <w:rFonts w:ascii="宋体" w:hAnsi="宋体" w:hint="eastAsia"/>
          <w:color w:val="000000" w:themeColor="text1"/>
          <w:szCs w:val="21"/>
        </w:rPr>
        <w:t>登记机构应当将网下股票认购所募集到的股票划入本基金的证券账户下，</w:t>
      </w:r>
      <w:r w:rsidRPr="000C0420">
        <w:rPr>
          <w:rFonts w:ascii="宋体" w:hAnsi="宋体" w:hint="eastAsia"/>
          <w:color w:val="000000" w:themeColor="text1"/>
          <w:szCs w:val="21"/>
        </w:rPr>
        <w:t>并确保划入的资金与</w:t>
      </w:r>
      <w:proofErr w:type="gramStart"/>
      <w:r w:rsidRPr="000C0420">
        <w:rPr>
          <w:rFonts w:ascii="宋体" w:hAnsi="宋体" w:hint="eastAsia"/>
          <w:color w:val="000000" w:themeColor="text1"/>
          <w:szCs w:val="21"/>
        </w:rPr>
        <w:t>验资金额相</w:t>
      </w:r>
      <w:proofErr w:type="gramEnd"/>
      <w:r w:rsidRPr="000C0420">
        <w:rPr>
          <w:rFonts w:ascii="宋体" w:hAnsi="宋体" w:hint="eastAsia"/>
          <w:color w:val="000000" w:themeColor="text1"/>
          <w:szCs w:val="21"/>
        </w:rPr>
        <w:t>一致。基金托管人收到有效认购资金当日以书面形式确认资金到账情况，并及时将资金到账凭证传真给基金管理人，双方进行账务处理。</w:t>
      </w:r>
    </w:p>
    <w:p w14:paraId="6C32B5CD" w14:textId="59C0160A" w:rsidR="00F633B7" w:rsidRPr="000C0420" w:rsidRDefault="000A2CE7">
      <w:pPr>
        <w:spacing w:line="360" w:lineRule="auto"/>
        <w:ind w:firstLineChars="200" w:firstLine="420"/>
        <w:rPr>
          <w:rFonts w:ascii="宋体" w:hAnsi="宋体" w:cs="Arial"/>
          <w:color w:val="000000" w:themeColor="text1"/>
          <w:szCs w:val="21"/>
        </w:rPr>
      </w:pPr>
      <w:proofErr w:type="gramStart"/>
      <w:r w:rsidRPr="000C0420">
        <w:rPr>
          <w:rFonts w:ascii="宋体" w:hAnsi="宋体" w:cs="Arial" w:hint="eastAsia"/>
          <w:color w:val="000000" w:themeColor="text1"/>
          <w:szCs w:val="21"/>
        </w:rPr>
        <w:t>若基金</w:t>
      </w:r>
      <w:proofErr w:type="gramEnd"/>
      <w:r w:rsidRPr="000C0420">
        <w:rPr>
          <w:rFonts w:ascii="宋体" w:hAnsi="宋体" w:cs="Arial" w:hint="eastAsia"/>
          <w:color w:val="000000" w:themeColor="text1"/>
          <w:szCs w:val="21"/>
        </w:rPr>
        <w:t>募集期限届满，未能达到《基金合同》备案的条件，由基金管理人按规定办理退款事宜</w:t>
      </w:r>
      <w:r w:rsidR="00B34829" w:rsidRPr="000C0420">
        <w:rPr>
          <w:rFonts w:ascii="宋体" w:hAnsi="宋体" w:cs="Arial" w:hint="eastAsia"/>
          <w:color w:val="000000" w:themeColor="text1"/>
          <w:szCs w:val="21"/>
        </w:rPr>
        <w:t>、股票解冻及返还事宜，基金托管人应提供充分协助</w:t>
      </w:r>
      <w:r w:rsidRPr="000C0420">
        <w:rPr>
          <w:rFonts w:ascii="宋体" w:hAnsi="宋体" w:cs="Arial" w:hint="eastAsia"/>
          <w:color w:val="000000" w:themeColor="text1"/>
          <w:szCs w:val="21"/>
        </w:rPr>
        <w:t>。</w:t>
      </w:r>
    </w:p>
    <w:p w14:paraId="707569DD"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19" w:name="_Toc382819081"/>
      <w:r w:rsidRPr="000C0420">
        <w:rPr>
          <w:rFonts w:ascii="宋体" w:eastAsia="宋体" w:hAnsi="宋体" w:hint="eastAsia"/>
          <w:b w:val="0"/>
          <w:bCs w:val="0"/>
          <w:color w:val="000000" w:themeColor="text1"/>
          <w:sz w:val="21"/>
          <w:szCs w:val="21"/>
        </w:rPr>
        <w:t>（三）基金资产托管专户的开立和管理</w:t>
      </w:r>
      <w:bookmarkEnd w:id="19"/>
    </w:p>
    <w:p w14:paraId="636B2EC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1.基金托管人以基金的名义在其营业机构开设资产托管专户，并根据基金管理人合法合</w:t>
      </w:r>
      <w:proofErr w:type="gramStart"/>
      <w:r w:rsidRPr="000C0420">
        <w:rPr>
          <w:rFonts w:ascii="宋体" w:hAnsi="宋体" w:hint="eastAsia"/>
          <w:color w:val="000000" w:themeColor="text1"/>
          <w:szCs w:val="21"/>
        </w:rPr>
        <w:t>规</w:t>
      </w:r>
      <w:proofErr w:type="gramEnd"/>
      <w:r w:rsidRPr="000C0420">
        <w:rPr>
          <w:rFonts w:ascii="宋体" w:hAnsi="宋体" w:hint="eastAsia"/>
          <w:color w:val="000000" w:themeColor="text1"/>
          <w:szCs w:val="21"/>
        </w:rPr>
        <w:t>的有效指令办理资金收付。基金管理人应根据法律法规及基金托管人的相关要求，提供开户所需的资料并提供其他必要协助。本基金的资产托管专户的预留印鉴的印章由基金托管人刻制、保管和使用。</w:t>
      </w:r>
    </w:p>
    <w:p w14:paraId="21EF87D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2.本基金的一切货币收支活动，均需通过基金托管人或基金的资产托管专户进行。基金的资产托管专户的开立和使用，限于满足开展本基金业务的需要。资产托管专户不得用于存取现金或</w:t>
      </w:r>
      <w:proofErr w:type="gramStart"/>
      <w:r w:rsidRPr="000C0420">
        <w:rPr>
          <w:rFonts w:ascii="宋体" w:hAnsi="宋体" w:hint="eastAsia"/>
          <w:color w:val="000000" w:themeColor="text1"/>
          <w:szCs w:val="21"/>
        </w:rPr>
        <w:t>开立网银转账</w:t>
      </w:r>
      <w:proofErr w:type="gramEnd"/>
      <w:r w:rsidRPr="000C0420">
        <w:rPr>
          <w:rFonts w:ascii="宋体" w:hAnsi="宋体" w:hint="eastAsia"/>
          <w:color w:val="000000" w:themeColor="text1"/>
          <w:szCs w:val="21"/>
        </w:rPr>
        <w:t>等功能。除因本基金业务需要，基金托管人和基金管理人不得假借本基金的名义开立其他任何银行账户；亦不得使用以基金名义开立的银行账户进行本基金业务以外的活动。</w:t>
      </w:r>
    </w:p>
    <w:p w14:paraId="7D3B891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3.资产托管专户的管理应符合《人民币银行结算账户管理办法》、《人民币利率管理规定》、《利率管理暂行规定》、《支付结算办法》以及银行业监督管理机构的其他有关规定。</w:t>
      </w:r>
    </w:p>
    <w:p w14:paraId="700626F7"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20" w:name="_Toc382819082"/>
      <w:r w:rsidRPr="000C0420">
        <w:rPr>
          <w:rFonts w:ascii="宋体" w:eastAsia="宋体" w:hAnsi="宋体" w:hint="eastAsia"/>
          <w:b w:val="0"/>
          <w:bCs w:val="0"/>
          <w:color w:val="000000" w:themeColor="text1"/>
          <w:sz w:val="21"/>
          <w:szCs w:val="21"/>
        </w:rPr>
        <w:t>（四）基金证券账户与证券交易资金账户的开设和管理</w:t>
      </w:r>
      <w:bookmarkEnd w:id="20"/>
    </w:p>
    <w:p w14:paraId="3711D12F"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1．基金托管人以基金托管人和本基金联名的方式在中国证券登记结算有限责任公司上海分公司/深圳分公司开立专门的证券账户。</w:t>
      </w:r>
    </w:p>
    <w:p w14:paraId="4192D0D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证券账户的开立和使用，限于满足开展本基金业务的需要。基金托管人和基金管理人不得出借和未经对方同意擅自转让本基金的任何证券账户；亦不得使用本基金的任何证券账户进行本基金业务以外的活动。</w:t>
      </w:r>
    </w:p>
    <w:p w14:paraId="3863917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3.基金证券账户的开立由基金托管人负责，账户资产的管理和运用由基金管理人负责。</w:t>
      </w:r>
    </w:p>
    <w:p w14:paraId="5ED1552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 基金管理人为基金财产在证券经纪机构开立证券资金账户，用于基金财产证券交易结算资金的存管、记载交易结算资金的变动明细以及场内证券交易清算，并与基金托管人开立的基金托管账户建立第三方存管关系。</w:t>
      </w:r>
    </w:p>
    <w:p w14:paraId="1FBBC256" w14:textId="77777777" w:rsidR="00F633B7" w:rsidRPr="000C0420" w:rsidRDefault="000A2CE7">
      <w:pPr>
        <w:spacing w:line="360" w:lineRule="auto"/>
        <w:ind w:firstLineChars="200" w:firstLine="420"/>
        <w:rPr>
          <w:rFonts w:ascii="宋体" w:hAnsi="宋体"/>
          <w:color w:val="000000" w:themeColor="text1"/>
          <w:szCs w:val="21"/>
        </w:rPr>
      </w:pPr>
      <w:bookmarkStart w:id="21" w:name="_Toc382819083"/>
      <w:r w:rsidRPr="000C0420">
        <w:rPr>
          <w:rFonts w:ascii="宋体" w:hAnsi="宋体" w:hint="eastAsia"/>
          <w:bCs/>
          <w:color w:val="000000" w:themeColor="text1"/>
          <w:szCs w:val="21"/>
        </w:rPr>
        <w:t>（五）银行间市场债券托管和资金结算专户的开立和管理及市场准入备案</w:t>
      </w:r>
      <w:bookmarkEnd w:id="21"/>
    </w:p>
    <w:p w14:paraId="011B0D93" w14:textId="77777777" w:rsidR="00F633B7" w:rsidRPr="000C0420" w:rsidRDefault="000A2CE7">
      <w:pPr>
        <w:spacing w:line="360" w:lineRule="auto"/>
        <w:ind w:firstLineChars="200" w:firstLine="420"/>
        <w:rPr>
          <w:rFonts w:ascii="宋体" w:hAnsi="宋体"/>
          <w:color w:val="000000" w:themeColor="text1"/>
          <w:szCs w:val="21"/>
        </w:rPr>
      </w:pPr>
      <w:bookmarkStart w:id="22" w:name="_Toc382819084"/>
      <w:r w:rsidRPr="000C0420">
        <w:rPr>
          <w:rFonts w:ascii="宋体" w:hAnsi="宋体" w:hint="eastAsia"/>
          <w:color w:val="000000" w:themeColor="text1"/>
          <w:szCs w:val="21"/>
        </w:rPr>
        <w:t>《基金合同》生效后，在符合监管机构要求的情况下，基金管理人负责以基金的名义申请并取得进入全国银行间同业拆借市场的交易资格，并代表基金进行交易；基金托管人根据中国人民银行、中央国债登记结算有限责任公司、银行间市场清算所股份有限公司的有关规定，以本基金的名义分别在中央国债登记结算有限责任公司、银行间市场清算所股份有限公司开立债券托管账户和资金结算账户，并代表基金进行银行间市场债券交易的结算。基金托管人协助基金管理人完成银行间债券市场准入备案。</w:t>
      </w:r>
      <w:bookmarkEnd w:id="22"/>
    </w:p>
    <w:p w14:paraId="05E479F3"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hAnsi="宋体"/>
          <w:color w:val="000000" w:themeColor="text1"/>
          <w:szCs w:val="21"/>
        </w:rPr>
      </w:pPr>
      <w:r w:rsidRPr="000C0420">
        <w:rPr>
          <w:rFonts w:ascii="宋体" w:eastAsia="宋体" w:hAnsi="宋体" w:hint="eastAsia"/>
          <w:b w:val="0"/>
          <w:bCs w:val="0"/>
          <w:color w:val="000000" w:themeColor="text1"/>
          <w:sz w:val="21"/>
          <w:szCs w:val="21"/>
        </w:rPr>
        <w:t>（六）其他账户的开设和管理</w:t>
      </w:r>
    </w:p>
    <w:p w14:paraId="292725F0"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w:t>
      </w:r>
      <w:r w:rsidRPr="000C0420">
        <w:rPr>
          <w:rFonts w:ascii="宋体" w:hAnsi="宋体"/>
          <w:color w:val="000000" w:themeColor="text1"/>
          <w:szCs w:val="21"/>
        </w:rPr>
        <w:t>.</w:t>
      </w:r>
      <w:r w:rsidRPr="000C0420">
        <w:rPr>
          <w:rFonts w:ascii="宋体" w:hAnsi="宋体" w:hint="eastAsia"/>
          <w:color w:val="000000" w:themeColor="text1"/>
          <w:szCs w:val="21"/>
        </w:rPr>
        <w:t>因业务发展而需要开立的其它账户，可以根据《基金合同》或有关法律法规的规定，</w:t>
      </w:r>
      <w:r w:rsidRPr="000C0420">
        <w:rPr>
          <w:rFonts w:ascii="宋体" w:hAnsi="宋体" w:hint="eastAsia"/>
          <w:color w:val="000000" w:themeColor="text1"/>
          <w:szCs w:val="21"/>
        </w:rPr>
        <w:lastRenderedPageBreak/>
        <w:t>经基金管理人和基金托管人协商一致后，由基金托管人负责为基金开立。新账户按有关规则使用并管理。</w:t>
      </w:r>
    </w:p>
    <w:p w14:paraId="5DE7322C"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w:t>
      </w:r>
      <w:r w:rsidRPr="000C0420">
        <w:rPr>
          <w:rFonts w:ascii="宋体" w:hAnsi="宋体"/>
          <w:color w:val="000000" w:themeColor="text1"/>
          <w:szCs w:val="21"/>
        </w:rPr>
        <w:t>.</w:t>
      </w:r>
      <w:r w:rsidRPr="000C0420">
        <w:rPr>
          <w:rFonts w:ascii="宋体" w:hAnsi="宋体" w:hint="eastAsia"/>
          <w:color w:val="000000" w:themeColor="text1"/>
          <w:szCs w:val="21"/>
        </w:rPr>
        <w:t>法律、法规等有关规定对相关账户的开立和管理另有规定的，从其规定办理。</w:t>
      </w:r>
    </w:p>
    <w:p w14:paraId="097CB591"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23" w:name="_Toc382819085"/>
      <w:r w:rsidRPr="000C0420">
        <w:rPr>
          <w:rFonts w:ascii="宋体" w:eastAsia="宋体" w:hAnsi="宋体" w:hint="eastAsia"/>
          <w:b w:val="0"/>
          <w:bCs w:val="0"/>
          <w:color w:val="000000" w:themeColor="text1"/>
          <w:sz w:val="21"/>
          <w:szCs w:val="21"/>
        </w:rPr>
        <w:t>（七）基金投资银行存款账户的开立和管理</w:t>
      </w:r>
      <w:bookmarkEnd w:id="23"/>
    </w:p>
    <w:p w14:paraId="104E22F1"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w:t>
      </w:r>
      <w:r w:rsidRPr="000C0420">
        <w:rPr>
          <w:rFonts w:ascii="宋体" w:hAnsi="宋体"/>
          <w:color w:val="000000" w:themeColor="text1"/>
          <w:szCs w:val="21"/>
        </w:rPr>
        <w:t>.</w:t>
      </w:r>
      <w:r w:rsidRPr="000C0420">
        <w:rPr>
          <w:rFonts w:ascii="宋体" w:hAnsi="宋体" w:hint="eastAsia"/>
          <w:color w:val="000000" w:themeColor="text1"/>
          <w:szCs w:val="21"/>
        </w:rPr>
        <w:t>基金投资银行定期存款应由基金管理人与存款银行总行或其授权分行签订总体合作协议，并将资金存放于存款银行总行或其授权分行指定的分支机构。</w:t>
      </w:r>
    </w:p>
    <w:p w14:paraId="209F31EC"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w:t>
      </w:r>
      <w:r w:rsidRPr="000C0420">
        <w:rPr>
          <w:rFonts w:ascii="宋体" w:hAnsi="宋体"/>
          <w:color w:val="000000" w:themeColor="text1"/>
          <w:szCs w:val="21"/>
        </w:rPr>
        <w:t>.</w:t>
      </w:r>
      <w:r w:rsidRPr="000C0420">
        <w:rPr>
          <w:rFonts w:ascii="宋体" w:hAnsi="宋体" w:hint="eastAsia"/>
          <w:color w:val="000000" w:themeColor="text1"/>
          <w:szCs w:val="21"/>
        </w:rPr>
        <w:t>存款账户必须以基金名义开立，账户名称为基金名称，存款账户开户文件上加盖预留印鉴及基金管理人公章。</w:t>
      </w:r>
    </w:p>
    <w:p w14:paraId="164AF152"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w:t>
      </w:r>
      <w:r w:rsidRPr="000C0420">
        <w:rPr>
          <w:rFonts w:ascii="宋体" w:hAnsi="宋体"/>
          <w:color w:val="000000" w:themeColor="text1"/>
          <w:szCs w:val="21"/>
        </w:rPr>
        <w:t>.</w:t>
      </w:r>
      <w:r w:rsidRPr="000C0420">
        <w:rPr>
          <w:rFonts w:ascii="宋体" w:hAnsi="宋体" w:hint="eastAsia"/>
          <w:color w:val="000000" w:themeColor="text1"/>
          <w:szCs w:val="21"/>
        </w:rPr>
        <w:t>本基金投资银行存款时，基金管理人应当与存款银行签订具体存款协议，明确存款的类型、期限、利率、金额、账号、对账方式、支取方式、账户管理等细则。</w:t>
      </w:r>
    </w:p>
    <w:p w14:paraId="54188E4F"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w:t>
      </w:r>
      <w:r w:rsidRPr="000C0420">
        <w:rPr>
          <w:rFonts w:ascii="宋体" w:hAnsi="宋体"/>
          <w:color w:val="000000" w:themeColor="text1"/>
          <w:szCs w:val="21"/>
        </w:rPr>
        <w:t>.</w:t>
      </w:r>
      <w:r w:rsidRPr="000C0420">
        <w:rPr>
          <w:rFonts w:ascii="宋体" w:hAnsi="宋体" w:hint="eastAsia"/>
          <w:color w:val="000000" w:themeColor="text1"/>
          <w:szCs w:val="21"/>
        </w:rPr>
        <w:t>为防范特殊情况下的流动性风险，定期存款协议中应当约定提前支取条款。</w:t>
      </w:r>
    </w:p>
    <w:p w14:paraId="4D185D64"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bookmarkStart w:id="24" w:name="_Toc382819086"/>
      <w:r w:rsidRPr="000C0420">
        <w:rPr>
          <w:rFonts w:ascii="宋体" w:hAnsi="宋体"/>
          <w:color w:val="000000" w:themeColor="text1"/>
          <w:szCs w:val="21"/>
        </w:rPr>
        <w:t>5.</w:t>
      </w:r>
      <w:r w:rsidRPr="000C0420">
        <w:rPr>
          <w:rFonts w:ascii="宋体" w:hAnsi="宋体" w:hint="eastAsia"/>
          <w:color w:val="000000" w:themeColor="text1"/>
          <w:szCs w:val="21"/>
        </w:rPr>
        <w:t>基金所投资定期存款存续期间，基金管理人、基金托管人应当与存款银行建立定期对账机制，确保基金银行存款业务账目及核对的真实、准确。</w:t>
      </w:r>
      <w:bookmarkEnd w:id="24"/>
    </w:p>
    <w:p w14:paraId="3AC3A65C"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25" w:name="_Toc382819087"/>
      <w:r w:rsidRPr="000C0420">
        <w:rPr>
          <w:rFonts w:ascii="宋体" w:eastAsia="宋体" w:hAnsi="宋体" w:hint="eastAsia"/>
          <w:b w:val="0"/>
          <w:bCs w:val="0"/>
          <w:color w:val="000000" w:themeColor="text1"/>
          <w:sz w:val="21"/>
          <w:szCs w:val="21"/>
        </w:rPr>
        <w:t>（八）基金财产投资的有关实物证券、银行定期存款存单等有价凭证的保管</w:t>
      </w:r>
      <w:bookmarkEnd w:id="25"/>
    </w:p>
    <w:p w14:paraId="7ED1F9E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财产投资的有关实物证券由基金托管人存放于基金托管人的保管库；其中实物证券也可存入中央国债登记结算有限责任公司、中国证券登记结算有限责任公司上海分公司/深圳分公司、银行间市场清算所股份有限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或保管的实物证券、银行定期存款存单对应的财产不承担保管责任。</w:t>
      </w:r>
    </w:p>
    <w:p w14:paraId="586BFA23"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hAnsi="宋体"/>
          <w:b w:val="0"/>
          <w:bCs w:val="0"/>
          <w:color w:val="000000" w:themeColor="text1"/>
          <w:szCs w:val="21"/>
        </w:rPr>
      </w:pPr>
      <w:r w:rsidRPr="000C0420">
        <w:rPr>
          <w:rFonts w:ascii="宋体" w:eastAsia="宋体" w:hAnsi="宋体" w:hint="eastAsia"/>
          <w:b w:val="0"/>
          <w:bCs w:val="0"/>
          <w:color w:val="000000" w:themeColor="text1"/>
          <w:sz w:val="21"/>
          <w:szCs w:val="21"/>
        </w:rPr>
        <w:t>（九）与基金财产有关的重大合同的保管</w:t>
      </w:r>
    </w:p>
    <w:p w14:paraId="416802F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由基金管理人代表基金签署的与基金有关的重大合同的原件分别应由基金托管人、基金管理人保管。除本协议另有规定外，基金管理人在代表基金签署与基金有关的重大合同时应保证基金一方持有两份以上的正本，以便基金管理人和基金托管人至少各持有一份正本的原件。基金管理人在合同签署后5个工作日内通过专人送达、挂号邮寄等安全方式将合同原件送达基金托管人处。合同原件应存放于基金管理人和基金托管人各自文件保管部门，保管期限不低于法律法规规定的最低年限。基金管理人未将相关合同送达基金托管人的，基金托管人对相关合同不承担保管责任。</w:t>
      </w:r>
    </w:p>
    <w:p w14:paraId="4E47311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对于无法取得二份以上的正本的，基金管理人应向基金托管人提供与合同原件核对一致</w:t>
      </w:r>
      <w:r w:rsidRPr="000C0420">
        <w:rPr>
          <w:rFonts w:ascii="宋体" w:hAnsi="宋体" w:hint="eastAsia"/>
          <w:color w:val="000000" w:themeColor="text1"/>
          <w:szCs w:val="21"/>
        </w:rPr>
        <w:lastRenderedPageBreak/>
        <w:t>的并加盖基金管理人公章的合同传真件或复印件，未经双方协商一致，合同原件不得转移。</w:t>
      </w:r>
    </w:p>
    <w:p w14:paraId="1C3364BA"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26" w:name="_Toc382819088"/>
      <w:r w:rsidRPr="000C0420">
        <w:rPr>
          <w:rFonts w:ascii="宋体" w:hAnsi="宋体" w:hint="eastAsia"/>
          <w:b/>
          <w:color w:val="000000" w:themeColor="text1"/>
          <w:sz w:val="24"/>
        </w:rPr>
        <w:t>五、指令的发送、确认和执行</w:t>
      </w:r>
      <w:bookmarkEnd w:id="26"/>
    </w:p>
    <w:p w14:paraId="7AABE279" w14:textId="77777777" w:rsidR="00F633B7" w:rsidRPr="000C0420" w:rsidRDefault="000A2CE7">
      <w:pPr>
        <w:spacing w:line="360" w:lineRule="auto"/>
        <w:ind w:firstLineChars="200" w:firstLine="420"/>
        <w:rPr>
          <w:rFonts w:ascii="宋体" w:hAnsi="宋体"/>
          <w:color w:val="000000" w:themeColor="text1"/>
          <w:szCs w:val="21"/>
        </w:rPr>
      </w:pPr>
      <w:bookmarkStart w:id="27" w:name="_Toc382819089"/>
      <w:r w:rsidRPr="000C0420">
        <w:rPr>
          <w:rFonts w:ascii="宋体" w:hAnsi="宋体" w:hint="eastAsia"/>
          <w:color w:val="000000" w:themeColor="text1"/>
          <w:szCs w:val="21"/>
        </w:rPr>
        <w:t>基金管理人在运用基金财产时向基金托管人发送资金划拨及其他款项付款指令，基金托管人执行基金管理人合法合</w:t>
      </w:r>
      <w:proofErr w:type="gramStart"/>
      <w:r w:rsidRPr="000C0420">
        <w:rPr>
          <w:rFonts w:ascii="宋体" w:hAnsi="宋体" w:hint="eastAsia"/>
          <w:color w:val="000000" w:themeColor="text1"/>
          <w:szCs w:val="21"/>
        </w:rPr>
        <w:t>规</w:t>
      </w:r>
      <w:proofErr w:type="gramEnd"/>
      <w:r w:rsidRPr="000C0420">
        <w:rPr>
          <w:rFonts w:ascii="宋体" w:hAnsi="宋体" w:hint="eastAsia"/>
          <w:color w:val="000000" w:themeColor="text1"/>
          <w:szCs w:val="21"/>
        </w:rPr>
        <w:t>且符合本协议相关约定的指令、办理基金名下的资金往来等有关事项。</w:t>
      </w:r>
      <w:bookmarkEnd w:id="27"/>
    </w:p>
    <w:p w14:paraId="2F1C30E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基金管理人发送的指令包括电子指令、纸质指令以及双方约定的其他方式发送的指令。</w:t>
      </w:r>
    </w:p>
    <w:p w14:paraId="678D960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管理人在启用电子指令前，应与托管人另行签署托管电子指令直</w:t>
      </w:r>
      <w:proofErr w:type="gramStart"/>
      <w:r w:rsidRPr="000C0420">
        <w:rPr>
          <w:rFonts w:ascii="宋体" w:hAnsi="宋体" w:hint="eastAsia"/>
          <w:color w:val="000000" w:themeColor="text1"/>
          <w:szCs w:val="21"/>
        </w:rPr>
        <w:t>连协议</w:t>
      </w:r>
      <w:proofErr w:type="gramEnd"/>
      <w:r w:rsidRPr="000C0420">
        <w:rPr>
          <w:rFonts w:ascii="宋体" w:hAnsi="宋体" w:hint="eastAsia"/>
          <w:color w:val="000000" w:themeColor="text1"/>
          <w:szCs w:val="21"/>
        </w:rPr>
        <w:t>或网上托管服务协议。管理人在发送纸质指令前，应根据双方约定的方式提供传真号、发送指令附件的邮箱地址以及指令确认人员及其联系方式。</w:t>
      </w:r>
    </w:p>
    <w:p w14:paraId="3DC1E256"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28" w:name="_Toc382819090"/>
      <w:r w:rsidRPr="000C0420">
        <w:rPr>
          <w:rFonts w:ascii="宋体" w:eastAsia="宋体" w:hAnsi="宋体" w:hint="eastAsia"/>
          <w:b w:val="0"/>
          <w:bCs w:val="0"/>
          <w:color w:val="000000" w:themeColor="text1"/>
          <w:sz w:val="21"/>
          <w:szCs w:val="21"/>
        </w:rPr>
        <w:t>（一）基金管理人对发送指令人员的书面授权</w:t>
      </w:r>
      <w:bookmarkEnd w:id="28"/>
    </w:p>
    <w:p w14:paraId="5214DBE0" w14:textId="77777777" w:rsidR="00F633B7" w:rsidRPr="000C0420" w:rsidRDefault="000A2CE7">
      <w:pPr>
        <w:spacing w:line="360" w:lineRule="auto"/>
        <w:ind w:firstLineChars="200" w:firstLine="420"/>
        <w:rPr>
          <w:rFonts w:ascii="宋体" w:hAnsi="宋体"/>
          <w:color w:val="000000" w:themeColor="text1"/>
          <w:szCs w:val="21"/>
        </w:rPr>
      </w:pPr>
      <w:bookmarkStart w:id="29" w:name="_Toc382818601"/>
      <w:bookmarkStart w:id="30" w:name="_Toc382819091"/>
      <w:r w:rsidRPr="000C0420">
        <w:rPr>
          <w:color w:val="000000" w:themeColor="text1"/>
        </w:rPr>
        <w:t>基金管理人应事先向基金托管人提供书面</w:t>
      </w:r>
      <w:r w:rsidRPr="000C0420">
        <w:rPr>
          <w:rFonts w:hint="eastAsia"/>
          <w:color w:val="000000" w:themeColor="text1"/>
        </w:rPr>
        <w:t>的划款指令</w:t>
      </w:r>
      <w:r w:rsidRPr="000C0420">
        <w:rPr>
          <w:color w:val="000000" w:themeColor="text1"/>
        </w:rPr>
        <w:t>授权</w:t>
      </w:r>
      <w:r w:rsidRPr="000C0420">
        <w:rPr>
          <w:rFonts w:hint="eastAsia"/>
          <w:color w:val="000000" w:themeColor="text1"/>
        </w:rPr>
        <w:t>书（以下简称“授权书”）</w:t>
      </w:r>
      <w:r w:rsidRPr="000C0420">
        <w:rPr>
          <w:color w:val="000000" w:themeColor="text1"/>
        </w:rPr>
        <w:t>，指定指令的被授权人员及被授权印鉴，授权</w:t>
      </w:r>
      <w:r w:rsidRPr="000C0420">
        <w:rPr>
          <w:rFonts w:hint="eastAsia"/>
          <w:color w:val="000000" w:themeColor="text1"/>
        </w:rPr>
        <w:t>书</w:t>
      </w:r>
      <w:r w:rsidRPr="000C0420">
        <w:rPr>
          <w:color w:val="000000" w:themeColor="text1"/>
        </w:rPr>
        <w:t>的内容包括被授权人的名单、签章样本、权限</w:t>
      </w:r>
      <w:r w:rsidRPr="000C0420">
        <w:rPr>
          <w:rFonts w:hint="eastAsia"/>
          <w:color w:val="000000" w:themeColor="text1"/>
        </w:rPr>
        <w:t>、</w:t>
      </w:r>
      <w:r w:rsidRPr="000C0420">
        <w:rPr>
          <w:color w:val="000000" w:themeColor="text1"/>
        </w:rPr>
        <w:t>预留印鉴</w:t>
      </w:r>
      <w:r w:rsidRPr="000C0420">
        <w:rPr>
          <w:rFonts w:hint="eastAsia"/>
          <w:color w:val="000000" w:themeColor="text1"/>
        </w:rPr>
        <w:t>和</w:t>
      </w:r>
      <w:r w:rsidRPr="000C0420">
        <w:rPr>
          <w:color w:val="000000" w:themeColor="text1"/>
        </w:rPr>
        <w:t>生效时间。</w:t>
      </w:r>
      <w:r w:rsidRPr="000C0420">
        <w:rPr>
          <w:rFonts w:ascii="宋体" w:hAnsi="宋体" w:hint="eastAsia"/>
          <w:color w:val="000000" w:themeColor="text1"/>
          <w:szCs w:val="21"/>
        </w:rPr>
        <w:t>基金管理人的划款指令授权书由基金管理人的法定代表人或其授权代理人签署并加盖公章，若由授权代理人签署的，还应附上法定代表人的授权书。基金管理人应保证其提供的划款指令授权书中被授权人个人信息已获得被授权人的同意。基金托管人在收到授权书当日回函或回电向基金管理人确认。划款指令授权书无论是在本基金成立还是后续更新时，必须提前至少一个交易日，发送扫描件或其他基金托管人和基金管理人书面确认的方式向基金托管人发出加盖基金管理人公章，并由法定代表人或其授权代理人签字的被授权人变更通知，同时电话通知基金托管人。变更通知应载明生效时间，并提供新的被授权人的签字样本，基金托管人收到变更通知当日通过电话向基金管理人确认。授权变更于变更通知载明的生效时间起生效。若变更通知载明的生效时间早于基金托管人收到变更通知时间，则授权变更于基金托管人收到变更通知时生效。基金管理人在此后三日内应将划款指令授权书变更通知的正本送交基金托管人，划款指令授权书原件未按时送达基金托管人的，基金托管人有权拒绝执行该授权书对应的划款指令，基金托管人不承担由此造成的损失。基金管理人和基金托管人对授权文件负有保密义务，其内容不得向授权人、被授权人及相关操作人员以外的任何人泄露</w:t>
      </w:r>
      <w:bookmarkEnd w:id="29"/>
      <w:bookmarkEnd w:id="30"/>
      <w:r w:rsidRPr="000C0420">
        <w:rPr>
          <w:rFonts w:ascii="宋体" w:hAnsi="宋体" w:hint="eastAsia"/>
          <w:color w:val="000000" w:themeColor="text1"/>
          <w:szCs w:val="21"/>
        </w:rPr>
        <w:t>，但法律法规或有权机关另有要求的除外。</w:t>
      </w:r>
    </w:p>
    <w:p w14:paraId="05440A07"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1" w:name="_Toc382819092"/>
      <w:r w:rsidRPr="000C0420">
        <w:rPr>
          <w:rFonts w:ascii="宋体" w:eastAsia="宋体" w:hAnsi="宋体" w:hint="eastAsia"/>
          <w:b w:val="0"/>
          <w:bCs w:val="0"/>
          <w:color w:val="000000" w:themeColor="text1"/>
          <w:sz w:val="21"/>
          <w:szCs w:val="21"/>
        </w:rPr>
        <w:t>（二）指令的内容</w:t>
      </w:r>
      <w:bookmarkEnd w:id="31"/>
    </w:p>
    <w:p w14:paraId="1E41665E"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1．指令是指基金管理人在运用基金财产时向基金托管人发送的付款指令（含赎回、分红付款、回购到期付款指令等）以及其它资金划拨的指令等，证券交易所证券投资的资金结</w:t>
      </w:r>
      <w:r w:rsidRPr="000C0420">
        <w:rPr>
          <w:rFonts w:ascii="宋体" w:hAnsi="宋体" w:hint="eastAsia"/>
          <w:color w:val="000000" w:themeColor="text1"/>
          <w:szCs w:val="21"/>
        </w:rPr>
        <w:lastRenderedPageBreak/>
        <w:t>算不需要基金管理人发送指令，基金托管人根据相关登记结算公司向基金托管人发送的结算数据进行资金结算。</w:t>
      </w:r>
    </w:p>
    <w:p w14:paraId="4E00E3FD"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2．基金管理人发给基金托管人的指令应写明付款账号、付款户名、开户行、收款账号、收款户名、开户行、款项事由、支付时间、到账时间、金额、账户等，加盖预留印鉴并有被授权人签字。</w:t>
      </w:r>
    </w:p>
    <w:p w14:paraId="13373176"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2" w:name="_Toc382819093"/>
      <w:r w:rsidRPr="000C0420">
        <w:rPr>
          <w:rFonts w:ascii="宋体" w:eastAsia="宋体" w:hAnsi="宋体" w:hint="eastAsia"/>
          <w:b w:val="0"/>
          <w:bCs w:val="0"/>
          <w:color w:val="000000" w:themeColor="text1"/>
          <w:sz w:val="21"/>
          <w:szCs w:val="21"/>
        </w:rPr>
        <w:t>（三）指令的发送、确认和执行的时间和程序</w:t>
      </w:r>
      <w:bookmarkEnd w:id="32"/>
    </w:p>
    <w:p w14:paraId="47713975"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指令由基金管理人通过电子指令等双方约定的方式向基金托管人发送。基金管理人有义务在发送指令后及时与基金托管人进行确认，因基金管理人未能及时与基金托管人进行指令确认,致使资金未能及时到账所造成的损失，基金托管人不承担任何责任。基金托管人依照“授权书”规定的方法确认指令有效后，方可执行指令。对于被授权人发出的指令，基金管理人不得否认其效力。基金管理人应按照《基金法》、有关法律法规和《基金合同》的规定，在其合法的经营权限和交易权限内发送划款指令，被授权人应按照其授权权限发送划款指令。基金管理人在发送指令时，应为基金托管人留出执行指令所必需的时间。由一般划款指令（不含、新股、新债、增发等申购指令）应在15点（指令截止时间）前提交托管人，如基金管理人要求当天某一时点到账，则指令需提前2个工作小时(工作时间9点至11点30分,13点至17点)提交基金托管人。</w:t>
      </w:r>
    </w:p>
    <w:p w14:paraId="5DB6232E"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2.新股、新债、增发等申购指令，基金管理人在申购当日下达指令，基金管理人应为基金托管人留出执行指令所必需的时间，指令最迟不得晚于上午11：00点（指令截止时间）提交基金托管人。</w:t>
      </w:r>
    </w:p>
    <w:p w14:paraId="2F708835"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3.如划款指令中给予基金托管人的划拨时间小于2个工作小时或晚于前述指令截至时间的，基金托管人应尽力在指定时间内完成资金划拨,但不承担因时间不足导致执行失败的责任。</w:t>
      </w:r>
    </w:p>
    <w:p w14:paraId="0B2633B2"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4.基金管理</w:t>
      </w:r>
      <w:proofErr w:type="gramStart"/>
      <w:r w:rsidRPr="000C0420">
        <w:rPr>
          <w:rFonts w:ascii="宋体" w:hAnsi="宋体" w:hint="eastAsia"/>
          <w:color w:val="000000" w:themeColor="text1"/>
          <w:szCs w:val="21"/>
        </w:rPr>
        <w:t>人原因</w:t>
      </w:r>
      <w:proofErr w:type="gramEnd"/>
      <w:r w:rsidRPr="000C0420">
        <w:rPr>
          <w:rFonts w:ascii="宋体" w:hAnsi="宋体" w:hint="eastAsia"/>
          <w:color w:val="000000" w:themeColor="text1"/>
          <w:szCs w:val="21"/>
        </w:rPr>
        <w:t>造成的指令传输不及时、未能留出足够划款所需时间，致使资金未能及时到账所造成的损失由基金管理人承担。基金管理人应在交易结束后将同业市场债券交易成交单加盖预留印鉴后及时传真给基金托管人并电话通知基金托管人。</w:t>
      </w:r>
    </w:p>
    <w:p w14:paraId="5399F05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指令到达基金托管人后，基金托管人应指定专人及时对指令的要素是否齐全、印鉴与被授权人是否与预留的授权文件内容相符进行检查，如发现问题或有疑问应及时通知基金管理人，并有权立即将指令退还给基金管理人，要求其重新下达有效指令。</w:t>
      </w:r>
    </w:p>
    <w:p w14:paraId="53A6B1D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6.基金管理人向基金托管人下达指令时，应确保相关托管账户有足够的资金余额，对基</w:t>
      </w:r>
      <w:r w:rsidRPr="000C0420">
        <w:rPr>
          <w:rFonts w:ascii="宋体" w:hAnsi="宋体" w:hint="eastAsia"/>
          <w:color w:val="000000" w:themeColor="text1"/>
          <w:szCs w:val="21"/>
        </w:rPr>
        <w:lastRenderedPageBreak/>
        <w:t>金管理人在没有充足资金的情况下向基金托管人发出的指令，基金托管人有权不予执行，并立即通知基金管理人，基金托管人不承担因为不执行该指令而造成损失的任何责任。</w:t>
      </w:r>
    </w:p>
    <w:p w14:paraId="3D017CB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7、指令未执行</w:t>
      </w:r>
      <w:proofErr w:type="gramStart"/>
      <w:r w:rsidRPr="000C0420">
        <w:rPr>
          <w:rFonts w:ascii="宋体" w:hAnsi="宋体" w:hint="eastAsia"/>
          <w:color w:val="000000" w:themeColor="text1"/>
          <w:szCs w:val="21"/>
        </w:rPr>
        <w:t>前基金</w:t>
      </w:r>
      <w:proofErr w:type="gramEnd"/>
      <w:r w:rsidRPr="000C0420">
        <w:rPr>
          <w:rFonts w:ascii="宋体" w:hAnsi="宋体" w:hint="eastAsia"/>
          <w:color w:val="000000" w:themeColor="text1"/>
          <w:szCs w:val="21"/>
        </w:rPr>
        <w:t>管理人可以向基金托管人申请撤销，</w:t>
      </w:r>
      <w:r w:rsidRPr="000C0420">
        <w:rPr>
          <w:color w:val="000000" w:themeColor="text1"/>
        </w:rPr>
        <w:t>基金管理人</w:t>
      </w:r>
      <w:r w:rsidRPr="000C0420">
        <w:rPr>
          <w:rFonts w:hint="eastAsia"/>
          <w:color w:val="000000" w:themeColor="text1"/>
        </w:rPr>
        <w:t>需</w:t>
      </w:r>
      <w:r w:rsidRPr="000C0420">
        <w:rPr>
          <w:color w:val="000000" w:themeColor="text1"/>
        </w:rPr>
        <w:t>在原指令上注明</w:t>
      </w:r>
      <w:r w:rsidRPr="000C0420">
        <w:rPr>
          <w:color w:val="000000" w:themeColor="text1"/>
        </w:rPr>
        <w:t>“</w:t>
      </w:r>
      <w:r w:rsidRPr="000C0420">
        <w:rPr>
          <w:color w:val="000000" w:themeColor="text1"/>
        </w:rPr>
        <w:t>作废</w:t>
      </w:r>
      <w:r w:rsidRPr="000C0420">
        <w:rPr>
          <w:color w:val="000000" w:themeColor="text1"/>
        </w:rPr>
        <w:t>”</w:t>
      </w:r>
      <w:r w:rsidRPr="000C0420">
        <w:rPr>
          <w:color w:val="000000" w:themeColor="text1"/>
        </w:rPr>
        <w:t>并</w:t>
      </w:r>
      <w:r w:rsidRPr="000C0420">
        <w:rPr>
          <w:rFonts w:hint="eastAsia"/>
          <w:color w:val="000000" w:themeColor="text1"/>
        </w:rPr>
        <w:t>及时</w:t>
      </w:r>
      <w:r w:rsidRPr="000C0420">
        <w:rPr>
          <w:color w:val="000000" w:themeColor="text1"/>
        </w:rPr>
        <w:t>电话通知基金托管人</w:t>
      </w:r>
      <w:r w:rsidRPr="000C0420">
        <w:rPr>
          <w:rFonts w:ascii="宋体" w:hAnsi="宋体" w:hint="eastAsia"/>
          <w:color w:val="000000" w:themeColor="text1"/>
          <w:szCs w:val="21"/>
        </w:rPr>
        <w:t>。基金托管人将尽力协助撤销指令，但基金管理人理解且接受</w:t>
      </w:r>
      <w:proofErr w:type="gramStart"/>
      <w:r w:rsidRPr="000C0420">
        <w:rPr>
          <w:rFonts w:ascii="宋体" w:hAnsi="宋体" w:hint="eastAsia"/>
          <w:color w:val="000000" w:themeColor="text1"/>
          <w:szCs w:val="21"/>
        </w:rPr>
        <w:t>受</w:t>
      </w:r>
      <w:proofErr w:type="gramEnd"/>
      <w:r w:rsidRPr="000C0420">
        <w:rPr>
          <w:rFonts w:ascii="宋体" w:hAnsi="宋体" w:hint="eastAsia"/>
          <w:color w:val="000000" w:themeColor="text1"/>
          <w:szCs w:val="21"/>
        </w:rPr>
        <w:t>限于客观情况，基金托管人无法保证基金管理人的指令一定可以撤销，基金托管人不承担指令未被撤销的一切责任与后果。</w:t>
      </w:r>
    </w:p>
    <w:p w14:paraId="7D19683D"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3" w:name="_Toc382819094"/>
      <w:r w:rsidRPr="000C0420">
        <w:rPr>
          <w:rFonts w:ascii="宋体" w:eastAsia="宋体" w:hAnsi="宋体" w:hint="eastAsia"/>
          <w:b w:val="0"/>
          <w:bCs w:val="0"/>
          <w:color w:val="000000" w:themeColor="text1"/>
          <w:sz w:val="21"/>
          <w:szCs w:val="21"/>
        </w:rPr>
        <w:t>（四）基金管理人发送错误指令的情形和处理程序</w:t>
      </w:r>
      <w:bookmarkEnd w:id="33"/>
    </w:p>
    <w:p w14:paraId="52C0F979" w14:textId="77777777" w:rsidR="00F633B7" w:rsidRPr="000C0420" w:rsidRDefault="000A2CE7">
      <w:pPr>
        <w:spacing w:after="120"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1.基金管理人发送错误指令的情形包括但不限于指令发送人员无权或超越权限发送指令及交割信息错误，指令中重要信息模糊不清或不全,指令违反法律法规和《基金合同》及本协议约定等。</w:t>
      </w:r>
    </w:p>
    <w:p w14:paraId="502F86F9" w14:textId="77777777" w:rsidR="00F633B7" w:rsidRPr="000C0420" w:rsidRDefault="000A2CE7">
      <w:pPr>
        <w:spacing w:line="360" w:lineRule="auto"/>
        <w:ind w:firstLineChars="200" w:firstLine="420"/>
        <w:rPr>
          <w:rFonts w:ascii="宋体" w:hAnsi="宋体"/>
          <w:color w:val="000000" w:themeColor="text1"/>
          <w:szCs w:val="21"/>
          <w:lang w:val="zh-CN"/>
        </w:rPr>
      </w:pPr>
      <w:r w:rsidRPr="000C0420">
        <w:rPr>
          <w:rFonts w:ascii="宋体" w:hAnsi="宋体" w:hint="eastAsia"/>
          <w:color w:val="000000" w:themeColor="text1"/>
          <w:szCs w:val="21"/>
        </w:rPr>
        <w:t>2.基金托管人在履行监督职能时，如发现基金管理人的指令错误，有权拒绝执行，并及时以书面形式通知基金管理人改正，基金管理人收到通知后应及时核对，并以书面形式对基金托管人发出回函确认。如需撤销指令，基金管理人应出具书面说明，并加盖预留印鉴。</w:t>
      </w:r>
    </w:p>
    <w:p w14:paraId="4A59ED80"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4" w:name="_Toc382819095"/>
      <w:r w:rsidRPr="000C0420">
        <w:rPr>
          <w:rFonts w:ascii="宋体" w:eastAsia="宋体" w:hAnsi="宋体" w:hint="eastAsia"/>
          <w:b w:val="0"/>
          <w:bCs w:val="0"/>
          <w:color w:val="000000" w:themeColor="text1"/>
          <w:sz w:val="21"/>
          <w:szCs w:val="21"/>
        </w:rPr>
        <w:t>（五）基金托管人未按照基金管理人指令执行的处理方法</w:t>
      </w:r>
      <w:bookmarkEnd w:id="34"/>
    </w:p>
    <w:p w14:paraId="76F928A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除本协议另有约定外，基金托管人由于自身原因造成未按照或者未及时按照基金管理人发送的符合本协议约定的、按照正常交易程序已经生效的指令执行，给基金份额持有人造成损失的，应负责赔偿相应的直接损失。</w:t>
      </w:r>
    </w:p>
    <w:p w14:paraId="4F9A8B9A"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5" w:name="_Toc382819096"/>
      <w:r w:rsidRPr="000C0420">
        <w:rPr>
          <w:rFonts w:ascii="宋体" w:eastAsia="宋体" w:hAnsi="宋体" w:hint="eastAsia"/>
          <w:b w:val="0"/>
          <w:bCs w:val="0"/>
          <w:color w:val="000000" w:themeColor="text1"/>
          <w:sz w:val="21"/>
          <w:szCs w:val="21"/>
        </w:rPr>
        <w:t>（六）更换被授权人的程序</w:t>
      </w:r>
      <w:bookmarkEnd w:id="35"/>
    </w:p>
    <w:p w14:paraId="76EA7E7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更换被授权人、更改或终止对被授权人的授权范围的，必须提前至少一个交易日，发送扫描件或其他基金托管人和基金管理人书面确认的方式向基金托管人发出加盖基金管理人公章，并由法定代表人或其授权代理人签字的被授权人变更通知，同时电话通知基金托管人。变更通知应载明生效时间，并提供新的被授权人的签字样本。基金托管人收到变更通知当日将通过电话向基金管理人确认。授权变更于变更通知载明的生效时间起生效。若变更通知载明的生效时间早于基金托管人收到变更通知时间，则授权变更于基金托管人收到变更通知时生效。被授权人变更通知生效前，基金托管人仍应按原约定执行指令，基金管理人不得否认其效力。基金管理人在此后三日内将被授权人变更通知的正本送交基金托管人。如果基金管理人授权人员名单、权限有变化时，未能按本协议约定及时通知基金托管人并预留新的印鉴和签字样本而导致基金份额持有人受损的，基金托管人不承担任何形式的责任。基金托管人更换接收基金管理人指令的人员，应提前通过邮件、传真或录音电话等方式通知</w:t>
      </w:r>
      <w:r w:rsidRPr="000C0420">
        <w:rPr>
          <w:rFonts w:ascii="宋体" w:hAnsi="宋体" w:hint="eastAsia"/>
          <w:color w:val="000000" w:themeColor="text1"/>
          <w:szCs w:val="21"/>
        </w:rPr>
        <w:lastRenderedPageBreak/>
        <w:t>基金管理人。</w:t>
      </w:r>
    </w:p>
    <w:p w14:paraId="1D028E2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（七）其它事项</w:t>
      </w:r>
    </w:p>
    <w:p w14:paraId="0614FA0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基金管理人承担下达违法、违规或违反《基金合同》和本协议约定的指令所导致的责任。基金托管人对执行基金管理人的按照正常交易程序已经生效的指令对基金财产造成的损失不承担赔偿责任。</w:t>
      </w:r>
    </w:p>
    <w:p w14:paraId="6DC9131E"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36" w:name="_Toc382819097"/>
      <w:r w:rsidRPr="000C0420">
        <w:rPr>
          <w:rFonts w:ascii="宋体" w:hAnsi="宋体" w:hint="eastAsia"/>
          <w:b/>
          <w:color w:val="000000" w:themeColor="text1"/>
          <w:sz w:val="24"/>
        </w:rPr>
        <w:t>六、交易及清算交收安排</w:t>
      </w:r>
      <w:bookmarkEnd w:id="36"/>
    </w:p>
    <w:p w14:paraId="55EF5CA9"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7" w:name="_Toc382819098"/>
      <w:r w:rsidRPr="000C0420">
        <w:rPr>
          <w:rFonts w:ascii="宋体" w:eastAsia="宋体" w:hAnsi="宋体" w:hint="eastAsia"/>
          <w:b w:val="0"/>
          <w:bCs w:val="0"/>
          <w:color w:val="000000" w:themeColor="text1"/>
          <w:sz w:val="21"/>
          <w:szCs w:val="21"/>
        </w:rPr>
        <w:t>（一）选择代理证券、期货买卖的证券、期货经营机构的标准和程序</w:t>
      </w:r>
      <w:bookmarkEnd w:id="37"/>
    </w:p>
    <w:p w14:paraId="5AC2957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应设计选择证券买卖的证券经营机构的标准和程序。基金管理人负责选择证券经营机构，使用其交易单元作为基金的专用交易单元。由基金管理人与基金托管人及证券经纪商签订本基金的证券经纪服务协议，明确三方在本基金参与场内证券买卖中的各类证券交易、证券交收及相关资金交</w:t>
      </w:r>
      <w:proofErr w:type="gramStart"/>
      <w:r w:rsidRPr="000C0420">
        <w:rPr>
          <w:rFonts w:ascii="宋体" w:hAnsi="宋体" w:hint="eastAsia"/>
          <w:color w:val="000000" w:themeColor="text1"/>
          <w:szCs w:val="21"/>
        </w:rPr>
        <w:t>收过程</w:t>
      </w:r>
      <w:proofErr w:type="gramEnd"/>
      <w:r w:rsidRPr="000C0420">
        <w:rPr>
          <w:rFonts w:ascii="宋体" w:hAnsi="宋体" w:hint="eastAsia"/>
          <w:color w:val="000000" w:themeColor="text1"/>
          <w:szCs w:val="21"/>
        </w:rPr>
        <w:t>中的职责和义务。基金管理人应及时将本基金财产的佣金费率等基本信息以及变更情况及时以书面形式通知基金托管人，以便基金托管人估值核算使用。基金管理人应根据有关规定，在基金的中期报告和年度报告中将所选证券经营机构的有关情况及交易信息予以披露，并将该等情况及基金交易单元号、佣金费率等基本信息以及变更情况在基金成立及后续变更时及时以书面形式通知基金托管人。</w:t>
      </w:r>
    </w:p>
    <w:p w14:paraId="75EDAAE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负责选择代理本基金期货交易的期货经纪机构，并与其签订期货经纪合同，其他事宜根据法律法规、《基金合同》的相关规定执行，若无明确规定的，可参照有关证券买卖、证券经纪机构选择的规则执行。</w:t>
      </w:r>
    </w:p>
    <w:p w14:paraId="39C37A73"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38" w:name="_Toc382819099"/>
      <w:r w:rsidRPr="000C0420">
        <w:rPr>
          <w:rFonts w:ascii="宋体" w:eastAsia="宋体" w:hAnsi="宋体" w:hint="eastAsia"/>
          <w:b w:val="0"/>
          <w:bCs w:val="0"/>
          <w:color w:val="000000" w:themeColor="text1"/>
          <w:sz w:val="21"/>
          <w:szCs w:val="21"/>
        </w:rPr>
        <w:t>（二）基金投资证券后的清算交收安排</w:t>
      </w:r>
      <w:bookmarkStart w:id="39" w:name="_Toc382819100"/>
      <w:bookmarkEnd w:id="38"/>
    </w:p>
    <w:p w14:paraId="1B3D6FB6" w14:textId="77777777" w:rsidR="00F633B7" w:rsidRPr="000C0420" w:rsidRDefault="000A2CE7">
      <w:pPr>
        <w:pStyle w:val="a0"/>
        <w:spacing w:line="360" w:lineRule="auto"/>
        <w:jc w:val="left"/>
        <w:rPr>
          <w:rFonts w:ascii="宋体" w:hAnsi="宋体"/>
          <w:color w:val="000000" w:themeColor="text1"/>
          <w:szCs w:val="21"/>
        </w:rPr>
      </w:pPr>
      <w:r w:rsidRPr="000C0420">
        <w:rPr>
          <w:rFonts w:ascii="宋体" w:hAnsi="宋体" w:hint="eastAsia"/>
          <w:color w:val="000000" w:themeColor="text1"/>
          <w:szCs w:val="21"/>
        </w:rPr>
        <w:t>1、本基金通过证券经纪机构进行的交易由证券经纪机构作为结算参与人代理本基金进行结算；本基金通过期货经纪机构进行的交易由期货经纪机构作为结算参与人代理本基金进行结算。本基金其他证券交易由基金托管人或相关机构负责结算。基金管理人、基金托管人以及被选择的证券经纪机构应根据有关法律法规及相关业务规则，签订证券经纪服务协议，用以具体明确三方在证券交易资金结算业务中的责任。</w:t>
      </w:r>
    </w:p>
    <w:p w14:paraId="1EF35C1B" w14:textId="77777777" w:rsidR="00F633B7" w:rsidRPr="000C0420" w:rsidRDefault="000A2CE7">
      <w:pPr>
        <w:pStyle w:val="a0"/>
        <w:spacing w:line="360" w:lineRule="auto"/>
        <w:jc w:val="left"/>
        <w:rPr>
          <w:rFonts w:ascii="宋体" w:hAnsi="宋体"/>
          <w:color w:val="000000" w:themeColor="text1"/>
          <w:szCs w:val="21"/>
        </w:rPr>
      </w:pPr>
      <w:bookmarkStart w:id="40" w:name="_Toc382819101"/>
      <w:bookmarkEnd w:id="39"/>
      <w:r w:rsidRPr="000C0420">
        <w:rPr>
          <w:rFonts w:ascii="宋体" w:hAnsi="宋体" w:hint="eastAsia"/>
          <w:color w:val="000000" w:themeColor="text1"/>
          <w:szCs w:val="21"/>
        </w:rPr>
        <w:t xml:space="preserve">2、本基金投资于所有场外交易的资金汇划，由基金托管人根据基金管理人的交易划款指令具体办理。 </w:t>
      </w:r>
    </w:p>
    <w:bookmarkEnd w:id="40"/>
    <w:p w14:paraId="79213A1E" w14:textId="77777777" w:rsidR="00F633B7" w:rsidRPr="000C0420" w:rsidRDefault="000A2CE7">
      <w:pPr>
        <w:pStyle w:val="a0"/>
        <w:spacing w:line="360" w:lineRule="auto"/>
        <w:jc w:val="left"/>
        <w:rPr>
          <w:rFonts w:ascii="宋体" w:hAnsi="宋体"/>
          <w:color w:val="000000" w:themeColor="text1"/>
          <w:szCs w:val="21"/>
        </w:rPr>
      </w:pPr>
      <w:r w:rsidRPr="000C0420">
        <w:rPr>
          <w:rFonts w:ascii="宋体" w:hAnsi="宋体" w:hint="eastAsia"/>
          <w:color w:val="000000" w:themeColor="text1"/>
          <w:szCs w:val="21"/>
        </w:rPr>
        <w:t>3、证券经纪机构代理本基金财产与中登公司完成证券交易及</w:t>
      </w:r>
      <w:proofErr w:type="gramStart"/>
      <w:r w:rsidRPr="000C0420">
        <w:rPr>
          <w:rFonts w:ascii="宋体" w:hAnsi="宋体" w:hint="eastAsia"/>
          <w:color w:val="000000" w:themeColor="text1"/>
          <w:szCs w:val="21"/>
        </w:rPr>
        <w:t>非交易</w:t>
      </w:r>
      <w:proofErr w:type="gramEnd"/>
      <w:r w:rsidRPr="000C0420">
        <w:rPr>
          <w:rFonts w:ascii="宋体" w:hAnsi="宋体" w:hint="eastAsia"/>
          <w:color w:val="000000" w:themeColor="text1"/>
          <w:szCs w:val="21"/>
        </w:rPr>
        <w:t>涉及的证券资金结算业务，并承担由证券经纪机构原因造成的正常结算、交收业务无法完成的责任。</w:t>
      </w:r>
    </w:p>
    <w:p w14:paraId="0ABF879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4、银行间债券券款对付结算</w:t>
      </w:r>
    </w:p>
    <w:p w14:paraId="70C1548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基金管理人应及时将银行间市场清算所股份有限公司、</w:t>
      </w:r>
      <w:r w:rsidRPr="000C0420">
        <w:rPr>
          <w:rFonts w:ascii="宋体" w:hAnsi="宋体"/>
          <w:color w:val="000000" w:themeColor="text1"/>
          <w:szCs w:val="21"/>
        </w:rPr>
        <w:t>中央国债登记结算有限责任公司</w:t>
      </w:r>
      <w:r w:rsidRPr="000C0420">
        <w:rPr>
          <w:rFonts w:ascii="宋体" w:hAnsi="宋体" w:hint="eastAsia"/>
          <w:color w:val="000000" w:themeColor="text1"/>
          <w:szCs w:val="21"/>
        </w:rPr>
        <w:t xml:space="preserve">划款指令和成交通知单按相关规定提交基金托管人，基金管理人应为基金托管人留出执行指令所必需的时间。  </w:t>
      </w:r>
    </w:p>
    <w:p w14:paraId="43D5242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基金管理人应根据</w:t>
      </w:r>
      <w:r w:rsidRPr="000C0420">
        <w:rPr>
          <w:rFonts w:ascii="宋体" w:hAnsi="宋体"/>
          <w:color w:val="000000" w:themeColor="text1"/>
          <w:szCs w:val="21"/>
        </w:rPr>
        <w:t>中央国债登记结算有限责任公司</w:t>
      </w:r>
      <w:r w:rsidRPr="000C0420">
        <w:rPr>
          <w:rFonts w:ascii="宋体" w:hAnsi="宋体" w:hint="eastAsia"/>
          <w:color w:val="000000" w:themeColor="text1"/>
          <w:szCs w:val="21"/>
        </w:rPr>
        <w:t>、银行间市场清算所股份有限公司提供的查询功能，实时跟踪交易结算情况、证券与资金到账与余额变动情况，便于监控结算过程，做好资金与交易匹配的前端控制。</w:t>
      </w:r>
    </w:p>
    <w:p w14:paraId="62D9978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5、定期投资</w:t>
      </w:r>
    </w:p>
    <w:p w14:paraId="509622C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基金管理人与存款行签订的存款协议条款格式应在定期存款起息日的前一个工作日发送给基金托管人，</w:t>
      </w:r>
      <w:r w:rsidRPr="000C0420">
        <w:rPr>
          <w:rFonts w:ascii="宋体" w:hAnsi="宋体" w:cs="Arial" w:hint="eastAsia"/>
          <w:color w:val="000000" w:themeColor="text1"/>
          <w:szCs w:val="21"/>
        </w:rPr>
        <w:t>基金管理人应将</w:t>
      </w:r>
      <w:r w:rsidRPr="000C0420">
        <w:rPr>
          <w:rFonts w:ascii="宋体" w:hAnsi="宋体" w:hint="eastAsia"/>
          <w:color w:val="000000" w:themeColor="text1"/>
          <w:szCs w:val="21"/>
        </w:rPr>
        <w:t>定期存款的划款指令及存款协议盖章版（传真件或扫描件）/同业存款成交单按法律法规、基金合同及托管协议的规定提交基金托管人，指令发出后，基金管理人应及时以电话方式向基金托管人确认。对于基金管理人依约定程序发出的指令，基金管理人不得否认其效力。</w:t>
      </w:r>
    </w:p>
    <w:p w14:paraId="2AC204B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基金管理人在发送投资指令时，应为基金托管人执行投资指令留出执行指令所必需的时间。投资指令传输不及时、未能留出足够的划款时间，导致资金未能及时到账所造成的损失由基金管理人承担。</w:t>
      </w:r>
    </w:p>
    <w:p w14:paraId="703CA09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存款银行无法在存入当日17点前向基金托管人送达存款证实书的，基金管理人应敦促存款银行将存款证实扫描件发送至基金托管人。存款证实书送达托管人后，基金托管人负责保管存款证实书原件。基金托管人仅对存款证实书进行形式审核，形式审核内容为账户名称、起息日、到期日、金额、利率。基金托管人不对存款证实书真实性承担审核职责。</w:t>
      </w:r>
    </w:p>
    <w:p w14:paraId="60E9000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基金管理人与存款银行签订的存款协议，应包括：</w:t>
      </w:r>
    </w:p>
    <w:p w14:paraId="65B37B5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（1）存款银行为托管资产办理定期存款业务的存款账户开立、资金存入和支取提供必要的支持和高效的结算服务。</w:t>
      </w:r>
    </w:p>
    <w:p w14:paraId="318F8E2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存款银行为托管资产所投资的定期存款的存款证明文件提供上门服务，即：定期存款资金到账当日，存款银行派授权代理人将“存款证实书”（以下简称“证实书”）妥善送至基金托管人处。“证实书”移交给基金托管人之前，因“证实书”丢失、损毁而造成的一切损失由存款银行承担。</w:t>
      </w:r>
    </w:p>
    <w:p w14:paraId="6B4E187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定期存款到期日当日或提前支取日当日，存款银行应派授权代理人前往基金托管人处提取“证实书”。“证实书”移交给存款行授权代理人之后，因“证实书”丢失、损毁而造成的一切损失由存款银行承担。</w:t>
      </w:r>
    </w:p>
    <w:p w14:paraId="2E0D1E9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存款银行应至少提前一个工作日向基金托管人提供对前述授权代理人办理相关事务的</w:t>
      </w:r>
      <w:r w:rsidRPr="000C0420">
        <w:rPr>
          <w:rFonts w:ascii="宋体" w:hAnsi="宋体" w:hint="eastAsia"/>
          <w:color w:val="000000" w:themeColor="text1"/>
          <w:szCs w:val="21"/>
        </w:rPr>
        <w:lastRenderedPageBreak/>
        <w:t>书面授权书。授权代理人提供上门服务时，应出示有效身份证或工作证。</w:t>
      </w:r>
    </w:p>
    <w:p w14:paraId="485C4C4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（4）存款银行应保证及时支付存款本金和利息，于支取当日将本息划付至本基金开立在基金托管人（上海浦东发展银行）处的托管账户， 并列明账户的开户行、账号、户名、大额支付号。存款银行应确认，定期存款的本息只能划入开立在托管人的相应托管账户或经托管人确认的指定账户。上述指定收款账户信息如需变更，必须经基金托管人书面同意。</w:t>
      </w:r>
    </w:p>
    <w:p w14:paraId="17E6C7B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（5）存款银行应为定期存款业务提供定期对账服务。首次对账应不晚于存款资金存入后的一个自然月。除首次对账外，对账频率不少于每半年一次。存款银行应配合基金托管人对“证实书”的书面征询。</w:t>
      </w:r>
    </w:p>
    <w:p w14:paraId="0B895AE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（6）在存款存续期内，“证实书”的预留印鉴发生变更的，存款银行应配合办理变更手续。</w:t>
      </w:r>
    </w:p>
    <w:p w14:paraId="2F702C93"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（7）存款不得被质押，相应存款证明文件不得用于背书和转让。</w:t>
      </w:r>
    </w:p>
    <w:p w14:paraId="7D6ADE23"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6、本基金拟投资于期货交易市场前，基金管理人、期货经纪机构及基金托管人应当另行签署股指期货投资托管协议。</w:t>
      </w:r>
    </w:p>
    <w:p w14:paraId="07D8E3A6"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41" w:name="_Toc382819102"/>
      <w:r w:rsidRPr="000C0420">
        <w:rPr>
          <w:rFonts w:ascii="宋体" w:eastAsia="宋体" w:hAnsi="宋体" w:hint="eastAsia"/>
          <w:b w:val="0"/>
          <w:bCs w:val="0"/>
          <w:color w:val="000000" w:themeColor="text1"/>
          <w:sz w:val="21"/>
          <w:szCs w:val="21"/>
        </w:rPr>
        <w:t>（三）可用资金余额的确认</w:t>
      </w:r>
      <w:bookmarkEnd w:id="41"/>
    </w:p>
    <w:p w14:paraId="26A1FF65" w14:textId="77777777" w:rsidR="00F633B7" w:rsidRPr="000C0420" w:rsidRDefault="000A2CE7">
      <w:pPr>
        <w:spacing w:line="360" w:lineRule="auto"/>
        <w:ind w:firstLineChars="200" w:firstLine="420"/>
        <w:rPr>
          <w:color w:val="000000" w:themeColor="text1"/>
        </w:rPr>
      </w:pPr>
      <w:r w:rsidRPr="000C0420">
        <w:rPr>
          <w:rFonts w:ascii="宋体" w:hAnsi="宋体" w:hint="eastAsia"/>
          <w:color w:val="000000" w:themeColor="text1"/>
          <w:szCs w:val="21"/>
        </w:rPr>
        <w:t>基金托管人应于每个工作日上午9：30前将托管账户的可用资金余额以双方认可的方式提供给基金管理人。</w:t>
      </w:r>
    </w:p>
    <w:p w14:paraId="2FCF7FFD"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hAnsi="宋体"/>
          <w:b w:val="0"/>
          <w:bCs w:val="0"/>
          <w:color w:val="000000" w:themeColor="text1"/>
          <w:szCs w:val="21"/>
        </w:rPr>
      </w:pPr>
      <w:r w:rsidRPr="000C0420">
        <w:rPr>
          <w:rFonts w:ascii="宋体" w:eastAsia="宋体" w:hAnsi="宋体" w:hint="eastAsia"/>
          <w:b w:val="0"/>
          <w:bCs w:val="0"/>
          <w:color w:val="000000" w:themeColor="text1"/>
          <w:sz w:val="21"/>
          <w:szCs w:val="21"/>
        </w:rPr>
        <w:t>（四）交易记录、资金、证券账目的核对</w:t>
      </w:r>
    </w:p>
    <w:p w14:paraId="466DCC86"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1、交易记录的核对</w:t>
      </w:r>
    </w:p>
    <w:p w14:paraId="7D4C12AF"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基金管理人和基金托管人按日进行交易记录的核对。每日对外披露净值之前，必须保证当天所有实际交易记录与基金会计账簿上的交易记录一致。</w:t>
      </w:r>
    </w:p>
    <w:p w14:paraId="6A75B3E4"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2、资金账目的核对</w:t>
      </w:r>
    </w:p>
    <w:p w14:paraId="40831675"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资金账目包括基金的银行存款等会计资料。资金账目由基金托管人每日进行账实核对，基金管理人复核托管人提供的可用</w:t>
      </w:r>
      <w:proofErr w:type="gramStart"/>
      <w:r w:rsidRPr="000C0420">
        <w:rPr>
          <w:rFonts w:ascii="宋体" w:hAnsi="宋体" w:hint="eastAsia"/>
          <w:color w:val="000000" w:themeColor="text1"/>
          <w:szCs w:val="21"/>
        </w:rPr>
        <w:t>头寸表</w:t>
      </w:r>
      <w:proofErr w:type="gramEnd"/>
      <w:r w:rsidRPr="000C0420">
        <w:rPr>
          <w:rFonts w:ascii="宋体" w:hAnsi="宋体" w:hint="eastAsia"/>
          <w:color w:val="000000" w:themeColor="text1"/>
          <w:szCs w:val="21"/>
        </w:rPr>
        <w:t>核对资金余额。银行存款账户每日核对，做到账</w:t>
      </w:r>
      <w:proofErr w:type="gramStart"/>
      <w:r w:rsidRPr="000C0420">
        <w:rPr>
          <w:rFonts w:ascii="宋体" w:hAnsi="宋体" w:hint="eastAsia"/>
          <w:color w:val="000000" w:themeColor="text1"/>
          <w:szCs w:val="21"/>
        </w:rPr>
        <w:t>账</w:t>
      </w:r>
      <w:proofErr w:type="gramEnd"/>
      <w:r w:rsidRPr="000C0420">
        <w:rPr>
          <w:rFonts w:ascii="宋体" w:hAnsi="宋体" w:hint="eastAsia"/>
          <w:color w:val="000000" w:themeColor="text1"/>
          <w:szCs w:val="21"/>
        </w:rPr>
        <w:t>相符、账实相符。</w:t>
      </w:r>
    </w:p>
    <w:p w14:paraId="00015E2D"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3、证券账目的核对</w:t>
      </w:r>
    </w:p>
    <w:p w14:paraId="4F868564"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证券账目是指以基金名义开立的证券交易账户和实物托管账户中的证券种类、数量和金额。基金管理人和基金托管人每日核对证券账目余额。证券交易所证券账目每交易日结束后核对一次，银行间市场证券账目每月末核对一次，确保账实相符。</w:t>
      </w:r>
    </w:p>
    <w:p w14:paraId="76B82B23"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hAnsi="宋体"/>
          <w:b w:val="0"/>
          <w:color w:val="000000" w:themeColor="text1"/>
          <w:szCs w:val="21"/>
        </w:rPr>
      </w:pPr>
      <w:r w:rsidRPr="000C0420">
        <w:rPr>
          <w:rFonts w:ascii="宋体" w:eastAsia="宋体" w:hAnsi="宋体" w:hint="eastAsia"/>
          <w:b w:val="0"/>
          <w:bCs w:val="0"/>
          <w:color w:val="000000" w:themeColor="text1"/>
          <w:sz w:val="21"/>
          <w:szCs w:val="21"/>
        </w:rPr>
        <w:t>（五）基金申购、赎回业务处理的基本规定</w:t>
      </w:r>
    </w:p>
    <w:p w14:paraId="125BD54E"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t>1、基金份额申购、赎回的确认、清算由基金管理人或其委托的注册登记机构负责。</w:t>
      </w:r>
    </w:p>
    <w:p w14:paraId="6812C0EA" w14:textId="77777777" w:rsidR="00F633B7" w:rsidRPr="000C0420" w:rsidRDefault="000A2CE7">
      <w:pPr>
        <w:tabs>
          <w:tab w:val="left" w:pos="4680"/>
        </w:tabs>
        <w:spacing w:line="360" w:lineRule="auto"/>
        <w:ind w:firstLineChars="200" w:firstLine="420"/>
        <w:jc w:val="left"/>
        <w:rPr>
          <w:rFonts w:ascii="宋体" w:hAnsi="宋体"/>
          <w:color w:val="000000" w:themeColor="text1"/>
          <w:szCs w:val="21"/>
        </w:rPr>
      </w:pPr>
      <w:r w:rsidRPr="000C0420">
        <w:rPr>
          <w:rFonts w:ascii="宋体" w:hAnsi="宋体" w:hint="eastAsia"/>
          <w:color w:val="000000" w:themeColor="text1"/>
          <w:szCs w:val="21"/>
        </w:rPr>
        <w:lastRenderedPageBreak/>
        <w:t>2、</w:t>
      </w:r>
      <w:proofErr w:type="gramStart"/>
      <w:r w:rsidRPr="000C0420">
        <w:rPr>
          <w:rFonts w:ascii="宋体" w:hAnsi="宋体" w:hint="eastAsia"/>
          <w:color w:val="000000" w:themeColor="text1"/>
          <w:szCs w:val="21"/>
        </w:rPr>
        <w:t>申赎清算</w:t>
      </w:r>
      <w:proofErr w:type="gramEnd"/>
      <w:r w:rsidRPr="000C0420">
        <w:rPr>
          <w:rFonts w:ascii="宋体" w:hAnsi="宋体" w:hint="eastAsia"/>
          <w:color w:val="000000" w:themeColor="text1"/>
          <w:szCs w:val="21"/>
        </w:rPr>
        <w:t>交收</w:t>
      </w:r>
    </w:p>
    <w:p w14:paraId="327FB7F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本基金申购赎回过程中涉及的基金份额、申购对价、赎回对价的清算交</w:t>
      </w:r>
      <w:proofErr w:type="gramStart"/>
      <w:r w:rsidRPr="000C0420">
        <w:rPr>
          <w:rFonts w:ascii="宋体" w:hAnsi="宋体" w:hint="eastAsia"/>
          <w:color w:val="000000" w:themeColor="text1"/>
          <w:szCs w:val="21"/>
        </w:rPr>
        <w:t>收依据</w:t>
      </w:r>
      <w:proofErr w:type="gramEnd"/>
      <w:r w:rsidRPr="000C0420">
        <w:rPr>
          <w:rFonts w:ascii="宋体" w:hAnsi="宋体" w:hint="eastAsia"/>
          <w:color w:val="000000" w:themeColor="text1"/>
          <w:szCs w:val="21"/>
        </w:rPr>
        <w:t>交易所和登记机构的相关业务规则和参与各方相关协议及招募说明书的有关规定，具体规则在招募说明书中列示。如交易所和中国证券登记结算有限责任公司修改或更新上述规则并适用于本基金的，则按照新的规则执行，并在招募说明书中进行更新。</w:t>
      </w:r>
    </w:p>
    <w:p w14:paraId="68C121DF" w14:textId="77777777" w:rsidR="00F633B7" w:rsidRPr="000C0420" w:rsidRDefault="000A2CE7">
      <w:pPr>
        <w:spacing w:beforeLines="100" w:before="312" w:afterLines="100" w:after="312" w:line="240" w:lineRule="atLeast"/>
        <w:jc w:val="center"/>
        <w:outlineLvl w:val="0"/>
        <w:rPr>
          <w:rFonts w:ascii="宋体" w:hAnsi="宋体"/>
          <w:color w:val="000000" w:themeColor="text1"/>
        </w:rPr>
      </w:pPr>
      <w:bookmarkStart w:id="42" w:name="_Toc382819103"/>
      <w:r w:rsidRPr="000C0420">
        <w:rPr>
          <w:rFonts w:ascii="宋体" w:hAnsi="宋体" w:hint="eastAsia"/>
          <w:b/>
          <w:color w:val="000000" w:themeColor="text1"/>
          <w:sz w:val="24"/>
        </w:rPr>
        <w:t>七、基金资产净值计算和会计核算</w:t>
      </w:r>
      <w:bookmarkEnd w:id="42"/>
    </w:p>
    <w:p w14:paraId="543D491E"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43" w:name="_Toc382819104"/>
      <w:r w:rsidRPr="000C0420">
        <w:rPr>
          <w:rFonts w:ascii="宋体" w:eastAsia="宋体" w:hAnsi="宋体" w:hint="eastAsia"/>
          <w:b w:val="0"/>
          <w:bCs w:val="0"/>
          <w:color w:val="000000" w:themeColor="text1"/>
          <w:sz w:val="21"/>
          <w:szCs w:val="21"/>
        </w:rPr>
        <w:t>（一）基金资产净值的计算</w:t>
      </w:r>
      <w:r w:rsidRPr="000C0420">
        <w:rPr>
          <w:rFonts w:ascii="宋体" w:eastAsia="宋体" w:hAnsi="宋体" w:hint="eastAsia"/>
          <w:color w:val="000000" w:themeColor="text1"/>
          <w:sz w:val="21"/>
          <w:szCs w:val="21"/>
        </w:rPr>
        <w:t>、</w:t>
      </w:r>
      <w:r w:rsidRPr="000C0420">
        <w:rPr>
          <w:rFonts w:ascii="宋体" w:eastAsia="宋体" w:hAnsi="宋体" w:hint="eastAsia"/>
          <w:b w:val="0"/>
          <w:bCs w:val="0"/>
          <w:color w:val="000000" w:themeColor="text1"/>
          <w:sz w:val="21"/>
          <w:szCs w:val="21"/>
        </w:rPr>
        <w:t>复核的时间和程序</w:t>
      </w:r>
      <w:bookmarkEnd w:id="43"/>
    </w:p>
    <w:p w14:paraId="4E2AED52"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1</w:t>
      </w:r>
      <w:r w:rsidRPr="000C0420">
        <w:rPr>
          <w:rFonts w:ascii="宋体" w:hAnsi="宋体"/>
          <w:color w:val="000000" w:themeColor="text1"/>
          <w:szCs w:val="21"/>
        </w:rPr>
        <w:t>.</w:t>
      </w:r>
      <w:r w:rsidRPr="000C0420">
        <w:rPr>
          <w:rFonts w:ascii="宋体" w:hAnsi="宋体" w:hint="eastAsia"/>
          <w:color w:val="000000" w:themeColor="text1"/>
          <w:szCs w:val="21"/>
        </w:rPr>
        <w:t>基金资产净值是指基金资产总值减去基金负债后的价值。</w:t>
      </w:r>
      <w:r w:rsidRPr="000C0420">
        <w:rPr>
          <w:rFonts w:ascii="宋体" w:hAnsi="宋体" w:hint="eastAsia"/>
          <w:bCs/>
          <w:color w:val="000000" w:themeColor="text1"/>
          <w:szCs w:val="21"/>
        </w:rPr>
        <w:t>基金份额净值是按照每个估值日闭市后，基金资产净值除以当日基金份额的余额数量计算</w:t>
      </w:r>
      <w:r w:rsidRPr="000C0420">
        <w:rPr>
          <w:rFonts w:ascii="宋体" w:hAnsi="宋体" w:hint="eastAsia"/>
          <w:color w:val="000000" w:themeColor="text1"/>
          <w:szCs w:val="21"/>
        </w:rPr>
        <w:t>，基金份额净值的计算保留到小数点后4位，小数点后第5位四舍五入，由此产生的误差计入基金财产。</w:t>
      </w:r>
      <w:r w:rsidRPr="000C0420">
        <w:rPr>
          <w:rFonts w:ascii="宋体" w:hAnsi="宋体"/>
          <w:color w:val="000000" w:themeColor="text1"/>
          <w:szCs w:val="21"/>
        </w:rPr>
        <w:t>国家另有规定的，从其规定。</w:t>
      </w:r>
    </w:p>
    <w:p w14:paraId="5FDF526E"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2</w:t>
      </w:r>
      <w:r w:rsidRPr="000C0420">
        <w:rPr>
          <w:rFonts w:ascii="宋体" w:hAnsi="宋体"/>
          <w:color w:val="000000" w:themeColor="text1"/>
          <w:szCs w:val="21"/>
        </w:rPr>
        <w:t>.</w:t>
      </w:r>
      <w:r w:rsidRPr="000C0420">
        <w:rPr>
          <w:rFonts w:ascii="宋体" w:hAnsi="宋体" w:hint="eastAsia"/>
          <w:color w:val="000000" w:themeColor="text1"/>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净值的计算结果对外予以公布。每个估值日，基金管理人应对基金资产估值。但基金管理人根据法律法规或基金合同的规定暂停估值时除外。估值原则应符合《基金合同》、《证券投资基金会计核算业务指引》及其他法律、法规的规定。</w:t>
      </w:r>
      <w:r w:rsidRPr="000C0420">
        <w:rPr>
          <w:rFonts w:ascii="宋体" w:hAnsi="宋体" w:cs="宋体" w:hint="eastAsia"/>
          <w:color w:val="000000" w:themeColor="text1"/>
          <w:kern w:val="0"/>
          <w:szCs w:val="21"/>
        </w:rPr>
        <w:t>基金管理人每个估值日交易结束后计算当日的基金份额净值和基金资产净值并以双方认可的方式发送给基金托管人。基金托管人对净值计算结果复核后以双方认可的方式发送给基金管理人，由基金管理人按约定对外公布。</w:t>
      </w:r>
    </w:p>
    <w:p w14:paraId="156A3887" w14:textId="77777777" w:rsidR="00F633B7" w:rsidRPr="000C0420" w:rsidRDefault="000A2CE7">
      <w:pPr>
        <w:tabs>
          <w:tab w:val="left" w:pos="900"/>
        </w:tabs>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3</w:t>
      </w:r>
      <w:r w:rsidRPr="000C0420">
        <w:rPr>
          <w:rFonts w:ascii="宋体" w:hAnsi="宋体"/>
          <w:color w:val="000000" w:themeColor="text1"/>
          <w:szCs w:val="21"/>
        </w:rPr>
        <w:t>.</w:t>
      </w:r>
      <w:r w:rsidRPr="000C0420">
        <w:rPr>
          <w:rFonts w:ascii="宋体" w:hAnsi="宋体" w:hint="eastAsia"/>
          <w:color w:val="000000" w:themeColor="text1"/>
          <w:szCs w:val="21"/>
        </w:rPr>
        <w:t>根据《基金法》，基金管理人计算并公告基金资产净值，基金托管人复核、审查基金管理人计算的基金资产净值。本基金的会计责任方是基金管理人，就与本基金有关的会计问题，如经相关各方在平等基础上充分讨论后，仍无法达成一致的意见，按照基金管理人对基金资产净值的计算结果对外予以公布。</w:t>
      </w:r>
    </w:p>
    <w:p w14:paraId="27076278" w14:textId="77777777" w:rsidR="00F633B7" w:rsidRPr="000C0420" w:rsidRDefault="000A2CE7">
      <w:pPr>
        <w:tabs>
          <w:tab w:val="left" w:pos="900"/>
        </w:tabs>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法律法规以及监管部门有强制规定的，从其规定。如有新增事项，按国家最新规定估值。</w:t>
      </w:r>
    </w:p>
    <w:p w14:paraId="61595DBF" w14:textId="77777777" w:rsidR="00F633B7" w:rsidRPr="000C0420" w:rsidRDefault="000A2CE7">
      <w:pPr>
        <w:pStyle w:val="2"/>
        <w:keepNext w:val="0"/>
        <w:keepLines w:val="0"/>
        <w:autoSpaceDE w:val="0"/>
        <w:autoSpaceDN w:val="0"/>
        <w:adjustRightInd w:val="0"/>
        <w:spacing w:before="0" w:after="0" w:line="440" w:lineRule="atLeast"/>
        <w:ind w:firstLineChars="200" w:firstLine="420"/>
        <w:textAlignment w:val="baseline"/>
        <w:rPr>
          <w:rFonts w:ascii="宋体" w:eastAsia="宋体" w:hAnsi="宋体"/>
          <w:b w:val="0"/>
          <w:bCs w:val="0"/>
          <w:color w:val="000000" w:themeColor="text1"/>
          <w:sz w:val="21"/>
          <w:szCs w:val="21"/>
        </w:rPr>
      </w:pPr>
      <w:bookmarkStart w:id="44" w:name="_Toc382819105"/>
      <w:r w:rsidRPr="000C0420">
        <w:rPr>
          <w:rFonts w:ascii="宋体" w:eastAsia="宋体" w:hAnsi="宋体" w:hint="eastAsia"/>
          <w:b w:val="0"/>
          <w:bCs w:val="0"/>
          <w:color w:val="000000" w:themeColor="text1"/>
          <w:sz w:val="21"/>
          <w:szCs w:val="21"/>
        </w:rPr>
        <w:t>（二）基金资产估值</w:t>
      </w:r>
      <w:bookmarkEnd w:id="44"/>
    </w:p>
    <w:p w14:paraId="3C6E6584"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1、估值对象</w:t>
      </w:r>
    </w:p>
    <w:p w14:paraId="72395FD4" w14:textId="70A6569F" w:rsidR="00F633B7" w:rsidRPr="000C0420" w:rsidRDefault="00E63B6D">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基金所拥有的股票、期货合约、期权合约、债券和银行存款本息、应收款项、其它投资等资产及负债。</w:t>
      </w:r>
    </w:p>
    <w:p w14:paraId="1E1E30EB"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2、估值原则及方法</w:t>
      </w:r>
    </w:p>
    <w:p w14:paraId="0747663D"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估值原则、估值方法应符合《基金合同》、《证券投资基金会计核算业务指引》、《企业会计准则》及其他法律法规的规定的约定。</w:t>
      </w:r>
    </w:p>
    <w:p w14:paraId="5929F4D8"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对于公开市场无法获取，仅能依赖基金管理人提供核算所需数据的情况，基金托管人不对该类数据的真实性、准确性、完整性负责。</w:t>
      </w:r>
    </w:p>
    <w:p w14:paraId="39A2F5A2" w14:textId="77777777" w:rsidR="00F633B7" w:rsidRPr="000C0420" w:rsidRDefault="000A2CE7">
      <w:pPr>
        <w:spacing w:line="440" w:lineRule="atLeast"/>
        <w:ind w:right="28" w:firstLineChars="200" w:firstLine="420"/>
        <w:rPr>
          <w:rFonts w:ascii="宋体" w:hAnsi="宋体"/>
          <w:color w:val="000000" w:themeColor="text1"/>
          <w:szCs w:val="21"/>
        </w:rPr>
      </w:pPr>
      <w:proofErr w:type="gramStart"/>
      <w:r w:rsidRPr="000C0420">
        <w:rPr>
          <w:rFonts w:ascii="宋体" w:hAnsi="宋体" w:hint="eastAsia"/>
          <w:color w:val="000000" w:themeColor="text1"/>
          <w:szCs w:val="21"/>
        </w:rPr>
        <w:t>当相关</w:t>
      </w:r>
      <w:proofErr w:type="gramEnd"/>
      <w:r w:rsidRPr="000C0420">
        <w:rPr>
          <w:rFonts w:ascii="宋体" w:hAnsi="宋体" w:hint="eastAsia"/>
          <w:color w:val="000000" w:themeColor="text1"/>
          <w:szCs w:val="21"/>
        </w:rPr>
        <w:t>法律法规或《基金合同》规定的估值方法不能客观反映基金财产公允价值时，基金管理人可根据具体情况，并与基金托管人商定后，按最能反映公允价值的价格估值。</w:t>
      </w:r>
    </w:p>
    <w:p w14:paraId="565825AD"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45" w:name="_Toc382819106"/>
      <w:r w:rsidRPr="000C0420">
        <w:rPr>
          <w:rFonts w:ascii="宋体" w:eastAsia="宋体" w:hAnsi="宋体" w:hint="eastAsia"/>
          <w:b w:val="0"/>
          <w:bCs w:val="0"/>
          <w:color w:val="000000" w:themeColor="text1"/>
          <w:sz w:val="21"/>
          <w:szCs w:val="21"/>
        </w:rPr>
        <w:t>（三）估值错误处理</w:t>
      </w:r>
      <w:bookmarkEnd w:id="45"/>
    </w:p>
    <w:p w14:paraId="0EAA4EEB" w14:textId="77777777" w:rsidR="00F633B7" w:rsidRPr="000C0420" w:rsidRDefault="000A2CE7">
      <w:pPr>
        <w:spacing w:line="440" w:lineRule="atLeast"/>
        <w:ind w:right="28" w:firstLineChars="200" w:firstLine="420"/>
        <w:rPr>
          <w:rFonts w:ascii="宋体" w:hAnsi="宋体"/>
          <w:color w:val="000000" w:themeColor="text1"/>
          <w:szCs w:val="21"/>
        </w:rPr>
      </w:pPr>
      <w:bookmarkStart w:id="46" w:name="_Toc382819107"/>
      <w:r w:rsidRPr="000C0420">
        <w:rPr>
          <w:rFonts w:ascii="宋体" w:hAnsi="宋体" w:hint="eastAsia"/>
          <w:color w:val="000000" w:themeColor="text1"/>
          <w:szCs w:val="21"/>
        </w:rPr>
        <w:t>1.当基金份额净值小数点后</w:t>
      </w:r>
      <w:r w:rsidRPr="000C0420">
        <w:rPr>
          <w:rFonts w:ascii="宋体" w:hAnsi="宋体"/>
          <w:color w:val="000000" w:themeColor="text1"/>
          <w:szCs w:val="21"/>
        </w:rPr>
        <w:t>4位以内(含第4位)</w:t>
      </w:r>
      <w:r w:rsidRPr="000C0420">
        <w:rPr>
          <w:rFonts w:ascii="宋体" w:hAnsi="宋体" w:hint="eastAsia"/>
          <w:color w:val="000000" w:themeColor="text1"/>
          <w:szCs w:val="21"/>
        </w:rPr>
        <w:t>发生差错时，视为基金份额净值错误；基金份额净值计算出现错误时，基金管理人应当立即予以纠正，通报基金托管人，并采取合理的措施防止损失进一步扩大；错误偏差达到基金份额净值的0.25%时，基金管理人应当通报基金托管人并报中国证监会备案；错误偏差达到基金份额净值的0.5%时，基金管理人应当公告；通报基金托管人并报中国证监会备案；当发生净值计算错误时，由基金管理人负责处理，由此给基金份额持有人和基金造成损失的，按照基金合同和本协议约定的估值错误处理原则和程序进行处理。</w:t>
      </w:r>
      <w:bookmarkEnd w:id="46"/>
    </w:p>
    <w:p w14:paraId="36A24485" w14:textId="77777777" w:rsidR="00F633B7" w:rsidRPr="000C0420" w:rsidRDefault="000A2CE7">
      <w:pPr>
        <w:spacing w:line="440" w:lineRule="atLeast"/>
        <w:ind w:right="28" w:firstLineChars="200" w:firstLine="420"/>
        <w:rPr>
          <w:rFonts w:ascii="宋体" w:hAnsi="宋体"/>
          <w:color w:val="000000" w:themeColor="text1"/>
          <w:szCs w:val="21"/>
        </w:rPr>
      </w:pPr>
      <w:bookmarkStart w:id="47" w:name="_Toc382819108"/>
      <w:r w:rsidRPr="000C0420">
        <w:rPr>
          <w:rFonts w:ascii="宋体" w:hAnsi="宋体" w:hint="eastAsia"/>
          <w:color w:val="000000" w:themeColor="text1"/>
          <w:szCs w:val="21"/>
        </w:rPr>
        <w:t>2.当因基金管理人和基金托管</w:t>
      </w:r>
      <w:proofErr w:type="gramStart"/>
      <w:r w:rsidRPr="000C0420">
        <w:rPr>
          <w:rFonts w:ascii="宋体" w:hAnsi="宋体" w:hint="eastAsia"/>
          <w:color w:val="000000" w:themeColor="text1"/>
          <w:szCs w:val="21"/>
        </w:rPr>
        <w:t>人原因</w:t>
      </w:r>
      <w:proofErr w:type="gramEnd"/>
      <w:r w:rsidRPr="000C0420">
        <w:rPr>
          <w:rFonts w:ascii="宋体" w:hAnsi="宋体" w:hint="eastAsia"/>
          <w:color w:val="000000" w:themeColor="text1"/>
          <w:szCs w:val="21"/>
        </w:rPr>
        <w:t>致使基金份额净值计算差错给基金和基金份额持有人造成损失需要进行赔偿时，基金管理人和基金托管人应根据实际情况界定双方承担的责任，经确认后按以下条款进行赔偿：</w:t>
      </w:r>
      <w:bookmarkEnd w:id="47"/>
    </w:p>
    <w:p w14:paraId="0A2B702C" w14:textId="77777777" w:rsidR="00F633B7" w:rsidRPr="000C0420" w:rsidRDefault="000A2CE7">
      <w:pPr>
        <w:spacing w:line="440" w:lineRule="atLeast"/>
        <w:ind w:right="28" w:firstLineChars="200" w:firstLine="420"/>
        <w:rPr>
          <w:rFonts w:ascii="宋体" w:hAnsi="宋体"/>
          <w:color w:val="000000" w:themeColor="text1"/>
          <w:szCs w:val="21"/>
        </w:rPr>
      </w:pPr>
      <w:bookmarkStart w:id="48" w:name="_Toc382819109"/>
      <w:r w:rsidRPr="000C0420">
        <w:rPr>
          <w:rFonts w:ascii="宋体" w:hAnsi="宋体" w:hint="eastAsia"/>
          <w:color w:val="000000" w:themeColor="text1"/>
          <w:szCs w:val="21"/>
        </w:rPr>
        <w:t>（1）本基金的基金会计责任方由基金管理人担任，与本基金有关的会计问题，如经双方在平等基础上充分讨论后，尚不能达成一致时，按基金管理人的建议执行，由此给基金份额持有人和基金财产造成的直接损失，由基金管理人负责赔付。</w:t>
      </w:r>
    </w:p>
    <w:p w14:paraId="3F7AF0E5"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2</w:t>
      </w:r>
      <w:r w:rsidRPr="000C0420">
        <w:rPr>
          <w:rFonts w:ascii="宋体" w:hAnsi="宋体" w:hint="eastAsia"/>
          <w:color w:val="000000" w:themeColor="text1"/>
          <w:szCs w:val="21"/>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直接损失，由基金管理人负责赔付。</w:t>
      </w:r>
    </w:p>
    <w:p w14:paraId="6A7861C6"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w:t>
      </w:r>
      <w:r w:rsidRPr="000C0420">
        <w:rPr>
          <w:rFonts w:ascii="宋体" w:hAnsi="宋体"/>
          <w:color w:val="000000" w:themeColor="text1"/>
          <w:szCs w:val="21"/>
        </w:rPr>
        <w:t>3</w:t>
      </w:r>
      <w:r w:rsidRPr="000C0420">
        <w:rPr>
          <w:rFonts w:ascii="宋体" w:hAnsi="宋体" w:hint="eastAsia"/>
          <w:color w:val="000000" w:themeColor="text1"/>
          <w:szCs w:val="21"/>
        </w:rPr>
        <w:t>）由于基金管理人提供的信息错误（包括但不限于基金申购或赎回金额等），导致基金份额净值计算错误而引起的基金份额持有人和基金财产的损失，由基金管理人负责赔付。</w:t>
      </w:r>
      <w:bookmarkStart w:id="49" w:name="_Toc382819110"/>
      <w:bookmarkEnd w:id="48"/>
    </w:p>
    <w:p w14:paraId="274BC7F1"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3.由于不可抗力原因，或证券/期货交易所或登记结算公司等机构发送的数据错误原因，基金管理人和基金托管人虽然已经采取必要、适当、合理的措施进行检查，但未能发现错误的，由此造成的基金资产估值错误，基金管理人和基金托管人免除赔偿责任。但基金管理人和基金托管人应积极采取必要的措施消除或减轻由此造成的影响。</w:t>
      </w:r>
      <w:bookmarkStart w:id="50" w:name="_Toc382819111"/>
      <w:bookmarkEnd w:id="49"/>
    </w:p>
    <w:p w14:paraId="21422851"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4.基金管理人和基金托管人由于各自技术系统设置而产生的净值计算尾差，以基金管理人计算结果为准。</w:t>
      </w:r>
      <w:bookmarkStart w:id="51" w:name="_Toc382819112"/>
      <w:bookmarkEnd w:id="50"/>
    </w:p>
    <w:p w14:paraId="02117502"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5.基金托管人凭借自身托管系统数据及外部资讯信息等必要数据，仅在实际可控制的能力范围内，勤勉尽责的履行上述监督责任。对于超过自身实际控制范围的事项，托管人不承担监督责任。</w:t>
      </w:r>
    </w:p>
    <w:p w14:paraId="2D05A0FF" w14:textId="30AC0EBF"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6.前述内容如法律法规或者监管部门另有规定的，从其规定。如果行业另有通行做法，在不违背法律法规且不损害投资者利益的前提下，双方当事人应本着平等和保护基金份额持有人利益的原则进行协商。</w:t>
      </w:r>
      <w:bookmarkStart w:id="52" w:name="_Toc382819113"/>
      <w:bookmarkEnd w:id="51"/>
    </w:p>
    <w:p w14:paraId="4BFE1101"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r w:rsidRPr="000C0420">
        <w:rPr>
          <w:rFonts w:ascii="宋体" w:eastAsia="宋体" w:hAnsi="宋体" w:hint="eastAsia"/>
          <w:b w:val="0"/>
          <w:bCs w:val="0"/>
          <w:color w:val="000000" w:themeColor="text1"/>
          <w:sz w:val="21"/>
          <w:szCs w:val="21"/>
        </w:rPr>
        <w:t>（四）暂停估值与公告基金份额净值的情形</w:t>
      </w:r>
      <w:bookmarkStart w:id="53" w:name="_Toc382819114"/>
      <w:bookmarkEnd w:id="52"/>
    </w:p>
    <w:p w14:paraId="6CDF404E"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1．基金投资所涉及的证券/期货交易市场遇法定节假日或因其他原因暂停营业时；</w:t>
      </w:r>
      <w:bookmarkStart w:id="54" w:name="_Toc382819115"/>
      <w:bookmarkEnd w:id="53"/>
    </w:p>
    <w:p w14:paraId="4BB2F496"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2．因不可抗力或其他情形致使基金管理人、基金托管人无法准确评估基金资产价值时；</w:t>
      </w:r>
      <w:bookmarkEnd w:id="54"/>
    </w:p>
    <w:p w14:paraId="2B5DE8E6"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color w:val="000000" w:themeColor="text1"/>
          <w:szCs w:val="21"/>
        </w:rPr>
        <w:t>3</w:t>
      </w:r>
      <w:r w:rsidRPr="000C0420">
        <w:rPr>
          <w:rFonts w:ascii="宋体" w:hAnsi="宋体" w:hint="eastAsia"/>
          <w:color w:val="000000" w:themeColor="text1"/>
          <w:szCs w:val="21"/>
        </w:rPr>
        <w:t>．经与基金托管人协商确认，当前一估值日基金资产净值50%以上的资产出现无可参考的活跃市场价格且采用估值技术</w:t>
      </w:r>
      <w:proofErr w:type="gramStart"/>
      <w:r w:rsidRPr="000C0420">
        <w:rPr>
          <w:rFonts w:ascii="宋体" w:hAnsi="宋体" w:hint="eastAsia"/>
          <w:color w:val="000000" w:themeColor="text1"/>
          <w:szCs w:val="21"/>
        </w:rPr>
        <w:t>仍导致</w:t>
      </w:r>
      <w:proofErr w:type="gramEnd"/>
      <w:r w:rsidRPr="000C0420">
        <w:rPr>
          <w:rFonts w:ascii="宋体" w:hAnsi="宋体" w:hint="eastAsia"/>
          <w:color w:val="000000" w:themeColor="text1"/>
          <w:szCs w:val="21"/>
        </w:rPr>
        <w:t>公允价值存在重大不确定性时，基金管理人应当暂停基金估值；</w:t>
      </w:r>
    </w:p>
    <w:p w14:paraId="4CBC8131" w14:textId="77777777" w:rsidR="00F633B7" w:rsidRPr="000C0420" w:rsidRDefault="000A2CE7">
      <w:pPr>
        <w:spacing w:line="440" w:lineRule="atLeast"/>
        <w:ind w:right="28" w:firstLineChars="200" w:firstLine="420"/>
        <w:rPr>
          <w:rFonts w:ascii="宋体" w:hAnsi="宋体"/>
          <w:color w:val="000000" w:themeColor="text1"/>
          <w:szCs w:val="21"/>
        </w:rPr>
      </w:pPr>
      <w:r w:rsidRPr="000C0420">
        <w:rPr>
          <w:rFonts w:ascii="宋体" w:hAnsi="宋体" w:hint="eastAsia"/>
          <w:color w:val="000000" w:themeColor="text1"/>
          <w:szCs w:val="21"/>
        </w:rPr>
        <w:t>4</w:t>
      </w:r>
      <w:r w:rsidRPr="000C0420">
        <w:rPr>
          <w:rFonts w:ascii="宋体" w:hAnsi="宋体"/>
          <w:color w:val="000000" w:themeColor="text1"/>
          <w:szCs w:val="21"/>
        </w:rPr>
        <w:t>.</w:t>
      </w:r>
      <w:r w:rsidRPr="000C0420">
        <w:rPr>
          <w:rFonts w:ascii="宋体" w:hAnsi="宋体" w:hint="eastAsia"/>
          <w:color w:val="000000" w:themeColor="text1"/>
          <w:szCs w:val="21"/>
        </w:rPr>
        <w:t xml:space="preserve"> 法律法规、中国证监会和《基金合同》认定的其他情形。</w:t>
      </w:r>
      <w:bookmarkStart w:id="55" w:name="_Toc382819116"/>
    </w:p>
    <w:p w14:paraId="76B51322"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r w:rsidRPr="000C0420">
        <w:rPr>
          <w:rFonts w:ascii="宋体" w:eastAsia="宋体" w:hAnsi="宋体" w:hint="eastAsia"/>
          <w:b w:val="0"/>
          <w:bCs w:val="0"/>
          <w:color w:val="000000" w:themeColor="text1"/>
          <w:sz w:val="21"/>
          <w:szCs w:val="21"/>
        </w:rPr>
        <w:t>（五）基金账册的建立</w:t>
      </w:r>
      <w:bookmarkEnd w:id="55"/>
    </w:p>
    <w:p w14:paraId="1BABF37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2EA8F13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14:paraId="223B30B6"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bookmarkStart w:id="56" w:name="_Toc382819117"/>
      <w:r w:rsidRPr="000C0420">
        <w:rPr>
          <w:rFonts w:ascii="宋体" w:eastAsia="宋体" w:hAnsi="宋体" w:hint="eastAsia"/>
          <w:b w:val="0"/>
          <w:bCs w:val="0"/>
          <w:color w:val="000000" w:themeColor="text1"/>
          <w:sz w:val="21"/>
          <w:szCs w:val="21"/>
        </w:rPr>
        <w:t>（六）基金定期报告的编制和复核</w:t>
      </w:r>
      <w:bookmarkEnd w:id="56"/>
    </w:p>
    <w:p w14:paraId="53C88C8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1.基金财务报表由基金管理人和基金托管人每</w:t>
      </w:r>
      <w:proofErr w:type="gramStart"/>
      <w:r w:rsidRPr="000C0420">
        <w:rPr>
          <w:rFonts w:ascii="宋体" w:hAnsi="宋体" w:hint="eastAsia"/>
          <w:color w:val="000000" w:themeColor="text1"/>
          <w:szCs w:val="21"/>
        </w:rPr>
        <w:t>月分别独立</w:t>
      </w:r>
      <w:proofErr w:type="gramEnd"/>
      <w:r w:rsidRPr="000C0420">
        <w:rPr>
          <w:rFonts w:ascii="宋体" w:hAnsi="宋体" w:hint="eastAsia"/>
          <w:color w:val="000000" w:themeColor="text1"/>
          <w:szCs w:val="21"/>
        </w:rPr>
        <w:t>编制。月度报表的编制，应于每月终了后5个工作日内完成。</w:t>
      </w:r>
    </w:p>
    <w:p w14:paraId="4FC341A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基金管理人在季度结束之日起15个工作日内完成季度报告编制并公告；在会计年度半年终了后两个月内完成中期报告编制并公告；在会计年度结束后三个月内完成年度报告编制并公告。</w:t>
      </w:r>
    </w:p>
    <w:p w14:paraId="10B96E4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3.基金管理人在5个工作日内完成月度报告，在月度报告完成当日，以双方约定的方式将有关报告提供基金托管人复核；基金托管人在3个工作日内进行复核，并将复核结果按照约定方式及时通知基金管理人。基金管理人在7个工作日内完成季度报告，在季度报告完成当日，将有关报告提供基金托管人复核，基金托管人在收到后7个工作日内进行复核，并将复核结果按照约定方式通知基金管理人。基金管理人在30日内完成中期报告，在中期报告完成当日，将有关报告提供基金托管人复核，基金托管人在收到后30日内进行复核，并将复核结果按照约定方式通知基金管理人。基金管理人在45日内完成年度报告，在年度报告完成当日，将有关报告提供基金托管人复核，基金托管人在收到后45日内复核，并将复核结果按照约定方式通知基金管理人。</w:t>
      </w:r>
    </w:p>
    <w:p w14:paraId="34C80A0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4.基金托管人在复核过程中，发现相关各方的报表存在不符时，基金管理人和基金托管人应共同查明原因，进行调整，调整以相关各方认可的账务处理方式为准。</w:t>
      </w:r>
      <w:r w:rsidRPr="000C0420">
        <w:rPr>
          <w:rFonts w:ascii="宋体" w:hAnsi="宋体" w:hint="eastAsia"/>
          <w:color w:val="000000" w:themeColor="text1"/>
          <w:kern w:val="44"/>
          <w:szCs w:val="21"/>
        </w:rPr>
        <w:t>如果基金管理人与基金托管人不能</w:t>
      </w:r>
      <w:proofErr w:type="gramStart"/>
      <w:r w:rsidRPr="000C0420">
        <w:rPr>
          <w:rFonts w:ascii="宋体" w:hAnsi="宋体" w:hint="eastAsia"/>
          <w:color w:val="000000" w:themeColor="text1"/>
          <w:kern w:val="44"/>
          <w:szCs w:val="21"/>
        </w:rPr>
        <w:t>于应当</w:t>
      </w:r>
      <w:proofErr w:type="gramEnd"/>
      <w:r w:rsidRPr="000C0420">
        <w:rPr>
          <w:rFonts w:ascii="宋体" w:hAnsi="宋体" w:hint="eastAsia"/>
          <w:color w:val="000000" w:themeColor="text1"/>
          <w:kern w:val="44"/>
          <w:szCs w:val="21"/>
        </w:rPr>
        <w:t>发布公告之日之前就相关报表达成一致，基金管理人有权按照其编制的报表对外发布公告，基金托管人有权就相关情况报中国证监会备案。</w:t>
      </w:r>
    </w:p>
    <w:p w14:paraId="7936B5B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5.基金托管人在对财务会计报告、中期报告或年度报告复核完毕后，应当将复核结果通知基金管理人，以</w:t>
      </w:r>
      <w:proofErr w:type="gramStart"/>
      <w:r w:rsidRPr="000C0420">
        <w:rPr>
          <w:rFonts w:ascii="宋体" w:hAnsi="宋体" w:hint="eastAsia"/>
          <w:color w:val="000000" w:themeColor="text1"/>
          <w:szCs w:val="21"/>
        </w:rPr>
        <w:t>备有权</w:t>
      </w:r>
      <w:proofErr w:type="gramEnd"/>
      <w:r w:rsidRPr="000C0420">
        <w:rPr>
          <w:rFonts w:ascii="宋体" w:hAnsi="宋体" w:hint="eastAsia"/>
          <w:color w:val="000000" w:themeColor="text1"/>
          <w:szCs w:val="21"/>
        </w:rPr>
        <w:t>机构对相关文件审核时提示。</w:t>
      </w:r>
    </w:p>
    <w:p w14:paraId="42E72120" w14:textId="77777777" w:rsidR="00F633B7" w:rsidRPr="000C0420" w:rsidRDefault="000A2CE7">
      <w:pPr>
        <w:spacing w:line="500" w:lineRule="atLeast"/>
        <w:jc w:val="center"/>
        <w:outlineLvl w:val="0"/>
        <w:rPr>
          <w:rFonts w:ascii="宋体" w:hAnsi="宋体"/>
          <w:color w:val="000000" w:themeColor="text1"/>
        </w:rPr>
      </w:pPr>
      <w:bookmarkStart w:id="57" w:name="_Toc382819118"/>
      <w:r w:rsidRPr="000C0420">
        <w:rPr>
          <w:rFonts w:ascii="宋体" w:hAnsi="宋体" w:hint="eastAsia"/>
          <w:b/>
          <w:color w:val="000000" w:themeColor="text1"/>
          <w:sz w:val="24"/>
        </w:rPr>
        <w:t>八、基金收益分配</w:t>
      </w:r>
      <w:bookmarkEnd w:id="57"/>
    </w:p>
    <w:p w14:paraId="37EEA011"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cs="Arial"/>
          <w:color w:val="000000" w:themeColor="text1"/>
          <w:kern w:val="0"/>
          <w:sz w:val="21"/>
          <w:szCs w:val="21"/>
        </w:rPr>
      </w:pPr>
      <w:bookmarkStart w:id="58" w:name="_Toc382819119"/>
      <w:r w:rsidRPr="000C0420">
        <w:rPr>
          <w:rFonts w:ascii="宋体" w:eastAsia="宋体" w:hAnsi="宋体" w:hint="eastAsia"/>
          <w:b w:val="0"/>
          <w:bCs w:val="0"/>
          <w:color w:val="000000" w:themeColor="text1"/>
          <w:sz w:val="21"/>
          <w:szCs w:val="21"/>
        </w:rPr>
        <w:t>（一）基金收益分配的原则</w:t>
      </w:r>
      <w:bookmarkEnd w:id="58"/>
    </w:p>
    <w:p w14:paraId="587F850A"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基金收益分配是指将该基金可供分配利润</w:t>
      </w:r>
      <w:proofErr w:type="gramStart"/>
      <w:r w:rsidRPr="000C0420">
        <w:rPr>
          <w:rFonts w:ascii="宋体" w:hAnsi="宋体" w:hint="eastAsia"/>
          <w:color w:val="000000" w:themeColor="text1"/>
          <w:szCs w:val="21"/>
        </w:rPr>
        <w:t>按收益</w:t>
      </w:r>
      <w:proofErr w:type="gramEnd"/>
      <w:r w:rsidRPr="000C0420">
        <w:rPr>
          <w:rFonts w:ascii="宋体" w:hAnsi="宋体" w:hint="eastAsia"/>
          <w:color w:val="000000" w:themeColor="text1"/>
          <w:szCs w:val="21"/>
        </w:rPr>
        <w:t>分配方案确定的分配金额和比例根据持有该基金份额的数量按比例向该基金份额持有人进行分配。</w:t>
      </w:r>
    </w:p>
    <w:p w14:paraId="2F1FBACF"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收益分配应该符合《基金合同》关于收益分配原则的规定。</w:t>
      </w:r>
      <w:bookmarkStart w:id="59" w:name="_Toc382819120"/>
    </w:p>
    <w:p w14:paraId="6F4E596F" w14:textId="77777777" w:rsidR="00F633B7" w:rsidRPr="000C0420" w:rsidRDefault="000A2CE7">
      <w:pPr>
        <w:pStyle w:val="2"/>
        <w:keepNext w:val="0"/>
        <w:keepLines w:val="0"/>
        <w:autoSpaceDE w:val="0"/>
        <w:autoSpaceDN w:val="0"/>
        <w:adjustRightInd w:val="0"/>
        <w:spacing w:before="0" w:after="0" w:line="360" w:lineRule="auto"/>
        <w:ind w:firstLineChars="200" w:firstLine="420"/>
        <w:textAlignment w:val="baseline"/>
        <w:rPr>
          <w:rFonts w:ascii="宋体" w:eastAsia="宋体" w:hAnsi="宋体"/>
          <w:b w:val="0"/>
          <w:bCs w:val="0"/>
          <w:color w:val="000000" w:themeColor="text1"/>
          <w:sz w:val="21"/>
          <w:szCs w:val="21"/>
        </w:rPr>
      </w:pPr>
      <w:r w:rsidRPr="000C0420">
        <w:rPr>
          <w:rFonts w:ascii="宋体" w:eastAsia="宋体" w:hAnsi="宋体" w:hint="eastAsia"/>
          <w:b w:val="0"/>
          <w:bCs w:val="0"/>
          <w:color w:val="000000" w:themeColor="text1"/>
          <w:sz w:val="21"/>
          <w:szCs w:val="21"/>
        </w:rPr>
        <w:t>（二）基金收益分配方案的制定和实施程序</w:t>
      </w:r>
      <w:bookmarkEnd w:id="59"/>
    </w:p>
    <w:p w14:paraId="2BC9E70B"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基金收益分配方案由基金管理人根据《基金合同》的相关规定制定。</w:t>
      </w:r>
    </w:p>
    <w:p w14:paraId="7BB1643D"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基金收益分配方案由基金管理人拟定，并由基金托管人复核，依照《信息披露办法》的有关规定在规定媒介公告。</w:t>
      </w:r>
    </w:p>
    <w:p w14:paraId="5F5F70CB" w14:textId="77777777" w:rsidR="00F633B7" w:rsidRPr="000C0420" w:rsidRDefault="000A2CE7">
      <w:pPr>
        <w:spacing w:line="500" w:lineRule="atLeast"/>
        <w:jc w:val="center"/>
        <w:outlineLvl w:val="0"/>
        <w:rPr>
          <w:rFonts w:ascii="宋体" w:hAnsi="宋体"/>
          <w:color w:val="000000" w:themeColor="text1"/>
        </w:rPr>
      </w:pPr>
      <w:bookmarkStart w:id="60" w:name="_Toc382819121"/>
      <w:r w:rsidRPr="000C0420">
        <w:rPr>
          <w:rFonts w:ascii="宋体" w:hAnsi="宋体" w:hint="eastAsia"/>
          <w:b/>
          <w:color w:val="000000" w:themeColor="text1"/>
          <w:sz w:val="24"/>
        </w:rPr>
        <w:t>九、信息披露</w:t>
      </w:r>
      <w:bookmarkEnd w:id="60"/>
    </w:p>
    <w:p w14:paraId="6B7706AB"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cs="Arial"/>
          <w:b w:val="0"/>
          <w:color w:val="000000" w:themeColor="text1"/>
          <w:kern w:val="0"/>
          <w:sz w:val="21"/>
          <w:szCs w:val="21"/>
        </w:rPr>
      </w:pPr>
      <w:bookmarkStart w:id="61" w:name="_Toc382819122"/>
      <w:r w:rsidRPr="000C0420">
        <w:rPr>
          <w:rFonts w:ascii="宋体" w:eastAsia="宋体" w:hAnsi="宋体" w:hint="eastAsia"/>
          <w:b w:val="0"/>
          <w:color w:val="000000" w:themeColor="text1"/>
          <w:sz w:val="21"/>
          <w:szCs w:val="21"/>
        </w:rPr>
        <w:t>（一）</w:t>
      </w:r>
      <w:r w:rsidRPr="000C0420">
        <w:rPr>
          <w:rFonts w:ascii="宋体" w:eastAsia="宋体" w:hAnsi="宋体" w:cs="Arial" w:hint="eastAsia"/>
          <w:b w:val="0"/>
          <w:color w:val="000000" w:themeColor="text1"/>
          <w:kern w:val="0"/>
          <w:sz w:val="21"/>
          <w:szCs w:val="21"/>
        </w:rPr>
        <w:t>保密义务</w:t>
      </w:r>
      <w:bookmarkEnd w:id="61"/>
    </w:p>
    <w:p w14:paraId="5047AFAD"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除按照《基金法》、《信息披露办法》、《流动性风险管理规定》、《基金合同》及中国证监会关于基金信息披露的有关规定进行披露以外，基金管理人和基金托管人对基金运作中产生的信息以及从对方获得的业务信息应恪守保密的义务。基金管理人与基金托管人对基金</w:t>
      </w:r>
      <w:r w:rsidRPr="000C0420">
        <w:rPr>
          <w:rFonts w:ascii="宋体" w:hAnsi="宋体" w:hint="eastAsia"/>
          <w:color w:val="000000" w:themeColor="text1"/>
          <w:szCs w:val="21"/>
        </w:rPr>
        <w:lastRenderedPageBreak/>
        <w:t>的任何信息，除法律法规规定之外，不得在其公开披露之前，先行对任何第三方披露。但是，如下情况不应视为基金管理人或基金托管人违反保密义务：</w:t>
      </w:r>
    </w:p>
    <w:p w14:paraId="692B6CDE" w14:textId="77777777" w:rsidR="00F633B7" w:rsidRPr="000C0420" w:rsidRDefault="000A2CE7">
      <w:pPr>
        <w:pStyle w:val="a7"/>
        <w:ind w:firstLineChars="200" w:firstLine="420"/>
        <w:rPr>
          <w:rFonts w:ascii="宋体" w:hAnsi="宋体"/>
          <w:color w:val="000000" w:themeColor="text1"/>
          <w:szCs w:val="21"/>
        </w:rPr>
      </w:pPr>
      <w:r w:rsidRPr="000C0420">
        <w:rPr>
          <w:rFonts w:ascii="宋体" w:hAnsi="宋体" w:hint="eastAsia"/>
          <w:color w:val="000000" w:themeColor="text1"/>
          <w:szCs w:val="21"/>
        </w:rPr>
        <w:t>1.非因基金管理人和基金托管人的原因导致保密信息被披露、泄露或公开；</w:t>
      </w:r>
    </w:p>
    <w:p w14:paraId="41FC658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2.基金管理人和基金托管人为遵守和服从法院判决、仲裁裁决或中国证监会等监管机构的命令、决定所做出的信息披露或公开。</w:t>
      </w:r>
    </w:p>
    <w:p w14:paraId="0ACECC13"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（二）信息披露的内容</w:t>
      </w:r>
    </w:p>
    <w:p w14:paraId="3A77AFF2"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1.基金管理人和基金托管人应根据相关法律法规、《基金合同》的规定各自承担相应的信息披露职责。基金管理人和基金托管人负有积极配合、互相督促、彼此监督、保证其履行按照法定方式和时限披露的义务。</w:t>
      </w:r>
    </w:p>
    <w:p w14:paraId="1CA5B5DA"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本基金的信息披露主要包括基金招募说明书、《基金合同》、基金托管协议、基金产品资料概要、基金份额发售公告、《基金合同》生效公告、基金净值信息、基金份额申购/赎回对价、基金定期报告（包括基金年度报告、基金中期报告和基金季度报告）、临时报告、澄清公告、基金份额持有人大会决议、清算报告、中国证监会规定的其他信息等其他必要的公告文件，由基金管理人拟定并负责公布。</w:t>
      </w:r>
    </w:p>
    <w:p w14:paraId="1C3E24FE"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管理人与基金托管人应严格遵守《基金合同》所规定的信息披露要求。基金净值信息、基金份额净值、基金份额申购/赎回对价、基金定期报告和更新的招募说明书、基金清算报告等公开披露的相关基金信息按有关规定需经基金托管人复核的，须由基金托管人进行复核、审查，并向基金管理人进行书面或电子确认。相关信息经基金托管人复核无误后方可公布。其他不需经基金托管人复核的信息披露内容，应及时告知基金托管人。年度报告中的财务报告部分，应当经过符合《中华人民共和国证券法》规定的会计师事务所审计后，方可披露。</w:t>
      </w:r>
    </w:p>
    <w:p w14:paraId="171DF1FA"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bookmarkStart w:id="62" w:name="_Toc382819123"/>
      <w:r w:rsidRPr="000C0420">
        <w:rPr>
          <w:rFonts w:ascii="宋体" w:hAnsi="宋体" w:hint="eastAsia"/>
          <w:color w:val="000000" w:themeColor="text1"/>
          <w:szCs w:val="21"/>
        </w:rPr>
        <w:t>4.基金管理人应当在中国证监会规定的时间内，将应予披露的基金信息通过符合中国证监会规定条件的报刊及《信息披露办法》规定的互联网网站等媒介披露。根据法律法规应由基金托管人公开披露的信息，基金托管人将通过规定报刊或基金托管人的互联网网站公开披露。</w:t>
      </w:r>
      <w:bookmarkEnd w:id="62"/>
    </w:p>
    <w:p w14:paraId="72D8C528"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color w:val="000000" w:themeColor="text1"/>
          <w:sz w:val="21"/>
          <w:szCs w:val="21"/>
        </w:rPr>
      </w:pPr>
      <w:bookmarkStart w:id="63" w:name="_Toc382819124"/>
      <w:r w:rsidRPr="000C0420">
        <w:rPr>
          <w:rFonts w:ascii="宋体" w:eastAsia="宋体" w:hAnsi="宋体" w:hint="eastAsia"/>
          <w:b w:val="0"/>
          <w:color w:val="000000" w:themeColor="text1"/>
          <w:sz w:val="21"/>
          <w:szCs w:val="21"/>
        </w:rPr>
        <w:t>（三）基金管理人和基金托管人在信息披露中的职责和信息披露程序</w:t>
      </w:r>
      <w:bookmarkEnd w:id="63"/>
    </w:p>
    <w:p w14:paraId="0110785C"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1.职责</w:t>
      </w:r>
    </w:p>
    <w:p w14:paraId="6FE61964"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托管人和基金管理人在信息披露过程中应以保护基金份额持有人利益为宗旨，诚实信用，严守秘密。基金管理人负责办理应由基金管理人负责的与基金有关的信息披露事宜，对于本条第（二）款规定的应由基金托管人复核的事项，应提前通知基金托管人，基金托管</w:t>
      </w:r>
      <w:r w:rsidRPr="000C0420">
        <w:rPr>
          <w:rFonts w:ascii="宋体" w:hAnsi="宋体" w:hint="eastAsia"/>
          <w:color w:val="000000" w:themeColor="text1"/>
          <w:szCs w:val="21"/>
        </w:rPr>
        <w:lastRenderedPageBreak/>
        <w:t>人应在接到通知后的规定时间内予以书面答复。</w:t>
      </w:r>
    </w:p>
    <w:p w14:paraId="69690577"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2.程序</w:t>
      </w:r>
    </w:p>
    <w:p w14:paraId="7D03A06F"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按有关规定须经基金托管人复核的信息披露文件，由基金管理人起草，并经基金托管人复核后由基金管理人公告。</w:t>
      </w:r>
    </w:p>
    <w:p w14:paraId="0F2ECC58"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发生《基金合同》中规定需要披露的事项时，按《基金合同》规定公告。</w:t>
      </w:r>
    </w:p>
    <w:p w14:paraId="116215ED"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3.信息文本的存放</w:t>
      </w:r>
    </w:p>
    <w:p w14:paraId="7AEFE349"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依法必须披露的信息发布后，基金管理人、基金托管人应当按照相关法律法规规定将信息置备于各自公司住所和基金上市交易的证券交易所，供社会公众查阅、复制。投资者在支付工本费后可以获得上述文件的复制件或复印件。</w:t>
      </w:r>
    </w:p>
    <w:p w14:paraId="5FEF5E94" w14:textId="77777777" w:rsidR="00F633B7" w:rsidRPr="000C0420" w:rsidRDefault="000A2CE7">
      <w:pPr>
        <w:tabs>
          <w:tab w:val="left" w:pos="4680"/>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基金管理人和基金托管人应保证文本的内容与所公告的内容完全一致。</w:t>
      </w:r>
    </w:p>
    <w:p w14:paraId="7D0C45BA" w14:textId="77777777" w:rsidR="00F633B7" w:rsidRPr="000C0420" w:rsidRDefault="000A2CE7">
      <w:pPr>
        <w:spacing w:line="500" w:lineRule="atLeast"/>
        <w:jc w:val="center"/>
        <w:outlineLvl w:val="0"/>
        <w:rPr>
          <w:rFonts w:ascii="宋体" w:hAnsi="宋体"/>
          <w:color w:val="000000" w:themeColor="text1"/>
        </w:rPr>
      </w:pPr>
      <w:bookmarkStart w:id="64" w:name="_Toc382819125"/>
      <w:r w:rsidRPr="000C0420">
        <w:rPr>
          <w:rFonts w:ascii="宋体" w:hAnsi="宋体" w:hint="eastAsia"/>
          <w:b/>
          <w:color w:val="000000" w:themeColor="text1"/>
          <w:sz w:val="24"/>
        </w:rPr>
        <w:t>十、基金费用</w:t>
      </w:r>
      <w:bookmarkEnd w:id="64"/>
    </w:p>
    <w:p w14:paraId="5ADBFB56"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基金费用按照《基金合同》的约定计提和支付。</w:t>
      </w:r>
      <w:bookmarkStart w:id="65" w:name="_Toc382819126"/>
    </w:p>
    <w:p w14:paraId="4445FB5E"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（一）基金管理人的管理费</w:t>
      </w:r>
    </w:p>
    <w:p w14:paraId="4BC918EB"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本基金的管理费按前一日基金资产净值的0.</w:t>
      </w:r>
      <w:r w:rsidRPr="000C0420">
        <w:rPr>
          <w:rFonts w:ascii="宋体" w:hAnsi="宋体"/>
          <w:color w:val="000000" w:themeColor="text1"/>
          <w:szCs w:val="21"/>
        </w:rPr>
        <w:t>50</w:t>
      </w:r>
      <w:r w:rsidRPr="000C0420">
        <w:rPr>
          <w:rFonts w:ascii="宋体" w:hAnsi="宋体" w:hint="eastAsia"/>
          <w:color w:val="000000" w:themeColor="text1"/>
          <w:szCs w:val="21"/>
        </w:rPr>
        <w:t>%年费率计提。管理费的计算方法如下：</w:t>
      </w:r>
    </w:p>
    <w:p w14:paraId="7CCDCC0E"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H＝E×0.</w:t>
      </w:r>
      <w:r w:rsidRPr="000C0420">
        <w:rPr>
          <w:rFonts w:ascii="宋体" w:hAnsi="宋体"/>
          <w:color w:val="000000" w:themeColor="text1"/>
          <w:szCs w:val="21"/>
        </w:rPr>
        <w:t>50</w:t>
      </w:r>
      <w:r w:rsidRPr="000C0420">
        <w:rPr>
          <w:rFonts w:ascii="宋体" w:hAnsi="宋体" w:hint="eastAsia"/>
          <w:color w:val="000000" w:themeColor="text1"/>
          <w:szCs w:val="21"/>
        </w:rPr>
        <w:t>%÷当年天数</w:t>
      </w:r>
    </w:p>
    <w:p w14:paraId="7E1A295F"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H为每日应计提的基金管理费</w:t>
      </w:r>
    </w:p>
    <w:p w14:paraId="4CB21E1E"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E为前一日的基金资产净值</w:t>
      </w:r>
    </w:p>
    <w:p w14:paraId="683A416F"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基金管理费每日计提，逐日累计至每个月月末，按月支付。经基金管理人与基金托管人核对一致后，由基金托管人按照与基金管理人协商一致的方式于次月首日起5个工作日内从基金财产中一次性支付给基金管理人。若遇法定节假日、公休假或不可抗力等，支付日期顺延。</w:t>
      </w:r>
    </w:p>
    <w:p w14:paraId="1DED25AE"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（二）基金托管人的托管费</w:t>
      </w:r>
    </w:p>
    <w:p w14:paraId="2DCB3C55"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本基金的托管费按前一日基金资产净值的</w:t>
      </w:r>
      <w:r w:rsidRPr="000C0420">
        <w:rPr>
          <w:rFonts w:ascii="宋体" w:hAnsi="宋体"/>
          <w:color w:val="000000" w:themeColor="text1"/>
          <w:szCs w:val="21"/>
        </w:rPr>
        <w:t>0.10%</w:t>
      </w:r>
      <w:r w:rsidRPr="000C0420">
        <w:rPr>
          <w:rFonts w:ascii="宋体" w:hAnsi="宋体" w:hint="eastAsia"/>
          <w:color w:val="000000" w:themeColor="text1"/>
          <w:szCs w:val="21"/>
        </w:rPr>
        <w:t>的年费率计提。托管费的计算方法如下：</w:t>
      </w:r>
    </w:p>
    <w:p w14:paraId="68D66497"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color w:val="000000" w:themeColor="text1"/>
          <w:szCs w:val="21"/>
        </w:rPr>
        <w:t>H</w:t>
      </w:r>
      <w:r w:rsidRPr="000C0420">
        <w:rPr>
          <w:rFonts w:ascii="宋体" w:hAnsi="宋体" w:hint="eastAsia"/>
          <w:color w:val="000000" w:themeColor="text1"/>
          <w:szCs w:val="21"/>
        </w:rPr>
        <w:t>＝</w:t>
      </w:r>
      <w:r w:rsidRPr="000C0420">
        <w:rPr>
          <w:rFonts w:ascii="宋体" w:hAnsi="宋体"/>
          <w:color w:val="000000" w:themeColor="text1"/>
          <w:szCs w:val="21"/>
        </w:rPr>
        <w:t>E</w:t>
      </w:r>
      <w:r w:rsidRPr="000C0420">
        <w:rPr>
          <w:rFonts w:ascii="宋体" w:hAnsi="宋体" w:hint="eastAsia"/>
          <w:color w:val="000000" w:themeColor="text1"/>
          <w:szCs w:val="21"/>
        </w:rPr>
        <w:t>×</w:t>
      </w:r>
      <w:r w:rsidRPr="000C0420">
        <w:rPr>
          <w:rFonts w:ascii="宋体" w:hAnsi="宋体"/>
          <w:color w:val="000000" w:themeColor="text1"/>
          <w:szCs w:val="21"/>
        </w:rPr>
        <w:t>0.10%</w:t>
      </w:r>
      <w:r w:rsidRPr="000C0420">
        <w:rPr>
          <w:rFonts w:ascii="宋体" w:hAnsi="宋体" w:hint="eastAsia"/>
          <w:color w:val="000000" w:themeColor="text1"/>
          <w:szCs w:val="21"/>
        </w:rPr>
        <w:t>÷当年天数</w:t>
      </w:r>
    </w:p>
    <w:p w14:paraId="03DDDB49"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color w:val="000000" w:themeColor="text1"/>
          <w:szCs w:val="21"/>
        </w:rPr>
        <w:t>H</w:t>
      </w:r>
      <w:r w:rsidRPr="000C0420">
        <w:rPr>
          <w:rFonts w:ascii="宋体" w:hAnsi="宋体" w:hint="eastAsia"/>
          <w:color w:val="000000" w:themeColor="text1"/>
          <w:szCs w:val="21"/>
        </w:rPr>
        <w:t>为每日应计提的基金托管费</w:t>
      </w:r>
    </w:p>
    <w:p w14:paraId="71323E9B"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color w:val="000000" w:themeColor="text1"/>
          <w:szCs w:val="21"/>
        </w:rPr>
        <w:t>E</w:t>
      </w:r>
      <w:r w:rsidRPr="000C0420">
        <w:rPr>
          <w:rFonts w:ascii="宋体" w:hAnsi="宋体" w:hint="eastAsia"/>
          <w:color w:val="000000" w:themeColor="text1"/>
          <w:szCs w:val="21"/>
        </w:rPr>
        <w:t>为前一日的基金资产净值</w:t>
      </w:r>
    </w:p>
    <w:p w14:paraId="2F98BE44" w14:textId="77777777" w:rsidR="00F633B7" w:rsidRPr="000C0420" w:rsidRDefault="000A2CE7">
      <w:pPr>
        <w:spacing w:line="360" w:lineRule="auto"/>
        <w:ind w:right="28" w:firstLineChars="200" w:firstLine="420"/>
        <w:rPr>
          <w:rFonts w:ascii="宋体" w:hAnsi="宋体"/>
          <w:color w:val="000000" w:themeColor="text1"/>
          <w:szCs w:val="21"/>
        </w:rPr>
      </w:pPr>
      <w:r w:rsidRPr="000C0420">
        <w:rPr>
          <w:rFonts w:ascii="宋体" w:hAnsi="宋体" w:hint="eastAsia"/>
          <w:color w:val="000000" w:themeColor="text1"/>
          <w:szCs w:val="21"/>
        </w:rPr>
        <w:t>基金托管费每日计提，按月支付。经基金管理人与基金托管人双方核对一致后，由基金托管人按照与基金管理人协商一致的方式于次月首日起5个工作日内从基金财产中一次性支取。若遇法定节假日、公休假或不可抗力等，支付日期顺延。</w:t>
      </w:r>
    </w:p>
    <w:p w14:paraId="11C7F738" w14:textId="77777777" w:rsidR="00F633B7" w:rsidRPr="000C0420" w:rsidRDefault="000A2CE7">
      <w:pPr>
        <w:spacing w:line="500" w:lineRule="atLeast"/>
        <w:jc w:val="center"/>
        <w:outlineLvl w:val="0"/>
        <w:rPr>
          <w:rFonts w:ascii="宋体" w:hAnsi="宋体"/>
          <w:color w:val="000000" w:themeColor="text1"/>
        </w:rPr>
      </w:pPr>
      <w:r w:rsidRPr="000C0420">
        <w:rPr>
          <w:rFonts w:ascii="宋体" w:hAnsi="宋体" w:hint="eastAsia"/>
          <w:b/>
          <w:color w:val="000000" w:themeColor="text1"/>
          <w:sz w:val="24"/>
        </w:rPr>
        <w:lastRenderedPageBreak/>
        <w:t>十一、基金份额持有人名册的保管</w:t>
      </w:r>
      <w:bookmarkEnd w:id="65"/>
    </w:p>
    <w:p w14:paraId="3F63E1E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管理人妥善保管的基金份额持有人名册，包括《基金合同》生效日、《基金合同》终止日、基金份额持有人大会权利登记日、每年6月30日、12月31日的基金份额持有人名册。基金份额持有人名册的内容必须包括基金份额持有人的名称和持有的基金份额。</w:t>
      </w:r>
    </w:p>
    <w:p w14:paraId="75DD59F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基金份额持有人名册由基金的</w:t>
      </w:r>
      <w:r w:rsidRPr="000C0420">
        <w:rPr>
          <w:rFonts w:ascii="宋体" w:hAnsi="宋体" w:cs="Arial" w:hint="eastAsia"/>
          <w:color w:val="000000" w:themeColor="text1"/>
          <w:szCs w:val="21"/>
        </w:rPr>
        <w:t>基金注册登记机构根据基金管理人的指令编制和保管</w:t>
      </w:r>
      <w:r w:rsidRPr="000C0420">
        <w:rPr>
          <w:rFonts w:ascii="宋体" w:hAnsi="宋体" w:hint="eastAsia"/>
          <w:color w:val="000000" w:themeColor="text1"/>
          <w:szCs w:val="21"/>
        </w:rPr>
        <w:t>，基金管理人应按照目前相关规则保管基金份额持有人名册。保管方式可以采用电子或文档的形式。保管期限为20年，法律法规或监管部门另有规定的除外。</w:t>
      </w:r>
    </w:p>
    <w:p w14:paraId="47D141C8" w14:textId="77777777" w:rsidR="00F633B7" w:rsidRPr="000C0420" w:rsidRDefault="000A2CE7">
      <w:pPr>
        <w:spacing w:line="360" w:lineRule="auto"/>
        <w:ind w:firstLineChars="200" w:firstLine="420"/>
        <w:rPr>
          <w:rFonts w:ascii="宋体" w:hAnsi="宋体" w:cs="Arial"/>
          <w:color w:val="000000" w:themeColor="text1"/>
          <w:szCs w:val="21"/>
        </w:rPr>
      </w:pPr>
      <w:r w:rsidRPr="000C0420">
        <w:rPr>
          <w:rFonts w:ascii="宋体" w:hAnsi="宋体" w:hint="eastAsia"/>
          <w:color w:val="000000" w:themeColor="text1"/>
          <w:szCs w:val="21"/>
        </w:rPr>
        <w:t>在基金托管人编制中期报告和年报前，基金管理人应将每年6月30日、12月31日的基金份额持有人名册送交基金托管人，文件方式可以采用电子或文档的形式并且保证其的真实、准确、完整。基金托管人应妥善保管，不得将持有人名册用于基金托管业务以外的其他用途。</w:t>
      </w:r>
    </w:p>
    <w:p w14:paraId="41D5629C" w14:textId="77777777" w:rsidR="00F633B7" w:rsidRPr="000C0420" w:rsidRDefault="000A2CE7">
      <w:pPr>
        <w:spacing w:line="500" w:lineRule="atLeast"/>
        <w:jc w:val="center"/>
        <w:outlineLvl w:val="0"/>
        <w:rPr>
          <w:rFonts w:ascii="宋体" w:hAnsi="宋体"/>
          <w:color w:val="000000" w:themeColor="text1"/>
        </w:rPr>
      </w:pPr>
      <w:bookmarkStart w:id="66" w:name="_Toc382819127"/>
      <w:r w:rsidRPr="000C0420">
        <w:rPr>
          <w:rFonts w:ascii="宋体" w:hAnsi="宋体" w:hint="eastAsia"/>
          <w:b/>
          <w:color w:val="000000" w:themeColor="text1"/>
          <w:sz w:val="24"/>
        </w:rPr>
        <w:t>十二、基金有关文件和档案的保存</w:t>
      </w:r>
      <w:bookmarkEnd w:id="66"/>
    </w:p>
    <w:p w14:paraId="3234C30E"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（一）档案保存</w:t>
      </w:r>
    </w:p>
    <w:p w14:paraId="2D2BB565" w14:textId="77777777" w:rsidR="00F633B7" w:rsidRPr="000C0420" w:rsidRDefault="000A2CE7">
      <w:pPr>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基金管理人和基金托管人应按各自职责完整保存本基金的基金账册、原始凭证、记账凭证、交易记录、公告、重要合同等相关资料，承担保密义务并按规定的期限保管。基金管理人应保存基金财产管理业务活动的记录、账册、报表和其他相关资料，基金托管人应保存基金托管业务活动的记录、账册、报表和其他相关资料。保管期限不低于法律法规规定的最低年限。</w:t>
      </w:r>
    </w:p>
    <w:p w14:paraId="00DABE35"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（二）合同档案的建立</w:t>
      </w:r>
    </w:p>
    <w:p w14:paraId="62BFBAEA" w14:textId="77777777" w:rsidR="00F633B7" w:rsidRPr="000C0420" w:rsidRDefault="000A2CE7">
      <w:pPr>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1、基金管理人或基金托管人在签署与本基金有关的合同文本后，应及时按相关法律法规及本协议的规定将合同正本或副本提交对方。</w:t>
      </w:r>
    </w:p>
    <w:p w14:paraId="70727DAB" w14:textId="77777777" w:rsidR="00F633B7" w:rsidRPr="000C0420" w:rsidRDefault="000A2CE7">
      <w:pPr>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2、基金管理人和基金托管人应按各自职责保管就基金资产对外签署的全部合同的正本。</w:t>
      </w:r>
    </w:p>
    <w:p w14:paraId="734C0C8B"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（三）变更与协助</w:t>
      </w:r>
    </w:p>
    <w:p w14:paraId="478A216A" w14:textId="77777777" w:rsidR="00F633B7" w:rsidRPr="000C0420" w:rsidRDefault="000A2CE7">
      <w:pPr>
        <w:spacing w:line="360" w:lineRule="auto"/>
        <w:ind w:firstLineChars="200" w:firstLine="420"/>
        <w:rPr>
          <w:rFonts w:ascii="宋体" w:hAnsi="宋体"/>
          <w:color w:val="000000" w:themeColor="text1"/>
          <w:szCs w:val="21"/>
        </w:rPr>
      </w:pPr>
      <w:proofErr w:type="gramStart"/>
      <w:r w:rsidRPr="000C0420">
        <w:rPr>
          <w:rFonts w:ascii="宋体" w:hAnsi="宋体" w:cs="Arial" w:hint="eastAsia"/>
          <w:color w:val="000000" w:themeColor="text1"/>
          <w:szCs w:val="21"/>
        </w:rPr>
        <w:t>若基金</w:t>
      </w:r>
      <w:proofErr w:type="gramEnd"/>
      <w:r w:rsidRPr="000C0420">
        <w:rPr>
          <w:rFonts w:ascii="宋体" w:hAnsi="宋体" w:cs="Arial" w:hint="eastAsia"/>
          <w:color w:val="000000" w:themeColor="text1"/>
          <w:szCs w:val="21"/>
        </w:rPr>
        <w:t>管理人和基金托管人发生变更，未变更的一方有义务协助变更后的接任人接收相应文件。</w:t>
      </w:r>
    </w:p>
    <w:p w14:paraId="1930AF29" w14:textId="77777777" w:rsidR="00F633B7" w:rsidRPr="000C0420" w:rsidRDefault="000A2CE7">
      <w:pPr>
        <w:spacing w:line="500" w:lineRule="atLeast"/>
        <w:jc w:val="center"/>
        <w:outlineLvl w:val="0"/>
        <w:rPr>
          <w:rFonts w:ascii="宋体" w:hAnsi="宋体"/>
          <w:color w:val="000000" w:themeColor="text1"/>
        </w:rPr>
      </w:pPr>
      <w:bookmarkStart w:id="67" w:name="_Toc382819128"/>
      <w:r w:rsidRPr="000C0420">
        <w:rPr>
          <w:rFonts w:ascii="宋体" w:hAnsi="宋体" w:hint="eastAsia"/>
          <w:b/>
          <w:color w:val="000000" w:themeColor="text1"/>
          <w:sz w:val="24"/>
        </w:rPr>
        <w:t>十三、基金管理人和基金托管人的更换</w:t>
      </w:r>
      <w:bookmarkEnd w:id="67"/>
    </w:p>
    <w:p w14:paraId="7BBC6E97"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color w:val="000000" w:themeColor="text1"/>
          <w:sz w:val="21"/>
          <w:szCs w:val="21"/>
        </w:rPr>
      </w:pPr>
      <w:bookmarkStart w:id="68" w:name="_Toc382819129"/>
      <w:r w:rsidRPr="000C0420">
        <w:rPr>
          <w:rFonts w:ascii="宋体" w:eastAsia="宋体" w:hAnsi="宋体" w:hint="eastAsia"/>
          <w:b w:val="0"/>
          <w:color w:val="000000" w:themeColor="text1"/>
          <w:sz w:val="21"/>
          <w:szCs w:val="21"/>
        </w:rPr>
        <w:t>（一）基金管理人的更换</w:t>
      </w:r>
      <w:bookmarkEnd w:id="68"/>
    </w:p>
    <w:p w14:paraId="06EB87A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1.基金管理人的更换条件</w:t>
      </w:r>
    </w:p>
    <w:p w14:paraId="14BEC6D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有下列情形之一的，基金管理人职责终止：</w:t>
      </w:r>
    </w:p>
    <w:p w14:paraId="75DEE50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(1) 被依法取消基金管理资格；</w:t>
      </w:r>
    </w:p>
    <w:p w14:paraId="0305C70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 被基金份额持有人大会解任；</w:t>
      </w:r>
    </w:p>
    <w:p w14:paraId="0FB0AD3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 依法解散、被依法撤销或被依法宣告破产；</w:t>
      </w:r>
    </w:p>
    <w:p w14:paraId="07F1B26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 法律法规、中国证监会规定的和《基金合同》规定的其它情形。</w:t>
      </w:r>
    </w:p>
    <w:p w14:paraId="5E561CB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2.更换基金管理人的程序</w:t>
      </w:r>
    </w:p>
    <w:p w14:paraId="2897952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（1）提名：</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管理人由基金托管人或由单独或合计持有10%以上（含10%）基金份额的基金份额持有人提名；</w:t>
      </w:r>
    </w:p>
    <w:p w14:paraId="5A41033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（2）决议：基金份额持有人大会在基金管理人职责终止后6个月内对被提名的基金管理人形成决议，该决议需经参加大会的基金份额持有人所持表决权的2/3以上（含2/3）表决通过；</w:t>
      </w:r>
    </w:p>
    <w:p w14:paraId="0B25CC0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（3）临时基金管理人：</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管理人产生之前，由中国证监会指定临时基金管理人；</w:t>
      </w:r>
    </w:p>
    <w:p w14:paraId="4410B0A3"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（4）备案：基金份额持有人大会更换基金管理人的决议自表决通过之日起生效，生效后方可执行，且该决议应当自通过之日起五日内报中国证监会备案；</w:t>
      </w:r>
    </w:p>
    <w:p w14:paraId="4F55285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（5）公告：基金管理人更换后，由基金托管人在更换基金管理人的基金份额持有人大会决议生效后依照《信息披露办法》的有关规定在规定媒介公告；</w:t>
      </w:r>
    </w:p>
    <w:p w14:paraId="10FA7F1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（6）交接：基金管理人职责终止的，基金管理人应妥善保管基金管理业务资料，及时向临时基金管理人或</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管理人办理基金管理业务的移交手续，临时基金管理人或</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管理人应及时接收。临时基金管理人或</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管理人应与基金托管人核对基金资产总值和基金份额净值；</w:t>
      </w:r>
    </w:p>
    <w:p w14:paraId="74EB0A4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7）审计：基金管理人职责终止的，应当按照法律法规规定聘请符合《中华人民共和国证券法》规定的会计师事务所对基金财产进行审计，并将审计结果予以公告同时报中国证监会备案，审计费用从基金财产中列支；</w:t>
      </w:r>
    </w:p>
    <w:p w14:paraId="77F6D72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（8）基金名称变更：基金管理人更换后，如果原任或</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管理人要求，应按其要求替换或删除基金名称中与原任基金管理人有关的名称字样。</w:t>
      </w:r>
    </w:p>
    <w:p w14:paraId="53A7FEC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3.原任基金管理人职责终止后，</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管理人或临时基金管理人接受基金管理业务前，原任基金管理人和基金托管人需采取审慎措施确保基金财产的安全，不对基金份额持有人的利益造成损失，并有义务协助</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管理人或临时基金管理人尽快恢复基金财产的投资运作。</w:t>
      </w:r>
    </w:p>
    <w:p w14:paraId="6EE6FB60"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eastAsia="宋体" w:hAnsi="宋体"/>
          <w:b w:val="0"/>
          <w:color w:val="000000" w:themeColor="text1"/>
          <w:sz w:val="21"/>
          <w:szCs w:val="21"/>
        </w:rPr>
      </w:pPr>
      <w:bookmarkStart w:id="69" w:name="_Toc382819130"/>
      <w:r w:rsidRPr="000C0420">
        <w:rPr>
          <w:rFonts w:ascii="宋体" w:eastAsia="宋体" w:hAnsi="宋体" w:hint="eastAsia"/>
          <w:b w:val="0"/>
          <w:color w:val="000000" w:themeColor="text1"/>
          <w:sz w:val="21"/>
          <w:szCs w:val="21"/>
        </w:rPr>
        <w:t>（二）基金托管人的更换</w:t>
      </w:r>
      <w:bookmarkEnd w:id="69"/>
    </w:p>
    <w:p w14:paraId="2E468A36"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1.基金托管人的更换条件</w:t>
      </w:r>
    </w:p>
    <w:p w14:paraId="633108A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lastRenderedPageBreak/>
        <w:t>有下列情形之一的，基金托管人职责终止：</w:t>
      </w:r>
    </w:p>
    <w:p w14:paraId="6B2653CC"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 被依法取消基金托管人资格；</w:t>
      </w:r>
    </w:p>
    <w:p w14:paraId="3869A47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 被基金份额持有人大会解任；</w:t>
      </w:r>
    </w:p>
    <w:p w14:paraId="47D7E7C3"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 依法解散、被依法撤销或被依法宣告破产；</w:t>
      </w:r>
    </w:p>
    <w:p w14:paraId="40E2FEF4"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 法律法规和《基金合同》规定的其它情形。</w:t>
      </w:r>
    </w:p>
    <w:p w14:paraId="5F5BABA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2.更换基金托管人的程序</w:t>
      </w:r>
    </w:p>
    <w:p w14:paraId="5AD638A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（1）提名：</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托管人由基金管理人或由单独或合计持有10%以上（含10%）基金份额的基金份额持有人提名；</w:t>
      </w:r>
    </w:p>
    <w:p w14:paraId="6747737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（2）决议：基金份额持有人大会在基金托管人职责终止后6个月内对被提名的基金托管人形成决议，该决议需经参加大会的基金份额持有人所持表决权的2/3以上（含2/3）表决通过，并自表决通过之日起生效；</w:t>
      </w:r>
    </w:p>
    <w:p w14:paraId="3B24B90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（3）临时基金托管人：</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托管人产生之前，由中国证监会指定临时基金托管人；</w:t>
      </w:r>
    </w:p>
    <w:p w14:paraId="0ADB088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（4）备案：基金份额持有人大会更换基金托管人的决议自表决通过之日起生效，生效后方可执行，且该决议应当自通过之日起五日内报中国证监会备案；</w:t>
      </w:r>
    </w:p>
    <w:p w14:paraId="0FE1F0D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（5）公告：基金托管人更换后，由基金管理人在更换基金托管人的基金份额持有人大会决议生效后2日内在规定媒介公告。</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托管人与</w:t>
      </w:r>
      <w:proofErr w:type="gramStart"/>
      <w:r w:rsidRPr="000C0420">
        <w:rPr>
          <w:rFonts w:ascii="宋体" w:hAnsi="宋体" w:hint="eastAsia"/>
          <w:color w:val="000000" w:themeColor="text1"/>
          <w:szCs w:val="21"/>
        </w:rPr>
        <w:t>原基金</w:t>
      </w:r>
      <w:proofErr w:type="gramEnd"/>
      <w:r w:rsidRPr="000C0420">
        <w:rPr>
          <w:rFonts w:ascii="宋体" w:hAnsi="宋体" w:hint="eastAsia"/>
          <w:color w:val="000000" w:themeColor="text1"/>
          <w:szCs w:val="21"/>
        </w:rPr>
        <w:t>托管人进行资产托管的交接手续，并与基金管理人核对资产总值。如果基金托管人和基金管理人同时更换，由新任的基金管理人和新任的基金托管人在更换基金管理人和基金托管人的基金份额持有人大会决议生效后2日内在规定媒介上联合公告；</w:t>
      </w:r>
    </w:p>
    <w:p w14:paraId="69E22A5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（6）交接：基金托管人职责终止的，应当妥善保管基金财产和基金托管业务资料，及时办理基金财产和基金托管业务的移交手续，</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托管人或者临时基金托管人应当及时接收。</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托管人或临时基金托管人应与基金管理人核对基金资产总值和基金份额净值；</w:t>
      </w:r>
    </w:p>
    <w:p w14:paraId="2480616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7）审计：基金托管人职责终止的，应当按照法律法规规定聘请符合《中华人民共和国证券法》规定的会计师事务所对基金财产进行审计，并将审计结果予以公告，同时报中国证监会备案，审计费用从基金财产中列支。</w:t>
      </w:r>
    </w:p>
    <w:p w14:paraId="6C2616B7"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3.</w:t>
      </w:r>
      <w:proofErr w:type="gramStart"/>
      <w:r w:rsidRPr="000C0420">
        <w:rPr>
          <w:rFonts w:ascii="宋体" w:hAnsi="宋体" w:hint="eastAsia"/>
          <w:color w:val="000000" w:themeColor="text1"/>
          <w:szCs w:val="21"/>
        </w:rPr>
        <w:t>原基金</w:t>
      </w:r>
      <w:proofErr w:type="gramEnd"/>
      <w:r w:rsidRPr="000C0420">
        <w:rPr>
          <w:rFonts w:ascii="宋体" w:hAnsi="宋体" w:hint="eastAsia"/>
          <w:color w:val="000000" w:themeColor="text1"/>
          <w:szCs w:val="21"/>
        </w:rPr>
        <w:t>托管人职责终止后，</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托管人或临时基金托管人接受基金财产和基金托管业务前，</w:t>
      </w:r>
      <w:proofErr w:type="gramStart"/>
      <w:r w:rsidRPr="000C0420">
        <w:rPr>
          <w:rFonts w:ascii="宋体" w:hAnsi="宋体" w:hint="eastAsia"/>
          <w:color w:val="000000" w:themeColor="text1"/>
          <w:szCs w:val="21"/>
        </w:rPr>
        <w:t>原基金</w:t>
      </w:r>
      <w:proofErr w:type="gramEnd"/>
      <w:r w:rsidRPr="000C0420">
        <w:rPr>
          <w:rFonts w:ascii="宋体" w:hAnsi="宋体" w:hint="eastAsia"/>
          <w:color w:val="000000" w:themeColor="text1"/>
          <w:szCs w:val="21"/>
        </w:rPr>
        <w:t>托管人和基金管理人需采取审慎措施确保基金财产的安全，不对基金份额持有人的利益造成损失，并有义务协助</w:t>
      </w:r>
      <w:proofErr w:type="gramStart"/>
      <w:r w:rsidRPr="000C0420">
        <w:rPr>
          <w:rFonts w:ascii="宋体" w:hAnsi="宋体" w:hint="eastAsia"/>
          <w:color w:val="000000" w:themeColor="text1"/>
          <w:szCs w:val="21"/>
        </w:rPr>
        <w:t>新任基金</w:t>
      </w:r>
      <w:proofErr w:type="gramEnd"/>
      <w:r w:rsidRPr="000C0420">
        <w:rPr>
          <w:rFonts w:ascii="宋体" w:hAnsi="宋体" w:hint="eastAsia"/>
          <w:color w:val="000000" w:themeColor="text1"/>
          <w:szCs w:val="21"/>
        </w:rPr>
        <w:t>托管人或临时基金托管人尽快交接基金资产。</w:t>
      </w:r>
    </w:p>
    <w:p w14:paraId="0C426A50"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lastRenderedPageBreak/>
        <w:t>（三）</w:t>
      </w:r>
      <w:r w:rsidRPr="000C0420">
        <w:rPr>
          <w:rFonts w:ascii="宋体" w:eastAsia="宋体" w:hAnsi="宋体"/>
          <w:b w:val="0"/>
          <w:color w:val="000000" w:themeColor="text1"/>
          <w:sz w:val="21"/>
          <w:szCs w:val="21"/>
        </w:rPr>
        <w:tab/>
      </w:r>
      <w:r w:rsidRPr="000C0420">
        <w:rPr>
          <w:rFonts w:ascii="宋体" w:eastAsia="宋体" w:hAnsi="宋体" w:hint="eastAsia"/>
          <w:b w:val="0"/>
          <w:color w:val="000000" w:themeColor="text1"/>
          <w:sz w:val="21"/>
          <w:szCs w:val="21"/>
        </w:rPr>
        <w:t>基金管理人和基金托管人的同时更换程序</w:t>
      </w:r>
    </w:p>
    <w:p w14:paraId="6AF52E0A"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同时更换</w:t>
      </w:r>
      <w:r w:rsidRPr="000C0420">
        <w:rPr>
          <w:rFonts w:ascii="宋体" w:hAnsi="宋体" w:hint="eastAsia"/>
          <w:bCs/>
          <w:color w:val="000000" w:themeColor="text1"/>
          <w:szCs w:val="21"/>
        </w:rPr>
        <w:t>基金管理人和基金托管人，分别按照上述基金管理人和基金托管人更换程序进行。</w:t>
      </w:r>
    </w:p>
    <w:p w14:paraId="5AF43190" w14:textId="77777777" w:rsidR="00F633B7" w:rsidRPr="000C0420" w:rsidRDefault="000A2CE7">
      <w:pPr>
        <w:spacing w:line="500" w:lineRule="atLeast"/>
        <w:jc w:val="center"/>
        <w:outlineLvl w:val="0"/>
        <w:rPr>
          <w:rFonts w:ascii="宋体" w:hAnsi="宋体"/>
          <w:color w:val="000000" w:themeColor="text1"/>
        </w:rPr>
      </w:pPr>
      <w:bookmarkStart w:id="70" w:name="_Toc382819131"/>
      <w:r w:rsidRPr="000C0420">
        <w:rPr>
          <w:rFonts w:ascii="宋体" w:hAnsi="宋体" w:hint="eastAsia"/>
          <w:b/>
          <w:color w:val="000000" w:themeColor="text1"/>
          <w:sz w:val="24"/>
        </w:rPr>
        <w:t>十四、禁止行为</w:t>
      </w:r>
      <w:bookmarkEnd w:id="70"/>
    </w:p>
    <w:p w14:paraId="651E4BEF"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托管协议当事人禁止从事的行为，包括但不限于：</w:t>
      </w:r>
    </w:p>
    <w:p w14:paraId="5653FBDF"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（一）基金管理人、基金托管人将其固有财产或者他人财产混同于基金财产从事证券投资。</w:t>
      </w:r>
    </w:p>
    <w:p w14:paraId="6EF27100"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（二）基金管理人、基金托管人不公平地对待其管理或托管的不同基金财产。</w:t>
      </w:r>
    </w:p>
    <w:p w14:paraId="65E608C8"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（三）基金管理人、基金托管人利用基金财产为基金份额持有人以外的第三人牟取利益。</w:t>
      </w:r>
    </w:p>
    <w:p w14:paraId="44EBBD31"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（四）基金管理人、基金托管人向基金份额持有人违规承诺收益或者承担损失。</w:t>
      </w:r>
    </w:p>
    <w:p w14:paraId="22C5E728"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（五）基金管理人、基金托管人对他人泄露基金经营过程中任何尚未按法律法规规定的方式公开披露的信息。</w:t>
      </w:r>
    </w:p>
    <w:p w14:paraId="1D41A1A8"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（六）基金管理人在没有充足资金的情况下向基金托管人发出投资指令和赎回、分红资金的划拨指令，或违规向基金托管人发出指令。</w:t>
      </w:r>
    </w:p>
    <w:p w14:paraId="79E35F61"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（七）基金托管人对基金管理人的符合本协议约定的有效指令拖延或拒绝执行。</w:t>
      </w:r>
    </w:p>
    <w:p w14:paraId="22CEF2AB"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 xml:space="preserve">（八）基金管理人、基金托管人在行政上、财务上不独立，其高级基金管理人员相互兼职。 </w:t>
      </w:r>
    </w:p>
    <w:p w14:paraId="78404948"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 xml:space="preserve">（九）基金托管人私自动用或处分基金资产，根据基金管理人的合法指令、基金合同或托管协议的规定进行处分的除外。 </w:t>
      </w:r>
    </w:p>
    <w:p w14:paraId="55485414"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（十）基金管理人、基金托管人不得利用基金财产用于下列投资或者活动：</w:t>
      </w:r>
    </w:p>
    <w:p w14:paraId="52CE6618"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承销证券；</w:t>
      </w:r>
    </w:p>
    <w:p w14:paraId="532F96F6"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违反规定向他人贷款或者提供担保；</w:t>
      </w:r>
    </w:p>
    <w:p w14:paraId="63BF38F3"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从事承担无限责任的投资；</w:t>
      </w:r>
    </w:p>
    <w:p w14:paraId="39F8BD76"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买卖其他基金份额，但是中国证监会另有规定的除外；</w:t>
      </w:r>
    </w:p>
    <w:p w14:paraId="16892306"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向其基金管理人、基金托管人出资</w:t>
      </w:r>
    </w:p>
    <w:p w14:paraId="261157C7"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从事内幕交易、操纵证券交易价格及其他不正当的证券交易活动；</w:t>
      </w:r>
    </w:p>
    <w:p w14:paraId="0261226C" w14:textId="77777777" w:rsidR="00F633B7" w:rsidRPr="000C0420" w:rsidRDefault="000A2CE7">
      <w:pPr>
        <w:pStyle w:val="af5"/>
        <w:numPr>
          <w:ilvl w:val="0"/>
          <w:numId w:val="3"/>
        </w:numPr>
        <w:spacing w:line="360" w:lineRule="auto"/>
        <w:ind w:left="471" w:firstLineChars="0" w:firstLine="0"/>
        <w:rPr>
          <w:rFonts w:ascii="宋体" w:hAnsi="宋体"/>
          <w:color w:val="000000" w:themeColor="text1"/>
          <w:szCs w:val="21"/>
        </w:rPr>
      </w:pPr>
      <w:r w:rsidRPr="000C0420">
        <w:rPr>
          <w:rFonts w:ascii="宋体" w:hAnsi="宋体" w:hint="eastAsia"/>
          <w:color w:val="000000" w:themeColor="text1"/>
          <w:szCs w:val="21"/>
        </w:rPr>
        <w:t>法律、行政法规和中国证监会规定禁止的其他活动。</w:t>
      </w:r>
    </w:p>
    <w:p w14:paraId="63723464"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（十一）根据《商业银行托管业务监督管理办法（试行）》，基金托管人不得承担以下职</w:t>
      </w:r>
      <w:r w:rsidRPr="000C0420">
        <w:rPr>
          <w:rFonts w:ascii="宋体" w:hAnsi="宋体" w:hint="eastAsia"/>
          <w:color w:val="000000" w:themeColor="text1"/>
          <w:szCs w:val="21"/>
        </w:rPr>
        <w:lastRenderedPageBreak/>
        <w:t>责：</w:t>
      </w:r>
    </w:p>
    <w:p w14:paraId="2F50D226"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承担基金财产的信用风险、市场风险等；</w:t>
      </w:r>
    </w:p>
    <w:p w14:paraId="4A9AC2E9"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为基金财产提供直接或间接、显性或隐性担保，包括承诺本金或保证收益；</w:t>
      </w:r>
    </w:p>
    <w:p w14:paraId="2E344CF2" w14:textId="77777777" w:rsidR="00F633B7" w:rsidRPr="000C0420" w:rsidRDefault="00F633B7">
      <w:pPr>
        <w:rPr>
          <w:color w:val="000000" w:themeColor="text1"/>
        </w:rPr>
      </w:pPr>
    </w:p>
    <w:p w14:paraId="2778B3C3"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bCs/>
          <w:color w:val="000000" w:themeColor="text1"/>
          <w:szCs w:val="21"/>
        </w:rPr>
        <w:t>为基金财产垫付资金、提供流动性支持或融资承诺等；</w:t>
      </w:r>
    </w:p>
    <w:p w14:paraId="5C94FD21"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参与投资者适当性管理；</w:t>
      </w:r>
      <w:r w:rsidRPr="000C0420">
        <w:rPr>
          <w:rFonts w:ascii="宋体" w:hAnsi="宋体"/>
          <w:color w:val="000000" w:themeColor="text1"/>
          <w:szCs w:val="21"/>
        </w:rPr>
        <w:t xml:space="preserve"> </w:t>
      </w:r>
    </w:p>
    <w:p w14:paraId="5ABFCB28"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保证投资项目及交易信息真实性；</w:t>
      </w:r>
      <w:r w:rsidRPr="000C0420">
        <w:rPr>
          <w:rFonts w:ascii="宋体" w:hAnsi="宋体"/>
          <w:color w:val="000000" w:themeColor="text1"/>
          <w:szCs w:val="21"/>
        </w:rPr>
        <w:t xml:space="preserve"> </w:t>
      </w:r>
    </w:p>
    <w:p w14:paraId="0AE19427"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保证基金财产资金来源的合法合</w:t>
      </w:r>
      <w:proofErr w:type="gramStart"/>
      <w:r w:rsidRPr="000C0420">
        <w:rPr>
          <w:rFonts w:ascii="宋体" w:hAnsi="宋体" w:hint="eastAsia"/>
          <w:color w:val="000000" w:themeColor="text1"/>
          <w:szCs w:val="21"/>
        </w:rPr>
        <w:t>规</w:t>
      </w:r>
      <w:proofErr w:type="gramEnd"/>
      <w:r w:rsidRPr="000C0420">
        <w:rPr>
          <w:rFonts w:ascii="宋体" w:hAnsi="宋体" w:hint="eastAsia"/>
          <w:color w:val="000000" w:themeColor="text1"/>
          <w:szCs w:val="21"/>
        </w:rPr>
        <w:t>性；</w:t>
      </w:r>
    </w:p>
    <w:p w14:paraId="0AFD4EC0"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bCs/>
          <w:color w:val="000000" w:themeColor="text1"/>
          <w:szCs w:val="21"/>
        </w:rPr>
        <w:t>对已划出托管账户以及处于基金托管人实际控制之外的资产承担保管责任；</w:t>
      </w:r>
    </w:p>
    <w:p w14:paraId="32C2C02B"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参与基金管理人对托管产品的投资决策；</w:t>
      </w:r>
    </w:p>
    <w:p w14:paraId="7452EFBC"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bCs/>
          <w:color w:val="000000" w:themeColor="text1"/>
          <w:szCs w:val="21"/>
        </w:rPr>
        <w:t>违规代替基金管理人向其他机构或者个人进行托管产品信息披露或提供相关数据信息；</w:t>
      </w:r>
      <w:r w:rsidRPr="000C0420">
        <w:rPr>
          <w:rFonts w:ascii="宋体" w:hAnsi="宋体"/>
          <w:bCs/>
          <w:color w:val="000000" w:themeColor="text1"/>
          <w:szCs w:val="21"/>
        </w:rPr>
        <w:t xml:space="preserve"> </w:t>
      </w:r>
    </w:p>
    <w:p w14:paraId="2CC3EF64"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基金管理人未接受基金托管人的复核意见进行信息披露产生的相应责任；</w:t>
      </w:r>
    </w:p>
    <w:p w14:paraId="73C39EF9"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负责未兑付产品的资金追偿、财产保全、诉讼仲裁、债务重组和破产程序等，法律另有规定的除外；</w:t>
      </w:r>
    </w:p>
    <w:p w14:paraId="32B6B9E2"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因不可抗力，以及非本机构履职错误或过失造成的基金财产损失；</w:t>
      </w:r>
    </w:p>
    <w:p w14:paraId="2705DDA8" w14:textId="77777777" w:rsidR="00F633B7" w:rsidRPr="000C0420" w:rsidRDefault="000A2CE7">
      <w:pPr>
        <w:pStyle w:val="af5"/>
        <w:numPr>
          <w:ilvl w:val="0"/>
          <w:numId w:val="4"/>
        </w:numPr>
        <w:spacing w:line="360" w:lineRule="auto"/>
        <w:ind w:firstLineChars="0"/>
        <w:rPr>
          <w:rFonts w:ascii="宋体" w:hAnsi="宋体"/>
          <w:color w:val="000000" w:themeColor="text1"/>
          <w:szCs w:val="21"/>
        </w:rPr>
      </w:pPr>
      <w:r w:rsidRPr="000C0420">
        <w:rPr>
          <w:rFonts w:ascii="宋体" w:hAnsi="宋体" w:hint="eastAsia"/>
          <w:color w:val="000000" w:themeColor="text1"/>
          <w:szCs w:val="21"/>
        </w:rPr>
        <w:t>国务院金融监管部门规定的不属于基金托管人托管业务范围的其他职责。</w:t>
      </w:r>
    </w:p>
    <w:p w14:paraId="2715459B" w14:textId="77777777" w:rsidR="00F633B7" w:rsidRPr="000C0420" w:rsidRDefault="000A2CE7">
      <w:pPr>
        <w:spacing w:line="360" w:lineRule="auto"/>
        <w:ind w:firstLineChars="225" w:firstLine="473"/>
        <w:rPr>
          <w:rFonts w:ascii="宋体" w:hAnsi="宋体"/>
          <w:color w:val="000000" w:themeColor="text1"/>
          <w:szCs w:val="21"/>
        </w:rPr>
      </w:pPr>
      <w:r w:rsidRPr="000C0420">
        <w:rPr>
          <w:rFonts w:ascii="宋体" w:hAnsi="宋体" w:hint="eastAsia"/>
          <w:color w:val="000000" w:themeColor="text1"/>
          <w:szCs w:val="21"/>
        </w:rPr>
        <w:t>（十二）法律法规和基金合同禁止的其他行为，以及依照法律法规有关规定，由中国证监会规定禁止基金管理人、基金托管人从事的其他行为。法律、行政法规或监管部门取消或变更上述禁止性规定，如适用于本基金，基金管理人有权在履行适当程序后按照法律法规或监管部门调整或修改后的规定执行，并应向投资者履行信息披露义务。</w:t>
      </w:r>
    </w:p>
    <w:p w14:paraId="761C2166" w14:textId="77777777" w:rsidR="00F633B7" w:rsidRPr="000C0420" w:rsidRDefault="000A2CE7">
      <w:pPr>
        <w:spacing w:line="500" w:lineRule="atLeast"/>
        <w:jc w:val="center"/>
        <w:outlineLvl w:val="0"/>
        <w:rPr>
          <w:rFonts w:ascii="宋体" w:hAnsi="宋体"/>
          <w:color w:val="000000" w:themeColor="text1"/>
        </w:rPr>
      </w:pPr>
      <w:bookmarkStart w:id="71" w:name="_Toc382819132"/>
      <w:r w:rsidRPr="000C0420">
        <w:rPr>
          <w:rFonts w:ascii="宋体" w:hAnsi="宋体" w:hint="eastAsia"/>
          <w:b/>
          <w:color w:val="000000" w:themeColor="text1"/>
          <w:sz w:val="24"/>
        </w:rPr>
        <w:t>十五、基金托管协议的变更、终止与基金财产的清算</w:t>
      </w:r>
      <w:bookmarkEnd w:id="71"/>
    </w:p>
    <w:p w14:paraId="303A3AF2"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（一）托管协议的变更与终止</w:t>
      </w:r>
    </w:p>
    <w:p w14:paraId="44F4172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1.托管协议的变更程序</w:t>
      </w:r>
    </w:p>
    <w:p w14:paraId="6329FB34" w14:textId="77777777"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t>本协议双方当事人经协商一致，可以对协议的内容进行变更。变更后的托管协议，其内容不得与《基金合同》的规定有任何冲突。</w:t>
      </w:r>
    </w:p>
    <w:p w14:paraId="5C96DC45"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2.基金托管协议终止的情形</w:t>
      </w:r>
    </w:p>
    <w:p w14:paraId="228D2FDD" w14:textId="77777777"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t>发生以下情况，本托管协议终止：</w:t>
      </w:r>
    </w:p>
    <w:p w14:paraId="1D72013C" w14:textId="77777777"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t>（1）《基金合同》终止；</w:t>
      </w:r>
    </w:p>
    <w:p w14:paraId="39A62D5E" w14:textId="77777777"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t>（2）基金托管人解散、依法被撤销、破产或有其他基金托管人接管基金资产；</w:t>
      </w:r>
    </w:p>
    <w:p w14:paraId="37274F6F" w14:textId="15B5180A"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lastRenderedPageBreak/>
        <w:t>（3）基金管理人解散、依法被撤销、破产或有其他基金管理人接管基金管理权，或基金管理人存在拒不履行托管协议的；</w:t>
      </w:r>
    </w:p>
    <w:p w14:paraId="7A1F1875" w14:textId="77777777" w:rsidR="00F633B7" w:rsidRPr="000C0420" w:rsidRDefault="000A2CE7">
      <w:pPr>
        <w:autoSpaceDE w:val="0"/>
        <w:autoSpaceDN w:val="0"/>
        <w:adjustRightInd w:val="0"/>
        <w:spacing w:line="360" w:lineRule="auto"/>
        <w:ind w:firstLineChars="200" w:firstLine="444"/>
        <w:jc w:val="left"/>
        <w:rPr>
          <w:rFonts w:ascii="宋体" w:hAnsi="宋体"/>
          <w:color w:val="000000" w:themeColor="text1"/>
          <w:spacing w:val="6"/>
          <w:szCs w:val="21"/>
        </w:rPr>
      </w:pPr>
      <w:r w:rsidRPr="000C0420">
        <w:rPr>
          <w:rFonts w:ascii="宋体" w:hAnsi="宋体" w:hint="eastAsia"/>
          <w:color w:val="000000" w:themeColor="text1"/>
          <w:spacing w:val="6"/>
          <w:szCs w:val="21"/>
        </w:rPr>
        <w:t>（4）发生法律法规或《基金合同》规定的终止事项。</w:t>
      </w:r>
    </w:p>
    <w:p w14:paraId="15FA371E"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（二）基金财产的清算</w:t>
      </w:r>
    </w:p>
    <w:p w14:paraId="3B21420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1.基金财产清算小组：自出现《基金合同》终止事由之日起30个工作日内成立清算小组，基金管理人组织基金财产清算小组并在中国证监会的监督下进行基金清算。</w:t>
      </w:r>
    </w:p>
    <w:p w14:paraId="05EFE9D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w:t>
      </w:r>
      <w:r w:rsidRPr="000C0420">
        <w:rPr>
          <w:rFonts w:ascii="宋体" w:hAnsi="宋体" w:hint="eastAsia"/>
          <w:color w:val="000000" w:themeColor="text1"/>
          <w:kern w:val="0"/>
          <w:szCs w:val="21"/>
        </w:rPr>
        <w:t>在基金财产清算小组接管基金财产之前，基金管理人和基金托管人应按照《基金合同》和本托管协议的规定继续履行保护基金财产安全的职责。</w:t>
      </w:r>
    </w:p>
    <w:p w14:paraId="5FEB3712"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DAC967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4.基金财产清算小组职责：基金财产清算小组负责基金财产的保管、清理、估价、变现和分配。基金财产清算小组可以依法进行必要的民事活动。</w:t>
      </w:r>
    </w:p>
    <w:p w14:paraId="41142BEA" w14:textId="77777777" w:rsidR="00F633B7" w:rsidRPr="000C0420" w:rsidRDefault="000A2CE7">
      <w:pPr>
        <w:tabs>
          <w:tab w:val="left" w:pos="6435"/>
        </w:tabs>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5.基金财产清算程序：</w:t>
      </w:r>
      <w:r w:rsidRPr="000C0420">
        <w:rPr>
          <w:rFonts w:ascii="宋体" w:hAnsi="宋体" w:hint="eastAsia"/>
          <w:color w:val="000000" w:themeColor="text1"/>
          <w:szCs w:val="21"/>
        </w:rPr>
        <w:tab/>
      </w:r>
    </w:p>
    <w:p w14:paraId="3DE5990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（1）《基金合同》终止情形出现时，由基金财产清算小组统一接管基金；</w:t>
      </w:r>
    </w:p>
    <w:p w14:paraId="2C2DA141"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（2）对基金财产和债权债务进行清理和确认；</w:t>
      </w:r>
    </w:p>
    <w:p w14:paraId="6D8FF50E"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（3）对基金财产进行估值和变现；</w:t>
      </w:r>
    </w:p>
    <w:p w14:paraId="46B90E0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（4）制作清算报告；</w:t>
      </w:r>
    </w:p>
    <w:p w14:paraId="445AEFD7"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（5）</w:t>
      </w:r>
      <w:r w:rsidRPr="000C0420">
        <w:rPr>
          <w:rFonts w:ascii="宋体" w:hAnsi="宋体" w:hint="eastAsia"/>
          <w:bCs/>
          <w:color w:val="000000" w:themeColor="text1"/>
          <w:szCs w:val="21"/>
        </w:rPr>
        <w:t>聘请会计师事务所对清算报告进行外部审计，聘请律师事务所对清算报告出具法律意见书；</w:t>
      </w:r>
    </w:p>
    <w:p w14:paraId="6FAFDCC6" w14:textId="77777777" w:rsidR="00F633B7" w:rsidRPr="000C0420" w:rsidRDefault="000A2CE7">
      <w:pPr>
        <w:spacing w:line="360" w:lineRule="auto"/>
        <w:ind w:firstLineChars="200" w:firstLine="420"/>
        <w:rPr>
          <w:rFonts w:ascii="宋体" w:hAnsi="宋体"/>
          <w:color w:val="000000" w:themeColor="text1"/>
          <w:kern w:val="0"/>
          <w:szCs w:val="21"/>
        </w:rPr>
      </w:pPr>
      <w:r w:rsidRPr="000C0420">
        <w:rPr>
          <w:rFonts w:ascii="宋体" w:hAnsi="宋体" w:hint="eastAsia"/>
          <w:color w:val="000000" w:themeColor="text1"/>
          <w:szCs w:val="21"/>
        </w:rPr>
        <w:t>（6）将清算报告报中国证监会备案并公告；</w:t>
      </w:r>
    </w:p>
    <w:p w14:paraId="48B597A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（7）</w:t>
      </w:r>
      <w:r w:rsidRPr="000C0420">
        <w:rPr>
          <w:rFonts w:ascii="宋体" w:hAnsi="宋体" w:hint="eastAsia"/>
          <w:bCs/>
          <w:color w:val="000000" w:themeColor="text1"/>
          <w:szCs w:val="21"/>
        </w:rPr>
        <w:t>对基金剩余财产进行分配；</w:t>
      </w:r>
    </w:p>
    <w:p w14:paraId="7988E2DF"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6.清算费用</w:t>
      </w:r>
    </w:p>
    <w:p w14:paraId="13747E19"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清算费用是指基金清算小组在进行基金清算过程中发生的所有合理费用，清算费用由基金清算小组优先从基金财产中支付。</w:t>
      </w:r>
    </w:p>
    <w:p w14:paraId="77164CEF"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7.基金财产按下列顺序清偿：</w:t>
      </w:r>
    </w:p>
    <w:p w14:paraId="2D927472"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(1)支付清算费用；</w:t>
      </w:r>
    </w:p>
    <w:p w14:paraId="668A0A8F"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(2)交纳所欠税款；</w:t>
      </w:r>
    </w:p>
    <w:p w14:paraId="58C40549"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(3)清偿基金债务；</w:t>
      </w:r>
    </w:p>
    <w:p w14:paraId="730BAC97"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(4)按基金份额持有人持有的基金份额比例进行分配。</w:t>
      </w:r>
    </w:p>
    <w:p w14:paraId="21E90C5A" w14:textId="77777777" w:rsidR="00F633B7" w:rsidRPr="000C0420" w:rsidRDefault="000A2CE7">
      <w:pPr>
        <w:adjustRightInd w:val="0"/>
        <w:snapToGrid w:val="0"/>
        <w:spacing w:line="360" w:lineRule="auto"/>
        <w:ind w:firstLineChars="200" w:firstLine="420"/>
        <w:rPr>
          <w:rFonts w:ascii="宋体" w:hAnsi="宋体" w:cs="Arial"/>
          <w:color w:val="000000" w:themeColor="text1"/>
          <w:szCs w:val="21"/>
        </w:rPr>
      </w:pPr>
      <w:r w:rsidRPr="000C0420">
        <w:rPr>
          <w:rFonts w:ascii="宋体" w:hAnsi="宋体" w:cs="Arial" w:hint="eastAsia"/>
          <w:color w:val="000000" w:themeColor="text1"/>
          <w:szCs w:val="21"/>
        </w:rPr>
        <w:t>基金财产未按前款(1)－(3)项规定清偿前，不分配给基金份额持有人。</w:t>
      </w:r>
    </w:p>
    <w:p w14:paraId="048B96F7"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lastRenderedPageBreak/>
        <w:t>（三）基金财产清算的公告</w:t>
      </w:r>
    </w:p>
    <w:p w14:paraId="7A2B330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清算过程中的有关重大事项须及时公告；基金财产清算报告</w:t>
      </w:r>
      <w:proofErr w:type="gramStart"/>
      <w:r w:rsidRPr="000C0420">
        <w:rPr>
          <w:rFonts w:ascii="宋体" w:hAnsi="宋体" w:hint="eastAsia"/>
          <w:color w:val="000000" w:themeColor="text1"/>
          <w:szCs w:val="21"/>
        </w:rPr>
        <w:t>经符合</w:t>
      </w:r>
      <w:proofErr w:type="gramEnd"/>
      <w:r w:rsidRPr="000C0420">
        <w:rPr>
          <w:rFonts w:ascii="宋体" w:hAnsi="宋体" w:hint="eastAsia"/>
          <w:color w:val="000000" w:themeColor="text1"/>
          <w:szCs w:val="21"/>
        </w:rPr>
        <w:t>《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6651A7AD" w14:textId="77777777" w:rsidR="00F633B7" w:rsidRPr="000C0420" w:rsidRDefault="000A2CE7">
      <w:pPr>
        <w:pStyle w:val="2"/>
        <w:keepNext w:val="0"/>
        <w:keepLines w:val="0"/>
        <w:tabs>
          <w:tab w:val="left" w:pos="1080"/>
        </w:tabs>
        <w:autoSpaceDE w:val="0"/>
        <w:autoSpaceDN w:val="0"/>
        <w:adjustRightInd w:val="0"/>
        <w:spacing w:before="0" w:after="0" w:line="360" w:lineRule="auto"/>
        <w:ind w:firstLineChars="196" w:firstLine="412"/>
        <w:textAlignment w:val="baseline"/>
        <w:rPr>
          <w:rFonts w:ascii="宋体" w:hAnsi="宋体"/>
          <w:color w:val="000000" w:themeColor="text1"/>
          <w:szCs w:val="21"/>
        </w:rPr>
      </w:pPr>
      <w:r w:rsidRPr="000C0420">
        <w:rPr>
          <w:rFonts w:ascii="宋体" w:eastAsia="宋体" w:hAnsi="宋体" w:hint="eastAsia"/>
          <w:b w:val="0"/>
          <w:color w:val="000000" w:themeColor="text1"/>
          <w:sz w:val="21"/>
          <w:szCs w:val="21"/>
        </w:rPr>
        <w:t>（四）基金财产清算账册及文件的保存</w:t>
      </w:r>
    </w:p>
    <w:p w14:paraId="659A75BB"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基金财产清算账册及有关文件由基金托管人保存不低于法律</w:t>
      </w:r>
      <w:r w:rsidRPr="000C0420">
        <w:rPr>
          <w:rFonts w:ascii="宋体" w:hAnsi="宋体"/>
          <w:color w:val="000000" w:themeColor="text1"/>
          <w:szCs w:val="21"/>
        </w:rPr>
        <w:t>法规规定的最低期限</w:t>
      </w:r>
      <w:r w:rsidRPr="000C0420">
        <w:rPr>
          <w:rFonts w:ascii="宋体" w:hAnsi="宋体" w:hint="eastAsia"/>
          <w:color w:val="000000" w:themeColor="text1"/>
          <w:szCs w:val="21"/>
        </w:rPr>
        <w:t>。</w:t>
      </w:r>
    </w:p>
    <w:p w14:paraId="71A3779F" w14:textId="77777777" w:rsidR="00F633B7" w:rsidRPr="000C0420" w:rsidRDefault="000A2CE7">
      <w:pPr>
        <w:spacing w:line="500" w:lineRule="atLeast"/>
        <w:jc w:val="center"/>
        <w:outlineLvl w:val="0"/>
        <w:rPr>
          <w:rFonts w:ascii="宋体" w:hAnsi="宋体"/>
          <w:color w:val="000000" w:themeColor="text1"/>
        </w:rPr>
      </w:pPr>
      <w:bookmarkStart w:id="72" w:name="_Toc382819133"/>
      <w:r w:rsidRPr="000C0420">
        <w:rPr>
          <w:rFonts w:ascii="宋体" w:hAnsi="宋体" w:hint="eastAsia"/>
          <w:b/>
          <w:color w:val="000000" w:themeColor="text1"/>
          <w:sz w:val="24"/>
        </w:rPr>
        <w:t>十六、违约责任</w:t>
      </w:r>
      <w:bookmarkEnd w:id="72"/>
    </w:p>
    <w:p w14:paraId="27311629" w14:textId="77777777" w:rsidR="00F633B7" w:rsidRPr="000C0420" w:rsidRDefault="000A2CE7">
      <w:pPr>
        <w:spacing w:line="360" w:lineRule="auto"/>
        <w:ind w:firstLineChars="200" w:firstLine="420"/>
        <w:rPr>
          <w:bCs/>
          <w:color w:val="000000" w:themeColor="text1"/>
          <w:szCs w:val="21"/>
        </w:rPr>
      </w:pPr>
      <w:r w:rsidRPr="000C0420">
        <w:rPr>
          <w:rFonts w:ascii="宋体" w:hAnsi="宋体" w:hint="eastAsia"/>
          <w:color w:val="000000" w:themeColor="text1"/>
          <w:szCs w:val="21"/>
        </w:rPr>
        <w:t>（一）如果由于基金管理人或基金托管人的过错，不履行本协议或者违反本协议约定的，有过错的一方应当承担违约责任，给另一方当事人造成损失的，应就直接损失进行赔偿。如果由于双方的过错，不履行本协议或者违反本协议约定的，应根据实际情况，由双方分别承担各自应负的违约责任</w:t>
      </w:r>
      <w:r w:rsidRPr="000C0420">
        <w:rPr>
          <w:rFonts w:hint="eastAsia"/>
          <w:bCs/>
          <w:color w:val="000000" w:themeColor="text1"/>
          <w:szCs w:val="21"/>
        </w:rPr>
        <w:t>，给基金财产或者基金份额持有人造成损害的，应当分别对各自的行为依法承担赔偿责任；因共同行为给基金财产或者基金份额持有人造成损害的，应当承担连带赔偿责任。对损失的赔偿，仅限于直接损失。</w:t>
      </w:r>
      <w:r w:rsidRPr="000C0420">
        <w:rPr>
          <w:rFonts w:ascii="宋体" w:hAnsi="宋体" w:hint="eastAsia"/>
          <w:color w:val="000000" w:themeColor="text1"/>
          <w:szCs w:val="21"/>
        </w:rPr>
        <w:t>但是发生下列情况之一的，当事人免责：</w:t>
      </w:r>
    </w:p>
    <w:p w14:paraId="212BDF1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1.基金管理人及基金托管人按照当时有效的法律法规或中国证监会的规定作为或不作为而造成的损失等；</w:t>
      </w:r>
    </w:p>
    <w:p w14:paraId="2B193D2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2.在没有欺诈或过失的情况下，基金管理人由于按照本基金《基金合同》规定的投资原则而行使或不行使其投资权而造成的损失等；</w:t>
      </w:r>
    </w:p>
    <w:p w14:paraId="024CFBC9"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3.发生自然灾害等不可抗力情形；</w:t>
      </w:r>
    </w:p>
    <w:p w14:paraId="5E63FAFA"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4.计算机系统故障、网络故障、通讯故障、电力故障、计算机病毒攻击、法律法规变化、注册与过户登记人非正常的暂停或终止业务、证券交易所非正常暂停或停止交易等、证券交易所及登记结算公司发送的数据错误及其</w:t>
      </w:r>
      <w:proofErr w:type="gramStart"/>
      <w:r w:rsidRPr="000C0420">
        <w:rPr>
          <w:rFonts w:ascii="宋体" w:hAnsi="宋体" w:hint="eastAsia"/>
          <w:color w:val="000000" w:themeColor="text1"/>
          <w:szCs w:val="21"/>
        </w:rPr>
        <w:t>它基金</w:t>
      </w:r>
      <w:proofErr w:type="gramEnd"/>
      <w:r w:rsidRPr="000C0420">
        <w:rPr>
          <w:rFonts w:ascii="宋体" w:hAnsi="宋体" w:hint="eastAsia"/>
          <w:color w:val="000000" w:themeColor="text1"/>
          <w:szCs w:val="21"/>
        </w:rPr>
        <w:t>管理人及基金托管人不可控制的因素</w:t>
      </w:r>
      <w:r w:rsidRPr="000C0420">
        <w:rPr>
          <w:rFonts w:hint="eastAsia"/>
          <w:bCs/>
          <w:color w:val="000000" w:themeColor="text1"/>
          <w:szCs w:val="21"/>
        </w:rPr>
        <w:t>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由此造成的影响</w:t>
      </w:r>
      <w:r w:rsidRPr="000C0420">
        <w:rPr>
          <w:rFonts w:ascii="宋体" w:hAnsi="宋体" w:hint="eastAsia"/>
          <w:color w:val="000000" w:themeColor="text1"/>
          <w:szCs w:val="21"/>
        </w:rPr>
        <w:t>。</w:t>
      </w:r>
    </w:p>
    <w:p w14:paraId="3CA02210"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二）基金托管人发现基金管理人借助托管银行的品牌、声誉开展不当营销宣传的，应当督促相关机构及时纠正。相关机构未及时采取有效纠正措施的，基金托管人有权按照托管协议约定终止业务合作，并进行通知。</w:t>
      </w:r>
    </w:p>
    <w:p w14:paraId="637CB1BC" w14:textId="77777777" w:rsidR="00F633B7" w:rsidRPr="000C0420" w:rsidRDefault="000A2CE7">
      <w:pPr>
        <w:spacing w:line="360" w:lineRule="auto"/>
        <w:ind w:firstLineChars="200" w:firstLine="420"/>
        <w:rPr>
          <w:bCs/>
          <w:color w:val="000000" w:themeColor="text1"/>
          <w:szCs w:val="21"/>
        </w:rPr>
      </w:pPr>
      <w:r w:rsidRPr="000C0420">
        <w:rPr>
          <w:rFonts w:ascii="宋体" w:hAnsi="宋体" w:hint="eastAsia"/>
          <w:color w:val="000000" w:themeColor="text1"/>
          <w:szCs w:val="21"/>
        </w:rPr>
        <w:lastRenderedPageBreak/>
        <w:t>（三）</w:t>
      </w:r>
      <w:r w:rsidRPr="000C0420">
        <w:rPr>
          <w:rFonts w:hint="eastAsia"/>
          <w:bCs/>
          <w:color w:val="000000" w:themeColor="text1"/>
          <w:szCs w:val="21"/>
        </w:rPr>
        <w:t>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41BB6BB6" w14:textId="77777777" w:rsidR="00F633B7" w:rsidRPr="000C0420" w:rsidRDefault="000A2CE7">
      <w:pPr>
        <w:spacing w:line="360" w:lineRule="auto"/>
        <w:ind w:firstLineChars="200" w:firstLine="420"/>
        <w:rPr>
          <w:rFonts w:ascii="宋体" w:hAnsi="宋体"/>
          <w:color w:val="000000" w:themeColor="text1"/>
          <w:szCs w:val="21"/>
          <w:lang w:val="zh-CN"/>
        </w:rPr>
      </w:pPr>
      <w:r w:rsidRPr="000C0420">
        <w:rPr>
          <w:rFonts w:ascii="宋体" w:hAnsi="宋体" w:hint="eastAsia"/>
          <w:color w:val="000000" w:themeColor="text1"/>
          <w:szCs w:val="21"/>
          <w:lang w:val="zh-CN"/>
        </w:rPr>
        <w:t>（四）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14:paraId="4E200CF8" w14:textId="77777777" w:rsidR="00F633B7" w:rsidRPr="000C0420" w:rsidRDefault="000A2CE7">
      <w:pPr>
        <w:spacing w:line="500" w:lineRule="atLeast"/>
        <w:jc w:val="center"/>
        <w:outlineLvl w:val="0"/>
        <w:rPr>
          <w:rFonts w:ascii="宋体" w:hAnsi="宋体"/>
          <w:color w:val="000000" w:themeColor="text1"/>
        </w:rPr>
      </w:pPr>
      <w:bookmarkStart w:id="73" w:name="_Toc382819134"/>
      <w:r w:rsidRPr="000C0420">
        <w:rPr>
          <w:rFonts w:ascii="宋体" w:hAnsi="宋体" w:hint="eastAsia"/>
          <w:b/>
          <w:color w:val="000000" w:themeColor="text1"/>
          <w:sz w:val="24"/>
        </w:rPr>
        <w:t>十七、适用法律及争议解决方式</w:t>
      </w:r>
      <w:bookmarkEnd w:id="73"/>
    </w:p>
    <w:p w14:paraId="3E9E567E" w14:textId="77777777" w:rsidR="00F633B7" w:rsidRPr="000C0420" w:rsidRDefault="000A2CE7">
      <w:pPr>
        <w:spacing w:line="360" w:lineRule="auto"/>
        <w:ind w:firstLineChars="200" w:firstLine="420"/>
        <w:rPr>
          <w:rFonts w:ascii="宋体" w:hAnsi="宋体"/>
          <w:color w:val="000000" w:themeColor="text1"/>
          <w:szCs w:val="21"/>
          <w:lang w:val="zh-CN"/>
        </w:rPr>
      </w:pPr>
      <w:r w:rsidRPr="000C0420">
        <w:rPr>
          <w:rFonts w:ascii="宋体" w:hAnsi="宋体" w:hint="eastAsia"/>
          <w:color w:val="000000" w:themeColor="text1"/>
          <w:szCs w:val="21"/>
          <w:lang w:val="zh-CN"/>
        </w:rPr>
        <w:t>（一）</w:t>
      </w:r>
      <w:r w:rsidRPr="000C0420">
        <w:rPr>
          <w:rFonts w:ascii="宋体" w:hAnsi="宋体" w:hint="eastAsia"/>
          <w:color w:val="000000" w:themeColor="text1"/>
          <w:szCs w:val="21"/>
        </w:rPr>
        <w:t>本协议适用中华人民共和国法律（为本协议之目的，在此不包括中国香港、澳门特别行政区和台湾地区法律），并从其解释。</w:t>
      </w:r>
    </w:p>
    <w:p w14:paraId="5B68F5CA" w14:textId="32798E69"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（二）双方当事人同意，因本协议而产生的或与本协议有关的一切争议，除经友好协商可以解决的，应提交广州仲裁委员会，根据该会届时有效的仲裁规则进行仲裁，仲裁的地点在</w:t>
      </w:r>
      <w:r w:rsidRPr="000C0420">
        <w:rPr>
          <w:rFonts w:ascii="宋体" w:hAnsi="宋体" w:hint="eastAsia"/>
          <w:b/>
          <w:color w:val="000000" w:themeColor="text1"/>
          <w:szCs w:val="21"/>
          <w:u w:val="single"/>
        </w:rPr>
        <w:t>广州市</w:t>
      </w:r>
      <w:r w:rsidRPr="000C0420">
        <w:rPr>
          <w:rFonts w:ascii="宋体" w:hAnsi="宋体" w:hint="eastAsia"/>
          <w:color w:val="000000" w:themeColor="text1"/>
          <w:szCs w:val="21"/>
        </w:rPr>
        <w:t>，仲裁裁决是终局性的并对相关各方均有约束力，仲裁费用由败诉方承担。</w:t>
      </w:r>
    </w:p>
    <w:p w14:paraId="64AA344D"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争议处理期间，双方当事人应恪守基金管理人和基金托管人职责，继续忠实、勤勉、尽责地履行《基金合同》和本托管协议规定的义务，维护基金份额持有人的合法权益。</w:t>
      </w:r>
    </w:p>
    <w:p w14:paraId="70A559B8" w14:textId="77777777" w:rsidR="00F633B7" w:rsidRPr="000C0420" w:rsidRDefault="000A2CE7">
      <w:pPr>
        <w:spacing w:line="500" w:lineRule="atLeast"/>
        <w:jc w:val="center"/>
        <w:outlineLvl w:val="0"/>
        <w:rPr>
          <w:rFonts w:ascii="宋体" w:hAnsi="宋体"/>
          <w:color w:val="000000" w:themeColor="text1"/>
        </w:rPr>
      </w:pPr>
      <w:bookmarkStart w:id="74" w:name="_Toc382819135"/>
      <w:r w:rsidRPr="000C0420">
        <w:rPr>
          <w:rFonts w:ascii="宋体" w:hAnsi="宋体" w:hint="eastAsia"/>
          <w:b/>
          <w:color w:val="000000" w:themeColor="text1"/>
          <w:sz w:val="24"/>
        </w:rPr>
        <w:t>十八、基金托管协议的效力和文本</w:t>
      </w:r>
      <w:bookmarkEnd w:id="74"/>
    </w:p>
    <w:p w14:paraId="126FC954"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（一）</w:t>
      </w:r>
      <w:r w:rsidRPr="000C0420">
        <w:rPr>
          <w:rFonts w:ascii="宋体" w:hAnsi="宋体" w:cs="Arial" w:hint="eastAsia"/>
          <w:color w:val="000000" w:themeColor="text1"/>
          <w:kern w:val="44"/>
          <w:szCs w:val="21"/>
        </w:rPr>
        <w:t>本协议经基金管理人、基金托管人双方加盖公章或合同专用章以及双方法定代表人或授权代表签字或盖章后成立</w:t>
      </w:r>
      <w:r w:rsidRPr="000C0420">
        <w:rPr>
          <w:rFonts w:ascii="宋体" w:hAnsi="宋体" w:hint="eastAsia"/>
          <w:color w:val="000000" w:themeColor="text1"/>
          <w:szCs w:val="21"/>
        </w:rPr>
        <w:t>。本协议以中国证监会注册的文本为正式文本。基金管理人应确保报送证监会注册/备案的文本与双方签署的文本一致。</w:t>
      </w:r>
    </w:p>
    <w:p w14:paraId="658B5B21"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（二）本协议自本协议成立且《基金合同》生效之日起生效，有效期自其生效之日起至该基金财产清算结果报中国证监会备案并公告之日止。如发生第十五条约定的其他情形的，则</w:t>
      </w:r>
      <w:proofErr w:type="gramStart"/>
      <w:r w:rsidRPr="000C0420">
        <w:rPr>
          <w:rFonts w:ascii="宋体" w:hAnsi="宋体" w:hint="eastAsia"/>
          <w:color w:val="000000" w:themeColor="text1"/>
          <w:szCs w:val="21"/>
        </w:rPr>
        <w:t>自相应</w:t>
      </w:r>
      <w:proofErr w:type="gramEnd"/>
      <w:r w:rsidRPr="000C0420">
        <w:rPr>
          <w:rFonts w:ascii="宋体" w:hAnsi="宋体" w:hint="eastAsia"/>
          <w:color w:val="000000" w:themeColor="text1"/>
          <w:szCs w:val="21"/>
        </w:rPr>
        <w:t>情形发生时终止。本协议约定与《基金合同》不一致的，以本协议为准。</w:t>
      </w:r>
    </w:p>
    <w:p w14:paraId="2E33E2FF"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（三）本协议自生效之日起对各当事人具有同等的法律约束力。</w:t>
      </w:r>
    </w:p>
    <w:p w14:paraId="17981A98" w14:textId="77777777" w:rsidR="00F633B7" w:rsidRPr="000C0420" w:rsidRDefault="000A2CE7">
      <w:pPr>
        <w:spacing w:line="360" w:lineRule="auto"/>
        <w:ind w:firstLineChars="200" w:firstLine="420"/>
        <w:rPr>
          <w:rFonts w:ascii="宋体" w:hAnsi="宋体"/>
          <w:color w:val="000000" w:themeColor="text1"/>
          <w:szCs w:val="21"/>
        </w:rPr>
      </w:pPr>
      <w:r w:rsidRPr="000C0420">
        <w:rPr>
          <w:rFonts w:ascii="宋体" w:hAnsi="宋体" w:hint="eastAsia"/>
          <w:color w:val="000000" w:themeColor="text1"/>
          <w:szCs w:val="21"/>
        </w:rPr>
        <w:t>（四）本协议正本一式三份，除上报有关监管机构一份外，基金管理人、基金托管人各持有一份，每份具有同等的法律效力。</w:t>
      </w:r>
    </w:p>
    <w:p w14:paraId="4140F769" w14:textId="77777777" w:rsidR="00F633B7" w:rsidRPr="000C0420" w:rsidRDefault="000A2CE7">
      <w:pPr>
        <w:spacing w:line="500" w:lineRule="atLeast"/>
        <w:jc w:val="center"/>
        <w:outlineLvl w:val="0"/>
        <w:rPr>
          <w:rFonts w:ascii="宋体" w:hAnsi="宋体"/>
          <w:color w:val="000000" w:themeColor="text1"/>
        </w:rPr>
      </w:pPr>
      <w:r w:rsidRPr="000C0420">
        <w:rPr>
          <w:rFonts w:ascii="宋体" w:hAnsi="宋体"/>
          <w:b/>
          <w:color w:val="000000" w:themeColor="text1"/>
          <w:sz w:val="24"/>
        </w:rPr>
        <w:t xml:space="preserve"> </w:t>
      </w:r>
      <w:bookmarkStart w:id="75" w:name="_Toc382819136"/>
      <w:r w:rsidRPr="000C0420">
        <w:rPr>
          <w:rFonts w:ascii="宋体" w:hAnsi="宋体" w:hint="eastAsia"/>
          <w:b/>
          <w:color w:val="000000" w:themeColor="text1"/>
          <w:sz w:val="24"/>
        </w:rPr>
        <w:t>十九、其他事项</w:t>
      </w:r>
      <w:bookmarkEnd w:id="75"/>
    </w:p>
    <w:p w14:paraId="746047D7"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（一）双方在此确认，双方均已充分了解和知悉各方反对其员工利用职务之便谋取任何形式利益之立场，并承诺将本着廉洁公平原则避免此类情形，不向对方的员工私自提供任何</w:t>
      </w:r>
      <w:r w:rsidRPr="000C0420">
        <w:rPr>
          <w:rFonts w:ascii="宋体" w:hAnsi="宋体" w:hint="eastAsia"/>
          <w:color w:val="000000" w:themeColor="text1"/>
          <w:szCs w:val="21"/>
        </w:rPr>
        <w:lastRenderedPageBreak/>
        <w:t>形式的回扣、礼金、有价证券、贵重物品、各种奖励、私人费用补偿、私人旅游、高消费娱乐等不当利益。</w:t>
      </w:r>
    </w:p>
    <w:p w14:paraId="2CB0F4FF"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（二）反洗钱义务</w:t>
      </w:r>
    </w:p>
    <w:p w14:paraId="1BB3B813"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基金管理人承诺自愿遵守反洗钱反恐怖融资法律法规，不参与涉嫌洗钱、恐怖融资、扩散融资等违法犯罪活动；主动配合基金托管人进行客户身份识别与尽职调查，提供真实、准确、完整客户资料，遵守各方反洗钱与反恐怖融资相关管理规定。如基金管理人信息（包括但不限于名称、法定代表人、住所、经营范围等）发生变化时，应当及时告知基金托管人。基金托管人若具备合理理由怀疑基金管理人涉嫌洗钱、恐怖融资的，有权按照中国人民银行反洗钱监管规定采取必要管控措施，或单方面终止本协议且不执行基金管理人的交易指令。</w:t>
      </w:r>
    </w:p>
    <w:p w14:paraId="58A977C9"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基金管理人确认并同意，基金托管人有权根据适用的反洗</w:t>
      </w:r>
      <w:proofErr w:type="gramStart"/>
      <w:r w:rsidRPr="000C0420">
        <w:rPr>
          <w:rFonts w:ascii="宋体" w:hAnsi="宋体" w:hint="eastAsia"/>
          <w:color w:val="000000" w:themeColor="text1"/>
          <w:szCs w:val="21"/>
        </w:rPr>
        <w:t>钱法律</w:t>
      </w:r>
      <w:proofErr w:type="gramEnd"/>
      <w:r w:rsidRPr="000C0420">
        <w:rPr>
          <w:rFonts w:ascii="宋体" w:hAnsi="宋体" w:hint="eastAsia"/>
          <w:color w:val="000000" w:themeColor="text1"/>
          <w:szCs w:val="21"/>
        </w:rPr>
        <w:t>法规规定及内部管理要求对基金管理人及本协议项下合作所涉及的交易等进行洗钱风险评估，</w:t>
      </w:r>
      <w:proofErr w:type="gramStart"/>
      <w:r w:rsidRPr="000C0420">
        <w:rPr>
          <w:rFonts w:ascii="宋体" w:hAnsi="宋体" w:hint="eastAsia"/>
          <w:color w:val="000000" w:themeColor="text1"/>
          <w:szCs w:val="21"/>
        </w:rPr>
        <w:t>若基金</w:t>
      </w:r>
      <w:proofErr w:type="gramEnd"/>
      <w:r w:rsidRPr="000C0420">
        <w:rPr>
          <w:rFonts w:ascii="宋体" w:hAnsi="宋体" w:hint="eastAsia"/>
          <w:color w:val="000000" w:themeColor="text1"/>
          <w:szCs w:val="21"/>
        </w:rPr>
        <w:t>管理人违反银行反洗钱管理规定，或基金托管人具备合理理由怀疑基金管理人及/或本协议项</w:t>
      </w:r>
      <w:proofErr w:type="gramStart"/>
      <w:r w:rsidRPr="000C0420">
        <w:rPr>
          <w:rFonts w:ascii="宋体" w:hAnsi="宋体" w:hint="eastAsia"/>
          <w:color w:val="000000" w:themeColor="text1"/>
          <w:szCs w:val="21"/>
        </w:rPr>
        <w:t>下业务</w:t>
      </w:r>
      <w:proofErr w:type="gramEnd"/>
      <w:r w:rsidRPr="000C0420">
        <w:rPr>
          <w:rFonts w:ascii="宋体" w:hAnsi="宋体" w:hint="eastAsia"/>
          <w:color w:val="000000" w:themeColor="text1"/>
          <w:szCs w:val="21"/>
        </w:rPr>
        <w:t>涉嫌参与联合国安理会、反洗</w:t>
      </w:r>
      <w:proofErr w:type="gramStart"/>
      <w:r w:rsidRPr="000C0420">
        <w:rPr>
          <w:rFonts w:ascii="宋体" w:hAnsi="宋体" w:hint="eastAsia"/>
          <w:color w:val="000000" w:themeColor="text1"/>
          <w:szCs w:val="21"/>
        </w:rPr>
        <w:t>钱金融</w:t>
      </w:r>
      <w:proofErr w:type="gramEnd"/>
      <w:r w:rsidRPr="000C0420">
        <w:rPr>
          <w:rFonts w:ascii="宋体" w:hAnsi="宋体" w:hint="eastAsia"/>
          <w:color w:val="000000" w:themeColor="text1"/>
          <w:szCs w:val="21"/>
        </w:rPr>
        <w:t>行动特别工作组、中国、美国、欧盟、英国、新加坡等国际组织或国家认定的洗钱、 制裁、恐怖融资或大规模杀伤性武器扩散融资活动、出口管制、或逃税等违法违规行为的，基金托管人有权按照中国人民银行反洗钱监管规定等规定及内部管理规定等采取必要的管控措施。同时，基金托管人有权不经通知基金管理人，直接限制、暂停本协议项下全部或部分业务，有权终止本协议，并有权要求基金管理人承担因此给基金托管人造成的所有损失。</w:t>
      </w:r>
    </w:p>
    <w:p w14:paraId="78652D69"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（三）通知</w:t>
      </w:r>
    </w:p>
    <w:p w14:paraId="5C8C1BB7" w14:textId="77777777" w:rsidR="00F633B7" w:rsidRPr="000C0420" w:rsidRDefault="000A2CE7">
      <w:pPr>
        <w:spacing w:line="360" w:lineRule="auto"/>
        <w:ind w:firstLineChars="171" w:firstLine="359"/>
        <w:rPr>
          <w:rFonts w:ascii="宋体" w:hAnsi="宋体"/>
          <w:color w:val="000000" w:themeColor="text1"/>
          <w:szCs w:val="21"/>
        </w:rPr>
      </w:pPr>
      <w:r w:rsidRPr="000C0420">
        <w:rPr>
          <w:rFonts w:ascii="宋体" w:hAnsi="宋体" w:hint="eastAsia"/>
          <w:color w:val="000000" w:themeColor="text1"/>
          <w:szCs w:val="21"/>
        </w:rPr>
        <w:t>1</w:t>
      </w:r>
      <w:r w:rsidRPr="000C0420">
        <w:rPr>
          <w:rFonts w:ascii="宋体" w:hAnsi="宋体"/>
          <w:color w:val="000000" w:themeColor="text1"/>
          <w:szCs w:val="21"/>
        </w:rPr>
        <w:t>.</w:t>
      </w:r>
      <w:r w:rsidRPr="000C0420">
        <w:rPr>
          <w:rFonts w:ascii="宋体" w:hAnsi="宋体" w:hint="eastAsia"/>
          <w:color w:val="000000" w:themeColor="text1"/>
          <w:szCs w:val="21"/>
        </w:rPr>
        <w:t>除本协议另有约定外，其他与本协议有关的通知应以书面形式</w:t>
      </w:r>
      <w:proofErr w:type="gramStart"/>
      <w:r w:rsidRPr="000C0420">
        <w:rPr>
          <w:rFonts w:ascii="宋体" w:hAnsi="宋体" w:hint="eastAsia"/>
          <w:color w:val="000000" w:themeColor="text1"/>
          <w:szCs w:val="21"/>
        </w:rPr>
        <w:t>作出</w:t>
      </w:r>
      <w:proofErr w:type="gramEnd"/>
      <w:r w:rsidRPr="000C0420">
        <w:rPr>
          <w:rFonts w:ascii="宋体" w:hAnsi="宋体" w:hint="eastAsia"/>
          <w:color w:val="000000" w:themeColor="text1"/>
          <w:szCs w:val="21"/>
        </w:rPr>
        <w:t>，并送达至协议约定的地址，如果相关信息发生变动，变动的一方应当在变动发生之日起五（5）日书面通知其他各方。</w:t>
      </w:r>
    </w:p>
    <w:p w14:paraId="06101E04" w14:textId="77777777" w:rsidR="00F633B7" w:rsidRPr="000C0420" w:rsidRDefault="000A2CE7">
      <w:pPr>
        <w:spacing w:line="360" w:lineRule="auto"/>
        <w:ind w:firstLineChars="171" w:firstLine="359"/>
        <w:rPr>
          <w:rFonts w:ascii="宋体" w:hAnsi="宋体"/>
          <w:color w:val="000000" w:themeColor="text1"/>
          <w:szCs w:val="21"/>
        </w:rPr>
      </w:pPr>
      <w:r w:rsidRPr="000C0420">
        <w:rPr>
          <w:rFonts w:ascii="宋体" w:hAnsi="宋体" w:hint="eastAsia"/>
          <w:color w:val="000000" w:themeColor="text1"/>
          <w:szCs w:val="21"/>
        </w:rPr>
        <w:t>2由本协议一方以专人递送给另一方，或以邮递方式发出。该等通知以专人递送，于递交时视为送达；以邮递方式发出，于收件人签收时视为送达；以电子邮件方式发出，收件方服务器接收视为送达。</w:t>
      </w:r>
    </w:p>
    <w:p w14:paraId="335C2D76" w14:textId="77777777" w:rsidR="00F633B7" w:rsidRPr="000C0420" w:rsidRDefault="000A2CE7">
      <w:pPr>
        <w:spacing w:line="360" w:lineRule="auto"/>
        <w:ind w:firstLineChars="171" w:firstLine="359"/>
        <w:rPr>
          <w:rFonts w:ascii="宋体" w:hAnsi="宋体"/>
          <w:color w:val="000000" w:themeColor="text1"/>
          <w:szCs w:val="21"/>
        </w:rPr>
      </w:pPr>
      <w:r w:rsidRPr="000C0420">
        <w:rPr>
          <w:rFonts w:ascii="宋体" w:hAnsi="宋体" w:hint="eastAsia"/>
          <w:color w:val="000000" w:themeColor="text1"/>
          <w:szCs w:val="21"/>
        </w:rPr>
        <w:t>3任何一方在任何时间改变接收通知所用的地址立即将该变更通过本协议约定的邮箱或各方认可的方式通知另一方；如果该变更通知未能送达，递交给上述收件人或地址的通知或联络应视为被正常发送和接收。</w:t>
      </w:r>
    </w:p>
    <w:p w14:paraId="7248CF92" w14:textId="7C592C94" w:rsidR="00F633B7" w:rsidRPr="000C0420" w:rsidRDefault="000A2CE7">
      <w:pPr>
        <w:spacing w:line="360" w:lineRule="auto"/>
        <w:ind w:firstLineChars="171" w:firstLine="359"/>
        <w:rPr>
          <w:rFonts w:ascii="宋体" w:hAnsi="宋体"/>
          <w:color w:val="000000" w:themeColor="text1"/>
          <w:szCs w:val="21"/>
        </w:rPr>
      </w:pPr>
      <w:r w:rsidRPr="000C0420">
        <w:rPr>
          <w:rFonts w:ascii="宋体" w:hAnsi="宋体" w:hint="eastAsia"/>
          <w:color w:val="000000" w:themeColor="text1"/>
          <w:szCs w:val="21"/>
        </w:rPr>
        <w:t>4各方确认，本协议首页列明的各方地址为其有效的送达地址。对本协议项下所发生的任何诉讼（包括一审、二审和再审等任何诉讼程序和执行程序）过程中对其发出的函件、传</w:t>
      </w:r>
      <w:r w:rsidRPr="000C0420">
        <w:rPr>
          <w:rFonts w:ascii="宋体" w:hAnsi="宋体" w:hint="eastAsia"/>
          <w:color w:val="000000" w:themeColor="text1"/>
          <w:szCs w:val="21"/>
        </w:rPr>
        <w:lastRenderedPageBreak/>
        <w:t>票、通知等法律文书，只要以邮寄或以本协议约定或各方认可的方式发送至本协议首页列明的送达地址即视为送达，具体送达日期适用《</w:t>
      </w:r>
      <w:r w:rsidR="00D810A0" w:rsidRPr="000C0420">
        <w:rPr>
          <w:rFonts w:hint="eastAsia"/>
          <w:color w:val="000000" w:themeColor="text1"/>
        </w:rPr>
        <w:t>中华人民共和国民事诉讼法</w:t>
      </w:r>
      <w:r w:rsidRPr="000C0420">
        <w:rPr>
          <w:rFonts w:ascii="宋体" w:hAnsi="宋体" w:hint="eastAsia"/>
          <w:color w:val="000000" w:themeColor="text1"/>
          <w:szCs w:val="21"/>
        </w:rPr>
        <w:t>》中关于送达日期的规定。上述送达地址的</w:t>
      </w:r>
      <w:proofErr w:type="gramStart"/>
      <w:r w:rsidRPr="000C0420">
        <w:rPr>
          <w:rFonts w:ascii="宋体" w:hAnsi="宋体" w:hint="eastAsia"/>
          <w:color w:val="000000" w:themeColor="text1"/>
          <w:szCs w:val="21"/>
        </w:rPr>
        <w:t>变更非</w:t>
      </w:r>
      <w:proofErr w:type="gramEnd"/>
      <w:r w:rsidRPr="000C0420">
        <w:rPr>
          <w:rFonts w:ascii="宋体" w:hAnsi="宋体" w:hint="eastAsia"/>
          <w:color w:val="000000" w:themeColor="text1"/>
          <w:szCs w:val="21"/>
        </w:rPr>
        <w:t>经提前通知另一方，不发生法律效力，本协议中确认的送达地址仍然视为有效的送达地址。</w:t>
      </w:r>
    </w:p>
    <w:p w14:paraId="6E500DB8" w14:textId="77777777" w:rsidR="00F633B7" w:rsidRPr="000C0420" w:rsidRDefault="000A2CE7">
      <w:pPr>
        <w:pStyle w:val="a7"/>
        <w:rPr>
          <w:rFonts w:ascii="宋体" w:hAnsi="宋体"/>
          <w:color w:val="000000" w:themeColor="text1"/>
          <w:szCs w:val="21"/>
        </w:rPr>
      </w:pPr>
      <w:r w:rsidRPr="000C0420">
        <w:rPr>
          <w:rFonts w:ascii="宋体" w:hAnsi="宋体" w:hint="eastAsia"/>
          <w:color w:val="000000" w:themeColor="text1"/>
          <w:szCs w:val="21"/>
        </w:rPr>
        <w:t>（四）本协议未尽事宜，当事人依据《基金合同》以及有关法律、法规和规定协商办理。</w:t>
      </w:r>
    </w:p>
    <w:p w14:paraId="102B4B73" w14:textId="77777777" w:rsidR="00F633B7" w:rsidRPr="000C0420" w:rsidRDefault="000A2CE7">
      <w:pPr>
        <w:pStyle w:val="a7"/>
        <w:ind w:firstLineChars="0" w:firstLine="0"/>
        <w:rPr>
          <w:rFonts w:ascii="宋体" w:hAnsi="宋体"/>
          <w:color w:val="000000" w:themeColor="text1"/>
          <w:szCs w:val="21"/>
        </w:rPr>
      </w:pPr>
      <w:r w:rsidRPr="000C0420">
        <w:rPr>
          <w:rFonts w:ascii="宋体" w:hAnsi="宋体" w:hint="eastAsia"/>
          <w:color w:val="000000" w:themeColor="text1"/>
          <w:szCs w:val="21"/>
        </w:rPr>
        <w:t>（本页以下无正文）</w:t>
      </w:r>
    </w:p>
    <w:p w14:paraId="67FA3B23" w14:textId="77777777" w:rsidR="00F633B7" w:rsidRPr="000C0420" w:rsidRDefault="00F633B7">
      <w:pPr>
        <w:widowControl/>
        <w:spacing w:beforeAutospacing="1" w:line="360" w:lineRule="auto"/>
        <w:jc w:val="left"/>
        <w:rPr>
          <w:rFonts w:ascii="宋体" w:hAnsi="宋体"/>
          <w:color w:val="000000" w:themeColor="text1"/>
          <w:szCs w:val="21"/>
          <w:lang w:val="zh-CN"/>
        </w:rPr>
        <w:sectPr w:rsidR="00F633B7" w:rsidRPr="000C0420">
          <w:footerReference w:type="default" r:id="rId13"/>
          <w:pgSz w:w="11906" w:h="16838"/>
          <w:pgMar w:top="1440" w:right="1800" w:bottom="1440" w:left="1800" w:header="851" w:footer="992" w:gutter="0"/>
          <w:pgNumType w:start="1"/>
          <w:cols w:space="720"/>
          <w:docGrid w:type="lines" w:linePitch="312"/>
        </w:sectPr>
      </w:pPr>
    </w:p>
    <w:p w14:paraId="05BBAF0C" w14:textId="05857BCD" w:rsidR="00F633B7" w:rsidRPr="000C0420" w:rsidRDefault="000A2CE7">
      <w:pPr>
        <w:spacing w:after="120" w:line="360" w:lineRule="auto"/>
        <w:rPr>
          <w:rFonts w:ascii="宋体" w:hAnsi="宋体"/>
          <w:color w:val="000000" w:themeColor="text1"/>
          <w:szCs w:val="21"/>
        </w:rPr>
      </w:pPr>
      <w:r w:rsidRPr="000C0420">
        <w:rPr>
          <w:rFonts w:ascii="宋体" w:hAnsi="宋体" w:hint="eastAsia"/>
          <w:color w:val="000000" w:themeColor="text1"/>
          <w:szCs w:val="21"/>
        </w:rPr>
        <w:lastRenderedPageBreak/>
        <w:t>（本页为《广发中证工业有色金属主题交易型开放式指数证券投资基金托管协议》签署页，无正文）</w:t>
      </w:r>
    </w:p>
    <w:p w14:paraId="0C37001B" w14:textId="77777777" w:rsidR="00F633B7" w:rsidRPr="000C0420" w:rsidRDefault="00F633B7">
      <w:pPr>
        <w:spacing w:line="360" w:lineRule="auto"/>
        <w:ind w:right="26"/>
        <w:rPr>
          <w:rFonts w:ascii="宋体" w:hAnsi="宋体"/>
          <w:b/>
          <w:bCs/>
          <w:color w:val="000000" w:themeColor="text1"/>
          <w:szCs w:val="21"/>
        </w:rPr>
      </w:pPr>
    </w:p>
    <w:p w14:paraId="350BCDBF" w14:textId="77777777" w:rsidR="00F633B7" w:rsidRPr="000C0420" w:rsidRDefault="000A2CE7">
      <w:pPr>
        <w:spacing w:line="360" w:lineRule="auto"/>
        <w:ind w:right="26"/>
        <w:rPr>
          <w:color w:val="000000" w:themeColor="text1"/>
          <w:szCs w:val="21"/>
        </w:rPr>
      </w:pPr>
      <w:r w:rsidRPr="000C0420">
        <w:rPr>
          <w:rFonts w:hint="eastAsia"/>
          <w:color w:val="000000" w:themeColor="text1"/>
          <w:szCs w:val="21"/>
        </w:rPr>
        <w:t>基金管理人：广发基金管理有限公司（盖章）</w:t>
      </w:r>
    </w:p>
    <w:p w14:paraId="20E0EC3C" w14:textId="77777777" w:rsidR="00F633B7" w:rsidRPr="000C0420" w:rsidRDefault="00F633B7">
      <w:pPr>
        <w:spacing w:line="360" w:lineRule="auto"/>
        <w:ind w:right="26"/>
        <w:rPr>
          <w:color w:val="000000" w:themeColor="text1"/>
          <w:szCs w:val="21"/>
        </w:rPr>
      </w:pPr>
    </w:p>
    <w:p w14:paraId="6FD37716" w14:textId="77777777" w:rsidR="00F633B7" w:rsidRPr="000C0420" w:rsidRDefault="00F633B7">
      <w:pPr>
        <w:spacing w:line="360" w:lineRule="auto"/>
        <w:ind w:right="26"/>
        <w:rPr>
          <w:color w:val="000000" w:themeColor="text1"/>
          <w:szCs w:val="21"/>
        </w:rPr>
      </w:pPr>
    </w:p>
    <w:p w14:paraId="1E8C772A" w14:textId="77777777" w:rsidR="00F633B7" w:rsidRPr="000C0420" w:rsidRDefault="00F633B7">
      <w:pPr>
        <w:spacing w:line="360" w:lineRule="auto"/>
        <w:ind w:right="26"/>
        <w:rPr>
          <w:color w:val="000000" w:themeColor="text1"/>
          <w:szCs w:val="21"/>
        </w:rPr>
      </w:pPr>
    </w:p>
    <w:p w14:paraId="0DC43697" w14:textId="77777777" w:rsidR="00F633B7" w:rsidRPr="000C0420" w:rsidRDefault="00F633B7">
      <w:pPr>
        <w:spacing w:line="360" w:lineRule="auto"/>
        <w:ind w:right="26"/>
        <w:rPr>
          <w:color w:val="000000" w:themeColor="text1"/>
          <w:szCs w:val="21"/>
        </w:rPr>
      </w:pPr>
    </w:p>
    <w:p w14:paraId="3B6EF867" w14:textId="77777777" w:rsidR="00F633B7" w:rsidRPr="000C0420" w:rsidRDefault="000A2CE7">
      <w:pPr>
        <w:snapToGrid w:val="0"/>
        <w:spacing w:line="360" w:lineRule="auto"/>
        <w:ind w:right="26"/>
        <w:rPr>
          <w:color w:val="000000" w:themeColor="text1"/>
          <w:szCs w:val="21"/>
        </w:rPr>
      </w:pPr>
      <w:r w:rsidRPr="000C0420">
        <w:rPr>
          <w:rFonts w:hint="eastAsia"/>
          <w:color w:val="000000" w:themeColor="text1"/>
          <w:szCs w:val="21"/>
        </w:rPr>
        <w:t>法定代表人或授权代表（签字或签章）：</w:t>
      </w:r>
      <w:r w:rsidRPr="000C0420">
        <w:rPr>
          <w:color w:val="000000" w:themeColor="text1"/>
          <w:szCs w:val="21"/>
        </w:rPr>
        <w:t xml:space="preserve"> </w:t>
      </w:r>
    </w:p>
    <w:p w14:paraId="2B3C4E14" w14:textId="77777777" w:rsidR="00F633B7" w:rsidRPr="000C0420" w:rsidRDefault="00F633B7">
      <w:pPr>
        <w:snapToGrid w:val="0"/>
        <w:spacing w:line="360" w:lineRule="auto"/>
        <w:ind w:right="26"/>
        <w:rPr>
          <w:color w:val="000000" w:themeColor="text1"/>
          <w:szCs w:val="21"/>
        </w:rPr>
      </w:pPr>
    </w:p>
    <w:p w14:paraId="438C13C2" w14:textId="77777777" w:rsidR="00F633B7" w:rsidRPr="000C0420" w:rsidRDefault="00F633B7">
      <w:pPr>
        <w:snapToGrid w:val="0"/>
        <w:spacing w:line="360" w:lineRule="auto"/>
        <w:ind w:right="26"/>
        <w:rPr>
          <w:color w:val="000000" w:themeColor="text1"/>
          <w:szCs w:val="21"/>
        </w:rPr>
      </w:pPr>
    </w:p>
    <w:p w14:paraId="6FDEBFAF" w14:textId="77777777" w:rsidR="00F633B7" w:rsidRPr="000C0420" w:rsidRDefault="00F633B7">
      <w:pPr>
        <w:snapToGrid w:val="0"/>
        <w:spacing w:line="360" w:lineRule="auto"/>
        <w:ind w:right="26"/>
        <w:rPr>
          <w:color w:val="000000" w:themeColor="text1"/>
          <w:szCs w:val="21"/>
        </w:rPr>
      </w:pPr>
    </w:p>
    <w:p w14:paraId="4F6C7DFB" w14:textId="77777777" w:rsidR="00F633B7" w:rsidRPr="000C0420" w:rsidRDefault="00F633B7">
      <w:pPr>
        <w:snapToGrid w:val="0"/>
        <w:spacing w:line="360" w:lineRule="auto"/>
        <w:ind w:right="26"/>
        <w:rPr>
          <w:color w:val="000000" w:themeColor="text1"/>
          <w:szCs w:val="21"/>
        </w:rPr>
      </w:pPr>
    </w:p>
    <w:p w14:paraId="1029E51F" w14:textId="77777777" w:rsidR="00F633B7" w:rsidRPr="000C0420" w:rsidRDefault="000A2CE7">
      <w:pPr>
        <w:snapToGrid w:val="0"/>
        <w:spacing w:line="360" w:lineRule="auto"/>
        <w:ind w:right="26"/>
        <w:rPr>
          <w:color w:val="000000" w:themeColor="text1"/>
          <w:szCs w:val="21"/>
        </w:rPr>
      </w:pPr>
      <w:r w:rsidRPr="000C0420">
        <w:rPr>
          <w:rFonts w:hint="eastAsia"/>
          <w:color w:val="000000" w:themeColor="text1"/>
          <w:szCs w:val="21"/>
        </w:rPr>
        <w:t>基金托管人：上海浦东发展银行股份有限公司（盖章）</w:t>
      </w:r>
    </w:p>
    <w:p w14:paraId="32478F0F" w14:textId="77777777" w:rsidR="00F633B7" w:rsidRPr="000C0420" w:rsidRDefault="00F633B7">
      <w:pPr>
        <w:snapToGrid w:val="0"/>
        <w:spacing w:line="360" w:lineRule="auto"/>
        <w:ind w:right="26"/>
        <w:rPr>
          <w:color w:val="000000" w:themeColor="text1"/>
          <w:szCs w:val="21"/>
        </w:rPr>
      </w:pPr>
    </w:p>
    <w:p w14:paraId="7E480025" w14:textId="77777777" w:rsidR="00F633B7" w:rsidRPr="000C0420" w:rsidRDefault="00F633B7">
      <w:pPr>
        <w:snapToGrid w:val="0"/>
        <w:spacing w:line="360" w:lineRule="auto"/>
        <w:ind w:right="26"/>
        <w:rPr>
          <w:color w:val="000000" w:themeColor="text1"/>
          <w:szCs w:val="21"/>
        </w:rPr>
      </w:pPr>
    </w:p>
    <w:p w14:paraId="2B3A9982" w14:textId="77777777" w:rsidR="00F633B7" w:rsidRPr="000C0420" w:rsidRDefault="00F633B7">
      <w:pPr>
        <w:snapToGrid w:val="0"/>
        <w:spacing w:line="360" w:lineRule="auto"/>
        <w:ind w:right="26"/>
        <w:rPr>
          <w:color w:val="000000" w:themeColor="text1"/>
          <w:szCs w:val="21"/>
        </w:rPr>
      </w:pPr>
    </w:p>
    <w:p w14:paraId="021FD2B1" w14:textId="77777777" w:rsidR="00F633B7" w:rsidRPr="000C0420" w:rsidRDefault="00F633B7">
      <w:pPr>
        <w:snapToGrid w:val="0"/>
        <w:spacing w:line="360" w:lineRule="auto"/>
        <w:ind w:right="26"/>
        <w:rPr>
          <w:color w:val="000000" w:themeColor="text1"/>
          <w:szCs w:val="21"/>
        </w:rPr>
      </w:pPr>
    </w:p>
    <w:p w14:paraId="19E28833" w14:textId="77777777" w:rsidR="00F633B7" w:rsidRPr="000C0420" w:rsidRDefault="000A2CE7">
      <w:pPr>
        <w:snapToGrid w:val="0"/>
        <w:spacing w:line="360" w:lineRule="auto"/>
        <w:ind w:right="26"/>
        <w:rPr>
          <w:color w:val="000000" w:themeColor="text1"/>
          <w:szCs w:val="21"/>
        </w:rPr>
      </w:pPr>
      <w:r w:rsidRPr="000C0420">
        <w:rPr>
          <w:rFonts w:hint="eastAsia"/>
          <w:color w:val="000000" w:themeColor="text1"/>
          <w:szCs w:val="21"/>
        </w:rPr>
        <w:t>法定代表人或授权代表（签字或签章）：</w:t>
      </w:r>
      <w:r w:rsidRPr="000C0420">
        <w:rPr>
          <w:color w:val="000000" w:themeColor="text1"/>
          <w:szCs w:val="21"/>
        </w:rPr>
        <w:t xml:space="preserve"> </w:t>
      </w:r>
    </w:p>
    <w:p w14:paraId="228FD357" w14:textId="77777777" w:rsidR="00F633B7" w:rsidRPr="000C0420" w:rsidRDefault="00F633B7">
      <w:pPr>
        <w:snapToGrid w:val="0"/>
        <w:spacing w:line="360" w:lineRule="auto"/>
        <w:ind w:right="26"/>
        <w:rPr>
          <w:color w:val="000000" w:themeColor="text1"/>
          <w:szCs w:val="21"/>
        </w:rPr>
      </w:pPr>
    </w:p>
    <w:p w14:paraId="02AB6DAD" w14:textId="77777777" w:rsidR="00F633B7" w:rsidRPr="000C0420" w:rsidRDefault="00F633B7">
      <w:pPr>
        <w:snapToGrid w:val="0"/>
        <w:spacing w:line="360" w:lineRule="auto"/>
        <w:ind w:right="26"/>
        <w:rPr>
          <w:color w:val="000000" w:themeColor="text1"/>
          <w:szCs w:val="21"/>
        </w:rPr>
      </w:pPr>
    </w:p>
    <w:p w14:paraId="059B3AC0" w14:textId="77777777" w:rsidR="00F633B7" w:rsidRPr="000C0420" w:rsidRDefault="00F633B7">
      <w:pPr>
        <w:snapToGrid w:val="0"/>
        <w:spacing w:line="360" w:lineRule="auto"/>
        <w:ind w:right="26"/>
        <w:rPr>
          <w:color w:val="000000" w:themeColor="text1"/>
          <w:szCs w:val="21"/>
        </w:rPr>
      </w:pPr>
    </w:p>
    <w:p w14:paraId="2F29945F" w14:textId="77777777" w:rsidR="00F633B7" w:rsidRPr="000C0420" w:rsidRDefault="00F633B7">
      <w:pPr>
        <w:snapToGrid w:val="0"/>
        <w:spacing w:line="360" w:lineRule="auto"/>
        <w:ind w:right="26"/>
        <w:rPr>
          <w:color w:val="000000" w:themeColor="text1"/>
          <w:szCs w:val="21"/>
        </w:rPr>
      </w:pPr>
    </w:p>
    <w:p w14:paraId="692DC8F5" w14:textId="77777777" w:rsidR="00F633B7" w:rsidRPr="000C0420" w:rsidRDefault="00F633B7">
      <w:pPr>
        <w:snapToGrid w:val="0"/>
        <w:spacing w:line="360" w:lineRule="auto"/>
        <w:ind w:right="26"/>
        <w:rPr>
          <w:color w:val="000000" w:themeColor="text1"/>
          <w:szCs w:val="21"/>
        </w:rPr>
      </w:pPr>
    </w:p>
    <w:p w14:paraId="1C834266" w14:textId="77777777" w:rsidR="00F633B7" w:rsidRPr="000C0420" w:rsidRDefault="000A2CE7">
      <w:pPr>
        <w:snapToGrid w:val="0"/>
        <w:spacing w:line="360" w:lineRule="auto"/>
        <w:ind w:right="26"/>
        <w:rPr>
          <w:color w:val="000000" w:themeColor="text1"/>
          <w:szCs w:val="21"/>
        </w:rPr>
      </w:pPr>
      <w:r w:rsidRPr="000C0420">
        <w:rPr>
          <w:rFonts w:hint="eastAsia"/>
          <w:color w:val="000000" w:themeColor="text1"/>
          <w:szCs w:val="21"/>
        </w:rPr>
        <w:t>签订地点：</w:t>
      </w:r>
      <w:r w:rsidRPr="000C0420">
        <w:rPr>
          <w:color w:val="000000" w:themeColor="text1"/>
          <w:szCs w:val="21"/>
        </w:rPr>
        <w:t xml:space="preserve"> </w:t>
      </w:r>
    </w:p>
    <w:p w14:paraId="729707B0" w14:textId="77777777" w:rsidR="00F633B7" w:rsidRPr="000C0420" w:rsidRDefault="000A2CE7">
      <w:pPr>
        <w:autoSpaceDE w:val="0"/>
        <w:autoSpaceDN w:val="0"/>
        <w:adjustRightInd w:val="0"/>
        <w:spacing w:line="360" w:lineRule="auto"/>
        <w:ind w:right="480"/>
        <w:rPr>
          <w:color w:val="000000" w:themeColor="text1"/>
          <w:szCs w:val="21"/>
        </w:rPr>
      </w:pPr>
      <w:r w:rsidRPr="000C0420">
        <w:rPr>
          <w:rFonts w:hint="eastAsia"/>
          <w:color w:val="000000" w:themeColor="text1"/>
          <w:szCs w:val="21"/>
        </w:rPr>
        <w:t>签</w:t>
      </w:r>
      <w:r w:rsidRPr="000C0420">
        <w:rPr>
          <w:color w:val="000000" w:themeColor="text1"/>
          <w:szCs w:val="21"/>
        </w:rPr>
        <w:t xml:space="preserve"> </w:t>
      </w:r>
      <w:r w:rsidRPr="000C0420">
        <w:rPr>
          <w:rFonts w:hint="eastAsia"/>
          <w:color w:val="000000" w:themeColor="text1"/>
          <w:szCs w:val="21"/>
        </w:rPr>
        <w:t>订</w:t>
      </w:r>
      <w:r w:rsidRPr="000C0420">
        <w:rPr>
          <w:color w:val="000000" w:themeColor="text1"/>
          <w:szCs w:val="21"/>
        </w:rPr>
        <w:t xml:space="preserve"> </w:t>
      </w:r>
      <w:r w:rsidRPr="000C0420">
        <w:rPr>
          <w:rFonts w:hint="eastAsia"/>
          <w:color w:val="000000" w:themeColor="text1"/>
          <w:szCs w:val="21"/>
        </w:rPr>
        <w:t>日：</w:t>
      </w:r>
      <w:r w:rsidRPr="000C0420">
        <w:rPr>
          <w:color w:val="000000" w:themeColor="text1"/>
          <w:szCs w:val="21"/>
        </w:rPr>
        <w:t xml:space="preserve">    </w:t>
      </w:r>
      <w:r w:rsidRPr="000C0420">
        <w:rPr>
          <w:rFonts w:hint="eastAsia"/>
          <w:color w:val="000000" w:themeColor="text1"/>
          <w:szCs w:val="21"/>
        </w:rPr>
        <w:t>年</w:t>
      </w:r>
      <w:r w:rsidRPr="000C0420">
        <w:rPr>
          <w:color w:val="000000" w:themeColor="text1"/>
          <w:szCs w:val="21"/>
        </w:rPr>
        <w:t xml:space="preserve">    </w:t>
      </w:r>
      <w:r w:rsidRPr="000C0420">
        <w:rPr>
          <w:rFonts w:hint="eastAsia"/>
          <w:color w:val="000000" w:themeColor="text1"/>
          <w:szCs w:val="21"/>
        </w:rPr>
        <w:t>月</w:t>
      </w:r>
      <w:r w:rsidRPr="000C0420">
        <w:rPr>
          <w:color w:val="000000" w:themeColor="text1"/>
          <w:szCs w:val="21"/>
        </w:rPr>
        <w:t xml:space="preserve">    </w:t>
      </w:r>
      <w:r w:rsidRPr="000C0420">
        <w:rPr>
          <w:rFonts w:hint="eastAsia"/>
          <w:color w:val="000000" w:themeColor="text1"/>
          <w:szCs w:val="21"/>
        </w:rPr>
        <w:t>日</w:t>
      </w:r>
    </w:p>
    <w:p w14:paraId="270ED377" w14:textId="77777777" w:rsidR="00F633B7" w:rsidRPr="000C0420" w:rsidRDefault="00F633B7">
      <w:pPr>
        <w:spacing w:line="360" w:lineRule="auto"/>
        <w:ind w:right="26"/>
        <w:rPr>
          <w:rFonts w:ascii="宋体" w:hAnsi="宋体"/>
          <w:b/>
          <w:color w:val="000000" w:themeColor="text1"/>
          <w:szCs w:val="21"/>
        </w:rPr>
      </w:pPr>
    </w:p>
    <w:p w14:paraId="7ED33EB0" w14:textId="77777777" w:rsidR="00F633B7" w:rsidRPr="000C0420" w:rsidRDefault="00F633B7">
      <w:pPr>
        <w:spacing w:line="360" w:lineRule="auto"/>
        <w:ind w:right="26"/>
        <w:rPr>
          <w:rFonts w:ascii="宋体" w:hAnsi="宋体"/>
          <w:color w:val="000000" w:themeColor="text1"/>
          <w:szCs w:val="21"/>
        </w:rPr>
      </w:pPr>
    </w:p>
    <w:p w14:paraId="0918EA90" w14:textId="77777777" w:rsidR="00F633B7" w:rsidRPr="000C0420" w:rsidRDefault="00F633B7">
      <w:pPr>
        <w:spacing w:line="360" w:lineRule="auto"/>
        <w:ind w:right="26"/>
        <w:rPr>
          <w:rFonts w:ascii="宋体" w:hAnsi="宋体"/>
          <w:color w:val="000000" w:themeColor="text1"/>
          <w:szCs w:val="21"/>
        </w:rPr>
      </w:pPr>
    </w:p>
    <w:p w14:paraId="1BEB5D46" w14:textId="77777777" w:rsidR="00F633B7" w:rsidRPr="000C0420" w:rsidRDefault="00F633B7">
      <w:pPr>
        <w:spacing w:line="360" w:lineRule="auto"/>
        <w:ind w:right="26"/>
        <w:rPr>
          <w:rFonts w:ascii="宋体" w:hAnsi="宋体"/>
          <w:color w:val="000000" w:themeColor="text1"/>
          <w:szCs w:val="21"/>
        </w:rPr>
      </w:pPr>
    </w:p>
    <w:p w14:paraId="2F65FA6E" w14:textId="77777777" w:rsidR="00F633B7" w:rsidRPr="000C0420" w:rsidRDefault="00F633B7">
      <w:pPr>
        <w:spacing w:line="360" w:lineRule="auto"/>
        <w:ind w:right="26"/>
        <w:rPr>
          <w:rFonts w:ascii="宋体" w:hAnsi="宋体"/>
          <w:color w:val="000000" w:themeColor="text1"/>
          <w:szCs w:val="21"/>
        </w:rPr>
      </w:pPr>
    </w:p>
    <w:p w14:paraId="76452A0B" w14:textId="77777777" w:rsidR="00F633B7" w:rsidRPr="000C0420" w:rsidRDefault="00F633B7">
      <w:pPr>
        <w:rPr>
          <w:color w:val="000000" w:themeColor="text1"/>
        </w:rPr>
      </w:pPr>
    </w:p>
    <w:sectPr w:rsidR="00F633B7" w:rsidRPr="000C04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43BFC" w14:textId="77777777" w:rsidR="00DE6DC3" w:rsidRDefault="00DE6DC3">
      <w:r>
        <w:separator/>
      </w:r>
    </w:p>
  </w:endnote>
  <w:endnote w:type="continuationSeparator" w:id="0">
    <w:p w14:paraId="4FAFD41E" w14:textId="77777777" w:rsidR="00DE6DC3" w:rsidRDefault="00DE6DC3">
      <w:r>
        <w:continuationSeparator/>
      </w:r>
    </w:p>
  </w:endnote>
  <w:endnote w:type="continuationNotice" w:id="1">
    <w:p w14:paraId="13C665EB" w14:textId="77777777" w:rsidR="00DE6DC3" w:rsidRDefault="00DE6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E6D9D" w14:textId="77777777" w:rsidR="000A2CE7" w:rsidRDefault="000A2CE7">
    <w:pPr>
      <w:pStyle w:val="ab"/>
      <w:jc w:val="center"/>
    </w:pPr>
  </w:p>
  <w:p w14:paraId="5E7FC0DA" w14:textId="77777777" w:rsidR="000A2CE7" w:rsidRDefault="000A2CE7">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96DF6" w14:textId="031E6611" w:rsidR="000A2CE7" w:rsidRDefault="000A2CE7">
    <w:pPr>
      <w:pStyle w:val="ab"/>
      <w:jc w:val="center"/>
    </w:pPr>
    <w:r>
      <w:fldChar w:fldCharType="begin"/>
    </w:r>
    <w:r>
      <w:instrText>PAGE   \* MERGEFORMAT</w:instrText>
    </w:r>
    <w:r>
      <w:fldChar w:fldCharType="separate"/>
    </w:r>
    <w:r w:rsidR="00B12A3A" w:rsidRPr="00B12A3A">
      <w:rPr>
        <w:noProof/>
        <w:lang w:val="zh-CN"/>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BF6E7" w14:textId="77777777" w:rsidR="00DE6DC3" w:rsidRDefault="00DE6DC3">
      <w:r>
        <w:separator/>
      </w:r>
    </w:p>
  </w:footnote>
  <w:footnote w:type="continuationSeparator" w:id="0">
    <w:p w14:paraId="531295D9" w14:textId="77777777" w:rsidR="00DE6DC3" w:rsidRDefault="00DE6DC3">
      <w:r>
        <w:continuationSeparator/>
      </w:r>
    </w:p>
  </w:footnote>
  <w:footnote w:type="continuationNotice" w:id="1">
    <w:p w14:paraId="534A79DD" w14:textId="77777777" w:rsidR="00DE6DC3" w:rsidRDefault="00DE6DC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9771" w14:textId="4A221CBE" w:rsidR="000A2CE7" w:rsidRDefault="000A2CE7">
    <w:pPr>
      <w:pStyle w:val="ad"/>
      <w:ind w:right="720"/>
      <w:jc w:val="right"/>
    </w:pPr>
    <w:r>
      <w:rPr>
        <w:rFonts w:hint="eastAsia"/>
      </w:rPr>
      <w:t>托管协议</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E95D94"/>
    <w:multiLevelType w:val="singleLevel"/>
    <w:tmpl w:val="B2E95D94"/>
    <w:lvl w:ilvl="0">
      <w:start w:val="5"/>
      <w:numFmt w:val="decimal"/>
      <w:suff w:val="nothing"/>
      <w:lvlText w:val="（%1）"/>
      <w:lvlJc w:val="left"/>
    </w:lvl>
  </w:abstractNum>
  <w:abstractNum w:abstractNumId="1" w15:restartNumberingAfterBreak="0">
    <w:nsid w:val="266538E2"/>
    <w:multiLevelType w:val="multilevel"/>
    <w:tmpl w:val="266538E2"/>
    <w:lvl w:ilvl="0">
      <w:start w:val="1"/>
      <w:numFmt w:val="chineseCountingThousand"/>
      <w:pStyle w:val="1"/>
      <w:lvlText w:val="第%1章  "/>
      <w:lvlJc w:val="left"/>
      <w:pPr>
        <w:tabs>
          <w:tab w:val="left" w:pos="1922"/>
        </w:tabs>
        <w:ind w:left="0" w:firstLine="482"/>
      </w:pPr>
      <w:rPr>
        <w:rFonts w:hint="eastAsia"/>
      </w:rPr>
    </w:lvl>
    <w:lvl w:ilvl="1">
      <w:start w:val="1"/>
      <w:numFmt w:val="chineseCountingThousand"/>
      <w:lvlText w:val="第%2节  "/>
      <w:lvlJc w:val="left"/>
      <w:pPr>
        <w:tabs>
          <w:tab w:val="left" w:pos="1922"/>
        </w:tabs>
        <w:ind w:left="0" w:firstLine="482"/>
      </w:pPr>
      <w:rPr>
        <w:rFonts w:hint="eastAsia"/>
      </w:rPr>
    </w:lvl>
    <w:lvl w:ilvl="2">
      <w:start w:val="1"/>
      <w:numFmt w:val="chineseCountingThousand"/>
      <w:pStyle w:val="3"/>
      <w:suff w:val="nothing"/>
      <w:lvlText w:val="%3、"/>
      <w:lvlJc w:val="left"/>
      <w:pPr>
        <w:ind w:left="0" w:firstLine="482"/>
      </w:pPr>
      <w:rPr>
        <w:rFonts w:ascii="黑体" w:eastAsia="黑体" w:hint="eastAsia"/>
        <w:b/>
        <w:i w:val="0"/>
        <w:sz w:val="24"/>
      </w:rPr>
    </w:lvl>
    <w:lvl w:ilvl="3">
      <w:start w:val="1"/>
      <w:numFmt w:val="chineseCountingThousand"/>
      <w:pStyle w:val="4"/>
      <w:suff w:val="nothing"/>
      <w:lvlText w:val="(%4)"/>
      <w:lvlJc w:val="left"/>
      <w:pPr>
        <w:ind w:left="0" w:firstLine="482"/>
      </w:pPr>
      <w:rPr>
        <w:rFonts w:ascii="仿宋_GB2312" w:eastAsia="仿宋_GB2312" w:hint="eastAsia"/>
        <w:b w:val="0"/>
        <w:i w:val="0"/>
        <w:sz w:val="24"/>
      </w:rPr>
    </w:lvl>
    <w:lvl w:ilvl="4">
      <w:start w:val="1"/>
      <w:numFmt w:val="decimal"/>
      <w:pStyle w:val="5"/>
      <w:suff w:val="nothing"/>
      <w:lvlText w:val="%5."/>
      <w:lvlJc w:val="left"/>
      <w:pPr>
        <w:ind w:left="0" w:firstLine="527"/>
      </w:pPr>
      <w:rPr>
        <w:rFonts w:ascii="仿宋_GB2312" w:eastAsia="仿宋_GB2312" w:hint="eastAsia"/>
        <w:b w:val="0"/>
        <w:i w:val="0"/>
        <w:sz w:val="24"/>
      </w:rPr>
    </w:lvl>
    <w:lvl w:ilvl="5">
      <w:start w:val="1"/>
      <w:numFmt w:val="decimal"/>
      <w:pStyle w:val="6"/>
      <w:suff w:val="nothing"/>
      <w:lvlText w:val="(%6)"/>
      <w:lvlJc w:val="left"/>
      <w:pPr>
        <w:ind w:left="0" w:firstLine="482"/>
      </w:pPr>
      <w:rPr>
        <w:rFonts w:ascii="仿宋_GB2312" w:eastAsia="仿宋_GB2312" w:hint="eastAsia"/>
        <w:b w:val="0"/>
        <w:i w:val="0"/>
        <w:sz w:val="24"/>
      </w:rPr>
    </w:lvl>
    <w:lvl w:ilvl="6">
      <w:start w:val="1"/>
      <w:numFmt w:val="bullet"/>
      <w:pStyle w:val="7"/>
      <w:lvlText w:val="①"/>
      <w:lvlJc w:val="left"/>
      <w:pPr>
        <w:tabs>
          <w:tab w:val="left" w:pos="2835"/>
        </w:tabs>
        <w:ind w:left="2835" w:hanging="426"/>
      </w:pPr>
      <w:rPr>
        <w:rFonts w:ascii="宋体" w:eastAsia="宋体"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 w15:restartNumberingAfterBreak="0">
    <w:nsid w:val="367903F8"/>
    <w:multiLevelType w:val="multilevel"/>
    <w:tmpl w:val="367903F8"/>
    <w:lvl w:ilvl="0">
      <w:start w:val="1"/>
      <w:numFmt w:val="decimal"/>
      <w:lvlText w:val="%1."/>
      <w:lvlJc w:val="left"/>
      <w:pPr>
        <w:ind w:left="893" w:hanging="420"/>
      </w:pPr>
    </w:lvl>
    <w:lvl w:ilvl="1">
      <w:start w:val="1"/>
      <w:numFmt w:val="lowerLetter"/>
      <w:lvlText w:val="%2)"/>
      <w:lvlJc w:val="left"/>
      <w:pPr>
        <w:ind w:left="1313" w:hanging="420"/>
      </w:pPr>
    </w:lvl>
    <w:lvl w:ilvl="2">
      <w:start w:val="1"/>
      <w:numFmt w:val="lowerRoman"/>
      <w:lvlText w:val="%3."/>
      <w:lvlJc w:val="right"/>
      <w:pPr>
        <w:ind w:left="1733" w:hanging="420"/>
      </w:pPr>
    </w:lvl>
    <w:lvl w:ilvl="3">
      <w:start w:val="1"/>
      <w:numFmt w:val="decimal"/>
      <w:lvlText w:val="%4."/>
      <w:lvlJc w:val="left"/>
      <w:pPr>
        <w:ind w:left="2153" w:hanging="420"/>
      </w:pPr>
    </w:lvl>
    <w:lvl w:ilvl="4">
      <w:start w:val="1"/>
      <w:numFmt w:val="lowerLetter"/>
      <w:lvlText w:val="%5)"/>
      <w:lvlJc w:val="left"/>
      <w:pPr>
        <w:ind w:left="2573" w:hanging="420"/>
      </w:pPr>
    </w:lvl>
    <w:lvl w:ilvl="5">
      <w:start w:val="1"/>
      <w:numFmt w:val="lowerRoman"/>
      <w:lvlText w:val="%6."/>
      <w:lvlJc w:val="right"/>
      <w:pPr>
        <w:ind w:left="2993" w:hanging="420"/>
      </w:pPr>
    </w:lvl>
    <w:lvl w:ilvl="6">
      <w:start w:val="1"/>
      <w:numFmt w:val="decimal"/>
      <w:lvlText w:val="%7."/>
      <w:lvlJc w:val="left"/>
      <w:pPr>
        <w:ind w:left="3413" w:hanging="420"/>
      </w:pPr>
    </w:lvl>
    <w:lvl w:ilvl="7">
      <w:start w:val="1"/>
      <w:numFmt w:val="lowerLetter"/>
      <w:lvlText w:val="%8)"/>
      <w:lvlJc w:val="left"/>
      <w:pPr>
        <w:ind w:left="3833" w:hanging="420"/>
      </w:pPr>
    </w:lvl>
    <w:lvl w:ilvl="8">
      <w:start w:val="1"/>
      <w:numFmt w:val="lowerRoman"/>
      <w:lvlText w:val="%9."/>
      <w:lvlJc w:val="right"/>
      <w:pPr>
        <w:ind w:left="4253" w:hanging="420"/>
      </w:pPr>
    </w:lvl>
  </w:abstractNum>
  <w:abstractNum w:abstractNumId="3" w15:restartNumberingAfterBreak="0">
    <w:nsid w:val="37F54340"/>
    <w:multiLevelType w:val="multilevel"/>
    <w:tmpl w:val="37F54340"/>
    <w:lvl w:ilvl="0">
      <w:start w:val="1"/>
      <w:numFmt w:val="decimal"/>
      <w:lvlText w:val="%1."/>
      <w:lvlJc w:val="left"/>
      <w:pPr>
        <w:ind w:left="840" w:hanging="420"/>
      </w:pPr>
    </w:lvl>
    <w:lvl w:ilvl="1">
      <w:start w:val="1"/>
      <w:numFmt w:val="lowerLetter"/>
      <w:lvlText w:val="%2)"/>
      <w:lvlJc w:val="left"/>
      <w:pPr>
        <w:ind w:left="1313" w:hanging="420"/>
      </w:pPr>
    </w:lvl>
    <w:lvl w:ilvl="2">
      <w:start w:val="1"/>
      <w:numFmt w:val="lowerRoman"/>
      <w:lvlText w:val="%3."/>
      <w:lvlJc w:val="right"/>
      <w:pPr>
        <w:ind w:left="1733" w:hanging="420"/>
      </w:pPr>
    </w:lvl>
    <w:lvl w:ilvl="3">
      <w:start w:val="1"/>
      <w:numFmt w:val="decimal"/>
      <w:lvlText w:val="%4."/>
      <w:lvlJc w:val="left"/>
      <w:pPr>
        <w:ind w:left="2153" w:hanging="420"/>
      </w:pPr>
    </w:lvl>
    <w:lvl w:ilvl="4">
      <w:start w:val="1"/>
      <w:numFmt w:val="lowerLetter"/>
      <w:lvlText w:val="%5)"/>
      <w:lvlJc w:val="left"/>
      <w:pPr>
        <w:ind w:left="2573" w:hanging="420"/>
      </w:pPr>
    </w:lvl>
    <w:lvl w:ilvl="5">
      <w:start w:val="1"/>
      <w:numFmt w:val="lowerRoman"/>
      <w:lvlText w:val="%6."/>
      <w:lvlJc w:val="right"/>
      <w:pPr>
        <w:ind w:left="2993" w:hanging="420"/>
      </w:pPr>
    </w:lvl>
    <w:lvl w:ilvl="6">
      <w:start w:val="1"/>
      <w:numFmt w:val="decimal"/>
      <w:lvlText w:val="%7."/>
      <w:lvlJc w:val="left"/>
      <w:pPr>
        <w:ind w:left="3413" w:hanging="420"/>
      </w:pPr>
    </w:lvl>
    <w:lvl w:ilvl="7">
      <w:start w:val="1"/>
      <w:numFmt w:val="lowerLetter"/>
      <w:lvlText w:val="%8)"/>
      <w:lvlJc w:val="left"/>
      <w:pPr>
        <w:ind w:left="3833" w:hanging="420"/>
      </w:pPr>
    </w:lvl>
    <w:lvl w:ilvl="8">
      <w:start w:val="1"/>
      <w:numFmt w:val="lowerRoman"/>
      <w:lvlText w:val="%9."/>
      <w:lvlJc w:val="right"/>
      <w:pPr>
        <w:ind w:left="425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06"/>
    <w:rsid w:val="000008AD"/>
    <w:rsid w:val="000024EF"/>
    <w:rsid w:val="000027BF"/>
    <w:rsid w:val="00014998"/>
    <w:rsid w:val="000246AC"/>
    <w:rsid w:val="00024DDA"/>
    <w:rsid w:val="00025E00"/>
    <w:rsid w:val="00027C5F"/>
    <w:rsid w:val="0003049C"/>
    <w:rsid w:val="00036D35"/>
    <w:rsid w:val="00050C79"/>
    <w:rsid w:val="00053197"/>
    <w:rsid w:val="00063928"/>
    <w:rsid w:val="0006509E"/>
    <w:rsid w:val="00066C72"/>
    <w:rsid w:val="00070AED"/>
    <w:rsid w:val="00070C46"/>
    <w:rsid w:val="00071268"/>
    <w:rsid w:val="00077485"/>
    <w:rsid w:val="00080622"/>
    <w:rsid w:val="0008166B"/>
    <w:rsid w:val="0008503E"/>
    <w:rsid w:val="00090B2E"/>
    <w:rsid w:val="0009788B"/>
    <w:rsid w:val="000A061E"/>
    <w:rsid w:val="000A0A0E"/>
    <w:rsid w:val="000A0B98"/>
    <w:rsid w:val="000A2CE7"/>
    <w:rsid w:val="000B2457"/>
    <w:rsid w:val="000B6E41"/>
    <w:rsid w:val="000C0420"/>
    <w:rsid w:val="000C0815"/>
    <w:rsid w:val="000D62D7"/>
    <w:rsid w:val="000E7AE1"/>
    <w:rsid w:val="000F1EB1"/>
    <w:rsid w:val="000F581B"/>
    <w:rsid w:val="001036A6"/>
    <w:rsid w:val="00106548"/>
    <w:rsid w:val="00111856"/>
    <w:rsid w:val="001142CF"/>
    <w:rsid w:val="001167AC"/>
    <w:rsid w:val="00126AE4"/>
    <w:rsid w:val="00130487"/>
    <w:rsid w:val="001311C8"/>
    <w:rsid w:val="00135B9F"/>
    <w:rsid w:val="0014246D"/>
    <w:rsid w:val="001615EE"/>
    <w:rsid w:val="00162C4A"/>
    <w:rsid w:val="0016302A"/>
    <w:rsid w:val="00166BA3"/>
    <w:rsid w:val="00170D13"/>
    <w:rsid w:val="00177C69"/>
    <w:rsid w:val="00190962"/>
    <w:rsid w:val="00193A75"/>
    <w:rsid w:val="001A0C4D"/>
    <w:rsid w:val="001A1969"/>
    <w:rsid w:val="001A5F60"/>
    <w:rsid w:val="001A630A"/>
    <w:rsid w:val="001A7674"/>
    <w:rsid w:val="001B0A7F"/>
    <w:rsid w:val="001B5B01"/>
    <w:rsid w:val="001C483E"/>
    <w:rsid w:val="001C5433"/>
    <w:rsid w:val="001C6C40"/>
    <w:rsid w:val="001C7B75"/>
    <w:rsid w:val="001E0A82"/>
    <w:rsid w:val="001E47A4"/>
    <w:rsid w:val="001E640C"/>
    <w:rsid w:val="001F013E"/>
    <w:rsid w:val="001F1178"/>
    <w:rsid w:val="001F27E6"/>
    <w:rsid w:val="001F4291"/>
    <w:rsid w:val="001F5830"/>
    <w:rsid w:val="001F7684"/>
    <w:rsid w:val="001F7C9B"/>
    <w:rsid w:val="00203F42"/>
    <w:rsid w:val="00213D43"/>
    <w:rsid w:val="00221B2B"/>
    <w:rsid w:val="002226C4"/>
    <w:rsid w:val="0023085A"/>
    <w:rsid w:val="00230CA9"/>
    <w:rsid w:val="0023482D"/>
    <w:rsid w:val="002357C7"/>
    <w:rsid w:val="002375BB"/>
    <w:rsid w:val="002400B3"/>
    <w:rsid w:val="002459EC"/>
    <w:rsid w:val="002571C9"/>
    <w:rsid w:val="002618B2"/>
    <w:rsid w:val="00273236"/>
    <w:rsid w:val="002755B8"/>
    <w:rsid w:val="00276C95"/>
    <w:rsid w:val="002771A6"/>
    <w:rsid w:val="002827D7"/>
    <w:rsid w:val="002838FF"/>
    <w:rsid w:val="00290F43"/>
    <w:rsid w:val="0029214A"/>
    <w:rsid w:val="002947E2"/>
    <w:rsid w:val="00296AF1"/>
    <w:rsid w:val="00297D25"/>
    <w:rsid w:val="002A29FD"/>
    <w:rsid w:val="002C1EAB"/>
    <w:rsid w:val="002C7C71"/>
    <w:rsid w:val="002D31DA"/>
    <w:rsid w:val="002E03AD"/>
    <w:rsid w:val="002E41F1"/>
    <w:rsid w:val="002E5A3D"/>
    <w:rsid w:val="002E68A7"/>
    <w:rsid w:val="002F42EB"/>
    <w:rsid w:val="003033B4"/>
    <w:rsid w:val="003075DE"/>
    <w:rsid w:val="003127B8"/>
    <w:rsid w:val="00325B47"/>
    <w:rsid w:val="00325DFF"/>
    <w:rsid w:val="00327DA9"/>
    <w:rsid w:val="003305A8"/>
    <w:rsid w:val="00331FA6"/>
    <w:rsid w:val="00335DDD"/>
    <w:rsid w:val="00354379"/>
    <w:rsid w:val="003570BE"/>
    <w:rsid w:val="003632AF"/>
    <w:rsid w:val="0036635C"/>
    <w:rsid w:val="00371460"/>
    <w:rsid w:val="00372685"/>
    <w:rsid w:val="003728FF"/>
    <w:rsid w:val="00382233"/>
    <w:rsid w:val="00382975"/>
    <w:rsid w:val="0039479A"/>
    <w:rsid w:val="003A2B06"/>
    <w:rsid w:val="003B3033"/>
    <w:rsid w:val="003B4F4B"/>
    <w:rsid w:val="003B6B84"/>
    <w:rsid w:val="003B76E4"/>
    <w:rsid w:val="003B7EFD"/>
    <w:rsid w:val="003C0C16"/>
    <w:rsid w:val="003C3043"/>
    <w:rsid w:val="003C3800"/>
    <w:rsid w:val="003C79A0"/>
    <w:rsid w:val="003D2FA5"/>
    <w:rsid w:val="003E1C92"/>
    <w:rsid w:val="003E248E"/>
    <w:rsid w:val="003E7509"/>
    <w:rsid w:val="003F265B"/>
    <w:rsid w:val="00401463"/>
    <w:rsid w:val="00411554"/>
    <w:rsid w:val="00420F01"/>
    <w:rsid w:val="004315E0"/>
    <w:rsid w:val="00436805"/>
    <w:rsid w:val="00441214"/>
    <w:rsid w:val="004418E6"/>
    <w:rsid w:val="004421E3"/>
    <w:rsid w:val="0044266C"/>
    <w:rsid w:val="00453C00"/>
    <w:rsid w:val="00455CE2"/>
    <w:rsid w:val="00465CC2"/>
    <w:rsid w:val="0047196C"/>
    <w:rsid w:val="00474AA0"/>
    <w:rsid w:val="00477386"/>
    <w:rsid w:val="00485F0F"/>
    <w:rsid w:val="004863D2"/>
    <w:rsid w:val="0048757C"/>
    <w:rsid w:val="004A628C"/>
    <w:rsid w:val="004A6884"/>
    <w:rsid w:val="004A764F"/>
    <w:rsid w:val="004B443C"/>
    <w:rsid w:val="004B5534"/>
    <w:rsid w:val="004C3AF6"/>
    <w:rsid w:val="004C4924"/>
    <w:rsid w:val="004C5AC8"/>
    <w:rsid w:val="004E4CB4"/>
    <w:rsid w:val="004E6AE3"/>
    <w:rsid w:val="004F1E31"/>
    <w:rsid w:val="004F25BD"/>
    <w:rsid w:val="004F4095"/>
    <w:rsid w:val="004F5CDF"/>
    <w:rsid w:val="005055E5"/>
    <w:rsid w:val="00505A18"/>
    <w:rsid w:val="00512A0B"/>
    <w:rsid w:val="00512CAB"/>
    <w:rsid w:val="005134AB"/>
    <w:rsid w:val="00525E69"/>
    <w:rsid w:val="00526218"/>
    <w:rsid w:val="00533F88"/>
    <w:rsid w:val="00535A90"/>
    <w:rsid w:val="00540467"/>
    <w:rsid w:val="005427C1"/>
    <w:rsid w:val="00542EBE"/>
    <w:rsid w:val="0054532E"/>
    <w:rsid w:val="00546387"/>
    <w:rsid w:val="00546A35"/>
    <w:rsid w:val="00552BF6"/>
    <w:rsid w:val="00553831"/>
    <w:rsid w:val="0056355B"/>
    <w:rsid w:val="00566509"/>
    <w:rsid w:val="00567448"/>
    <w:rsid w:val="005771A4"/>
    <w:rsid w:val="0058195E"/>
    <w:rsid w:val="00583666"/>
    <w:rsid w:val="005844C3"/>
    <w:rsid w:val="005860ED"/>
    <w:rsid w:val="00587F80"/>
    <w:rsid w:val="005A24B0"/>
    <w:rsid w:val="005A4382"/>
    <w:rsid w:val="005A585D"/>
    <w:rsid w:val="005A60B5"/>
    <w:rsid w:val="005B5D51"/>
    <w:rsid w:val="005C2F8E"/>
    <w:rsid w:val="005D72AE"/>
    <w:rsid w:val="005E0FA7"/>
    <w:rsid w:val="005F01C0"/>
    <w:rsid w:val="005F314E"/>
    <w:rsid w:val="00606F78"/>
    <w:rsid w:val="00611313"/>
    <w:rsid w:val="00616AE9"/>
    <w:rsid w:val="006208B9"/>
    <w:rsid w:val="006229A5"/>
    <w:rsid w:val="0062565D"/>
    <w:rsid w:val="0063373E"/>
    <w:rsid w:val="006359A9"/>
    <w:rsid w:val="00641021"/>
    <w:rsid w:val="006442DD"/>
    <w:rsid w:val="00651247"/>
    <w:rsid w:val="00656926"/>
    <w:rsid w:val="00657D3F"/>
    <w:rsid w:val="006601A1"/>
    <w:rsid w:val="00674801"/>
    <w:rsid w:val="00674863"/>
    <w:rsid w:val="006835B2"/>
    <w:rsid w:val="0069592C"/>
    <w:rsid w:val="006A512E"/>
    <w:rsid w:val="006B1820"/>
    <w:rsid w:val="006B4900"/>
    <w:rsid w:val="006C61A9"/>
    <w:rsid w:val="006D1965"/>
    <w:rsid w:val="006D4C0C"/>
    <w:rsid w:val="006D569E"/>
    <w:rsid w:val="006E1C05"/>
    <w:rsid w:val="006E5EB7"/>
    <w:rsid w:val="006E70ED"/>
    <w:rsid w:val="006F0A45"/>
    <w:rsid w:val="006F0A4A"/>
    <w:rsid w:val="006F240C"/>
    <w:rsid w:val="006F39B4"/>
    <w:rsid w:val="006F5710"/>
    <w:rsid w:val="006F70AF"/>
    <w:rsid w:val="007005B8"/>
    <w:rsid w:val="007005FB"/>
    <w:rsid w:val="00702A40"/>
    <w:rsid w:val="007034DC"/>
    <w:rsid w:val="0070524E"/>
    <w:rsid w:val="00707F9B"/>
    <w:rsid w:val="00711591"/>
    <w:rsid w:val="00741F1B"/>
    <w:rsid w:val="00755471"/>
    <w:rsid w:val="00775D65"/>
    <w:rsid w:val="00777FFE"/>
    <w:rsid w:val="007903A2"/>
    <w:rsid w:val="007926B2"/>
    <w:rsid w:val="00796B7F"/>
    <w:rsid w:val="007A362D"/>
    <w:rsid w:val="007A7711"/>
    <w:rsid w:val="007B0332"/>
    <w:rsid w:val="007B315F"/>
    <w:rsid w:val="007B5AE9"/>
    <w:rsid w:val="007B6134"/>
    <w:rsid w:val="007C5393"/>
    <w:rsid w:val="007C74CC"/>
    <w:rsid w:val="007D3443"/>
    <w:rsid w:val="007D5F9E"/>
    <w:rsid w:val="007E28AE"/>
    <w:rsid w:val="007E48ED"/>
    <w:rsid w:val="007E69B4"/>
    <w:rsid w:val="007F2149"/>
    <w:rsid w:val="007F3B12"/>
    <w:rsid w:val="007F5F50"/>
    <w:rsid w:val="008050F2"/>
    <w:rsid w:val="00825061"/>
    <w:rsid w:val="00825C10"/>
    <w:rsid w:val="00826455"/>
    <w:rsid w:val="0082736C"/>
    <w:rsid w:val="00836247"/>
    <w:rsid w:val="00840205"/>
    <w:rsid w:val="00842548"/>
    <w:rsid w:val="008434C1"/>
    <w:rsid w:val="008450D5"/>
    <w:rsid w:val="00852EFA"/>
    <w:rsid w:val="00852F65"/>
    <w:rsid w:val="0085435B"/>
    <w:rsid w:val="0085708E"/>
    <w:rsid w:val="008640A7"/>
    <w:rsid w:val="008668ED"/>
    <w:rsid w:val="0086710E"/>
    <w:rsid w:val="0087186C"/>
    <w:rsid w:val="008873C4"/>
    <w:rsid w:val="0088764E"/>
    <w:rsid w:val="008923C7"/>
    <w:rsid w:val="00894054"/>
    <w:rsid w:val="008A5AFD"/>
    <w:rsid w:val="008B2A6A"/>
    <w:rsid w:val="008C1C0E"/>
    <w:rsid w:val="008D4C0E"/>
    <w:rsid w:val="008D5899"/>
    <w:rsid w:val="008E0EE2"/>
    <w:rsid w:val="008E1753"/>
    <w:rsid w:val="008E43E9"/>
    <w:rsid w:val="008E5DC6"/>
    <w:rsid w:val="008F0CBE"/>
    <w:rsid w:val="008F1D70"/>
    <w:rsid w:val="008F50CD"/>
    <w:rsid w:val="008F6BF4"/>
    <w:rsid w:val="00900C4A"/>
    <w:rsid w:val="00914E07"/>
    <w:rsid w:val="00930392"/>
    <w:rsid w:val="009342DB"/>
    <w:rsid w:val="009373EC"/>
    <w:rsid w:val="00944D37"/>
    <w:rsid w:val="009656CC"/>
    <w:rsid w:val="0097139B"/>
    <w:rsid w:val="00972139"/>
    <w:rsid w:val="00976AD0"/>
    <w:rsid w:val="00977A77"/>
    <w:rsid w:val="00980631"/>
    <w:rsid w:val="00983196"/>
    <w:rsid w:val="00984090"/>
    <w:rsid w:val="0098487C"/>
    <w:rsid w:val="00987871"/>
    <w:rsid w:val="00990CB5"/>
    <w:rsid w:val="0099659A"/>
    <w:rsid w:val="009A402C"/>
    <w:rsid w:val="009A5C59"/>
    <w:rsid w:val="009B0CEA"/>
    <w:rsid w:val="009C08CC"/>
    <w:rsid w:val="009C5F6A"/>
    <w:rsid w:val="009C7CE7"/>
    <w:rsid w:val="009D2D46"/>
    <w:rsid w:val="009D2FAB"/>
    <w:rsid w:val="009D3EC0"/>
    <w:rsid w:val="009F0035"/>
    <w:rsid w:val="009F5816"/>
    <w:rsid w:val="00A01962"/>
    <w:rsid w:val="00A040BD"/>
    <w:rsid w:val="00A04D17"/>
    <w:rsid w:val="00A07AC4"/>
    <w:rsid w:val="00A131DE"/>
    <w:rsid w:val="00A15610"/>
    <w:rsid w:val="00A16100"/>
    <w:rsid w:val="00A16F02"/>
    <w:rsid w:val="00A20EB2"/>
    <w:rsid w:val="00A265EC"/>
    <w:rsid w:val="00A3622A"/>
    <w:rsid w:val="00A36C77"/>
    <w:rsid w:val="00A37209"/>
    <w:rsid w:val="00A40DA6"/>
    <w:rsid w:val="00A436B5"/>
    <w:rsid w:val="00A44596"/>
    <w:rsid w:val="00A45E01"/>
    <w:rsid w:val="00A53663"/>
    <w:rsid w:val="00A53930"/>
    <w:rsid w:val="00A53B66"/>
    <w:rsid w:val="00A566A6"/>
    <w:rsid w:val="00A64890"/>
    <w:rsid w:val="00A707AF"/>
    <w:rsid w:val="00A70EB1"/>
    <w:rsid w:val="00A72A03"/>
    <w:rsid w:val="00A84C96"/>
    <w:rsid w:val="00A85CB5"/>
    <w:rsid w:val="00A8742A"/>
    <w:rsid w:val="00A90925"/>
    <w:rsid w:val="00A916A3"/>
    <w:rsid w:val="00A96512"/>
    <w:rsid w:val="00AA13D2"/>
    <w:rsid w:val="00AB0AD2"/>
    <w:rsid w:val="00AB3818"/>
    <w:rsid w:val="00AB55A6"/>
    <w:rsid w:val="00AB6852"/>
    <w:rsid w:val="00AC4365"/>
    <w:rsid w:val="00AC5FA3"/>
    <w:rsid w:val="00AD6C2F"/>
    <w:rsid w:val="00AE3EBE"/>
    <w:rsid w:val="00AF5BE0"/>
    <w:rsid w:val="00AF62E7"/>
    <w:rsid w:val="00AF7082"/>
    <w:rsid w:val="00B03E07"/>
    <w:rsid w:val="00B05A74"/>
    <w:rsid w:val="00B12A3A"/>
    <w:rsid w:val="00B16BD8"/>
    <w:rsid w:val="00B16C4A"/>
    <w:rsid w:val="00B32C35"/>
    <w:rsid w:val="00B34829"/>
    <w:rsid w:val="00B44094"/>
    <w:rsid w:val="00B513AA"/>
    <w:rsid w:val="00B6007B"/>
    <w:rsid w:val="00B62751"/>
    <w:rsid w:val="00B67E86"/>
    <w:rsid w:val="00B774BE"/>
    <w:rsid w:val="00B8759D"/>
    <w:rsid w:val="00B91981"/>
    <w:rsid w:val="00B935B0"/>
    <w:rsid w:val="00B972AD"/>
    <w:rsid w:val="00BA076E"/>
    <w:rsid w:val="00BB171D"/>
    <w:rsid w:val="00BC37EA"/>
    <w:rsid w:val="00BC5F5C"/>
    <w:rsid w:val="00BD0108"/>
    <w:rsid w:val="00BD1528"/>
    <w:rsid w:val="00BD2902"/>
    <w:rsid w:val="00BE312E"/>
    <w:rsid w:val="00BE7C58"/>
    <w:rsid w:val="00BF1965"/>
    <w:rsid w:val="00BF403E"/>
    <w:rsid w:val="00C06704"/>
    <w:rsid w:val="00C13599"/>
    <w:rsid w:val="00C20AF2"/>
    <w:rsid w:val="00C2148F"/>
    <w:rsid w:val="00C3067D"/>
    <w:rsid w:val="00C36C35"/>
    <w:rsid w:val="00C41C25"/>
    <w:rsid w:val="00C45306"/>
    <w:rsid w:val="00C51382"/>
    <w:rsid w:val="00C539F2"/>
    <w:rsid w:val="00C543EC"/>
    <w:rsid w:val="00C5461D"/>
    <w:rsid w:val="00C54832"/>
    <w:rsid w:val="00C61BA6"/>
    <w:rsid w:val="00C62ACD"/>
    <w:rsid w:val="00C66FF3"/>
    <w:rsid w:val="00C70DAB"/>
    <w:rsid w:val="00C74B8C"/>
    <w:rsid w:val="00C7684F"/>
    <w:rsid w:val="00C820A3"/>
    <w:rsid w:val="00C8335D"/>
    <w:rsid w:val="00C838D1"/>
    <w:rsid w:val="00C93AE8"/>
    <w:rsid w:val="00CA1B32"/>
    <w:rsid w:val="00CA22EF"/>
    <w:rsid w:val="00CA2E2A"/>
    <w:rsid w:val="00CA328F"/>
    <w:rsid w:val="00CB50D4"/>
    <w:rsid w:val="00CB77FA"/>
    <w:rsid w:val="00CC1BDA"/>
    <w:rsid w:val="00CC2253"/>
    <w:rsid w:val="00CE27A6"/>
    <w:rsid w:val="00CE6F27"/>
    <w:rsid w:val="00CE7464"/>
    <w:rsid w:val="00CF371D"/>
    <w:rsid w:val="00CF5ACD"/>
    <w:rsid w:val="00CF6712"/>
    <w:rsid w:val="00D01334"/>
    <w:rsid w:val="00D04E6C"/>
    <w:rsid w:val="00D10618"/>
    <w:rsid w:val="00D123E2"/>
    <w:rsid w:val="00D1261A"/>
    <w:rsid w:val="00D14F24"/>
    <w:rsid w:val="00D172C5"/>
    <w:rsid w:val="00D17B30"/>
    <w:rsid w:val="00D2205A"/>
    <w:rsid w:val="00D2332F"/>
    <w:rsid w:val="00D27660"/>
    <w:rsid w:val="00D30E3A"/>
    <w:rsid w:val="00D3236A"/>
    <w:rsid w:val="00D32C3A"/>
    <w:rsid w:val="00D3667B"/>
    <w:rsid w:val="00D41D6B"/>
    <w:rsid w:val="00D45455"/>
    <w:rsid w:val="00D4559F"/>
    <w:rsid w:val="00D47104"/>
    <w:rsid w:val="00D50B05"/>
    <w:rsid w:val="00D57194"/>
    <w:rsid w:val="00D606A2"/>
    <w:rsid w:val="00D62185"/>
    <w:rsid w:val="00D66344"/>
    <w:rsid w:val="00D66C5E"/>
    <w:rsid w:val="00D67219"/>
    <w:rsid w:val="00D67A77"/>
    <w:rsid w:val="00D67C93"/>
    <w:rsid w:val="00D751D5"/>
    <w:rsid w:val="00D810A0"/>
    <w:rsid w:val="00D81DB2"/>
    <w:rsid w:val="00D83120"/>
    <w:rsid w:val="00D85EAE"/>
    <w:rsid w:val="00D8649A"/>
    <w:rsid w:val="00DB17EC"/>
    <w:rsid w:val="00DB6B94"/>
    <w:rsid w:val="00DB71EA"/>
    <w:rsid w:val="00DB78A2"/>
    <w:rsid w:val="00DD089C"/>
    <w:rsid w:val="00DD1A40"/>
    <w:rsid w:val="00DD330D"/>
    <w:rsid w:val="00DD4D55"/>
    <w:rsid w:val="00DE29E8"/>
    <w:rsid w:val="00DE31DE"/>
    <w:rsid w:val="00DE5D3B"/>
    <w:rsid w:val="00DE6DC3"/>
    <w:rsid w:val="00DF0D8E"/>
    <w:rsid w:val="00DF1989"/>
    <w:rsid w:val="00E12DC2"/>
    <w:rsid w:val="00E13468"/>
    <w:rsid w:val="00E13A3C"/>
    <w:rsid w:val="00E1507E"/>
    <w:rsid w:val="00E20C7F"/>
    <w:rsid w:val="00E22FA9"/>
    <w:rsid w:val="00E3001C"/>
    <w:rsid w:val="00E34742"/>
    <w:rsid w:val="00E34DDF"/>
    <w:rsid w:val="00E35E58"/>
    <w:rsid w:val="00E37EE4"/>
    <w:rsid w:val="00E40A15"/>
    <w:rsid w:val="00E44CB0"/>
    <w:rsid w:val="00E47959"/>
    <w:rsid w:val="00E47F51"/>
    <w:rsid w:val="00E63B6D"/>
    <w:rsid w:val="00E64669"/>
    <w:rsid w:val="00E64FEC"/>
    <w:rsid w:val="00E657FD"/>
    <w:rsid w:val="00E65EC9"/>
    <w:rsid w:val="00E710CD"/>
    <w:rsid w:val="00E7288F"/>
    <w:rsid w:val="00E72BEB"/>
    <w:rsid w:val="00E770D7"/>
    <w:rsid w:val="00E80D67"/>
    <w:rsid w:val="00E846A8"/>
    <w:rsid w:val="00E851A7"/>
    <w:rsid w:val="00E86DC0"/>
    <w:rsid w:val="00E94FA8"/>
    <w:rsid w:val="00EA2610"/>
    <w:rsid w:val="00EC2DE5"/>
    <w:rsid w:val="00ED47D6"/>
    <w:rsid w:val="00ED53BF"/>
    <w:rsid w:val="00EE757F"/>
    <w:rsid w:val="00EF00E7"/>
    <w:rsid w:val="00EF244B"/>
    <w:rsid w:val="00EF450D"/>
    <w:rsid w:val="00F02905"/>
    <w:rsid w:val="00F03AF0"/>
    <w:rsid w:val="00F12D23"/>
    <w:rsid w:val="00F12D7B"/>
    <w:rsid w:val="00F1377D"/>
    <w:rsid w:val="00F1446C"/>
    <w:rsid w:val="00F17853"/>
    <w:rsid w:val="00F17C5D"/>
    <w:rsid w:val="00F20072"/>
    <w:rsid w:val="00F20269"/>
    <w:rsid w:val="00F2504B"/>
    <w:rsid w:val="00F260D2"/>
    <w:rsid w:val="00F26BDE"/>
    <w:rsid w:val="00F27F0F"/>
    <w:rsid w:val="00F328E3"/>
    <w:rsid w:val="00F557EF"/>
    <w:rsid w:val="00F633B7"/>
    <w:rsid w:val="00F66BB0"/>
    <w:rsid w:val="00F7591F"/>
    <w:rsid w:val="00F7735B"/>
    <w:rsid w:val="00F8532B"/>
    <w:rsid w:val="00F94FEB"/>
    <w:rsid w:val="00F97575"/>
    <w:rsid w:val="00FA3A9C"/>
    <w:rsid w:val="00FA542D"/>
    <w:rsid w:val="00FA55E5"/>
    <w:rsid w:val="00FA77A2"/>
    <w:rsid w:val="00FB785C"/>
    <w:rsid w:val="00FC0071"/>
    <w:rsid w:val="00FC0797"/>
    <w:rsid w:val="00FC577D"/>
    <w:rsid w:val="00FC708A"/>
    <w:rsid w:val="00FC7D76"/>
    <w:rsid w:val="00FD3C76"/>
    <w:rsid w:val="00FE1C15"/>
    <w:rsid w:val="00FE2E22"/>
    <w:rsid w:val="00FE3FE0"/>
    <w:rsid w:val="00FE6FE9"/>
    <w:rsid w:val="00FF4C78"/>
    <w:rsid w:val="156F61DA"/>
    <w:rsid w:val="262338E6"/>
    <w:rsid w:val="27823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1D5B5"/>
  <w15:docId w15:val="{E6FCAB5B-0212-4F3A-A881-291D2C544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numPr>
        <w:numId w:val="1"/>
      </w:numPr>
      <w:spacing w:before="120" w:after="120" w:line="360" w:lineRule="auto"/>
      <w:jc w:val="center"/>
      <w:outlineLvl w:val="0"/>
    </w:pPr>
    <w:rPr>
      <w:rFonts w:ascii="黑体" w:eastAsia="黑体"/>
      <w:b/>
      <w:kern w:val="44"/>
      <w:sz w:val="32"/>
      <w:szCs w:val="20"/>
      <w:lang w:val="zh-CN"/>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numPr>
        <w:ilvl w:val="2"/>
        <w:numId w:val="1"/>
      </w:numPr>
      <w:spacing w:before="240" w:after="240" w:line="360" w:lineRule="auto"/>
      <w:jc w:val="center"/>
      <w:outlineLvl w:val="2"/>
    </w:pPr>
    <w:rPr>
      <w:rFonts w:ascii="Arial" w:eastAsia="仿宋_GB2312" w:hAnsi="Arial"/>
      <w:b/>
      <w:sz w:val="24"/>
      <w:szCs w:val="20"/>
      <w:lang w:val="zh-CN"/>
    </w:rPr>
  </w:style>
  <w:style w:type="paragraph" w:styleId="4">
    <w:name w:val="heading 4"/>
    <w:basedOn w:val="a"/>
    <w:next w:val="a"/>
    <w:link w:val="40"/>
    <w:qFormat/>
    <w:pPr>
      <w:keepNext/>
      <w:keepLines/>
      <w:numPr>
        <w:ilvl w:val="3"/>
        <w:numId w:val="1"/>
      </w:numPr>
      <w:spacing w:line="360" w:lineRule="auto"/>
      <w:outlineLvl w:val="3"/>
    </w:pPr>
    <w:rPr>
      <w:rFonts w:ascii="Arial" w:eastAsia="仿宋_GB2312" w:hAnsi="Arial"/>
      <w:sz w:val="24"/>
      <w:szCs w:val="20"/>
      <w:lang w:val="zh-CN"/>
    </w:rPr>
  </w:style>
  <w:style w:type="paragraph" w:styleId="5">
    <w:name w:val="heading 5"/>
    <w:basedOn w:val="a"/>
    <w:next w:val="a"/>
    <w:link w:val="50"/>
    <w:qFormat/>
    <w:pPr>
      <w:numPr>
        <w:ilvl w:val="4"/>
        <w:numId w:val="1"/>
      </w:numPr>
      <w:spacing w:line="360" w:lineRule="auto"/>
      <w:outlineLvl w:val="4"/>
    </w:pPr>
    <w:rPr>
      <w:rFonts w:ascii="Arial" w:eastAsia="仿宋_GB2312" w:hAnsi="Arial"/>
      <w:sz w:val="24"/>
      <w:szCs w:val="20"/>
      <w:lang w:val="zh-CN"/>
    </w:rPr>
  </w:style>
  <w:style w:type="paragraph" w:styleId="6">
    <w:name w:val="heading 6"/>
    <w:basedOn w:val="a"/>
    <w:next w:val="a"/>
    <w:link w:val="60"/>
    <w:qFormat/>
    <w:pPr>
      <w:numPr>
        <w:ilvl w:val="5"/>
        <w:numId w:val="1"/>
      </w:numPr>
      <w:spacing w:line="300" w:lineRule="auto"/>
      <w:outlineLvl w:val="5"/>
    </w:pPr>
    <w:rPr>
      <w:rFonts w:ascii="Arial" w:eastAsia="仿宋_GB2312" w:hAnsi="Arial"/>
      <w:sz w:val="24"/>
      <w:szCs w:val="20"/>
      <w:lang w:val="zh-CN"/>
    </w:rPr>
  </w:style>
  <w:style w:type="paragraph" w:styleId="7">
    <w:name w:val="heading 7"/>
    <w:basedOn w:val="a"/>
    <w:next w:val="a0"/>
    <w:link w:val="70"/>
    <w:qFormat/>
    <w:pPr>
      <w:keepNext/>
      <w:keepLines/>
      <w:numPr>
        <w:ilvl w:val="6"/>
        <w:numId w:val="1"/>
      </w:numPr>
      <w:spacing w:line="360" w:lineRule="auto"/>
      <w:outlineLvl w:val="6"/>
    </w:pPr>
    <w:rPr>
      <w:rFonts w:ascii="仿宋_GB2312" w:eastAsia="仿宋_GB2312"/>
      <w:sz w:val="24"/>
      <w:szCs w:val="20"/>
      <w:lang w:val="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iPriority w:val="99"/>
    <w:qFormat/>
    <w:pPr>
      <w:ind w:firstLineChars="200" w:firstLine="420"/>
    </w:pPr>
    <w:rPr>
      <w:rFonts w:ascii="Calibri" w:hAnsi="Calibri"/>
    </w:rPr>
  </w:style>
  <w:style w:type="paragraph" w:styleId="a5">
    <w:name w:val="annotation text"/>
    <w:basedOn w:val="a"/>
    <w:link w:val="a6"/>
    <w:uiPriority w:val="99"/>
    <w:semiHidden/>
    <w:unhideWhenUsed/>
    <w:qFormat/>
    <w:pPr>
      <w:jc w:val="left"/>
    </w:pPr>
  </w:style>
  <w:style w:type="paragraph" w:styleId="a7">
    <w:name w:val="Body Text Indent"/>
    <w:basedOn w:val="a"/>
    <w:link w:val="a8"/>
    <w:qFormat/>
    <w:pPr>
      <w:spacing w:line="360" w:lineRule="auto"/>
      <w:ind w:firstLineChars="171" w:firstLine="359"/>
    </w:pPr>
    <w:rPr>
      <w:lang w:val="zh-CN"/>
    </w:rPr>
  </w:style>
  <w:style w:type="paragraph" w:styleId="21">
    <w:name w:val="Body Text Indent 2"/>
    <w:basedOn w:val="a"/>
    <w:link w:val="22"/>
    <w:qFormat/>
    <w:pPr>
      <w:spacing w:line="360" w:lineRule="auto"/>
      <w:ind w:firstLine="480"/>
      <w:outlineLvl w:val="0"/>
    </w:pPr>
    <w:rPr>
      <w:rFonts w:ascii="仿宋_GB2312" w:eastAsia="仿宋_GB2312" w:hAnsi="Calibri"/>
      <w:sz w:val="24"/>
      <w:szCs w:val="20"/>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af">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f0">
    <w:name w:val="annotation subject"/>
    <w:basedOn w:val="a5"/>
    <w:next w:val="a5"/>
    <w:link w:val="af1"/>
    <w:uiPriority w:val="99"/>
    <w:semiHidden/>
    <w:unhideWhenUsed/>
    <w:qFormat/>
    <w:rPr>
      <w:b/>
      <w:bCs/>
    </w:rPr>
  </w:style>
  <w:style w:type="character" w:styleId="af2">
    <w:name w:val="Hyperlink"/>
    <w:uiPriority w:val="99"/>
    <w:qFormat/>
    <w:rPr>
      <w:color w:val="0000FF"/>
      <w:u w:val="single"/>
    </w:rPr>
  </w:style>
  <w:style w:type="character" w:styleId="af3">
    <w:name w:val="annotation reference"/>
    <w:basedOn w:val="a1"/>
    <w:uiPriority w:val="99"/>
    <w:semiHidden/>
    <w:unhideWhenUsed/>
    <w:qFormat/>
    <w:rPr>
      <w:sz w:val="21"/>
      <w:szCs w:val="21"/>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黑体" w:eastAsia="黑体" w:hAnsi="Times New Roman" w:cs="Times New Roman"/>
      <w:b/>
      <w:kern w:val="44"/>
      <w:sz w:val="32"/>
      <w:lang w:val="zh-CN"/>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Arial" w:eastAsia="仿宋_GB2312" w:hAnsi="Arial" w:cs="Times New Roman"/>
      <w:b/>
      <w:sz w:val="24"/>
      <w:szCs w:val="20"/>
      <w:lang w:val="zh-CN" w:eastAsia="zh-CN"/>
    </w:rPr>
  </w:style>
  <w:style w:type="character" w:customStyle="1" w:styleId="40">
    <w:name w:val="标题 4 字符"/>
    <w:basedOn w:val="a1"/>
    <w:link w:val="4"/>
    <w:qFormat/>
    <w:rPr>
      <w:rFonts w:ascii="Arial" w:eastAsia="仿宋_GB2312" w:hAnsi="Arial" w:cs="Times New Roman"/>
      <w:sz w:val="24"/>
      <w:szCs w:val="20"/>
      <w:lang w:val="zh-CN" w:eastAsia="zh-CN"/>
    </w:rPr>
  </w:style>
  <w:style w:type="character" w:customStyle="1" w:styleId="50">
    <w:name w:val="标题 5 字符"/>
    <w:basedOn w:val="a1"/>
    <w:link w:val="5"/>
    <w:qFormat/>
    <w:rPr>
      <w:rFonts w:ascii="Arial" w:eastAsia="仿宋_GB2312" w:hAnsi="Arial" w:cs="Times New Roman"/>
      <w:sz w:val="24"/>
      <w:szCs w:val="20"/>
      <w:lang w:val="zh-CN" w:eastAsia="zh-CN"/>
    </w:rPr>
  </w:style>
  <w:style w:type="character" w:customStyle="1" w:styleId="60">
    <w:name w:val="标题 6 字符"/>
    <w:basedOn w:val="a1"/>
    <w:link w:val="6"/>
    <w:qFormat/>
    <w:rPr>
      <w:rFonts w:ascii="Arial" w:eastAsia="仿宋_GB2312" w:hAnsi="Arial" w:cs="Times New Roman"/>
      <w:sz w:val="24"/>
      <w:szCs w:val="20"/>
      <w:lang w:val="zh-CN" w:eastAsia="zh-CN"/>
    </w:rPr>
  </w:style>
  <w:style w:type="character" w:customStyle="1" w:styleId="70">
    <w:name w:val="标题 7 字符"/>
    <w:basedOn w:val="a1"/>
    <w:link w:val="7"/>
    <w:qFormat/>
    <w:rPr>
      <w:rFonts w:ascii="仿宋_GB2312" w:eastAsia="仿宋_GB2312" w:hAnsi="Times New Roman" w:cs="Times New Roman"/>
      <w:sz w:val="24"/>
      <w:szCs w:val="20"/>
      <w:lang w:val="zh-CN" w:eastAsia="zh-CN"/>
    </w:rPr>
  </w:style>
  <w:style w:type="character" w:customStyle="1" w:styleId="22">
    <w:name w:val="正文文本缩进 2 字符"/>
    <w:basedOn w:val="a1"/>
    <w:link w:val="21"/>
    <w:qFormat/>
    <w:rPr>
      <w:rFonts w:ascii="仿宋_GB2312" w:eastAsia="仿宋_GB2312" w:hAnsi="Calibri" w:cs="Times New Roman"/>
      <w:sz w:val="24"/>
      <w:szCs w:val="20"/>
    </w:rPr>
  </w:style>
  <w:style w:type="character" w:customStyle="1" w:styleId="a8">
    <w:name w:val="正文文本缩进 字符"/>
    <w:basedOn w:val="a1"/>
    <w:link w:val="a7"/>
    <w:qFormat/>
    <w:rPr>
      <w:rFonts w:ascii="Times New Roman" w:eastAsia="宋体" w:hAnsi="Times New Roman" w:cs="Times New Roman"/>
      <w:szCs w:val="24"/>
      <w:lang w:val="zh-CN" w:eastAsia="zh-CN"/>
    </w:rPr>
  </w:style>
  <w:style w:type="character" w:customStyle="1" w:styleId="a4">
    <w:name w:val="正文缩进 字符"/>
    <w:link w:val="a0"/>
    <w:uiPriority w:val="99"/>
    <w:qFormat/>
    <w:rPr>
      <w:rFonts w:ascii="Calibri" w:eastAsia="宋体" w:hAnsi="Calibri" w:cs="Times New Roman"/>
      <w:szCs w:val="24"/>
    </w:rPr>
  </w:style>
  <w:style w:type="paragraph" w:customStyle="1" w:styleId="af4">
    <w:name w:val="正文正文"/>
    <w:basedOn w:val="a"/>
    <w:uiPriority w:val="99"/>
    <w:qFormat/>
    <w:pPr>
      <w:spacing w:afterLines="25" w:after="25" w:line="360" w:lineRule="auto"/>
      <w:ind w:firstLineChars="200" w:firstLine="200"/>
    </w:pPr>
    <w:rPr>
      <w:sz w:val="24"/>
    </w:rPr>
  </w:style>
  <w:style w:type="character" w:customStyle="1" w:styleId="aa">
    <w:name w:val="批注框文本 字符"/>
    <w:basedOn w:val="a1"/>
    <w:link w:val="a9"/>
    <w:uiPriority w:val="99"/>
    <w:semiHidden/>
    <w:qFormat/>
    <w:rPr>
      <w:rFonts w:ascii="Times New Roman" w:eastAsia="宋体" w:hAnsi="Times New Roman" w:cs="Times New Roman"/>
      <w:sz w:val="18"/>
      <w:szCs w:val="18"/>
    </w:rPr>
  </w:style>
  <w:style w:type="character" w:customStyle="1" w:styleId="a6">
    <w:name w:val="批注文字 字符"/>
    <w:basedOn w:val="a1"/>
    <w:link w:val="a5"/>
    <w:uiPriority w:val="99"/>
    <w:semiHidden/>
    <w:qFormat/>
    <w:rPr>
      <w:rFonts w:ascii="Times New Roman" w:eastAsia="宋体" w:hAnsi="Times New Roman" w:cs="Times New Roman"/>
      <w:szCs w:val="24"/>
    </w:rPr>
  </w:style>
  <w:style w:type="character" w:customStyle="1" w:styleId="af1">
    <w:name w:val="批注主题 字符"/>
    <w:basedOn w:val="a6"/>
    <w:link w:val="af0"/>
    <w:uiPriority w:val="99"/>
    <w:semiHidden/>
    <w:qFormat/>
    <w:rPr>
      <w:rFonts w:ascii="Times New Roman" w:eastAsia="宋体" w:hAnsi="Times New Roman" w:cs="Times New Roman"/>
      <w:b/>
      <w:bCs/>
      <w:szCs w:val="24"/>
    </w:rPr>
  </w:style>
  <w:style w:type="paragraph" w:customStyle="1" w:styleId="12">
    <w:name w:val="修订1"/>
    <w:hidden/>
    <w:uiPriority w:val="99"/>
    <w:semiHidden/>
    <w:qFormat/>
    <w:rPr>
      <w:rFonts w:ascii="Times New Roman" w:eastAsia="宋体" w:hAnsi="Times New Roman" w:cs="Times New Roman"/>
      <w:kern w:val="2"/>
      <w:sz w:val="21"/>
      <w:szCs w:val="24"/>
    </w:rPr>
  </w:style>
  <w:style w:type="paragraph" w:styleId="af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F892CA87AC3C449149E796A069584A" ma:contentTypeVersion="0" ma:contentTypeDescription="Create a new document." ma:contentTypeScope="" ma:versionID="36a0b2e3b99e6066eb4e892e7046030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5742A-0804-4EE7-82C3-FFA26765DCAB}">
  <ds:schemaRefs>
    <ds:schemaRef ds:uri="http://schemas.microsoft.com/sharepoint/v3/contenttype/forms"/>
  </ds:schemaRefs>
</ds:datastoreItem>
</file>

<file path=customXml/itemProps2.xml><?xml version="1.0" encoding="utf-8"?>
<ds:datastoreItem xmlns:ds="http://schemas.openxmlformats.org/officeDocument/2006/customXml" ds:itemID="{E87D0168-16D8-4DAF-9108-2B5D74F65D52}">
  <ds:schemaRefs>
    <ds:schemaRef ds:uri="http://schemas.microsoft.com/office/2006/metadata/properties"/>
  </ds:schemaRefs>
</ds:datastoreItem>
</file>

<file path=customXml/itemProps3.xml><?xml version="1.0" encoding="utf-8"?>
<ds:datastoreItem xmlns:ds="http://schemas.openxmlformats.org/officeDocument/2006/customXml" ds:itemID="{7CBFDEE4-661F-471F-9485-ECA3FBAF7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0FD2E98-4937-4D57-B863-ECF2A5FF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4877</Words>
  <Characters>27799</Characters>
  <Application>Microsoft Office Word</Application>
  <DocSecurity>0</DocSecurity>
  <Lines>231</Lines>
  <Paragraphs>65</Paragraphs>
  <ScaleCrop>false</ScaleCrop>
  <Company/>
  <LinksUpToDate>false</LinksUpToDate>
  <CharactersWithSpaces>32611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晁梦婷</cp:lastModifiedBy>
  <cp:revision>5</cp:revision>
  <cp:lastPrinted>2024-07-03T00:49:00Z</cp:lastPrinted>
  <dcterms:created xsi:type="dcterms:W3CDTF">2026-05-08T01:38:00Z</dcterms:created>
  <dcterms:modified xsi:type="dcterms:W3CDTF">2026-08-14T06:11:00Z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0x0101005CF892CA87AC3C449149E796A069584A</vt:lpwstr>
  </property>
  <property fmtid="{D5CDD505-2E9C-101B-9397-08002B2CF9AE}" pid="3" name="KSOProductBuildVer">
    <vt:lpwstr>2052-11.8.2.12316</vt:lpwstr>
  </property>
  <property fmtid="{D5CDD505-2E9C-101B-9397-08002B2CF9AE}" pid="4" name="ICV">
    <vt:lpwstr>5ED4FC28056E41FCA419D8EDCF45650E</vt:lpwstr>
  </property>
  <property fmtid="{D5CDD505-2E9C-101B-9397-08002B2CF9AE}" pid="5" name="KSOTemplateDocerSaveRecord">
    <vt:lpwstr>eyJoZGlkIjoiYTUxNDhmM2FmZjFhZWI0OGRjZWQ2NWE4MTdmNzNlNTUiLCJ1c2VySWQiOiIxMTQ1OTE4NTUyIn0=</vt:lpwstr>
  </property>
</Properties>
</file>