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6FE93D" w14:textId="77777777" w:rsidR="00BE04A8" w:rsidRDefault="00BE04A8">
      <w:pPr>
        <w:tabs>
          <w:tab w:val="left" w:pos="6660"/>
        </w:tabs>
        <w:spacing w:line="360" w:lineRule="auto"/>
        <w:jc w:val="center"/>
        <w:rPr>
          <w:bCs/>
          <w:sz w:val="44"/>
        </w:rPr>
      </w:pPr>
      <w:bookmarkStart w:id="0" w:name="_GoBack"/>
      <w:bookmarkEnd w:id="0"/>
    </w:p>
    <w:p w14:paraId="19537419" w14:textId="77777777" w:rsidR="00BE04A8" w:rsidRDefault="00053520">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19999A2" w14:textId="77777777" w:rsidR="00BE04A8" w:rsidRDefault="00053520">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6CA79851" w14:textId="77777777" w:rsidR="00BE04A8" w:rsidRDefault="00053520">
      <w:pPr>
        <w:jc w:val="center"/>
        <w:rPr>
          <w:b/>
          <w:sz w:val="52"/>
        </w:rPr>
      </w:pPr>
      <w:r>
        <w:rPr>
          <w:b/>
          <w:sz w:val="52"/>
        </w:rPr>
        <w:t>汇添富基金管理股份有限公司</w:t>
      </w:r>
    </w:p>
    <w:p w14:paraId="748B4BAA" w14:textId="77777777" w:rsidR="00BE04A8" w:rsidRDefault="00BE04A8">
      <w:pPr>
        <w:jc w:val="center"/>
        <w:rPr>
          <w:b/>
          <w:sz w:val="52"/>
        </w:rPr>
      </w:pPr>
    </w:p>
    <w:p w14:paraId="1EE2BCDC" w14:textId="77777777" w:rsidR="00BE04A8" w:rsidRDefault="00BE04A8">
      <w:pPr>
        <w:rPr>
          <w:b/>
        </w:rPr>
      </w:pPr>
    </w:p>
    <w:p w14:paraId="7B740063" w14:textId="77777777" w:rsidR="00BE04A8" w:rsidRDefault="00BE04A8">
      <w:pPr>
        <w:jc w:val="center"/>
        <w:rPr>
          <w:b/>
          <w:sz w:val="52"/>
        </w:rPr>
      </w:pPr>
    </w:p>
    <w:p w14:paraId="2C3FC635" w14:textId="77777777" w:rsidR="00BE04A8" w:rsidRDefault="00053520">
      <w:pPr>
        <w:jc w:val="center"/>
        <w:rPr>
          <w:rFonts w:ascii="宋体" w:hAnsi="宋体"/>
          <w:b/>
          <w:sz w:val="48"/>
        </w:rPr>
      </w:pPr>
      <w:bookmarkStart w:id="1" w:name="_Toc123112223"/>
      <w:bookmarkStart w:id="2" w:name="_Toc123112262"/>
      <w:bookmarkStart w:id="3" w:name="_Toc123701382"/>
      <w:bookmarkStart w:id="4" w:name="_Toc139991725"/>
      <w:bookmarkStart w:id="5" w:name="_Toc139992300"/>
      <w:r>
        <w:rPr>
          <w:rFonts w:ascii="宋体" w:hAnsi="宋体"/>
          <w:b/>
          <w:sz w:val="48"/>
        </w:rPr>
        <w:t>汇添富中证全指红利质量交易型开放式指数证券投资基金</w:t>
      </w:r>
    </w:p>
    <w:p w14:paraId="25A3BCFE" w14:textId="03ACC9DA" w:rsidR="00BE04A8" w:rsidRDefault="00053520">
      <w:pPr>
        <w:jc w:val="center"/>
        <w:rPr>
          <w:b/>
          <w:sz w:val="48"/>
        </w:rPr>
      </w:pPr>
      <w:r>
        <w:rPr>
          <w:rFonts w:ascii="宋体" w:hAnsi="宋体" w:hint="eastAsia"/>
          <w:b/>
          <w:sz w:val="48"/>
        </w:rPr>
        <w:t>基金合同</w:t>
      </w:r>
      <w:bookmarkEnd w:id="1"/>
      <w:bookmarkEnd w:id="2"/>
      <w:bookmarkEnd w:id="3"/>
      <w:bookmarkEnd w:id="4"/>
      <w:bookmarkEnd w:id="5"/>
    </w:p>
    <w:p w14:paraId="159618AB" w14:textId="77777777" w:rsidR="00BE04A8" w:rsidRDefault="00BE04A8">
      <w:pPr>
        <w:jc w:val="center"/>
        <w:rPr>
          <w:b/>
          <w:sz w:val="52"/>
        </w:rPr>
      </w:pPr>
    </w:p>
    <w:p w14:paraId="3A3D1B08" w14:textId="77777777" w:rsidR="00BE04A8" w:rsidRDefault="00BE04A8">
      <w:pPr>
        <w:jc w:val="center"/>
        <w:rPr>
          <w:b/>
          <w:sz w:val="52"/>
        </w:rPr>
      </w:pPr>
    </w:p>
    <w:p w14:paraId="5542E39D" w14:textId="77777777" w:rsidR="00BE04A8" w:rsidRDefault="00053520">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0222D27C" w14:textId="77777777" w:rsidR="00BE04A8" w:rsidRDefault="00053520">
      <w:pPr>
        <w:jc w:val="center"/>
        <w:rPr>
          <w:b/>
          <w:sz w:val="32"/>
        </w:rPr>
      </w:pPr>
      <w:bookmarkStart w:id="6" w:name="_Toc139991726"/>
      <w:bookmarkStart w:id="7" w:name="_Toc123112224"/>
      <w:bookmarkStart w:id="8" w:name="_Toc123701383"/>
      <w:bookmarkStart w:id="9" w:name="_Toc123112263"/>
      <w:bookmarkStart w:id="10" w:name="_Toc139992301"/>
      <w:r>
        <w:rPr>
          <w:rFonts w:hint="eastAsia"/>
          <w:b/>
          <w:sz w:val="32"/>
        </w:rPr>
        <w:t>基金管理人：</w:t>
      </w:r>
      <w:bookmarkEnd w:id="6"/>
      <w:bookmarkEnd w:id="7"/>
      <w:bookmarkEnd w:id="8"/>
      <w:bookmarkEnd w:id="9"/>
      <w:bookmarkEnd w:id="10"/>
      <w:r>
        <w:rPr>
          <w:b/>
          <w:sz w:val="32"/>
        </w:rPr>
        <w:t>汇添富基金管理股份有限公司</w:t>
      </w:r>
    </w:p>
    <w:p w14:paraId="0CF1875D" w14:textId="77777777" w:rsidR="00BE04A8" w:rsidRDefault="00053520">
      <w:pPr>
        <w:jc w:val="center"/>
        <w:rPr>
          <w:b/>
          <w:sz w:val="32"/>
        </w:rPr>
      </w:pPr>
      <w:bookmarkStart w:id="11" w:name="_Toc123112225"/>
      <w:bookmarkStart w:id="12" w:name="_Toc123112264"/>
      <w:bookmarkStart w:id="13" w:name="_Toc123701384"/>
      <w:bookmarkStart w:id="14" w:name="_Toc139991727"/>
      <w:bookmarkStart w:id="15" w:name="_Toc139992302"/>
      <w:r>
        <w:rPr>
          <w:rFonts w:hint="eastAsia"/>
          <w:b/>
          <w:sz w:val="32"/>
        </w:rPr>
        <w:t>基金托管人：</w:t>
      </w:r>
      <w:bookmarkEnd w:id="11"/>
      <w:bookmarkEnd w:id="12"/>
      <w:bookmarkEnd w:id="13"/>
      <w:bookmarkEnd w:id="14"/>
      <w:bookmarkEnd w:id="15"/>
      <w:r>
        <w:rPr>
          <w:b/>
          <w:sz w:val="32"/>
        </w:rPr>
        <w:t>上海浦东发展银行股份有限公司</w:t>
      </w:r>
    </w:p>
    <w:p w14:paraId="28E2A3A0" w14:textId="77777777" w:rsidR="00BE04A8" w:rsidRDefault="00BE04A8">
      <w:pPr>
        <w:jc w:val="center"/>
        <w:rPr>
          <w:b/>
          <w:sz w:val="30"/>
        </w:rPr>
      </w:pPr>
      <w:bookmarkStart w:id="16" w:name="_Toc123112266"/>
      <w:bookmarkStart w:id="17" w:name="_Toc123701386"/>
      <w:bookmarkStart w:id="18" w:name="_Toc123112227"/>
      <w:bookmarkStart w:id="19" w:name="_Toc139991729"/>
    </w:p>
    <w:p w14:paraId="19ABFB5F" w14:textId="77777777" w:rsidR="00BE04A8" w:rsidRDefault="00BE04A8">
      <w:pPr>
        <w:jc w:val="center"/>
        <w:rPr>
          <w:b/>
          <w:sz w:val="30"/>
        </w:rPr>
      </w:pPr>
    </w:p>
    <w:p w14:paraId="75D73653" w14:textId="77777777" w:rsidR="00BE04A8" w:rsidRDefault="00BE04A8">
      <w:pPr>
        <w:jc w:val="center"/>
        <w:rPr>
          <w:b/>
          <w:bCs/>
          <w:sz w:val="30"/>
        </w:rPr>
      </w:pPr>
    </w:p>
    <w:p w14:paraId="6C0D837F" w14:textId="77777777" w:rsidR="00BE04A8" w:rsidRDefault="00BE04A8">
      <w:pPr>
        <w:jc w:val="center"/>
        <w:rPr>
          <w:rFonts w:ascii="宋体"/>
          <w:b/>
          <w:bCs/>
          <w:sz w:val="30"/>
        </w:rPr>
      </w:pPr>
    </w:p>
    <w:p w14:paraId="5D7A85A3" w14:textId="77777777" w:rsidR="00BE04A8" w:rsidRDefault="00BE04A8">
      <w:pPr>
        <w:jc w:val="center"/>
        <w:rPr>
          <w:rFonts w:ascii="宋体"/>
          <w:b/>
          <w:bCs/>
          <w:sz w:val="30"/>
        </w:rPr>
        <w:sectPr w:rsidR="00BE04A8">
          <w:footerReference w:type="default" r:id="rId9"/>
          <w:pgSz w:w="11906" w:h="16838"/>
          <w:pgMar w:top="1440" w:right="1800" w:bottom="1440" w:left="1800" w:header="851" w:footer="992" w:gutter="0"/>
          <w:cols w:space="720"/>
          <w:docGrid w:type="lines" w:linePitch="312"/>
        </w:sectPr>
      </w:pPr>
      <w:bookmarkStart w:id="20" w:name="_Toc123112229"/>
      <w:bookmarkStart w:id="21" w:name="_Toc23386"/>
      <w:bookmarkStart w:id="22" w:name="_Toc141703880"/>
      <w:bookmarkStart w:id="23" w:name="_Toc30935"/>
      <w:bookmarkStart w:id="24" w:name="_Toc32639"/>
      <w:bookmarkStart w:id="25" w:name="_Toc15517"/>
      <w:bookmarkStart w:id="26" w:name="_Toc29629"/>
      <w:bookmarkStart w:id="27" w:name="_Toc123701389"/>
      <w:bookmarkStart w:id="28" w:name="_Toc233456271"/>
      <w:bookmarkStart w:id="29" w:name="_Toc4867"/>
      <w:bookmarkStart w:id="30" w:name="_Toc4966"/>
      <w:bookmarkStart w:id="31" w:name="_Toc6306"/>
      <w:bookmarkStart w:id="32" w:name="_Toc8727"/>
      <w:bookmarkStart w:id="33" w:name="_Toc139991730"/>
      <w:bookmarkStart w:id="34" w:name="_Toc123112268"/>
      <w:bookmarkStart w:id="35" w:name="_Toc26897"/>
      <w:bookmarkEnd w:id="16"/>
      <w:bookmarkEnd w:id="17"/>
      <w:bookmarkEnd w:id="18"/>
      <w:bookmarkEnd w:id="19"/>
    </w:p>
    <w:p w14:paraId="4065AAA3" w14:textId="77777777" w:rsidR="00BE04A8" w:rsidRDefault="00053520">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305A451F" w14:textId="1C0735F4" w:rsidR="00BE04A8" w:rsidRDefault="00053520">
      <w:pPr>
        <w:pStyle w:val="11"/>
        <w:rPr>
          <w:rFonts w:asciiTheme="minorHAnsi" w:hAnsiTheme="minorHAnsi"/>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5"/>
          </w:rPr>
          <w:t>第一部分</w:t>
        </w:r>
        <w:r>
          <w:rPr>
            <w:rStyle w:val="af5"/>
          </w:rPr>
          <w:t xml:space="preserve">  </w:t>
        </w:r>
        <w:r>
          <w:rPr>
            <w:rStyle w:val="af5"/>
          </w:rPr>
          <w:t>前言</w:t>
        </w:r>
        <w:r>
          <w:tab/>
        </w:r>
        <w:r>
          <w:fldChar w:fldCharType="begin"/>
        </w:r>
        <w:r>
          <w:instrText xml:space="preserve"> PAGEREF _Toc256000000 \h </w:instrText>
        </w:r>
        <w:r>
          <w:fldChar w:fldCharType="separate"/>
        </w:r>
        <w:r w:rsidR="001E5780">
          <w:rPr>
            <w:noProof/>
          </w:rPr>
          <w:t>1</w:t>
        </w:r>
        <w:r>
          <w:fldChar w:fldCharType="end"/>
        </w:r>
      </w:hyperlink>
    </w:p>
    <w:p w14:paraId="6D28E64D" w14:textId="04B444ED" w:rsidR="00BE04A8" w:rsidRDefault="00573A9C">
      <w:pPr>
        <w:pStyle w:val="11"/>
        <w:rPr>
          <w:rFonts w:asciiTheme="minorHAnsi" w:hAnsiTheme="minorHAnsi"/>
        </w:rPr>
      </w:pPr>
      <w:hyperlink w:anchor="_Toc256000001" w:history="1">
        <w:r w:rsidR="00053520">
          <w:rPr>
            <w:rStyle w:val="af5"/>
          </w:rPr>
          <w:t>第二部分</w:t>
        </w:r>
        <w:r w:rsidR="00053520">
          <w:rPr>
            <w:rStyle w:val="af5"/>
          </w:rPr>
          <w:t xml:space="preserve">  </w:t>
        </w:r>
        <w:r w:rsidR="00053520">
          <w:rPr>
            <w:rStyle w:val="af5"/>
          </w:rPr>
          <w:t>释义</w:t>
        </w:r>
        <w:r w:rsidR="00053520">
          <w:tab/>
        </w:r>
        <w:r w:rsidR="00053520">
          <w:fldChar w:fldCharType="begin"/>
        </w:r>
        <w:r w:rsidR="00053520">
          <w:instrText xml:space="preserve"> PAGEREF _Toc256000001 \h </w:instrText>
        </w:r>
        <w:r w:rsidR="00053520">
          <w:fldChar w:fldCharType="separate"/>
        </w:r>
        <w:r w:rsidR="001E5780">
          <w:rPr>
            <w:noProof/>
          </w:rPr>
          <w:t>3</w:t>
        </w:r>
        <w:r w:rsidR="00053520">
          <w:fldChar w:fldCharType="end"/>
        </w:r>
      </w:hyperlink>
    </w:p>
    <w:p w14:paraId="12457B8C" w14:textId="27D8F4B7" w:rsidR="00BE04A8" w:rsidRDefault="00573A9C">
      <w:pPr>
        <w:pStyle w:val="11"/>
        <w:rPr>
          <w:rFonts w:asciiTheme="minorHAnsi" w:hAnsiTheme="minorHAnsi"/>
        </w:rPr>
      </w:pPr>
      <w:hyperlink w:anchor="_Toc256000002" w:history="1">
        <w:r w:rsidR="00053520">
          <w:rPr>
            <w:rStyle w:val="af5"/>
          </w:rPr>
          <w:t>第三部分</w:t>
        </w:r>
        <w:r w:rsidR="00053520">
          <w:rPr>
            <w:rStyle w:val="af5"/>
          </w:rPr>
          <w:t xml:space="preserve">  </w:t>
        </w:r>
        <w:r w:rsidR="00053520">
          <w:rPr>
            <w:rStyle w:val="af5"/>
          </w:rPr>
          <w:t>基金的基本情况</w:t>
        </w:r>
        <w:r w:rsidR="00053520">
          <w:tab/>
        </w:r>
        <w:r w:rsidR="00053520">
          <w:fldChar w:fldCharType="begin"/>
        </w:r>
        <w:r w:rsidR="00053520">
          <w:instrText xml:space="preserve"> PAGEREF _Toc256000002 \h </w:instrText>
        </w:r>
        <w:r w:rsidR="00053520">
          <w:fldChar w:fldCharType="separate"/>
        </w:r>
        <w:r w:rsidR="001E5780">
          <w:rPr>
            <w:noProof/>
          </w:rPr>
          <w:t>9</w:t>
        </w:r>
        <w:r w:rsidR="00053520">
          <w:fldChar w:fldCharType="end"/>
        </w:r>
      </w:hyperlink>
    </w:p>
    <w:p w14:paraId="5079B8D5" w14:textId="6FF9D2BE" w:rsidR="00BE04A8" w:rsidRDefault="00573A9C">
      <w:pPr>
        <w:pStyle w:val="11"/>
        <w:rPr>
          <w:rFonts w:asciiTheme="minorHAnsi" w:hAnsiTheme="minorHAnsi"/>
        </w:rPr>
      </w:pPr>
      <w:hyperlink w:anchor="_Toc256000003" w:history="1">
        <w:r w:rsidR="00053520">
          <w:rPr>
            <w:rStyle w:val="af5"/>
          </w:rPr>
          <w:t>第四部分</w:t>
        </w:r>
        <w:r w:rsidR="00053520">
          <w:rPr>
            <w:rStyle w:val="af5"/>
          </w:rPr>
          <w:t xml:space="preserve">  </w:t>
        </w:r>
        <w:r w:rsidR="00053520">
          <w:rPr>
            <w:rStyle w:val="af5"/>
          </w:rPr>
          <w:t>基金份额的发售</w:t>
        </w:r>
        <w:r w:rsidR="00053520">
          <w:tab/>
        </w:r>
        <w:r w:rsidR="00053520">
          <w:fldChar w:fldCharType="begin"/>
        </w:r>
        <w:r w:rsidR="00053520">
          <w:instrText xml:space="preserve"> PAGEREF _Toc256000003 \h </w:instrText>
        </w:r>
        <w:r w:rsidR="00053520">
          <w:fldChar w:fldCharType="separate"/>
        </w:r>
        <w:r w:rsidR="001E5780">
          <w:rPr>
            <w:noProof/>
          </w:rPr>
          <w:t>10</w:t>
        </w:r>
        <w:r w:rsidR="00053520">
          <w:fldChar w:fldCharType="end"/>
        </w:r>
      </w:hyperlink>
    </w:p>
    <w:p w14:paraId="2AE82805" w14:textId="25F6CBBD" w:rsidR="00BE04A8" w:rsidRDefault="00573A9C">
      <w:pPr>
        <w:pStyle w:val="11"/>
        <w:rPr>
          <w:rFonts w:asciiTheme="minorHAnsi" w:hAnsiTheme="minorHAnsi"/>
        </w:rPr>
      </w:pPr>
      <w:hyperlink w:anchor="_Toc256000004" w:history="1">
        <w:r w:rsidR="00053520">
          <w:rPr>
            <w:rStyle w:val="af5"/>
          </w:rPr>
          <w:t>第五部分</w:t>
        </w:r>
        <w:r w:rsidR="00053520">
          <w:rPr>
            <w:rStyle w:val="af5"/>
          </w:rPr>
          <w:t xml:space="preserve">  </w:t>
        </w:r>
        <w:r w:rsidR="00053520">
          <w:rPr>
            <w:rStyle w:val="af5"/>
          </w:rPr>
          <w:t>基金备案</w:t>
        </w:r>
        <w:r w:rsidR="00053520">
          <w:tab/>
        </w:r>
        <w:r w:rsidR="00053520">
          <w:fldChar w:fldCharType="begin"/>
        </w:r>
        <w:r w:rsidR="00053520">
          <w:instrText xml:space="preserve"> PAGEREF _Toc256000004 \h </w:instrText>
        </w:r>
        <w:r w:rsidR="00053520">
          <w:fldChar w:fldCharType="separate"/>
        </w:r>
        <w:r w:rsidR="001E5780">
          <w:rPr>
            <w:noProof/>
          </w:rPr>
          <w:t>12</w:t>
        </w:r>
        <w:r w:rsidR="00053520">
          <w:fldChar w:fldCharType="end"/>
        </w:r>
      </w:hyperlink>
    </w:p>
    <w:p w14:paraId="54F9E877" w14:textId="0B27D75C" w:rsidR="00BE04A8" w:rsidRDefault="00573A9C">
      <w:pPr>
        <w:pStyle w:val="11"/>
        <w:rPr>
          <w:rFonts w:asciiTheme="minorHAnsi" w:hAnsiTheme="minorHAnsi"/>
        </w:rPr>
      </w:pPr>
      <w:hyperlink w:anchor="_Toc256000005" w:history="1">
        <w:r w:rsidR="00053520">
          <w:rPr>
            <w:rStyle w:val="af5"/>
          </w:rPr>
          <w:t>第六部分</w:t>
        </w:r>
        <w:r w:rsidR="00053520">
          <w:rPr>
            <w:rStyle w:val="af5"/>
          </w:rPr>
          <w:t xml:space="preserve">  </w:t>
        </w:r>
        <w:r w:rsidR="00053520">
          <w:rPr>
            <w:rStyle w:val="af5"/>
          </w:rPr>
          <w:t>基金份额折算与变更登记</w:t>
        </w:r>
        <w:r w:rsidR="00053520">
          <w:tab/>
        </w:r>
        <w:r w:rsidR="00053520">
          <w:fldChar w:fldCharType="begin"/>
        </w:r>
        <w:r w:rsidR="00053520">
          <w:instrText xml:space="preserve"> PAGEREF _Toc256000005 \h </w:instrText>
        </w:r>
        <w:r w:rsidR="00053520">
          <w:fldChar w:fldCharType="separate"/>
        </w:r>
        <w:r w:rsidR="001E5780">
          <w:rPr>
            <w:noProof/>
          </w:rPr>
          <w:t>14</w:t>
        </w:r>
        <w:r w:rsidR="00053520">
          <w:fldChar w:fldCharType="end"/>
        </w:r>
      </w:hyperlink>
    </w:p>
    <w:p w14:paraId="4EB5B2D3" w14:textId="77A93F2E" w:rsidR="00BE04A8" w:rsidRDefault="00573A9C">
      <w:pPr>
        <w:pStyle w:val="11"/>
        <w:rPr>
          <w:rFonts w:asciiTheme="minorHAnsi" w:hAnsiTheme="minorHAnsi"/>
        </w:rPr>
      </w:pPr>
      <w:hyperlink w:anchor="_Toc256000006" w:history="1">
        <w:r w:rsidR="00053520">
          <w:rPr>
            <w:rStyle w:val="af5"/>
          </w:rPr>
          <w:t>第七部分</w:t>
        </w:r>
        <w:r w:rsidR="00053520">
          <w:rPr>
            <w:rStyle w:val="af5"/>
          </w:rPr>
          <w:t xml:space="preserve">  </w:t>
        </w:r>
        <w:r w:rsidR="00053520">
          <w:rPr>
            <w:rStyle w:val="af5"/>
          </w:rPr>
          <w:t>基金份额的上市交易</w:t>
        </w:r>
        <w:r w:rsidR="00053520">
          <w:tab/>
        </w:r>
        <w:r w:rsidR="00053520">
          <w:fldChar w:fldCharType="begin"/>
        </w:r>
        <w:r w:rsidR="00053520">
          <w:instrText xml:space="preserve"> PAGEREF _Toc256000006 \h </w:instrText>
        </w:r>
        <w:r w:rsidR="00053520">
          <w:fldChar w:fldCharType="separate"/>
        </w:r>
        <w:r w:rsidR="001E5780">
          <w:rPr>
            <w:noProof/>
          </w:rPr>
          <w:t>15</w:t>
        </w:r>
        <w:r w:rsidR="00053520">
          <w:fldChar w:fldCharType="end"/>
        </w:r>
      </w:hyperlink>
    </w:p>
    <w:p w14:paraId="1DBDD272" w14:textId="4C7F1B00" w:rsidR="00BE04A8" w:rsidRDefault="00573A9C">
      <w:pPr>
        <w:pStyle w:val="11"/>
        <w:rPr>
          <w:rFonts w:asciiTheme="minorHAnsi" w:hAnsiTheme="minorHAnsi"/>
        </w:rPr>
      </w:pPr>
      <w:hyperlink w:anchor="_Toc256000007" w:history="1">
        <w:r w:rsidR="00053520">
          <w:rPr>
            <w:rStyle w:val="af5"/>
          </w:rPr>
          <w:t>第八部分</w:t>
        </w:r>
        <w:r w:rsidR="00053520">
          <w:rPr>
            <w:rStyle w:val="af5"/>
          </w:rPr>
          <w:t xml:space="preserve">  </w:t>
        </w:r>
        <w:r w:rsidR="00053520">
          <w:rPr>
            <w:rStyle w:val="af5"/>
          </w:rPr>
          <w:t>基金份额的申购与赎回</w:t>
        </w:r>
        <w:r w:rsidR="00053520">
          <w:tab/>
        </w:r>
        <w:r w:rsidR="00053520">
          <w:fldChar w:fldCharType="begin"/>
        </w:r>
        <w:r w:rsidR="00053520">
          <w:instrText xml:space="preserve"> PAGEREF _Toc256000007 \h </w:instrText>
        </w:r>
        <w:r w:rsidR="00053520">
          <w:fldChar w:fldCharType="separate"/>
        </w:r>
        <w:r w:rsidR="001E5780">
          <w:rPr>
            <w:noProof/>
          </w:rPr>
          <w:t>17</w:t>
        </w:r>
        <w:r w:rsidR="00053520">
          <w:fldChar w:fldCharType="end"/>
        </w:r>
      </w:hyperlink>
    </w:p>
    <w:p w14:paraId="065564FF" w14:textId="6316AE49" w:rsidR="00BE04A8" w:rsidRDefault="00573A9C">
      <w:pPr>
        <w:pStyle w:val="11"/>
        <w:rPr>
          <w:rFonts w:asciiTheme="minorHAnsi" w:hAnsiTheme="minorHAnsi"/>
        </w:rPr>
      </w:pPr>
      <w:hyperlink w:anchor="_Toc256000008" w:history="1">
        <w:r w:rsidR="00053520">
          <w:rPr>
            <w:rStyle w:val="af5"/>
          </w:rPr>
          <w:t>第九部分</w:t>
        </w:r>
        <w:r w:rsidR="00053520">
          <w:rPr>
            <w:rStyle w:val="af5"/>
          </w:rPr>
          <w:t xml:space="preserve">  </w:t>
        </w:r>
        <w:r w:rsidR="00053520">
          <w:rPr>
            <w:rStyle w:val="af5"/>
          </w:rPr>
          <w:t>基金合同当事人及权利义务</w:t>
        </w:r>
        <w:r w:rsidR="00053520">
          <w:tab/>
        </w:r>
        <w:r w:rsidR="00053520">
          <w:fldChar w:fldCharType="begin"/>
        </w:r>
        <w:r w:rsidR="00053520">
          <w:instrText xml:space="preserve"> PAGEREF _Toc256000008 \h </w:instrText>
        </w:r>
        <w:r w:rsidR="00053520">
          <w:fldChar w:fldCharType="separate"/>
        </w:r>
        <w:r w:rsidR="001E5780">
          <w:rPr>
            <w:noProof/>
          </w:rPr>
          <w:t>25</w:t>
        </w:r>
        <w:r w:rsidR="00053520">
          <w:fldChar w:fldCharType="end"/>
        </w:r>
      </w:hyperlink>
    </w:p>
    <w:p w14:paraId="17919342" w14:textId="5880F546" w:rsidR="00BE04A8" w:rsidRDefault="00573A9C">
      <w:pPr>
        <w:pStyle w:val="11"/>
        <w:rPr>
          <w:rFonts w:asciiTheme="minorHAnsi" w:hAnsiTheme="minorHAnsi"/>
        </w:rPr>
      </w:pPr>
      <w:hyperlink w:anchor="_Toc256000009" w:history="1">
        <w:r w:rsidR="00053520">
          <w:rPr>
            <w:rStyle w:val="af5"/>
          </w:rPr>
          <w:t>第十部分</w:t>
        </w:r>
        <w:r w:rsidR="00053520">
          <w:rPr>
            <w:rStyle w:val="af5"/>
          </w:rPr>
          <w:t xml:space="preserve">  </w:t>
        </w:r>
        <w:r w:rsidR="00053520">
          <w:rPr>
            <w:rStyle w:val="af5"/>
          </w:rPr>
          <w:t>基金份额持有人大会</w:t>
        </w:r>
        <w:r w:rsidR="00053520">
          <w:tab/>
        </w:r>
        <w:r w:rsidR="00053520">
          <w:fldChar w:fldCharType="begin"/>
        </w:r>
        <w:r w:rsidR="00053520">
          <w:instrText xml:space="preserve"> PAGEREF _Toc256000009 \h </w:instrText>
        </w:r>
        <w:r w:rsidR="00053520">
          <w:fldChar w:fldCharType="separate"/>
        </w:r>
        <w:r w:rsidR="001E5780">
          <w:rPr>
            <w:noProof/>
          </w:rPr>
          <w:t>33</w:t>
        </w:r>
        <w:r w:rsidR="00053520">
          <w:fldChar w:fldCharType="end"/>
        </w:r>
      </w:hyperlink>
    </w:p>
    <w:p w14:paraId="6284B119" w14:textId="67831664" w:rsidR="00BE04A8" w:rsidRDefault="00573A9C">
      <w:pPr>
        <w:pStyle w:val="11"/>
        <w:rPr>
          <w:rFonts w:asciiTheme="minorHAnsi" w:hAnsiTheme="minorHAnsi"/>
        </w:rPr>
      </w:pPr>
      <w:hyperlink w:anchor="_Toc256000010" w:history="1">
        <w:r w:rsidR="00053520">
          <w:rPr>
            <w:rStyle w:val="af5"/>
          </w:rPr>
          <w:t>第十一部分</w:t>
        </w:r>
        <w:r w:rsidR="00053520">
          <w:rPr>
            <w:rStyle w:val="af5"/>
          </w:rPr>
          <w:t xml:space="preserve">  </w:t>
        </w:r>
        <w:r w:rsidR="00053520">
          <w:rPr>
            <w:rStyle w:val="af5"/>
          </w:rPr>
          <w:t>基金管理人、基金托管人的更换条件和程序</w:t>
        </w:r>
        <w:r w:rsidR="00053520">
          <w:tab/>
        </w:r>
        <w:r w:rsidR="00053520">
          <w:fldChar w:fldCharType="begin"/>
        </w:r>
        <w:r w:rsidR="00053520">
          <w:instrText xml:space="preserve"> PAGEREF _Toc256000010 \h </w:instrText>
        </w:r>
        <w:r w:rsidR="00053520">
          <w:fldChar w:fldCharType="separate"/>
        </w:r>
        <w:r w:rsidR="001E5780">
          <w:rPr>
            <w:noProof/>
          </w:rPr>
          <w:t>42</w:t>
        </w:r>
        <w:r w:rsidR="00053520">
          <w:fldChar w:fldCharType="end"/>
        </w:r>
      </w:hyperlink>
    </w:p>
    <w:p w14:paraId="7E234A4F" w14:textId="0F62ED2C" w:rsidR="00BE04A8" w:rsidRDefault="00573A9C">
      <w:pPr>
        <w:pStyle w:val="11"/>
        <w:rPr>
          <w:rFonts w:asciiTheme="minorHAnsi" w:hAnsiTheme="minorHAnsi"/>
        </w:rPr>
      </w:pPr>
      <w:hyperlink w:anchor="_Toc256000011" w:history="1">
        <w:r w:rsidR="00053520">
          <w:rPr>
            <w:rStyle w:val="af5"/>
          </w:rPr>
          <w:t>第十二部分</w:t>
        </w:r>
        <w:r w:rsidR="00053520">
          <w:rPr>
            <w:rStyle w:val="af5"/>
          </w:rPr>
          <w:t xml:space="preserve">  </w:t>
        </w:r>
        <w:r w:rsidR="00053520">
          <w:rPr>
            <w:rStyle w:val="af5"/>
          </w:rPr>
          <w:t>基金的托管</w:t>
        </w:r>
        <w:r w:rsidR="00053520">
          <w:tab/>
        </w:r>
        <w:r w:rsidR="00053520">
          <w:fldChar w:fldCharType="begin"/>
        </w:r>
        <w:r w:rsidR="00053520">
          <w:instrText xml:space="preserve"> PAGEREF _Toc256000011 \h </w:instrText>
        </w:r>
        <w:r w:rsidR="00053520">
          <w:fldChar w:fldCharType="separate"/>
        </w:r>
        <w:r w:rsidR="001E5780">
          <w:rPr>
            <w:noProof/>
          </w:rPr>
          <w:t>45</w:t>
        </w:r>
        <w:r w:rsidR="00053520">
          <w:fldChar w:fldCharType="end"/>
        </w:r>
      </w:hyperlink>
    </w:p>
    <w:p w14:paraId="71056623" w14:textId="40914166" w:rsidR="00BE04A8" w:rsidRDefault="00573A9C">
      <w:pPr>
        <w:pStyle w:val="11"/>
        <w:rPr>
          <w:rFonts w:asciiTheme="minorHAnsi" w:hAnsiTheme="minorHAnsi"/>
        </w:rPr>
      </w:pPr>
      <w:hyperlink w:anchor="_Toc256000012" w:history="1">
        <w:r w:rsidR="00053520">
          <w:rPr>
            <w:rStyle w:val="af5"/>
          </w:rPr>
          <w:t>第十三部分</w:t>
        </w:r>
        <w:r w:rsidR="00053520">
          <w:rPr>
            <w:rStyle w:val="af5"/>
          </w:rPr>
          <w:t xml:space="preserve">  </w:t>
        </w:r>
        <w:r w:rsidR="00053520">
          <w:rPr>
            <w:rStyle w:val="af5"/>
          </w:rPr>
          <w:t>基金份额的登记</w:t>
        </w:r>
        <w:r w:rsidR="00053520">
          <w:tab/>
        </w:r>
        <w:r w:rsidR="00053520">
          <w:fldChar w:fldCharType="begin"/>
        </w:r>
        <w:r w:rsidR="00053520">
          <w:instrText xml:space="preserve"> PAGEREF _Toc256000012 \h </w:instrText>
        </w:r>
        <w:r w:rsidR="00053520">
          <w:fldChar w:fldCharType="separate"/>
        </w:r>
        <w:r w:rsidR="001E5780">
          <w:rPr>
            <w:noProof/>
          </w:rPr>
          <w:t>46</w:t>
        </w:r>
        <w:r w:rsidR="00053520">
          <w:fldChar w:fldCharType="end"/>
        </w:r>
      </w:hyperlink>
    </w:p>
    <w:p w14:paraId="6B171648" w14:textId="1000BFEB" w:rsidR="00BE04A8" w:rsidRDefault="00573A9C">
      <w:pPr>
        <w:pStyle w:val="11"/>
        <w:rPr>
          <w:rFonts w:asciiTheme="minorHAnsi" w:hAnsiTheme="minorHAnsi"/>
        </w:rPr>
      </w:pPr>
      <w:hyperlink w:anchor="_Toc256000013" w:history="1">
        <w:r w:rsidR="00053520">
          <w:rPr>
            <w:rStyle w:val="af5"/>
          </w:rPr>
          <w:t>第十四部分</w:t>
        </w:r>
        <w:r w:rsidR="00053520">
          <w:rPr>
            <w:rStyle w:val="af5"/>
          </w:rPr>
          <w:t xml:space="preserve">  </w:t>
        </w:r>
        <w:r w:rsidR="00053520">
          <w:rPr>
            <w:rStyle w:val="af5"/>
          </w:rPr>
          <w:t>基金的投资</w:t>
        </w:r>
        <w:r w:rsidR="00053520">
          <w:tab/>
        </w:r>
        <w:r w:rsidR="00053520">
          <w:fldChar w:fldCharType="begin"/>
        </w:r>
        <w:r w:rsidR="00053520">
          <w:instrText xml:space="preserve"> PAGEREF _Toc256000013 \h </w:instrText>
        </w:r>
        <w:r w:rsidR="00053520">
          <w:fldChar w:fldCharType="separate"/>
        </w:r>
        <w:r w:rsidR="001E5780">
          <w:rPr>
            <w:noProof/>
          </w:rPr>
          <w:t>48</w:t>
        </w:r>
        <w:r w:rsidR="00053520">
          <w:fldChar w:fldCharType="end"/>
        </w:r>
      </w:hyperlink>
    </w:p>
    <w:p w14:paraId="07E6C5C4" w14:textId="372F4C67" w:rsidR="00BE04A8" w:rsidRDefault="00573A9C">
      <w:pPr>
        <w:pStyle w:val="11"/>
        <w:rPr>
          <w:rFonts w:asciiTheme="minorHAnsi" w:hAnsiTheme="minorHAnsi"/>
        </w:rPr>
      </w:pPr>
      <w:hyperlink w:anchor="_Toc256000014" w:history="1">
        <w:r w:rsidR="00053520">
          <w:rPr>
            <w:rStyle w:val="af5"/>
          </w:rPr>
          <w:t>第十五部分</w:t>
        </w:r>
        <w:r w:rsidR="00053520">
          <w:rPr>
            <w:rStyle w:val="af5"/>
          </w:rPr>
          <w:t xml:space="preserve">  </w:t>
        </w:r>
        <w:r w:rsidR="00053520">
          <w:rPr>
            <w:rStyle w:val="af5"/>
          </w:rPr>
          <w:t>基金的财产</w:t>
        </w:r>
        <w:r w:rsidR="00053520">
          <w:tab/>
        </w:r>
        <w:r w:rsidR="00053520">
          <w:fldChar w:fldCharType="begin"/>
        </w:r>
        <w:r w:rsidR="00053520">
          <w:instrText xml:space="preserve"> PAGEREF _Toc256000014 \h </w:instrText>
        </w:r>
        <w:r w:rsidR="00053520">
          <w:fldChar w:fldCharType="separate"/>
        </w:r>
        <w:r w:rsidR="001E5780">
          <w:rPr>
            <w:noProof/>
          </w:rPr>
          <w:t>56</w:t>
        </w:r>
        <w:r w:rsidR="00053520">
          <w:fldChar w:fldCharType="end"/>
        </w:r>
      </w:hyperlink>
    </w:p>
    <w:p w14:paraId="78EEA8D3" w14:textId="170DCDB5" w:rsidR="00BE04A8" w:rsidRDefault="00573A9C">
      <w:pPr>
        <w:pStyle w:val="11"/>
        <w:rPr>
          <w:rFonts w:asciiTheme="minorHAnsi" w:hAnsiTheme="minorHAnsi"/>
        </w:rPr>
      </w:pPr>
      <w:hyperlink w:anchor="_Toc256000015" w:history="1">
        <w:r w:rsidR="00053520">
          <w:rPr>
            <w:rStyle w:val="af5"/>
          </w:rPr>
          <w:t>第十六部分</w:t>
        </w:r>
        <w:r w:rsidR="00053520">
          <w:rPr>
            <w:rStyle w:val="af5"/>
          </w:rPr>
          <w:t xml:space="preserve">  </w:t>
        </w:r>
        <w:r w:rsidR="00053520">
          <w:rPr>
            <w:rStyle w:val="af5"/>
          </w:rPr>
          <w:t>基金资产估值</w:t>
        </w:r>
        <w:r w:rsidR="00053520">
          <w:tab/>
        </w:r>
        <w:r w:rsidR="00053520">
          <w:fldChar w:fldCharType="begin"/>
        </w:r>
        <w:r w:rsidR="00053520">
          <w:instrText xml:space="preserve"> PAGEREF _Toc256000015 \h </w:instrText>
        </w:r>
        <w:r w:rsidR="00053520">
          <w:fldChar w:fldCharType="separate"/>
        </w:r>
        <w:r w:rsidR="001E5780">
          <w:rPr>
            <w:noProof/>
          </w:rPr>
          <w:t>57</w:t>
        </w:r>
        <w:r w:rsidR="00053520">
          <w:fldChar w:fldCharType="end"/>
        </w:r>
      </w:hyperlink>
    </w:p>
    <w:p w14:paraId="681D328A" w14:textId="2186A8A8" w:rsidR="00BE04A8" w:rsidRDefault="00573A9C">
      <w:pPr>
        <w:pStyle w:val="11"/>
        <w:rPr>
          <w:rFonts w:asciiTheme="minorHAnsi" w:hAnsiTheme="minorHAnsi"/>
        </w:rPr>
      </w:pPr>
      <w:hyperlink w:anchor="_Toc256000016" w:history="1">
        <w:r w:rsidR="00053520">
          <w:rPr>
            <w:rStyle w:val="af5"/>
          </w:rPr>
          <w:t>第十七部分</w:t>
        </w:r>
        <w:r w:rsidR="00053520">
          <w:rPr>
            <w:rStyle w:val="af5"/>
          </w:rPr>
          <w:t xml:space="preserve">  </w:t>
        </w:r>
        <w:r w:rsidR="00053520">
          <w:rPr>
            <w:rStyle w:val="af5"/>
          </w:rPr>
          <w:t>基金费用与税收</w:t>
        </w:r>
        <w:r w:rsidR="00053520">
          <w:tab/>
        </w:r>
        <w:r w:rsidR="00053520">
          <w:fldChar w:fldCharType="begin"/>
        </w:r>
        <w:r w:rsidR="00053520">
          <w:instrText xml:space="preserve"> PAGEREF _Toc256000016 \h </w:instrText>
        </w:r>
        <w:r w:rsidR="00053520">
          <w:fldChar w:fldCharType="separate"/>
        </w:r>
        <w:r w:rsidR="001E5780">
          <w:rPr>
            <w:noProof/>
          </w:rPr>
          <w:t>63</w:t>
        </w:r>
        <w:r w:rsidR="00053520">
          <w:fldChar w:fldCharType="end"/>
        </w:r>
      </w:hyperlink>
    </w:p>
    <w:p w14:paraId="09D6499E" w14:textId="2DEFBD5D" w:rsidR="00BE04A8" w:rsidRDefault="00573A9C">
      <w:pPr>
        <w:pStyle w:val="11"/>
        <w:rPr>
          <w:rFonts w:asciiTheme="minorHAnsi" w:hAnsiTheme="minorHAnsi"/>
        </w:rPr>
      </w:pPr>
      <w:hyperlink w:anchor="_Toc256000017" w:history="1">
        <w:r w:rsidR="00053520">
          <w:rPr>
            <w:rStyle w:val="af5"/>
          </w:rPr>
          <w:t>第十八部分</w:t>
        </w:r>
        <w:r w:rsidR="00053520">
          <w:rPr>
            <w:rStyle w:val="af5"/>
          </w:rPr>
          <w:t xml:space="preserve">  </w:t>
        </w:r>
        <w:r w:rsidR="00053520">
          <w:rPr>
            <w:rStyle w:val="af5"/>
          </w:rPr>
          <w:t>基金的收益与分配</w:t>
        </w:r>
        <w:r w:rsidR="00053520">
          <w:tab/>
        </w:r>
        <w:r w:rsidR="00053520">
          <w:fldChar w:fldCharType="begin"/>
        </w:r>
        <w:r w:rsidR="00053520">
          <w:instrText xml:space="preserve"> PAGEREF _Toc256000017 \h </w:instrText>
        </w:r>
        <w:r w:rsidR="00053520">
          <w:fldChar w:fldCharType="separate"/>
        </w:r>
        <w:r w:rsidR="001E5780">
          <w:rPr>
            <w:noProof/>
          </w:rPr>
          <w:t>65</w:t>
        </w:r>
        <w:r w:rsidR="00053520">
          <w:fldChar w:fldCharType="end"/>
        </w:r>
      </w:hyperlink>
    </w:p>
    <w:p w14:paraId="67E7F4FE" w14:textId="7D3E5B0A" w:rsidR="00BE04A8" w:rsidRDefault="00573A9C">
      <w:pPr>
        <w:pStyle w:val="11"/>
        <w:rPr>
          <w:rFonts w:asciiTheme="minorHAnsi" w:hAnsiTheme="minorHAnsi"/>
        </w:rPr>
      </w:pPr>
      <w:hyperlink w:anchor="_Toc256000018" w:history="1">
        <w:r w:rsidR="00053520">
          <w:rPr>
            <w:rStyle w:val="af5"/>
          </w:rPr>
          <w:t>第十九部分</w:t>
        </w:r>
        <w:r w:rsidR="00053520">
          <w:rPr>
            <w:rStyle w:val="af5"/>
          </w:rPr>
          <w:t xml:space="preserve">  </w:t>
        </w:r>
        <w:r w:rsidR="00053520">
          <w:rPr>
            <w:rStyle w:val="af5"/>
          </w:rPr>
          <w:t>基金的会计与审计</w:t>
        </w:r>
        <w:r w:rsidR="00053520">
          <w:tab/>
        </w:r>
        <w:r w:rsidR="00053520">
          <w:fldChar w:fldCharType="begin"/>
        </w:r>
        <w:r w:rsidR="00053520">
          <w:instrText xml:space="preserve"> PAGEREF _Toc256000018 \h </w:instrText>
        </w:r>
        <w:r w:rsidR="00053520">
          <w:fldChar w:fldCharType="separate"/>
        </w:r>
        <w:r w:rsidR="001E5780">
          <w:rPr>
            <w:noProof/>
          </w:rPr>
          <w:t>67</w:t>
        </w:r>
        <w:r w:rsidR="00053520">
          <w:fldChar w:fldCharType="end"/>
        </w:r>
      </w:hyperlink>
    </w:p>
    <w:p w14:paraId="06261867" w14:textId="5A023E67" w:rsidR="00BE04A8" w:rsidRDefault="00573A9C">
      <w:pPr>
        <w:pStyle w:val="11"/>
        <w:rPr>
          <w:rFonts w:asciiTheme="minorHAnsi" w:hAnsiTheme="minorHAnsi"/>
        </w:rPr>
      </w:pPr>
      <w:hyperlink w:anchor="_Toc256000019" w:history="1">
        <w:r w:rsidR="00053520">
          <w:rPr>
            <w:rStyle w:val="af5"/>
          </w:rPr>
          <w:t>第二十部分</w:t>
        </w:r>
        <w:r w:rsidR="00053520">
          <w:rPr>
            <w:rStyle w:val="af5"/>
          </w:rPr>
          <w:t xml:space="preserve">  </w:t>
        </w:r>
        <w:r w:rsidR="00053520">
          <w:rPr>
            <w:rStyle w:val="af5"/>
          </w:rPr>
          <w:t>基金的信息披露</w:t>
        </w:r>
        <w:r w:rsidR="00053520">
          <w:tab/>
        </w:r>
        <w:r w:rsidR="00053520">
          <w:fldChar w:fldCharType="begin"/>
        </w:r>
        <w:r w:rsidR="00053520">
          <w:instrText xml:space="preserve"> PAGEREF _Toc256000019 \h </w:instrText>
        </w:r>
        <w:r w:rsidR="00053520">
          <w:fldChar w:fldCharType="separate"/>
        </w:r>
        <w:r w:rsidR="001E5780">
          <w:rPr>
            <w:noProof/>
          </w:rPr>
          <w:t>68</w:t>
        </w:r>
        <w:r w:rsidR="00053520">
          <w:fldChar w:fldCharType="end"/>
        </w:r>
      </w:hyperlink>
    </w:p>
    <w:p w14:paraId="29E01D20" w14:textId="3E2EB7F7" w:rsidR="00BE04A8" w:rsidRDefault="00573A9C">
      <w:pPr>
        <w:pStyle w:val="11"/>
        <w:rPr>
          <w:rFonts w:asciiTheme="minorHAnsi" w:hAnsiTheme="minorHAnsi"/>
        </w:rPr>
      </w:pPr>
      <w:hyperlink w:anchor="_Toc256000020" w:history="1">
        <w:r w:rsidR="00053520">
          <w:rPr>
            <w:rStyle w:val="af5"/>
          </w:rPr>
          <w:t>第二十一部分</w:t>
        </w:r>
        <w:r w:rsidR="00053520">
          <w:rPr>
            <w:rStyle w:val="af5"/>
          </w:rPr>
          <w:t xml:space="preserve">  </w:t>
        </w:r>
        <w:r w:rsidR="00053520">
          <w:rPr>
            <w:rStyle w:val="af5"/>
          </w:rPr>
          <w:t>基金合同的变更、终止与基金财产的清算</w:t>
        </w:r>
        <w:r w:rsidR="00053520">
          <w:tab/>
        </w:r>
        <w:r w:rsidR="00053520">
          <w:fldChar w:fldCharType="begin"/>
        </w:r>
        <w:r w:rsidR="00053520">
          <w:instrText xml:space="preserve"> PAGEREF _Toc256000020 \h </w:instrText>
        </w:r>
        <w:r w:rsidR="00053520">
          <w:fldChar w:fldCharType="separate"/>
        </w:r>
        <w:r w:rsidR="001E5780">
          <w:rPr>
            <w:noProof/>
          </w:rPr>
          <w:t>76</w:t>
        </w:r>
        <w:r w:rsidR="00053520">
          <w:fldChar w:fldCharType="end"/>
        </w:r>
      </w:hyperlink>
    </w:p>
    <w:p w14:paraId="7322D933" w14:textId="3C97420C" w:rsidR="00BE04A8" w:rsidRDefault="00573A9C">
      <w:pPr>
        <w:pStyle w:val="11"/>
        <w:rPr>
          <w:rFonts w:asciiTheme="minorHAnsi" w:hAnsiTheme="minorHAnsi"/>
        </w:rPr>
      </w:pPr>
      <w:hyperlink w:anchor="_Toc256000021" w:history="1">
        <w:r w:rsidR="00053520">
          <w:rPr>
            <w:rStyle w:val="af5"/>
          </w:rPr>
          <w:t>第二十二部分</w:t>
        </w:r>
        <w:r w:rsidR="00053520">
          <w:rPr>
            <w:rStyle w:val="af5"/>
          </w:rPr>
          <w:t xml:space="preserve">  </w:t>
        </w:r>
        <w:r w:rsidR="00053520">
          <w:rPr>
            <w:rStyle w:val="af5"/>
          </w:rPr>
          <w:t>违约责任</w:t>
        </w:r>
        <w:r w:rsidR="00053520">
          <w:tab/>
        </w:r>
        <w:r w:rsidR="00053520">
          <w:fldChar w:fldCharType="begin"/>
        </w:r>
        <w:r w:rsidR="00053520">
          <w:instrText xml:space="preserve"> PAGEREF _Toc256000021 \h </w:instrText>
        </w:r>
        <w:r w:rsidR="00053520">
          <w:fldChar w:fldCharType="separate"/>
        </w:r>
        <w:r w:rsidR="001E5780">
          <w:rPr>
            <w:noProof/>
          </w:rPr>
          <w:t>78</w:t>
        </w:r>
        <w:r w:rsidR="00053520">
          <w:fldChar w:fldCharType="end"/>
        </w:r>
      </w:hyperlink>
    </w:p>
    <w:p w14:paraId="3A13970D" w14:textId="1754040A" w:rsidR="00BE04A8" w:rsidRDefault="00573A9C">
      <w:pPr>
        <w:pStyle w:val="11"/>
        <w:rPr>
          <w:rFonts w:asciiTheme="minorHAnsi" w:hAnsiTheme="minorHAnsi"/>
        </w:rPr>
      </w:pPr>
      <w:hyperlink w:anchor="_Toc256000022" w:history="1">
        <w:r w:rsidR="00053520">
          <w:rPr>
            <w:rStyle w:val="af5"/>
          </w:rPr>
          <w:t>第二十三部分</w:t>
        </w:r>
        <w:r w:rsidR="00053520">
          <w:rPr>
            <w:rStyle w:val="af5"/>
          </w:rPr>
          <w:t xml:space="preserve">  </w:t>
        </w:r>
        <w:r w:rsidR="00053520">
          <w:rPr>
            <w:rStyle w:val="af5"/>
          </w:rPr>
          <w:t>争议的处理和适用的法律</w:t>
        </w:r>
        <w:r w:rsidR="00053520">
          <w:tab/>
        </w:r>
        <w:r w:rsidR="00053520">
          <w:fldChar w:fldCharType="begin"/>
        </w:r>
        <w:r w:rsidR="00053520">
          <w:instrText xml:space="preserve"> PAGEREF _Toc256000022 \h </w:instrText>
        </w:r>
        <w:r w:rsidR="00053520">
          <w:fldChar w:fldCharType="separate"/>
        </w:r>
        <w:r w:rsidR="001E5780">
          <w:rPr>
            <w:noProof/>
          </w:rPr>
          <w:t>79</w:t>
        </w:r>
        <w:r w:rsidR="00053520">
          <w:fldChar w:fldCharType="end"/>
        </w:r>
      </w:hyperlink>
    </w:p>
    <w:p w14:paraId="431E48B8" w14:textId="617CAEE6" w:rsidR="00BE04A8" w:rsidRDefault="00573A9C">
      <w:pPr>
        <w:pStyle w:val="11"/>
        <w:rPr>
          <w:rFonts w:asciiTheme="minorHAnsi" w:hAnsiTheme="minorHAnsi"/>
        </w:rPr>
      </w:pPr>
      <w:hyperlink w:anchor="_Toc256000023" w:history="1">
        <w:r w:rsidR="00053520">
          <w:rPr>
            <w:rStyle w:val="af5"/>
          </w:rPr>
          <w:t>第二十四部分</w:t>
        </w:r>
        <w:r w:rsidR="00053520">
          <w:rPr>
            <w:rStyle w:val="af5"/>
          </w:rPr>
          <w:t xml:space="preserve">  </w:t>
        </w:r>
        <w:r w:rsidR="00053520">
          <w:rPr>
            <w:rStyle w:val="af5"/>
          </w:rPr>
          <w:t>基金合同的效力</w:t>
        </w:r>
        <w:r w:rsidR="00053520">
          <w:tab/>
        </w:r>
        <w:r w:rsidR="00053520">
          <w:fldChar w:fldCharType="begin"/>
        </w:r>
        <w:r w:rsidR="00053520">
          <w:instrText xml:space="preserve"> PAGEREF _Toc256000023 \h </w:instrText>
        </w:r>
        <w:r w:rsidR="00053520">
          <w:fldChar w:fldCharType="separate"/>
        </w:r>
        <w:r w:rsidR="001E5780">
          <w:rPr>
            <w:noProof/>
          </w:rPr>
          <w:t>80</w:t>
        </w:r>
        <w:r w:rsidR="00053520">
          <w:fldChar w:fldCharType="end"/>
        </w:r>
      </w:hyperlink>
    </w:p>
    <w:p w14:paraId="6D3790E7" w14:textId="6D4AC13A" w:rsidR="00BE04A8" w:rsidRDefault="00573A9C">
      <w:pPr>
        <w:pStyle w:val="11"/>
        <w:rPr>
          <w:rFonts w:asciiTheme="minorHAnsi" w:hAnsiTheme="minorHAnsi"/>
        </w:rPr>
      </w:pPr>
      <w:hyperlink w:anchor="_Toc256000024" w:history="1">
        <w:r w:rsidR="00053520">
          <w:rPr>
            <w:rStyle w:val="af5"/>
          </w:rPr>
          <w:t>第二十五部分</w:t>
        </w:r>
        <w:r w:rsidR="00053520">
          <w:rPr>
            <w:rStyle w:val="af5"/>
          </w:rPr>
          <w:t xml:space="preserve">  </w:t>
        </w:r>
        <w:r w:rsidR="00053520">
          <w:rPr>
            <w:rStyle w:val="af5"/>
          </w:rPr>
          <w:t>其他事项</w:t>
        </w:r>
        <w:r w:rsidR="00053520">
          <w:tab/>
        </w:r>
        <w:r w:rsidR="00053520">
          <w:fldChar w:fldCharType="begin"/>
        </w:r>
        <w:r w:rsidR="00053520">
          <w:instrText xml:space="preserve"> PAGEREF _Toc256000024 \h </w:instrText>
        </w:r>
        <w:r w:rsidR="00053520">
          <w:fldChar w:fldCharType="separate"/>
        </w:r>
        <w:r w:rsidR="001E5780">
          <w:rPr>
            <w:noProof/>
          </w:rPr>
          <w:t>81</w:t>
        </w:r>
        <w:r w:rsidR="00053520">
          <w:fldChar w:fldCharType="end"/>
        </w:r>
      </w:hyperlink>
    </w:p>
    <w:p w14:paraId="1D6117C1" w14:textId="2930C7F8" w:rsidR="00BE04A8" w:rsidRDefault="00573A9C">
      <w:pPr>
        <w:pStyle w:val="11"/>
        <w:rPr>
          <w:rFonts w:asciiTheme="minorHAnsi" w:hAnsiTheme="minorHAnsi"/>
        </w:rPr>
      </w:pPr>
      <w:hyperlink w:anchor="_Toc256000025" w:history="1">
        <w:r w:rsidR="00053520">
          <w:rPr>
            <w:rStyle w:val="af5"/>
          </w:rPr>
          <w:t>第二十六部分</w:t>
        </w:r>
        <w:r w:rsidR="00053520">
          <w:rPr>
            <w:rStyle w:val="af5"/>
          </w:rPr>
          <w:t xml:space="preserve">  </w:t>
        </w:r>
        <w:r w:rsidR="00053520">
          <w:rPr>
            <w:rStyle w:val="af5"/>
          </w:rPr>
          <w:t>基金合同内容摘要</w:t>
        </w:r>
        <w:r w:rsidR="00053520">
          <w:tab/>
        </w:r>
        <w:r w:rsidR="00053520">
          <w:fldChar w:fldCharType="begin"/>
        </w:r>
        <w:r w:rsidR="00053520">
          <w:instrText xml:space="preserve"> PAGEREF _Toc256000025 \h </w:instrText>
        </w:r>
        <w:r w:rsidR="00053520">
          <w:fldChar w:fldCharType="separate"/>
        </w:r>
        <w:r w:rsidR="001E5780">
          <w:rPr>
            <w:noProof/>
          </w:rPr>
          <w:t>82</w:t>
        </w:r>
        <w:r w:rsidR="00053520">
          <w:fldChar w:fldCharType="end"/>
        </w:r>
      </w:hyperlink>
    </w:p>
    <w:p w14:paraId="4011169D" w14:textId="77777777" w:rsidR="00BE04A8" w:rsidRDefault="00053520">
      <w:pPr>
        <w:jc w:val="left"/>
        <w:rPr>
          <w:rStyle w:val="read"/>
          <w:rFonts w:ascii="宋体" w:hAnsi="宋体" w:cs="宋体"/>
          <w:b/>
          <w:sz w:val="24"/>
        </w:rPr>
        <w:sectPr w:rsidR="00BE04A8">
          <w:headerReference w:type="default" r:id="rId10"/>
          <w:footerReference w:type="default" r:id="rId11"/>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36" w:name="_Toc452127896"/>
      <w:bookmarkStart w:id="37" w:name="_Toc2163435"/>
      <w:bookmarkStart w:id="38" w:name="_Toc11660"/>
    </w:p>
    <w:p w14:paraId="121A9619" w14:textId="77777777" w:rsidR="00BE04A8" w:rsidRDefault="00053520">
      <w:pPr>
        <w:pStyle w:val="1"/>
        <w:spacing w:before="0" w:after="0"/>
        <w:jc w:val="center"/>
        <w:rPr>
          <w:rFonts w:ascii="Times New Roman"/>
          <w:color w:val="auto"/>
          <w:sz w:val="30"/>
        </w:rPr>
      </w:pPr>
      <w:bookmarkStart w:id="39" w:name="_Toc139991731"/>
      <w:bookmarkStart w:id="40" w:name="_Toc2560000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40"/>
    </w:p>
    <w:p w14:paraId="20FCFCC6" w14:textId="77777777" w:rsidR="00BE04A8" w:rsidRDefault="00BE04A8"/>
    <w:p w14:paraId="2479FA8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768D6C5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2A81B77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14:paraId="4D675DA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1181270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2C2794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B374C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三、汇添富中证全指红利质量交易型开放式指数证券投资基金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1494DEC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中国证监会对本基金募集的注册，并不表明其对本基金的投资价值和市场前景做出实质性判断或保证，也不表明投资于本基金没有风险。</w:t>
      </w:r>
    </w:p>
    <w:p w14:paraId="2E3326E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7B681EA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投资者应当认真阅读基金招募说明书、基金合同、基金产品资料概要等信息披露文件，自主判断基金的投资价值，自主做出投资决策，自行承担投资风险。</w:t>
      </w:r>
    </w:p>
    <w:p w14:paraId="646C78A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305DA14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14:paraId="13009E8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六、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19CF297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七、本基金为指数基金，投资者投资于本基金面临跟踪误差控制未达约定目标、指数编制机构停止服务、成份股停牌等潜在风险，详见本基金招募说明书。</w:t>
      </w:r>
      <w:r>
        <w:rPr>
          <w:rStyle w:val="custom"/>
          <w:rFonts w:ascii="宋体" w:hAnsi="宋体" w:cs="宋体"/>
          <w:kern w:val="0"/>
          <w:sz w:val="24"/>
          <w:szCs w:val="24"/>
        </w:rPr>
        <w:br w:type="page"/>
      </w:r>
    </w:p>
    <w:p w14:paraId="3B769472" w14:textId="77777777" w:rsidR="00BE04A8" w:rsidRDefault="00053520">
      <w:pPr>
        <w:pStyle w:val="1"/>
        <w:spacing w:before="0" w:after="0"/>
        <w:jc w:val="center"/>
        <w:rPr>
          <w:rFonts w:ascii="Times New Roman"/>
          <w:color w:val="auto"/>
          <w:sz w:val="30"/>
        </w:rPr>
      </w:pPr>
      <w:bookmarkStart w:id="41"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1"/>
    </w:p>
    <w:p w14:paraId="4F29A790" w14:textId="77777777" w:rsidR="00BE04A8" w:rsidRDefault="00BE04A8"/>
    <w:p w14:paraId="0C0E2A7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167FC0F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基金或本基金：指</w:t>
      </w:r>
      <w:r>
        <w:rPr>
          <w:rStyle w:val="custom"/>
          <w:rFonts w:ascii="宋体" w:hAnsi="宋体" w:cs="宋体"/>
          <w:kern w:val="0"/>
          <w:sz w:val="24"/>
          <w:szCs w:val="24"/>
        </w:rPr>
        <w:t>汇添富中证全指红利质量交易型开放式指数证券投资基金</w:t>
      </w:r>
    </w:p>
    <w:p w14:paraId="3E1AA43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基金管理人：指汇添富基金管理股份有限公司</w:t>
      </w:r>
    </w:p>
    <w:p w14:paraId="1F1B903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0"/>
          <w:rFonts w:ascii="宋体" w:hAnsi="宋体" w:cs="宋体"/>
          <w:kern w:val="0"/>
          <w:sz w:val="24"/>
          <w:szCs w:val="24"/>
        </w:rPr>
        <w:t>上海浦东发展银行股份有限公司</w:t>
      </w:r>
    </w:p>
    <w:p w14:paraId="7F77DEC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基金合同》及对本基金合同的任何有效修订和补充</w:t>
      </w:r>
    </w:p>
    <w:p w14:paraId="34AA418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托管协议》及对该托管协议的任何有效修订和补充</w:t>
      </w:r>
    </w:p>
    <w:p w14:paraId="029F90D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招募说明书》及其更新</w:t>
      </w:r>
    </w:p>
    <w:p w14:paraId="3E832FB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基金产品资料概要》及其更新</w:t>
      </w:r>
    </w:p>
    <w:p w14:paraId="49CA432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基金份额发售公告：指《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基金份额发售公告》</w:t>
      </w:r>
    </w:p>
    <w:p w14:paraId="6F7EADB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上市交易公告书：指《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上市交易公告书》</w:t>
      </w:r>
    </w:p>
    <w:p w14:paraId="69DC40E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41B34A9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64261A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《销售办法》：指中国证监会2020年8月28日颁布、同年10月1日</w:t>
      </w:r>
      <w:r>
        <w:rPr>
          <w:rFonts w:ascii="宋体" w:hAnsi="宋体" w:cs="宋体"/>
          <w:kern w:val="0"/>
          <w:sz w:val="24"/>
          <w:szCs w:val="24"/>
        </w:rPr>
        <w:lastRenderedPageBreak/>
        <w:t>实施的《公开募集证券投资基金销售机构监督管理办法》及颁布机关对其不时做出的修订</w:t>
      </w:r>
    </w:p>
    <w:p w14:paraId="0BA9C7E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0B666FD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73DC4D4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658ECC3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《指数基金指引》：指中国证监会2021年1月18日颁布、同年2月1日实施的《公开募集证券投资基金运作指引第3号——指数基金指引》及颁布机关对其不时做出的修订</w:t>
      </w:r>
    </w:p>
    <w:p w14:paraId="323DC91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中国证监会：指中国证券监督管理委员会</w:t>
      </w:r>
    </w:p>
    <w:p w14:paraId="0757CF59"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18、银行业监督管理机构：指中国人民银行和/或国家金融监督管理总局</w:t>
      </w:r>
    </w:p>
    <w:p w14:paraId="4EBA3CF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19、交易型开放式指数证券投资基金：指《上海证券交易所交易型开放式指数基金业务实施细则》定义的“交易型开放式指数基金”，简称“ETF”</w:t>
      </w:r>
    </w:p>
    <w:p w14:paraId="59C1629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ETF联接基金：指将绝大部分基金财产投资于本基金，与本基金的投资目标类似，采用开放式运作方式的基金</w:t>
      </w:r>
    </w:p>
    <w:p w14:paraId="6AF0F22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3887C40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个人投资者：指依据有关法律法规规定可投资于证券投资基金的自然人</w:t>
      </w:r>
    </w:p>
    <w:p w14:paraId="4B78EB9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78F28A3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w:t>
      </w:r>
      <w:r>
        <w:rPr>
          <w:rFonts w:ascii="宋体" w:hAnsi="宋体" w:cs="宋体"/>
          <w:kern w:val="0"/>
          <w:sz w:val="24"/>
          <w:szCs w:val="24"/>
        </w:rPr>
        <w:lastRenderedPageBreak/>
        <w:t>投资者和人民币合格境外机构投资者</w:t>
      </w:r>
    </w:p>
    <w:p w14:paraId="0BAC7C8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25、特定机构投资者：指根据上海证券交易所颁布的《特定机构投资者参与证券投资基金申购赎回业务指引》所定义机构投资者</w:t>
      </w:r>
    </w:p>
    <w:p w14:paraId="733305B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投资人、投资者：指个人投资者、机构投资者和合格境外投资者以及法律法规或中国证监会允许购买证券投资基金的其他投资人的合称</w:t>
      </w:r>
    </w:p>
    <w:p w14:paraId="076F04D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基金份额持有人：指依基金合同和招募说明书合法取得基金份额的投资人</w:t>
      </w:r>
    </w:p>
    <w:p w14:paraId="4918766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基金销售业务：指基金管理人或销售机构宣传推介基金，发售基金份额，办理基金份额的申购、赎回等业务</w:t>
      </w:r>
    </w:p>
    <w:p w14:paraId="4A833B4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29、</w:t>
      </w:r>
      <w:r>
        <w:rPr>
          <w:rFonts w:ascii="宋体" w:hAnsi="宋体" w:cs="宋体"/>
          <w:kern w:val="0"/>
          <w:sz w:val="24"/>
          <w:szCs w:val="24"/>
        </w:rPr>
        <w:t>销售机构：指汇添富基金管理股份有限公司以及符合《销售办法》和中国证监会规定的其他条件，取得基金销售业务资格并与基金管理人签订了基金销售服务协议，办理基金销售业务的机构</w:t>
      </w:r>
    </w:p>
    <w:p w14:paraId="27855E1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发售代理机构：指符合《销售办法》和中国证监会规定的其他条件，由基金管理人指定的、在募集期间代理本基金发售业务的机构</w:t>
      </w:r>
    </w:p>
    <w:p w14:paraId="42788A8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申购赎回代理券商：指符合《销售办法》和中国证监会规定的其他条件，由基金管理人指定的办理本基金申购、赎回业务的证券公司，又称为代办证券公司</w:t>
      </w:r>
    </w:p>
    <w:p w14:paraId="2566360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D33891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33、</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14:paraId="1D1F8D2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基金账户：指登记机构为投资人开立的、记录其持有的、基金管理人所管理的基金份额余额及其变动情况的账户</w:t>
      </w:r>
    </w:p>
    <w:p w14:paraId="5E75E6E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基金合同生效日：指基金募集达到法律法规规定及基金合同规定的条件，基金管理人向中国证监会办理基金备案手续完毕，并获得中国证监会书面确认的日期</w:t>
      </w:r>
    </w:p>
    <w:p w14:paraId="6C291E4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36、</w:t>
      </w:r>
      <w:r>
        <w:rPr>
          <w:rFonts w:ascii="宋体" w:hAnsi="宋体" w:cs="宋体"/>
          <w:kern w:val="0"/>
          <w:sz w:val="24"/>
          <w:szCs w:val="24"/>
        </w:rPr>
        <w:t>基金合同终止日：指基金合同规定的基金合同终止事由出现后，基金财</w:t>
      </w:r>
      <w:r>
        <w:rPr>
          <w:rFonts w:ascii="宋体" w:hAnsi="宋体" w:cs="宋体"/>
          <w:kern w:val="0"/>
          <w:sz w:val="24"/>
          <w:szCs w:val="24"/>
        </w:rPr>
        <w:lastRenderedPageBreak/>
        <w:t>产清算完毕，清算结果报中国证监会备案并予以公告的日期</w:t>
      </w:r>
    </w:p>
    <w:p w14:paraId="007BD0F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37、</w:t>
      </w:r>
      <w:r>
        <w:rPr>
          <w:rFonts w:ascii="宋体" w:hAnsi="宋体" w:cs="宋体"/>
          <w:kern w:val="0"/>
          <w:sz w:val="24"/>
          <w:szCs w:val="24"/>
        </w:rPr>
        <w:t>基金募集期：指自基金份额发售之日起至发售结束之日止的期间，最长不得超过3个月</w:t>
      </w:r>
    </w:p>
    <w:p w14:paraId="290BF2F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38、</w:t>
      </w:r>
      <w:r>
        <w:rPr>
          <w:rFonts w:ascii="宋体" w:hAnsi="宋体" w:cs="宋体"/>
          <w:kern w:val="0"/>
          <w:sz w:val="24"/>
          <w:szCs w:val="24"/>
        </w:rPr>
        <w:t>存续期：指基金合同生效至终止之间的不定期期限</w:t>
      </w:r>
    </w:p>
    <w:p w14:paraId="4A759F4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39、</w:t>
      </w:r>
      <w:r>
        <w:rPr>
          <w:rFonts w:ascii="宋体" w:hAnsi="宋体" w:cs="宋体"/>
          <w:kern w:val="0"/>
          <w:sz w:val="24"/>
          <w:szCs w:val="24"/>
        </w:rPr>
        <w:t>工作日：</w:t>
      </w:r>
      <w:r>
        <w:rPr>
          <w:rStyle w:val="custom"/>
          <w:rFonts w:ascii="宋体" w:hAnsi="宋体" w:cs="宋体"/>
          <w:kern w:val="0"/>
          <w:sz w:val="24"/>
          <w:szCs w:val="24"/>
        </w:rPr>
        <w:t>指上海证券交易所、深圳证券交易所的正常交易日</w:t>
      </w:r>
    </w:p>
    <w:p w14:paraId="1D6CB4E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40、</w:t>
      </w:r>
      <w:r>
        <w:rPr>
          <w:rFonts w:ascii="宋体" w:hAnsi="宋体" w:cs="宋体"/>
          <w:kern w:val="0"/>
          <w:sz w:val="24"/>
          <w:szCs w:val="24"/>
        </w:rPr>
        <w:t>T日：指销售机构在规定时间受理投资人申购、赎回或其他业务申请的开放日</w:t>
      </w:r>
    </w:p>
    <w:p w14:paraId="6E641FE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41、</w:t>
      </w:r>
      <w:r>
        <w:rPr>
          <w:rFonts w:ascii="宋体" w:hAnsi="宋体" w:cs="宋体"/>
          <w:kern w:val="0"/>
          <w:sz w:val="24"/>
          <w:szCs w:val="24"/>
        </w:rPr>
        <w:t>T+n日：指自T日起第n个工作日(不包含T日)</w:t>
      </w:r>
    </w:p>
    <w:p w14:paraId="1229175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42、开放日：指为投资人办理基金份额申购、赎回或其他业务的工作日</w:t>
      </w:r>
    </w:p>
    <w:p w14:paraId="4D72566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43、</w:t>
      </w:r>
      <w:r>
        <w:rPr>
          <w:rFonts w:ascii="宋体" w:hAnsi="宋体" w:cs="宋体"/>
          <w:kern w:val="0"/>
          <w:sz w:val="24"/>
          <w:szCs w:val="24"/>
        </w:rPr>
        <w:t>开放时间：指开放日基金接受申购、赎回或其他交易的时间段</w:t>
      </w:r>
    </w:p>
    <w:p w14:paraId="366889ED"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44、《业务规则》：指上海证券交易所、中国证券登记结算有限责任公司、汇添富基金管理股份有限公司、基金销售机构的相关业务规则和规定</w:t>
      </w:r>
    </w:p>
    <w:p w14:paraId="638015E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45、</w:t>
      </w:r>
      <w:r>
        <w:rPr>
          <w:rFonts w:ascii="宋体" w:hAnsi="宋体" w:cs="宋体"/>
          <w:kern w:val="0"/>
          <w:sz w:val="24"/>
          <w:szCs w:val="24"/>
        </w:rPr>
        <w:t>标的指数：指</w:t>
      </w:r>
      <w:r>
        <w:rPr>
          <w:rStyle w:val="custom0"/>
          <w:rFonts w:ascii="宋体" w:hAnsi="宋体" w:cs="宋体"/>
          <w:kern w:val="0"/>
          <w:sz w:val="24"/>
          <w:szCs w:val="24"/>
        </w:rPr>
        <w:t>中证全指红利质量</w:t>
      </w:r>
      <w:r>
        <w:rPr>
          <w:rFonts w:ascii="宋体" w:hAnsi="宋体" w:cs="宋体"/>
          <w:kern w:val="0"/>
          <w:sz w:val="24"/>
          <w:szCs w:val="24"/>
        </w:rPr>
        <w:t>指数</w:t>
      </w:r>
    </w:p>
    <w:p w14:paraId="43D4F95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46、</w:t>
      </w:r>
      <w:r>
        <w:rPr>
          <w:rFonts w:ascii="宋体" w:hAnsi="宋体" w:cs="宋体"/>
          <w:kern w:val="0"/>
          <w:sz w:val="24"/>
          <w:szCs w:val="24"/>
        </w:rPr>
        <w:t>认购：指在基金募集期内，投资人根据基金合同和招募说明书的规定申请购买基金份额的行为</w:t>
      </w:r>
    </w:p>
    <w:p w14:paraId="5C6F325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47、</w:t>
      </w:r>
      <w:r>
        <w:rPr>
          <w:rFonts w:ascii="宋体" w:hAnsi="宋体" w:cs="宋体"/>
          <w:kern w:val="0"/>
          <w:sz w:val="24"/>
          <w:szCs w:val="24"/>
        </w:rPr>
        <w:t>申购：指基金合同生效后，投资人根据基金合同和招募说明书的规定申请购买基金份额的行为</w:t>
      </w:r>
    </w:p>
    <w:p w14:paraId="30EAE70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48、</w:t>
      </w:r>
      <w:r>
        <w:rPr>
          <w:rFonts w:ascii="宋体" w:hAnsi="宋体" w:cs="宋体"/>
          <w:kern w:val="0"/>
          <w:sz w:val="24"/>
          <w:szCs w:val="24"/>
        </w:rPr>
        <w:t>赎回：指基金合同生效后，基金份额持有人按基金合同和招募说明书规定的条件要求将基金份额兑换为基金合同所规定对价的行为</w:t>
      </w:r>
    </w:p>
    <w:p w14:paraId="3EAD026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申购赎回清单：指由基金管理人编制的用以公告申购对价、赎回对价等信息的文件</w:t>
      </w:r>
    </w:p>
    <w:p w14:paraId="0E43137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50、申购对价：指投资者申购基金份额时，按基金合同和招募说明书规定应交付的组合证券、现金替代、现金差额及其他对价</w:t>
      </w:r>
    </w:p>
    <w:p w14:paraId="3E4ED6C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51、赎回对价：指基金份额持有人赎回基金份额时，基金管理人按基金合同和招募说明书规定应交付给赎回人的组合证券、现金替代、现金差额及其他对价</w:t>
      </w:r>
    </w:p>
    <w:p w14:paraId="7193927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组合证券：指本基金标的指数所包含的全部或部分证券</w:t>
      </w:r>
    </w:p>
    <w:p w14:paraId="45670C8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53、现金替代：指申购或赎回过程中，投资者按基金合同和招募说明书的规定，用于替代组合证券中部分证券的一定数量的现金</w:t>
      </w:r>
    </w:p>
    <w:p w14:paraId="1D58E938" w14:textId="77777777" w:rsidR="00BE04A8" w:rsidRDefault="00053520">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lastRenderedPageBreak/>
        <w:t>54、现金差额：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76F7D01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55、预估现金部分：指由基金管理人估计并在T日申购赎回清单中公布的当日现金差额的估计值，预估现金部分由申购赎回代理券商（代办证券公司）预先冻结</w:t>
      </w:r>
    </w:p>
    <w:p w14:paraId="1BF654B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56、</w:t>
      </w:r>
      <w:r>
        <w:rPr>
          <w:rFonts w:ascii="宋体" w:hAnsi="宋体" w:cs="宋体"/>
          <w:kern w:val="0"/>
          <w:sz w:val="24"/>
          <w:szCs w:val="24"/>
        </w:rPr>
        <w:t>最小申购、赎回单位：指本基金申购份额、赎回份额的最低数量，投资者申购、赎回的基金份额应为最小申购、赎回单位的整数倍</w:t>
      </w:r>
    </w:p>
    <w:p w14:paraId="541D25B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57、基金份额参考净值：指基金管理人或者基金管理人委托的机构在开市后根据申购赎回清单和组合证券内各只证券的实时成交数据计算，并通过上海证券交易所发布的基金份额参考净值，简称IOPV</w:t>
      </w:r>
    </w:p>
    <w:p w14:paraId="7D3D5FA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58、</w:t>
      </w:r>
      <w:r>
        <w:rPr>
          <w:rFonts w:ascii="宋体" w:hAnsi="宋体" w:cs="宋体"/>
          <w:kern w:val="0"/>
          <w:sz w:val="24"/>
          <w:szCs w:val="24"/>
        </w:rPr>
        <w:t>基金份额折算：指基金管理人根据基金运作的需要，在基金资产净值不变的前提下，按照一定比例调整基金份额总额及基金份额净值的行为</w:t>
      </w:r>
    </w:p>
    <w:p w14:paraId="368C93DE" w14:textId="77777777" w:rsidR="00BE04A8" w:rsidRDefault="00053520">
      <w:pPr>
        <w:pStyle w:val="div"/>
        <w:spacing w:line="360" w:lineRule="auto"/>
        <w:ind w:firstLine="480"/>
        <w:rPr>
          <w:rFonts w:eastAsia="Times New Roman"/>
          <w:kern w:val="0"/>
          <w:sz w:val="24"/>
          <w:szCs w:val="24"/>
        </w:rPr>
      </w:pPr>
      <w:r>
        <w:rPr>
          <w:rStyle w:val="serial-tag"/>
          <w:rFonts w:ascii="宋体" w:hAnsi="宋体" w:cs="宋体"/>
          <w:kern w:val="0"/>
          <w:sz w:val="24"/>
          <w:szCs w:val="24"/>
        </w:rPr>
        <w:t>59、</w:t>
      </w:r>
      <w:r>
        <w:rPr>
          <w:rStyle w:val="divCharacter"/>
          <w:rFonts w:ascii="宋体" w:hAnsi="宋体" w:cs="宋体"/>
          <w:kern w:val="0"/>
          <w:sz w:val="24"/>
          <w:szCs w:val="24"/>
        </w:rPr>
        <w:t>收益评价日：指基金管理人计算基金相对标的指数的超额收益率（本基金份额净值增长率与标的指数同期增长率差额）和/或基金可供分配利润金额之日</w:t>
      </w:r>
    </w:p>
    <w:p w14:paraId="4A1176A7"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60、</w:t>
      </w:r>
      <w:r>
        <w:rPr>
          <w:rFonts w:ascii="宋体" w:hAnsi="宋体" w:cs="宋体"/>
          <w:kern w:val="0"/>
          <w:sz w:val="24"/>
          <w:szCs w:val="24"/>
        </w:rPr>
        <w:t>元：指人民币元</w:t>
      </w:r>
    </w:p>
    <w:p w14:paraId="1B01B7B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61、基金收益：指基金投资所得红利、股息、债券利息、买卖证券价差、银行存款利息、已实现的其他合法收入及因运用基金财产带来的成本和费用的节约</w:t>
      </w:r>
    </w:p>
    <w:p w14:paraId="2BF0BEA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62、</w:t>
      </w:r>
      <w:r>
        <w:rPr>
          <w:rFonts w:ascii="宋体" w:hAnsi="宋体" w:cs="宋体"/>
          <w:kern w:val="0"/>
          <w:sz w:val="24"/>
          <w:szCs w:val="24"/>
        </w:rPr>
        <w:t>基金资产总值：指基金拥有的各类有价证券及票据价值、银行存款本息、基金应收申购款及其他资产的价值总和</w:t>
      </w:r>
    </w:p>
    <w:p w14:paraId="4DCF76E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63、</w:t>
      </w:r>
      <w:r>
        <w:rPr>
          <w:rFonts w:ascii="宋体" w:hAnsi="宋体" w:cs="宋体"/>
          <w:kern w:val="0"/>
          <w:sz w:val="24"/>
          <w:szCs w:val="24"/>
        </w:rPr>
        <w:t>基金资产净值：指基金资产总值减去基金负债后的价值</w:t>
      </w:r>
    </w:p>
    <w:p w14:paraId="2B1101B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64、</w:t>
      </w:r>
      <w:r>
        <w:rPr>
          <w:rFonts w:ascii="宋体" w:hAnsi="宋体" w:cs="宋体"/>
          <w:kern w:val="0"/>
          <w:sz w:val="24"/>
          <w:szCs w:val="24"/>
        </w:rPr>
        <w:t>基金份额净值：指计算日基金资产净值除以计算日基金份额总数</w:t>
      </w:r>
    </w:p>
    <w:p w14:paraId="467A964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65、</w:t>
      </w:r>
      <w:r>
        <w:rPr>
          <w:rFonts w:ascii="宋体" w:hAnsi="宋体" w:cs="宋体"/>
          <w:kern w:val="0"/>
          <w:sz w:val="24"/>
          <w:szCs w:val="24"/>
        </w:rPr>
        <w:t>基金资产估值：指计算评估基金资产和负债的价值，以确定基金资产净值和基金份额净值的过程</w:t>
      </w:r>
    </w:p>
    <w:p w14:paraId="67E302D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66、转融通证券出借业务：指本基金以一定费率通过证券交易所综合业务平台向中国证券金融股份有限公司出借证券，中国证券金融股份有限公司到期归还所借证券及相应权益补偿并支付费用的业务</w:t>
      </w:r>
    </w:p>
    <w:p w14:paraId="0AF1F4E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67、</w:t>
      </w:r>
      <w:r>
        <w:rPr>
          <w:rFonts w:ascii="宋体" w:hAnsi="宋体" w:cs="宋体"/>
          <w:kern w:val="0"/>
          <w:sz w:val="24"/>
          <w:szCs w:val="24"/>
        </w:rPr>
        <w:t>本基金联接基金：指“</w:t>
      </w:r>
      <w:r>
        <w:rPr>
          <w:rStyle w:val="custom0"/>
          <w:rFonts w:ascii="宋体" w:hAnsi="宋体" w:cs="宋体"/>
          <w:kern w:val="0"/>
          <w:sz w:val="24"/>
          <w:szCs w:val="24"/>
        </w:rPr>
        <w:t>汇添富中证全指红利质量交易型开放式指数证券投资基金</w:t>
      </w:r>
      <w:r>
        <w:rPr>
          <w:rFonts w:ascii="宋体" w:hAnsi="宋体" w:cs="宋体"/>
          <w:kern w:val="0"/>
          <w:sz w:val="24"/>
          <w:szCs w:val="24"/>
        </w:rPr>
        <w:t>联接基金”以及基金管理人根据基金发展需要募集并管理的以本基金为目标ETF的其他联接基金</w:t>
      </w:r>
    </w:p>
    <w:p w14:paraId="7F4C741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68、</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330D949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69、</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如未来法律法规变动，基金管理人在履行适当程序后，可对上述流动性受限资产范围进行调整</w:t>
      </w:r>
    </w:p>
    <w:p w14:paraId="2B09DAE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70、</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341F3099" w14:textId="77777777" w:rsidR="00BE04A8" w:rsidRDefault="00053520">
      <w:pPr>
        <w:pStyle w:val="1"/>
        <w:spacing w:before="0" w:after="0"/>
        <w:jc w:val="center"/>
        <w:rPr>
          <w:rFonts w:ascii="Times New Roman"/>
          <w:color w:val="auto"/>
          <w:sz w:val="30"/>
        </w:rPr>
      </w:pPr>
      <w:bookmarkStart w:id="42"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End w:id="42"/>
    </w:p>
    <w:p w14:paraId="2B983A45" w14:textId="77777777" w:rsidR="00BE04A8" w:rsidRDefault="00BE04A8"/>
    <w:p w14:paraId="0A0036F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一、基金名称</w:t>
      </w:r>
    </w:p>
    <w:p w14:paraId="454A8484"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汇添富中证全指红利质量交易型开放式指数证券投资基金</w:t>
      </w:r>
    </w:p>
    <w:p w14:paraId="56CA986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二、基金的类别</w:t>
      </w:r>
    </w:p>
    <w:p w14:paraId="3545F9E4"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股票型证券投资基金</w:t>
      </w:r>
    </w:p>
    <w:p w14:paraId="5890826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三、基金的运作方式</w:t>
      </w:r>
    </w:p>
    <w:p w14:paraId="3AE8B7A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交易型开放式</w:t>
      </w:r>
    </w:p>
    <w:p w14:paraId="0CDAB85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四、基金的标的指数</w:t>
      </w:r>
    </w:p>
    <w:p w14:paraId="3DDEDBAA" w14:textId="77777777" w:rsidR="00BE04A8" w:rsidRDefault="00053520">
      <w:pPr>
        <w:pStyle w:val="div"/>
        <w:spacing w:line="360" w:lineRule="auto"/>
        <w:ind w:firstLine="480"/>
        <w:rPr>
          <w:rFonts w:ascii="宋体" w:hAnsi="宋体" w:cs="宋体"/>
          <w:kern w:val="0"/>
          <w:sz w:val="24"/>
          <w:szCs w:val="24"/>
        </w:rPr>
      </w:pPr>
      <w:r>
        <w:rPr>
          <w:rStyle w:val="custom0"/>
          <w:rFonts w:ascii="宋体" w:hAnsi="宋体" w:cs="宋体"/>
          <w:kern w:val="0"/>
          <w:sz w:val="24"/>
          <w:szCs w:val="24"/>
        </w:rPr>
        <w:t>中证全指红利质量</w:t>
      </w:r>
      <w:r>
        <w:rPr>
          <w:rFonts w:ascii="宋体" w:hAnsi="宋体" w:cs="宋体"/>
          <w:kern w:val="0"/>
          <w:sz w:val="24"/>
          <w:szCs w:val="24"/>
        </w:rPr>
        <w:t>指数</w:t>
      </w:r>
    </w:p>
    <w:p w14:paraId="299DDE7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五、基金的投资目标</w:t>
      </w:r>
    </w:p>
    <w:p w14:paraId="286CC05E"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紧密跟踪标的指数，追求跟踪偏离度和跟踪误差的最小化。</w:t>
      </w:r>
    </w:p>
    <w:p w14:paraId="6F1CAC0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六、基金的最低募集份额总额</w:t>
      </w:r>
    </w:p>
    <w:p w14:paraId="39FFF57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本基金的最低募集份额总额为2亿份。</w:t>
      </w:r>
    </w:p>
    <w:p w14:paraId="2B77976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七、基金份额发售面值和认购费用</w:t>
      </w:r>
    </w:p>
    <w:p w14:paraId="25F798A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本基金基金份额发售面值为人民币1.00元。</w:t>
      </w:r>
    </w:p>
    <w:p w14:paraId="26A89A9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本基金认购费率按招募说明书及基金产品资料概要的规定执行。</w:t>
      </w:r>
    </w:p>
    <w:p w14:paraId="2D3F246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八、基金存续期限</w:t>
      </w:r>
    </w:p>
    <w:p w14:paraId="6A63D72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1341262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九、发行联接基金或增设新的基金份额类别</w:t>
      </w:r>
    </w:p>
    <w:p w14:paraId="4561176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不违反法律法规及对基金份额持有人利益无实质性不利影响的前提下，基金管理人可根据基金发展需要，与基金托管人协商一致后，募集并管理以本基金为目标ETF的一只或多只联接基金，或为本基金增设新的基金份额类别，而无需召开基金份额持有人大会审议，但需在调整实施之日前依照《信息披露办法》的有关规定在规定媒介上公告。</w:t>
      </w:r>
      <w:r>
        <w:rPr>
          <w:rFonts w:ascii="宋体" w:hAnsi="宋体" w:cs="宋体"/>
          <w:kern w:val="0"/>
          <w:sz w:val="24"/>
          <w:szCs w:val="24"/>
        </w:rPr>
        <w:br w:type="page"/>
      </w:r>
    </w:p>
    <w:p w14:paraId="38CBD2F0" w14:textId="77777777" w:rsidR="00BE04A8" w:rsidRDefault="00053520">
      <w:pPr>
        <w:pStyle w:val="1"/>
        <w:spacing w:before="0" w:after="0"/>
        <w:jc w:val="center"/>
        <w:rPr>
          <w:rFonts w:ascii="Times New Roman"/>
          <w:color w:val="auto"/>
          <w:sz w:val="30"/>
        </w:rPr>
      </w:pPr>
      <w:bookmarkStart w:id="43"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43"/>
    </w:p>
    <w:p w14:paraId="7E681913" w14:textId="77777777" w:rsidR="00BE04A8" w:rsidRDefault="00BE04A8"/>
    <w:p w14:paraId="7A96F09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基金份额的发售时间、发售方式、发售对象</w:t>
      </w:r>
    </w:p>
    <w:p w14:paraId="0B982F3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发售时间</w:t>
      </w:r>
    </w:p>
    <w:p w14:paraId="6858158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163F30B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发售方式</w:t>
      </w:r>
    </w:p>
    <w:p w14:paraId="113BBCD0"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投资人可选择网上现金认购、网下现金认购和网下股票认购三种方式认购本基金。</w:t>
      </w:r>
    </w:p>
    <w:p w14:paraId="3BC7281E"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网上现金认购是指投资人通过基金管理人指定的发售代理机构用上海证券交易所网上系统以现金进行的认购。</w:t>
      </w:r>
    </w:p>
    <w:p w14:paraId="625AD55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网下现金认购是指投资人通过基金管理人和/或指定的发售代理机构以现金进行的认购。</w:t>
      </w:r>
    </w:p>
    <w:p w14:paraId="51B797FD"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网下股票认购是指投资人通过基金管理人和/或其指定的发售代理机构以股票进行的认购。</w:t>
      </w:r>
    </w:p>
    <w:p w14:paraId="0B4EAAE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基金管理人可以根据具体情况调整本基金的发售方式，并在基金份额发售公告或相关公告中列明。</w:t>
      </w:r>
    </w:p>
    <w:p w14:paraId="63FEA87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投资人应当在基金管理人和/或其指定发售代理机构办理基金发售业务的营业场所，或者按基金管理人或发售代理机构提供的方式办理基金份额的认购。销售机构的具体名单详见基金管理人网站届时公示的基金销售机构名录。</w:t>
      </w:r>
    </w:p>
    <w:p w14:paraId="3B91F3E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基金管理人可依据实际情况增减、变更销售机构，并在基金管理人网站公示。</w:t>
      </w:r>
    </w:p>
    <w:p w14:paraId="6947163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的确认以登记机构的确认结果为准。对于认购申请及认购份额的确认情况，投资者应及时查询并妥善行使合法权利，否则，由此产生的任何损失由投资者自行承担。</w:t>
      </w:r>
    </w:p>
    <w:p w14:paraId="672B733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发售对象</w:t>
      </w:r>
    </w:p>
    <w:p w14:paraId="08F0439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符合法律法规规定的可投资于证券投资基金的个人投资者、机构投资者和合格境外投资者以及法律法规或中国证监会允许购买证券投资基金的其他投资人。</w:t>
      </w:r>
    </w:p>
    <w:p w14:paraId="045E220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基金份额的认购</w:t>
      </w:r>
    </w:p>
    <w:p w14:paraId="2A4BE0B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1、</w:t>
      </w:r>
      <w:r>
        <w:rPr>
          <w:rFonts w:ascii="宋体" w:hAnsi="宋体" w:cs="宋体"/>
          <w:kern w:val="0"/>
          <w:sz w:val="24"/>
          <w:szCs w:val="24"/>
        </w:rPr>
        <w:t>认购费用</w:t>
      </w:r>
    </w:p>
    <w:p w14:paraId="3BF8066C"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本基金的认购费率由基金管理人决定，并在招募说明书及基金产品资料概要中列示。基金认购费用不列入基金财产。</w:t>
      </w:r>
    </w:p>
    <w:p w14:paraId="351B3D7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2、募集期资金和股票的处理方式</w:t>
      </w:r>
    </w:p>
    <w:p w14:paraId="7110FA9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募集期间募集的资金存入专门账户，在基金募集行为结束前，任何人不得动用。投资人以股票认购的，基金募集期的股票应予以冻结；网下股票认购所募集的股票在网下股票认购日至登记机构进行股票过户日的冻结期间所产生的权益归投资人所有。</w:t>
      </w:r>
    </w:p>
    <w:p w14:paraId="3369FA8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基金认购份额的计算</w:t>
      </w:r>
    </w:p>
    <w:p w14:paraId="03BBC85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基金认购份额具体的计算方法在招募说明书中列示。</w:t>
      </w:r>
    </w:p>
    <w:p w14:paraId="56022C5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基金份额认购数额的限制</w:t>
      </w:r>
    </w:p>
    <w:p w14:paraId="2C6AF06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基金管理人可以对投资者的认购数额进行限制，具体限制和处理方式请参看招募说明书或相关公告。</w:t>
      </w:r>
      <w:r>
        <w:rPr>
          <w:rStyle w:val="custom"/>
          <w:rFonts w:ascii="宋体" w:hAnsi="宋体" w:cs="宋体"/>
          <w:kern w:val="0"/>
          <w:sz w:val="24"/>
          <w:szCs w:val="24"/>
        </w:rPr>
        <w:t>基金管理人可以对募集期间的本基金募集规模设置上限。募集期内超过募集规模上限时，基金管理人可以采用比例确认或其他方式进行确认，具体办法参见基金份额发售公告或相关公告。</w:t>
      </w:r>
    </w:p>
    <w:p w14:paraId="1D9646A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三、基金份额认购的其他具体规定</w:t>
      </w:r>
    </w:p>
    <w:p w14:paraId="2920A82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投资人认购原则、认购时间安排、投资人认购应提交的文件和办理的手续、募集期利息的处理方式等事项，由基金管理人根据相关法律法规以及本基金合同的规定，在招募说明书或基金份额发售公告中确定并披露。</w:t>
      </w:r>
      <w:r>
        <w:rPr>
          <w:rFonts w:ascii="宋体" w:hAnsi="宋体" w:cs="宋体"/>
          <w:kern w:val="0"/>
          <w:sz w:val="24"/>
          <w:szCs w:val="24"/>
        </w:rPr>
        <w:br w:type="page"/>
      </w:r>
    </w:p>
    <w:p w14:paraId="64E04200" w14:textId="77777777" w:rsidR="00BE04A8" w:rsidRDefault="00053520">
      <w:pPr>
        <w:pStyle w:val="1"/>
        <w:spacing w:before="0" w:after="0"/>
        <w:jc w:val="center"/>
        <w:rPr>
          <w:rFonts w:ascii="Times New Roman"/>
          <w:color w:val="auto"/>
          <w:sz w:val="30"/>
        </w:rPr>
      </w:pPr>
      <w:bookmarkStart w:id="44"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44"/>
    </w:p>
    <w:p w14:paraId="0A50E5AD" w14:textId="77777777" w:rsidR="00BE04A8" w:rsidRDefault="00BE04A8"/>
    <w:p w14:paraId="5C87D1FF"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一、基金备案的条件</w:t>
      </w:r>
    </w:p>
    <w:p w14:paraId="61900DA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自基金份额发售之日起3个月内，在基金募集份额总额不少于2亿份，基金募集金额（含网下股票认购所募集的股票按基金合同约定的估值方法计算的价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6E68E70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所募集的股票应予以冻结。</w:t>
      </w:r>
    </w:p>
    <w:p w14:paraId="4974FC0C"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二、基金合同不能生效时募集资金及股票的处理方式</w:t>
      </w:r>
    </w:p>
    <w:p w14:paraId="27F62AD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如果募集期限届满，未满足基金备案条件，基金管理人应当承担下列责任：</w:t>
      </w:r>
    </w:p>
    <w:p w14:paraId="29D6ECE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1、以其固有财产承担因募集行为而产生的债务和费用；</w:t>
      </w:r>
    </w:p>
    <w:p w14:paraId="354A14A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2、在基金募集期限届满后30日内返还投资者已缴纳的款项，并加计银行同期活期存款利息；</w:t>
      </w:r>
    </w:p>
    <w:p w14:paraId="76065AB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CD35D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03AA457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三、基金存续期内的基金份额持有人数量和资产规模</w:t>
      </w:r>
    </w:p>
    <w:p w14:paraId="3637B00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w:t>
      </w:r>
      <w:r>
        <w:rPr>
          <w:rFonts w:ascii="宋体" w:hAnsi="宋体" w:cs="宋体"/>
          <w:kern w:val="0"/>
          <w:sz w:val="24"/>
          <w:szCs w:val="24"/>
        </w:rPr>
        <w:lastRenderedPageBreak/>
        <w:t>国证监会报告并提出解决方案，如持续运作、转换运作方式、与其他基金合并或者终止基金合同等，并在6个月内召集基金份额持有人大会。</w:t>
      </w:r>
    </w:p>
    <w:p w14:paraId="11691FE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法律法规或中国证监会另有规定时，从其规定。</w:t>
      </w:r>
      <w:r>
        <w:rPr>
          <w:rFonts w:ascii="宋体" w:hAnsi="宋体" w:cs="宋体"/>
          <w:kern w:val="0"/>
          <w:sz w:val="24"/>
          <w:szCs w:val="24"/>
        </w:rPr>
        <w:br w:type="page"/>
      </w:r>
    </w:p>
    <w:p w14:paraId="08F92069" w14:textId="77777777" w:rsidR="00BE04A8" w:rsidRDefault="00053520">
      <w:pPr>
        <w:pStyle w:val="1"/>
        <w:spacing w:before="0" w:after="0"/>
        <w:jc w:val="center"/>
        <w:rPr>
          <w:rFonts w:ascii="Times New Roman"/>
          <w:color w:val="auto"/>
          <w:sz w:val="30"/>
        </w:rPr>
      </w:pPr>
      <w:bookmarkStart w:id="45"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基金份额折算与变更登记</w:t>
      </w:r>
      <w:bookmarkEnd w:id="45"/>
    </w:p>
    <w:p w14:paraId="585D008F" w14:textId="77777777" w:rsidR="00BE04A8" w:rsidRDefault="00BE04A8"/>
    <w:p w14:paraId="02EB526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基金合同生效后，为了更好的跟踪标的指数和提高交易便利，本基金可以进行份额折算。</w:t>
      </w:r>
    </w:p>
    <w:p w14:paraId="18C60FB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一、基金份额折算的时间</w:t>
      </w:r>
    </w:p>
    <w:p w14:paraId="0154C8F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基金管理人应事先确定基金份额折算日，并依照《信息披露办法》的有关规定提前公告。</w:t>
      </w:r>
    </w:p>
    <w:p w14:paraId="2CAE065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二、基金份额折算的原则</w:t>
      </w:r>
    </w:p>
    <w:p w14:paraId="2B361F4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基金份额折算由基金管理人向登记机构申请办理，并由登记机构进行基金份额的变更登记。</w:t>
      </w:r>
    </w:p>
    <w:p w14:paraId="565BE7A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折算后，本基金的基金份额总额与基金份额持有人持有的基金份额数额将发生调整，但调整后的基金份额持有人持有的基金份额所代表的基金资产占基金总资产的比例不发生变化。除因尾数处理而产生的损益外，基金份额折算对基金份额持有人的权益无实质性影响，无需召开基金份额持有人大会审议。基金份额折算后，基金份额持有人将按照折算后的基金份额享有权利并承担义务。</w:t>
      </w:r>
    </w:p>
    <w:p w14:paraId="1ED32B4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如果基金份额折算过程中发生不可抗力，基金管理人可延迟办理基金份额折算。</w:t>
      </w:r>
    </w:p>
    <w:p w14:paraId="2631168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三、基金份额折算的方法</w:t>
      </w:r>
    </w:p>
    <w:p w14:paraId="4439B53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基金份额折算的具体方法在份额折算公告中列示。</w:t>
      </w:r>
    </w:p>
    <w:p w14:paraId="74EA1B6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如未来本基金增加基金份额的类别，基金管理人在实施份额折算时，可对全部份额类别进行折算，也可根据需要只对其中部分类别的份额进行折算。如本基金对部分份额类别进行折算，对于涉及投票权、提议召集权、召集权、计算到会或出具表决意见的持有人所代表的基金份额数量、表决权、基金财产清算等需要统计基金份额持有人所持份额及其占总份额比例时，每一份未折算的基金份额与固定比例的已折算基金份额代表同等权利，其中固定比例指折算比例。</w:t>
      </w:r>
      <w:r>
        <w:rPr>
          <w:rFonts w:ascii="宋体" w:hAnsi="宋体" w:cs="宋体"/>
          <w:kern w:val="0"/>
          <w:sz w:val="24"/>
          <w:szCs w:val="24"/>
        </w:rPr>
        <w:br w:type="page"/>
      </w:r>
    </w:p>
    <w:p w14:paraId="542B2EFD" w14:textId="77777777" w:rsidR="00BE04A8" w:rsidRDefault="00053520">
      <w:pPr>
        <w:pStyle w:val="1"/>
        <w:spacing w:before="0" w:after="0"/>
        <w:jc w:val="center"/>
        <w:rPr>
          <w:rFonts w:ascii="Times New Roman"/>
          <w:color w:val="auto"/>
          <w:sz w:val="30"/>
        </w:rPr>
      </w:pPr>
      <w:bookmarkStart w:id="46"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基金份额的上市交易</w:t>
      </w:r>
      <w:bookmarkEnd w:id="46"/>
    </w:p>
    <w:p w14:paraId="17B68CA2" w14:textId="77777777" w:rsidR="00BE04A8" w:rsidRDefault="00BE04A8"/>
    <w:p w14:paraId="513DEBD5"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一、基金份额上市</w:t>
      </w:r>
    </w:p>
    <w:p w14:paraId="4F8D2112"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基金合同生效后，具备下列条件的，基金管理人可依据《上海证券交易所证券投资基金上市规则》，向上海证券交易所申请基金份额上市：</w:t>
      </w:r>
    </w:p>
    <w:p w14:paraId="743A8F72"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1、基金场内募集金额（含募集的股票市值）不低于2亿元人民币；</w:t>
      </w:r>
    </w:p>
    <w:p w14:paraId="059DF570"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场内基金份额持有人人数不少于1,000人；</w:t>
      </w:r>
    </w:p>
    <w:p w14:paraId="17DD8841"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法律法规及上海证券交易所相关业务规则规定的其他条件。</w:t>
      </w:r>
    </w:p>
    <w:p w14:paraId="28C0F2CB"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基金上市前，基金管理人应与上海证券交易所签订上市协议书。基金获准在上海证券交易所上市的，基金管理人应按照相关规定发布基金上市交易公告书。</w:t>
      </w:r>
    </w:p>
    <w:p w14:paraId="0D2F0CAC"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二、</w:t>
      </w:r>
      <w:r>
        <w:rPr>
          <w:rFonts w:ascii="宋体" w:hAnsi="宋体" w:cs="宋体"/>
          <w:kern w:val="0"/>
          <w:sz w:val="24"/>
          <w:szCs w:val="24"/>
        </w:rPr>
        <w:t>基金份额的上市交易</w:t>
      </w:r>
    </w:p>
    <w:p w14:paraId="6105DB6E"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基金份额在上海证券交易所的上市交易需遵照《上海证券交易所交易规则》、《上海证券交易所证券投资基金上市规则》、《上海证券交易所交易型开放式指数基金业务实施细则》等有关规定。</w:t>
      </w:r>
    </w:p>
    <w:p w14:paraId="38BFE699"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三、</w:t>
      </w:r>
      <w:r>
        <w:rPr>
          <w:rFonts w:ascii="宋体" w:hAnsi="宋体" w:cs="宋体"/>
          <w:kern w:val="0"/>
          <w:sz w:val="24"/>
          <w:szCs w:val="24"/>
        </w:rPr>
        <w:t>终止上市交易</w:t>
      </w:r>
    </w:p>
    <w:p w14:paraId="34FE5B0B"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基金份额上市交易后，有下列情形之一的，上海证券交易所可终止基金的上市交易，并报中国证监会备案：</w:t>
      </w:r>
    </w:p>
    <w:p w14:paraId="1CF77836"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1、不再具备本部分第一款规定的上市条件；</w:t>
      </w:r>
    </w:p>
    <w:p w14:paraId="5CCB6078"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2、基金合同终止；</w:t>
      </w:r>
    </w:p>
    <w:p w14:paraId="0140C5EC"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3、基金份额持有人大会决定提前终止上市；</w:t>
      </w:r>
    </w:p>
    <w:p w14:paraId="2CF5988C"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4、基金合同约定的终止上市的其他情形；</w:t>
      </w:r>
    </w:p>
    <w:p w14:paraId="64E9F3F9"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5、上海证券交易所认为应当终止上市的其他情形。</w:t>
      </w:r>
    </w:p>
    <w:p w14:paraId="7E4176E0"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若因上述1、3、4、5项等原因使本基金不再具备上市条件而被上海证券交易所终止上市的，本基金可由交易型开放式指数证券投资基金变更为跟踪标的指数的非上市的开放式指数基金，而无需召开基金份额持有人大会审议。</w:t>
      </w:r>
    </w:p>
    <w:p w14:paraId="307A689C"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若届时本基金管理人已有以该指数作为标的指数的指数基金，则基金管理人将本着维护基金份额持有人合法权益的原则，履行适当的程序后与该指数基金合并或者选取其他合适的指数作为标的指数。</w:t>
      </w:r>
    </w:p>
    <w:p w14:paraId="630BFE9D"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四、</w:t>
      </w:r>
      <w:r>
        <w:rPr>
          <w:rFonts w:ascii="宋体" w:hAnsi="宋体" w:cs="宋体"/>
          <w:kern w:val="0"/>
          <w:sz w:val="24"/>
          <w:szCs w:val="24"/>
        </w:rPr>
        <w:t>基金份额参考净值（IOPV）的计算与公告详见本基金《招募说明书》。</w:t>
      </w:r>
    </w:p>
    <w:p w14:paraId="5E33B3FC"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lastRenderedPageBreak/>
        <w:t>五、</w:t>
      </w:r>
      <w:r>
        <w:rPr>
          <w:rFonts w:ascii="宋体" w:hAnsi="宋体" w:cs="宋体"/>
          <w:kern w:val="0"/>
          <w:sz w:val="24"/>
          <w:szCs w:val="24"/>
        </w:rPr>
        <w:t>相关法律法规、中国证监会及上海证券交易所对基金上市交易的规则等相关规定内容进行调整的，基金合同相应予以修改，且此项修改无须召开基金份额持有人大会审议。</w:t>
      </w:r>
    </w:p>
    <w:p w14:paraId="008CBA6B"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六、</w:t>
      </w:r>
      <w:r>
        <w:rPr>
          <w:rFonts w:ascii="宋体" w:hAnsi="宋体" w:cs="宋体"/>
          <w:kern w:val="0"/>
          <w:sz w:val="24"/>
          <w:szCs w:val="24"/>
        </w:rPr>
        <w:t>若上海证券交易所、中国证券登记结算有限责任公司增加了基金上市交易的新功能，本基金管理人可以在履行适当的程序后增加相应功能。</w:t>
      </w:r>
    </w:p>
    <w:p w14:paraId="31D8559E" w14:textId="77777777" w:rsidR="00BE04A8" w:rsidRDefault="00053520">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七、</w:t>
      </w:r>
      <w:r>
        <w:rPr>
          <w:rFonts w:ascii="宋体" w:hAnsi="宋体" w:cs="宋体"/>
          <w:kern w:val="0"/>
          <w:sz w:val="24"/>
          <w:szCs w:val="24"/>
        </w:rPr>
        <w:t>在不违反法律法规的规定及对基金份额持有人利益无实质性不利影响的前提下，本基金可以申请在包括境外交易所在内的其他交易场所上市交易。</w:t>
      </w:r>
      <w:r>
        <w:rPr>
          <w:rFonts w:ascii="宋体" w:hAnsi="宋体" w:cs="宋体"/>
          <w:kern w:val="0"/>
          <w:sz w:val="24"/>
          <w:szCs w:val="24"/>
        </w:rPr>
        <w:br w:type="page"/>
      </w:r>
    </w:p>
    <w:p w14:paraId="53595176" w14:textId="77777777" w:rsidR="00BE04A8" w:rsidRDefault="00053520">
      <w:pPr>
        <w:pStyle w:val="1"/>
        <w:spacing w:before="0" w:after="0"/>
        <w:jc w:val="center"/>
        <w:rPr>
          <w:rFonts w:ascii="Times New Roman"/>
          <w:color w:val="auto"/>
          <w:sz w:val="30"/>
        </w:rPr>
      </w:pPr>
      <w:bookmarkStart w:id="47" w:name="_Toc25600000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基金份额的申购与赎回</w:t>
      </w:r>
      <w:bookmarkEnd w:id="47"/>
    </w:p>
    <w:p w14:paraId="2496F0A7" w14:textId="77777777" w:rsidR="00BE04A8" w:rsidRDefault="00BE04A8"/>
    <w:p w14:paraId="4D9AEB1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一、申购和赎回场所</w:t>
      </w:r>
    </w:p>
    <w:p w14:paraId="4B3ABD6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投资人应当在申购赎回代理券商办理基金份额申购、赎回业务的营业场所或按申购赎回代理券商提供的其他方式办理基金的份额申购和赎回。</w:t>
      </w:r>
    </w:p>
    <w:p w14:paraId="2782158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基金管理人在开始办理申购、赎回业务前公告申购赎回代理券商的名单，并可根据情况变更或增减基金申购赎回代理券商，并在基金管理人网站公示。</w:t>
      </w:r>
    </w:p>
    <w:p w14:paraId="447FC8F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二、申购和赎回的开放日及时间</w:t>
      </w:r>
    </w:p>
    <w:p w14:paraId="754D49B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1、开放日及开放时间</w:t>
      </w:r>
    </w:p>
    <w:p w14:paraId="31114B0B"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F78B7F0"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5535755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2、申购、赎回开始日及业务办理时间</w:t>
      </w:r>
    </w:p>
    <w:p w14:paraId="7EE2531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4B9B12D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172FA36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本基金可在基金上市交易之前开始办理申购、赎回，但在基金申请上市期间，可暂停办理申购、赎回。</w:t>
      </w:r>
    </w:p>
    <w:p w14:paraId="199C1DE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1532FF7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本基金在基金合同生效后、开放日常申购之前，可向本基金联接基金开通特殊申购，申购价格以特殊申购日的基金份额净值为基准计算，按金额申购，不收取与申购相关的费用和成本。</w:t>
      </w:r>
    </w:p>
    <w:p w14:paraId="607EE04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三、申购与赎回的原则</w:t>
      </w:r>
    </w:p>
    <w:p w14:paraId="7E6DF2A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1、本基金采用份额申购和份额赎回的方式，即申购和赎回均以份额申请；</w:t>
      </w:r>
    </w:p>
    <w:p w14:paraId="5B02F71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2、本基金申购对价、赎回对价包括组合证券、现金替代、现金差额及其他对价；</w:t>
      </w:r>
    </w:p>
    <w:p w14:paraId="1BCE021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3、申购、赎回申请提交后不得撤销；</w:t>
      </w:r>
    </w:p>
    <w:p w14:paraId="493363A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4、申购、赎回应遵守上海证券交易所和中国证券登记结算有限责任公司的相关业务规则和规定；</w:t>
      </w:r>
    </w:p>
    <w:p w14:paraId="5381FC9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5、办理申购、赎回业务时，应当遵循基金份额持有人利益优先原则，确保投资者的合法权益不受损害并得到公平对待。</w:t>
      </w:r>
    </w:p>
    <w:p w14:paraId="3CC321C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24F4176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四、申购与赎回的程序</w:t>
      </w:r>
    </w:p>
    <w:p w14:paraId="433390A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1、申购和赎回的申请方式</w:t>
      </w:r>
    </w:p>
    <w:p w14:paraId="2C4151A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投资人必须根据申购赎回代理券商或基金管理人规定的程序，在开放日的具体业务办理时间内提出申购或赎回的申请。</w:t>
      </w:r>
    </w:p>
    <w:p w14:paraId="60E543B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投资人在提交申购申请时须按申购赎回清单的规定备足申购对价，投资人在提交赎回申请时须持有足够的基金份额余额和现金，否则所提交的申购、赎回申请失败。</w:t>
      </w:r>
    </w:p>
    <w:p w14:paraId="5664709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2、申购和赎回申请的确认</w:t>
      </w:r>
    </w:p>
    <w:p w14:paraId="664137C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人申购、赎回申请的确认根据登记机构的相关规定办理，具体参见本基金招募说明书。如投资人未能提供符合要求的申购对价，则申购申请失败。如基金份额持有人持有的符合要求的基金份额不足或未能根据要求准备足额的现金，或基金投资组合内不具备足额的符合要求的赎回对价，则赎回申请失败。</w:t>
      </w:r>
    </w:p>
    <w:p w14:paraId="6F050FED"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销售机构对申购、赎回申请的受理并不代表该申请一定成功，而仅代表销售机构确实接收到该申请。申购、赎回的确认以登记机构的确认结果为准。对于申购、赎回申请的确认情况，投资人应及时查询并妥善行使合法权利，否则，由此产生的任何损失由投资者自行承担。</w:t>
      </w:r>
    </w:p>
    <w:p w14:paraId="3040DA0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3、申购和赎回的清算交收与登记</w:t>
      </w:r>
    </w:p>
    <w:p w14:paraId="42F82936"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本基金申购赎回过程中涉及的基金份额、组合证券、现金替代、现金差额及其他对价的清算交收适用上海证券交易所、中国证券登记结算有限责任公司发布</w:t>
      </w:r>
      <w:r>
        <w:rPr>
          <w:rStyle w:val="custom"/>
          <w:rFonts w:ascii="宋体" w:hAnsi="宋体" w:cs="宋体"/>
          <w:kern w:val="0"/>
          <w:sz w:val="24"/>
          <w:szCs w:val="24"/>
        </w:rPr>
        <w:lastRenderedPageBreak/>
        <w:t>的相关业务规则和参与各方相关协议的有关规定。</w:t>
      </w:r>
    </w:p>
    <w:p w14:paraId="4551D61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具体清算交收和登记办理时间将在招募说明书中载明。</w:t>
      </w:r>
    </w:p>
    <w:p w14:paraId="6F8EB8D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投资者应按照本基金合同的约定和销售机构的规定按时足额支付应付的现金差额和现金替代补款。因投资者原因导致现金差额或现金替代补款未能按时足额交收的，基金管理人有权为基金的利益向该投资者追偿，并要求其承担由此导致的其他基金份额持有人或基金资产的损失。</w:t>
      </w:r>
    </w:p>
    <w:p w14:paraId="51553E4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如果登记机构和基金管理人在清算交收时发现不能正常履约的情形，则依据上海证券交易所、中国证券登记结算有限责任公司发布的相关业务规则和参与各方相关协议的有关规定进行处理。</w:t>
      </w:r>
    </w:p>
    <w:p w14:paraId="4E4342D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和登记机构可在法律法规允许的范围内，在不影响基金份额持有人实质性利益的前提下，对上述申购赎回的程序以及清算交收和登记的办理时间、方式、处理规则等进行调整，并在开始实施前按照《信息披露办法》的有关规定在规定媒介上予以公告。</w:t>
      </w:r>
    </w:p>
    <w:p w14:paraId="0569426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五、申购和赎回的数量限制</w:t>
      </w:r>
    </w:p>
    <w:p w14:paraId="32241CC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1、投资者参与本基金的日常申购、赎回，需按最小申购、赎回单位的整数倍提交申请。最小申购、赎回单位由基金管理人确定和调整，具体规定请参见招募说明书或相关公告。</w:t>
      </w:r>
    </w:p>
    <w:p w14:paraId="2E7148E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基金管理人可以规定本基金当日申购及赎回的上限。基金管理人可以规定投资人每个基金交易账户的最低基金份额余额。基金管理人可以规定单个投资人累计持有的基金份额上限。具体规定请参见申购赎回清单或相关公告。</w:t>
      </w:r>
    </w:p>
    <w:p w14:paraId="4B067F6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当接受申购申请对存量基金份额持有人利益构成潜在重大不利影响时，基金管理人应当采取设定单一投资者申购份额上限、基金规模上限、基金单日申购份额或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351DF0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4、基金管理人可在法律法规允许的情况下，调整上述规定申购和赎回数量限制或新增基金规模控制措施。基金管理人必须在调整实施前依照《信息披露办法》的有关规定在规定媒介上公告。</w:t>
      </w:r>
    </w:p>
    <w:p w14:paraId="06E5856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六、申购和赎回的对价、费用及其用途</w:t>
      </w:r>
    </w:p>
    <w:p w14:paraId="2E3C92C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1、本基金份额净值的计算，保留到小数点后4位，小数点后第5位四舍五入，由此产生的收益或损失由基金财产承担。T日的基金份额净值在当天收市后计算，并根据基金合同的约定公告。遇特殊情况，经履行适当程序，可以适当延迟计算或公告。</w:t>
      </w:r>
    </w:p>
    <w:p w14:paraId="64D85AAC" w14:textId="77777777" w:rsidR="00BE04A8" w:rsidRDefault="00053520">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2、</w:t>
      </w:r>
      <w:r>
        <w:rPr>
          <w:rStyle w:val="custom"/>
          <w:rFonts w:ascii="宋体" w:hAnsi="宋体" w:cs="宋体"/>
          <w:kern w:val="0"/>
          <w:sz w:val="24"/>
          <w:szCs w:val="24"/>
        </w:rPr>
        <w:t>申购对价、赎回对价根据申购赎回清单和投资人申购、赎回的基金份额数额确定。</w:t>
      </w:r>
    </w:p>
    <w:p w14:paraId="5B1B6C06"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申购对价是指投资人申购时应交付的组合证券、现金替代、现金差额及其他对价。赎回对价是指投资人赎回时，基金管理人应交付给投资人的组合证券、现金替代、现金差额及其他对价。</w:t>
      </w:r>
    </w:p>
    <w:p w14:paraId="460BFF7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3、申购赎回清单由基金管理人编制。T日的申购赎回清单在当日上海证券交易所开市前公告。申购赎回清单的内容与格式详见《招募说明书》。</w:t>
      </w:r>
    </w:p>
    <w:p w14:paraId="5554578A" w14:textId="77777777" w:rsidR="00BE04A8" w:rsidRDefault="00053520">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divCharacter"/>
          <w:rFonts w:ascii="宋体" w:hAnsi="宋体" w:cs="宋体"/>
          <w:kern w:val="0"/>
          <w:sz w:val="24"/>
          <w:szCs w:val="24"/>
        </w:rPr>
        <w:t>投资者在申购或赎回时，申购赎回代理券商可按照一定标准收取佣金，其中包含证券交易所、登记机构等收取的相关费用，具体规定详见招募说明书或相关公告。</w:t>
      </w:r>
    </w:p>
    <w:p w14:paraId="1FAF24C6"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基金管理人可以在不违反相关法律法规且不影响基金份额持有人实质性利益的情况下对基金份额净值、申购赎回清单计算和公告时间进行调整并提前公告。</w:t>
      </w:r>
    </w:p>
    <w:p w14:paraId="1D22790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七、拒绝或暂停申购的情形</w:t>
      </w:r>
    </w:p>
    <w:p w14:paraId="4E89C4C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发生下列情况时，基金管理人可拒绝或暂停接受投资人的申购申请：</w:t>
      </w:r>
    </w:p>
    <w:p w14:paraId="164DF75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1、因不可抗力导致基金无法正常运作或者因不可抗力导致基金管理人无法接受投资人的申购申请。</w:t>
      </w:r>
    </w:p>
    <w:p w14:paraId="48163BD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2、发生基金合同规定的暂停基金资产估值情况时，基金管理人可暂停接受投资人的申购申请。</w:t>
      </w:r>
    </w:p>
    <w:p w14:paraId="18027748" w14:textId="242CD279"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3、因特殊情况（包括但不限于相关证券/期货交易所依法决定临时停市、交易时间非正常停市）导致基金管理人无法计算当日基金资产净值或无法进行证券交易。</w:t>
      </w:r>
    </w:p>
    <w:p w14:paraId="31A6C64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4、接受某笔或某些申购申请可能会影响或损害现有基金份额持有人利益时。</w:t>
      </w:r>
    </w:p>
    <w:p w14:paraId="661118F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5、基金管理人可根据市场情况在申购赎回清单中设置申购份额上限，如果一笔新的申购申请被确认成功，会使本基金当日申购份额超过申购赎回清单中规定的申购份额上限时，该笔申购申请将被拒绝。</w:t>
      </w:r>
    </w:p>
    <w:p w14:paraId="38F8662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lastRenderedPageBreak/>
        <w:t>6、基金资产规模过大，使基金管理人无法找到合适的投资品种，或证券市场价格发生大幅波动，或其他可能对基金业绩产生负面影响，或发生其他损害现有基金份额持有人利益的情形。</w:t>
      </w:r>
    </w:p>
    <w:p w14:paraId="2C746BA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0953561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8、基金管理人开市前因异常情况未能公布申购赎回清单、基金份额净值或者IOPV计算错误、申购赎回清单编制错误，或基金管理人在开市后发现基金份额参考净值计算错误。</w:t>
      </w:r>
    </w:p>
    <w:p w14:paraId="5D1B6BF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相关证券交易所、申购赎回代理券商、登记机构等因异常情况无法办理申购，或者因指数编制机构或指数发布机构、相关证券交易所等因异常情况使申购赎回清单无法编制或编制不当。本项所称异常情况指无法预见并不可控制的情形，包括但不限于系统故障、网络故障、通讯故障、电力故障、数据错误等。</w:t>
      </w:r>
    </w:p>
    <w:p w14:paraId="00094C2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7FBC40B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11、基金所投资的投资品种的估值出现重大转变时。</w:t>
      </w:r>
    </w:p>
    <w:p w14:paraId="740AF18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12、法律法规、上海证券交易所规定或中国证监会认定的其他情形。</w:t>
      </w:r>
    </w:p>
    <w:p w14:paraId="62E0180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发生除上述第4、5、10项以外暂停申购情形之一且基金管理人决定暂停接受投资人申购申请时，基金管理人应当根据有关规定在规定媒介上刊登暂停申购公告。如果投资人的申购申请被全部或部分拒绝的，被拒绝的申购对价将退还给投资人。在暂停申购的情况消除时，基金管理人应及时恢复申购业务的办理。</w:t>
      </w:r>
    </w:p>
    <w:p w14:paraId="4A061AC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八、暂停赎回或延缓支付赎回对价的情形</w:t>
      </w:r>
    </w:p>
    <w:p w14:paraId="673F4A5E"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发生下列情形时，基金管理人可暂停接受投资人的赎回申请或延缓支付赎回对价：</w:t>
      </w:r>
    </w:p>
    <w:p w14:paraId="0214E9D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1、因不可抗力导致基金管理人不能受理或办理基金份额持有人的赎回申请。</w:t>
      </w:r>
    </w:p>
    <w:p w14:paraId="775ABF7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2、发生基金合同规定的暂停基金资产估值情况时，基金管理人可暂停接受</w:t>
      </w:r>
      <w:r>
        <w:rPr>
          <w:rStyle w:val="custom"/>
          <w:rFonts w:ascii="宋体" w:hAnsi="宋体" w:cs="宋体"/>
          <w:kern w:val="0"/>
          <w:sz w:val="24"/>
          <w:szCs w:val="24"/>
        </w:rPr>
        <w:lastRenderedPageBreak/>
        <w:t>投资人的赎回申请或延缓支付赎回对价。</w:t>
      </w:r>
    </w:p>
    <w:p w14:paraId="6F6FBEC0" w14:textId="0522BA0F"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3、相关证券/期货交易所依法决定临时停市、交易时间非正常停市</w:t>
      </w:r>
      <w:r w:rsidR="00372963">
        <w:rPr>
          <w:rStyle w:val="custom"/>
          <w:rFonts w:ascii="宋体" w:hAnsi="宋体" w:cs="宋体" w:hint="eastAsia"/>
          <w:kern w:val="0"/>
          <w:sz w:val="24"/>
          <w:szCs w:val="24"/>
        </w:rPr>
        <w:t>，</w:t>
      </w:r>
      <w:r>
        <w:rPr>
          <w:rStyle w:val="custom"/>
          <w:rFonts w:ascii="宋体" w:hAnsi="宋体" w:cs="宋体"/>
          <w:kern w:val="0"/>
          <w:sz w:val="24"/>
          <w:szCs w:val="24"/>
        </w:rPr>
        <w:t>导致基金管理人无法计算当日基金资产净值或无法进行证券交易。</w:t>
      </w:r>
    </w:p>
    <w:p w14:paraId="692E88F5" w14:textId="6B7FC27A" w:rsidR="00BE04A8" w:rsidRDefault="00372963">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w:t>
      </w:r>
      <w:r w:rsidR="00053520">
        <w:rPr>
          <w:rStyle w:val="custom"/>
          <w:rFonts w:ascii="宋体" w:hAnsi="宋体" w:cs="宋体"/>
          <w:kern w:val="0"/>
          <w:sz w:val="24"/>
          <w:szCs w:val="24"/>
        </w:rPr>
        <w:t>、发生继续接受赎回申请将损害现有基金份额持有人利益的情形时，基金管理人可暂停接受基金份额持有人的赎回申请。</w:t>
      </w:r>
    </w:p>
    <w:p w14:paraId="394920C8" w14:textId="1F54A29B" w:rsidR="00BE04A8" w:rsidRDefault="00372963">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w:t>
      </w:r>
      <w:r w:rsidR="00053520">
        <w:rPr>
          <w:rStyle w:val="custom"/>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对价或暂停接受基金赎回申请。</w:t>
      </w:r>
    </w:p>
    <w:p w14:paraId="35766826" w14:textId="0CEED786" w:rsidR="00372963" w:rsidRDefault="00B3200C" w:rsidP="00372963">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w:t>
      </w:r>
      <w:r w:rsidR="00053520">
        <w:rPr>
          <w:rStyle w:val="custom"/>
          <w:rFonts w:ascii="宋体" w:hAnsi="宋体" w:cs="宋体"/>
          <w:kern w:val="0"/>
          <w:sz w:val="24"/>
          <w:szCs w:val="24"/>
        </w:rPr>
        <w:t>、基金管理人可根据市场情况在申购赎回清单中设置赎回份额上限，如果一笔新的赎回申请被确认成功，会使本基金当日赎回份额超过申购赎回清单中规定的赎回份额上限时，该笔赎回申请将被拒绝。</w:t>
      </w:r>
    </w:p>
    <w:p w14:paraId="2999DE31" w14:textId="41CEE088" w:rsidR="00BE04A8" w:rsidRDefault="00B3200C">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w:t>
      </w:r>
      <w:r w:rsidR="00053520">
        <w:rPr>
          <w:rStyle w:val="custom"/>
          <w:rFonts w:ascii="宋体" w:hAnsi="宋体" w:cs="宋体"/>
          <w:kern w:val="0"/>
          <w:sz w:val="24"/>
          <w:szCs w:val="24"/>
        </w:rPr>
        <w:t>、相关证券交易所、申购赎回代理券商、登记机构等因异常情况无法办理赎回，或者因指数编制机构或指数发布机构、相关证券交易所等因异常情况使申购赎回清单无法编制或编制不当。本项所称异常情况指无法预见并不可控制的情形，包括但不限于系统故障、网络故障、通讯故障、电力故障、数据错误等。</w:t>
      </w:r>
    </w:p>
    <w:p w14:paraId="0EEDD3E6" w14:textId="3888ABBB" w:rsidR="00BE04A8" w:rsidRDefault="00B3200C">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w:t>
      </w:r>
      <w:r w:rsidR="00053520">
        <w:rPr>
          <w:rStyle w:val="custom"/>
          <w:rFonts w:ascii="宋体" w:hAnsi="宋体" w:cs="宋体"/>
          <w:kern w:val="0"/>
          <w:sz w:val="24"/>
          <w:szCs w:val="24"/>
        </w:rPr>
        <w:t>、基金所投资的投资品种的估值出现重大转变时。</w:t>
      </w:r>
    </w:p>
    <w:p w14:paraId="54E6C6B7" w14:textId="6E30F51B" w:rsidR="00BE04A8" w:rsidRDefault="00B3200C">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w:t>
      </w:r>
      <w:r w:rsidR="00053520">
        <w:rPr>
          <w:rStyle w:val="custom"/>
          <w:rFonts w:ascii="宋体" w:hAnsi="宋体" w:cs="宋体"/>
          <w:kern w:val="0"/>
          <w:sz w:val="24"/>
          <w:szCs w:val="24"/>
        </w:rPr>
        <w:t>、法律法规、上海证券交易所规定或中国证监会认定的其他情形。</w:t>
      </w:r>
    </w:p>
    <w:p w14:paraId="3462421B" w14:textId="68A36883"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除发生上述</w:t>
      </w:r>
      <w:r w:rsidR="00B3200C">
        <w:rPr>
          <w:rStyle w:val="custom"/>
          <w:rFonts w:ascii="宋体" w:hAnsi="宋体" w:cs="宋体"/>
          <w:kern w:val="0"/>
          <w:sz w:val="24"/>
          <w:szCs w:val="24"/>
        </w:rPr>
        <w:t>第6</w:t>
      </w:r>
      <w:r>
        <w:rPr>
          <w:rStyle w:val="custom"/>
          <w:rFonts w:ascii="宋体" w:hAnsi="宋体" w:cs="宋体"/>
          <w:kern w:val="0"/>
          <w:sz w:val="24"/>
          <w:szCs w:val="24"/>
        </w:rPr>
        <w:t>项以外的情形之一且基金管理人决定暂停赎回或延缓支付赎回对价时，基金管理人应根据有关规定在规定媒介上刊登暂停赎回公告并在当日报中国证监会备案。在暂停赎回的情况消除时，基金管理人应及时恢复赎回业务的办理并公告。</w:t>
      </w:r>
    </w:p>
    <w:p w14:paraId="388EE7A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九、暂停申购或赎回的公告和重新开放申购或赎回的公告</w:t>
      </w:r>
    </w:p>
    <w:p w14:paraId="5D5A472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1、发生上述暂停申购或赎回情况的，基金管理人应在规定期限内在规定媒介上刊登暂停申购或赎回业务的公告。</w:t>
      </w:r>
    </w:p>
    <w:p w14:paraId="6B67F68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0E68CF8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基金份额的转让</w:t>
      </w:r>
    </w:p>
    <w:p w14:paraId="65EEB3C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173C08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其他申购赎回方式</w:t>
      </w:r>
    </w:p>
    <w:p w14:paraId="20AE79E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对于符合《特定机构投资者参与证券投资基金申购赎回业务指引》要求的特定机构投资者，基金管理人可在不违反法律法规且对基金份额持有人利益无实质性不利影响的情况下，安排专门的申购方式，并于新的申购方式开始执行前另行公告。</w:t>
      </w:r>
    </w:p>
    <w:p w14:paraId="608656F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2、在不违反法律法规且对基金份额持有人利益无实质性不利影响的前提下，基金管理人可以根据具体情况开通本基金的场外申购赎回等业务，场外申购赎回的具体办理方式等相关事项届时将另行公告。</w:t>
      </w:r>
    </w:p>
    <w:p w14:paraId="1CC45F9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ETF联接基金是指其绝大部分基金财产投资于跟踪同一标的指数的ETF，紧密跟踪标的指数表现，追求跟踪偏离度和跟踪误差最小化，采用开放式运作方式的基金。若本基金推出ETF联接基金，ETF联接基金可以在本基金基金合同生效后、开放日常申购之前特殊申购本基金基金份额，不收取</w:t>
      </w:r>
      <w:r>
        <w:rPr>
          <w:rStyle w:val="custom"/>
          <w:rFonts w:ascii="宋体" w:hAnsi="宋体" w:cs="宋体"/>
          <w:kern w:val="0"/>
          <w:sz w:val="24"/>
          <w:szCs w:val="24"/>
        </w:rPr>
        <w:t>与</w:t>
      </w:r>
      <w:r>
        <w:rPr>
          <w:rFonts w:ascii="宋体" w:hAnsi="宋体" w:cs="宋体"/>
          <w:kern w:val="0"/>
          <w:sz w:val="24"/>
          <w:szCs w:val="24"/>
        </w:rPr>
        <w:t>申购</w:t>
      </w:r>
      <w:r>
        <w:rPr>
          <w:rStyle w:val="custom"/>
          <w:rFonts w:ascii="宋体" w:hAnsi="宋体" w:cs="宋体"/>
          <w:kern w:val="0"/>
          <w:sz w:val="24"/>
          <w:szCs w:val="24"/>
        </w:rPr>
        <w:t>相关的</w:t>
      </w:r>
      <w:r>
        <w:rPr>
          <w:rFonts w:ascii="宋体" w:hAnsi="宋体" w:cs="宋体"/>
          <w:kern w:val="0"/>
          <w:sz w:val="24"/>
          <w:szCs w:val="24"/>
        </w:rPr>
        <w:t>费用</w:t>
      </w:r>
      <w:r>
        <w:rPr>
          <w:rStyle w:val="custom"/>
          <w:rFonts w:ascii="宋体" w:hAnsi="宋体" w:cs="宋体"/>
          <w:kern w:val="0"/>
          <w:sz w:val="24"/>
          <w:szCs w:val="24"/>
        </w:rPr>
        <w:t>和成本</w:t>
      </w:r>
      <w:r>
        <w:rPr>
          <w:rFonts w:ascii="宋体" w:hAnsi="宋体" w:cs="宋体"/>
          <w:kern w:val="0"/>
          <w:sz w:val="24"/>
          <w:szCs w:val="24"/>
        </w:rPr>
        <w:t>。</w:t>
      </w:r>
    </w:p>
    <w:p w14:paraId="3492D28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基金管理人可以在不违反法律法规规定且对基金份额持有人无实质性不利影响的前提下，调整基金申购赎回方式或申购赎回对价组成，并提前公告。</w:t>
      </w:r>
    </w:p>
    <w:p w14:paraId="7FA28BB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5、在条件允许时，基金管理人可开放集合申购，即允许多个或单个投资者集合其持有的组合证券或单券或现金，共同构成最小申购、赎回单位或其整数倍，进行申购。</w:t>
      </w:r>
    </w:p>
    <w:p w14:paraId="19D7823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条件允许时，在不违反法律法规规定且对基金份额持有人无实质性不利影响的前提下，基金管理人也可采取其他合理的申购、赎回方式，并于新的申购、赎回方式开始执行前予以公告。</w:t>
      </w:r>
    </w:p>
    <w:p w14:paraId="7BAB466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基金管理人指定的代理机构可依据本基金合同开展其他服务，双方需签订书面委托代理协议。</w:t>
      </w:r>
    </w:p>
    <w:p w14:paraId="74B9CA9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基金非交易过户等其他业务的办理</w:t>
      </w:r>
    </w:p>
    <w:p w14:paraId="169EF58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基金登记机构可根据相关法律法规及其业务规则，受理基金份额的非交易过</w:t>
      </w:r>
      <w:r>
        <w:rPr>
          <w:rFonts w:ascii="宋体" w:hAnsi="宋体" w:cs="宋体"/>
          <w:kern w:val="0"/>
          <w:sz w:val="24"/>
          <w:szCs w:val="24"/>
        </w:rPr>
        <w:lastRenderedPageBreak/>
        <w:t>户、质押、冻结与解冻等业务，并按照其规定收取一定的手续费用。</w:t>
      </w:r>
    </w:p>
    <w:p w14:paraId="6B3E05B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十三、若上海证券交易所和中国证券登记结算有限责任公司针对交易型开放式指数证券投资基金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的招募说明书及其更新中予以更新，无需召开基金份额持有人大会审议。</w:t>
      </w:r>
    </w:p>
    <w:p w14:paraId="456D6CB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基金管理人可在法律法规允许的范围内，在对基金份额持有人无实质性不利影响的前提下，根据市场情况对上述申购与赎回的安排进行补充和调整并提前公告。</w:t>
      </w:r>
      <w:r>
        <w:rPr>
          <w:rFonts w:ascii="宋体" w:hAnsi="宋体" w:cs="宋体"/>
          <w:kern w:val="0"/>
          <w:sz w:val="24"/>
          <w:szCs w:val="24"/>
        </w:rPr>
        <w:br w:type="page"/>
      </w:r>
    </w:p>
    <w:p w14:paraId="11F03D17" w14:textId="77777777" w:rsidR="00BE04A8" w:rsidRDefault="00053520">
      <w:pPr>
        <w:pStyle w:val="1"/>
        <w:spacing w:before="0" w:after="0"/>
        <w:jc w:val="center"/>
        <w:rPr>
          <w:rFonts w:ascii="Times New Roman"/>
          <w:color w:val="auto"/>
          <w:sz w:val="30"/>
        </w:rPr>
      </w:pPr>
      <w:bookmarkStart w:id="48" w:name="_Toc25600000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基金合同当事人及权利义务</w:t>
      </w:r>
      <w:bookmarkEnd w:id="48"/>
    </w:p>
    <w:p w14:paraId="48644CF5" w14:textId="77777777" w:rsidR="00BE04A8" w:rsidRDefault="00BE04A8"/>
    <w:p w14:paraId="4AE9364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6FD45BD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40D458B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名称：汇添富基金管理股份有限公司</w:t>
      </w:r>
    </w:p>
    <w:p w14:paraId="2D5B557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住所：上海市黄浦区外马路728号9楼</w:t>
      </w:r>
    </w:p>
    <w:p w14:paraId="23E9B36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法定代表人：鲁伟铭</w:t>
      </w:r>
    </w:p>
    <w:p w14:paraId="5794711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设立日期：2005年2月3日</w:t>
      </w:r>
    </w:p>
    <w:p w14:paraId="74C2CD0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批准设立机关及批准设立文号：中国证监会证监基金字【2005】5号</w:t>
      </w:r>
    </w:p>
    <w:p w14:paraId="703F76C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组织形式：股份有限公司</w:t>
      </w:r>
    </w:p>
    <w:p w14:paraId="4DBD95C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注册资本：人民币132,724,224元</w:t>
      </w:r>
    </w:p>
    <w:p w14:paraId="7D27BE2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存续期限：持续经营</w:t>
      </w:r>
    </w:p>
    <w:p w14:paraId="78B67CE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联系电话：（021）28932888</w:t>
      </w:r>
    </w:p>
    <w:p w14:paraId="0BE1FC9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77A3E48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6582E74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69F09AA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4E69505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393C978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648E52D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430DB7E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05628E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046B56D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24F06AA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36384F0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293BFE8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7DA0F18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225FFDB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（13）在法律法规允许的前提下，为基金的利益依法为基金进行融资及转融通证券出借业务；</w:t>
      </w:r>
    </w:p>
    <w:p w14:paraId="5794948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7A1279A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31D1AC2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在符合有关法律、法规的前提下，制订和调整有关基金认购、申购、赎回等业务规则；</w:t>
      </w:r>
    </w:p>
    <w:p w14:paraId="53C5F55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（17）法律法规及中国证监会规定的和《基金合同》约定的其他权利。</w:t>
      </w:r>
    </w:p>
    <w:p w14:paraId="6C62B62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21F3711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依法募集资金，办理或者委托经中国证监会认定的其他机构代为办理基金份额的发售、申购、赎回和登记事宜；</w:t>
      </w:r>
    </w:p>
    <w:p w14:paraId="1346D86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1FE9893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5D42D97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689E01D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10BABF1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6741076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（7）</w:t>
      </w:r>
      <w:r>
        <w:rPr>
          <w:rFonts w:ascii="宋体" w:hAnsi="宋体" w:cs="宋体"/>
          <w:kern w:val="0"/>
          <w:sz w:val="24"/>
          <w:szCs w:val="24"/>
        </w:rPr>
        <w:t>依法接受基金托管人的监督；</w:t>
      </w:r>
    </w:p>
    <w:p w14:paraId="44C6E46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认购价格、申购对价、赎回对价和注销价格的方法符合《基金合同》等法律文件的规定，按有关规定计算并公告基金净值信息，确定基金份额申购、赎回的对价，编制申购赎回清单；</w:t>
      </w:r>
    </w:p>
    <w:p w14:paraId="1D34E3F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1119419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10F5D15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416CB2C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02132A4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344A93A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按规定受理申购与赎回申请，及时、足额支付赎回对价；</w:t>
      </w:r>
    </w:p>
    <w:p w14:paraId="2C104D8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087B4AA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7CEB9FE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661C2A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1F75257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6C2ADA8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14:paraId="430E9C3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监督基金托管人按法律法规和《基金合同》规定履行自己的义务，基</w:t>
      </w:r>
      <w:r>
        <w:rPr>
          <w:rFonts w:ascii="宋体" w:hAnsi="宋体" w:cs="宋体"/>
          <w:kern w:val="0"/>
          <w:sz w:val="24"/>
          <w:szCs w:val="24"/>
        </w:rPr>
        <w:lastRenderedPageBreak/>
        <w:t>金托管人违反《基金合同》造成基金财产损失时，基金管理人应为基金份额持有人利益向基金托管人追偿；</w:t>
      </w:r>
    </w:p>
    <w:p w14:paraId="228C2AA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764BEF8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5A30D8BF"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14:paraId="1EF7F4F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297DC94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599F73F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（27）法律法规及中国证监会规定的和《基金合同》约定的其他义务。</w:t>
      </w:r>
    </w:p>
    <w:p w14:paraId="552FEBD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2A78A58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7171F105"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名称：上海浦东发展银行股份有限公司</w:t>
      </w:r>
    </w:p>
    <w:p w14:paraId="3B383EA2"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住所：上海市中山东一路12号</w:t>
      </w:r>
    </w:p>
    <w:p w14:paraId="77C7A364"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法定代表人：</w:t>
      </w:r>
      <w:r>
        <w:rPr>
          <w:rFonts w:ascii="宋体" w:hAnsi="宋体" w:cs="宋体" w:hint="eastAsia"/>
          <w:kern w:val="0"/>
          <w:sz w:val="24"/>
          <w:szCs w:val="24"/>
        </w:rPr>
        <w:t>张为忠</w:t>
      </w:r>
    </w:p>
    <w:p w14:paraId="40D42BAA"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成立时间：1992年10月19日</w:t>
      </w:r>
    </w:p>
    <w:p w14:paraId="269BE7CF"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批准设立机关和批准设立文号：中国银监会银复[1992]601号</w:t>
      </w:r>
    </w:p>
    <w:p w14:paraId="4618BBE0"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组织形式：股份有限公司（上市）</w:t>
      </w:r>
    </w:p>
    <w:p w14:paraId="3DEC6BBF"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注册资本：人民币2935208.0397万元</w:t>
      </w:r>
    </w:p>
    <w:p w14:paraId="31EE6364"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存续期间：</w:t>
      </w:r>
      <w:r>
        <w:rPr>
          <w:rFonts w:ascii="宋体" w:hAnsi="宋体" w:cs="宋体" w:hint="eastAsia"/>
          <w:kern w:val="0"/>
          <w:sz w:val="24"/>
          <w:szCs w:val="24"/>
        </w:rPr>
        <w:t>永久存续</w:t>
      </w:r>
    </w:p>
    <w:p w14:paraId="2167C77A" w14:textId="77777777" w:rsidR="00BE04A8" w:rsidRDefault="00053520">
      <w:pPr>
        <w:pStyle w:val="div"/>
        <w:spacing w:line="360" w:lineRule="auto"/>
        <w:ind w:firstLine="420"/>
        <w:rPr>
          <w:rFonts w:ascii="宋体" w:hAnsi="宋体" w:cs="宋体"/>
          <w:kern w:val="0"/>
          <w:sz w:val="24"/>
          <w:szCs w:val="24"/>
        </w:rPr>
      </w:pPr>
      <w:r>
        <w:rPr>
          <w:rFonts w:ascii="宋体" w:hAnsi="宋体" w:cs="宋体"/>
          <w:kern w:val="0"/>
          <w:sz w:val="24"/>
          <w:szCs w:val="24"/>
        </w:rPr>
        <w:t>基金托管资格批文及文号：中国证监会证监基金字 [2003]105号</w:t>
      </w:r>
    </w:p>
    <w:p w14:paraId="255C462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5FFAF2F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3947060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自《基金合同》生效之日起，依法律法规和《基金合同》的规定安全保管基金财产；</w:t>
      </w:r>
    </w:p>
    <w:p w14:paraId="74BF2BC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依《基金合同》约定获得基金托管费以及法律法规规定或监管部门批准的其他费用；</w:t>
      </w:r>
    </w:p>
    <w:p w14:paraId="64FE9CE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6D6F5D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14:paraId="4FA2B085"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2F5AAF9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450FF6F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（7）法律法规及中国证监会规定的和《基金合同》约定的其他权利。</w:t>
      </w:r>
    </w:p>
    <w:p w14:paraId="108184B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53CE5D4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2EDCD74A"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693C06B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ED9F28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4A3A9F7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460400A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2298F20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089288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（8）复核、审查基金管理人计算的基金资产净值、基金份额净值、基金份</w:t>
      </w:r>
      <w:r>
        <w:rPr>
          <w:rStyle w:val="custom"/>
          <w:rFonts w:ascii="宋体" w:hAnsi="宋体" w:cs="宋体"/>
          <w:kern w:val="0"/>
          <w:sz w:val="24"/>
          <w:szCs w:val="24"/>
        </w:rPr>
        <w:lastRenderedPageBreak/>
        <w:t>额申购、赎回对价的现金部分；</w:t>
      </w:r>
    </w:p>
    <w:p w14:paraId="08E532F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5BE0F8B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0B31751"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（11）保存基金托管业务活动的记录、账册、报表和其他相关资料不少于法定最低期限；</w:t>
      </w:r>
    </w:p>
    <w:p w14:paraId="5192622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建立并保存基金份额持有人名册；</w:t>
      </w:r>
    </w:p>
    <w:p w14:paraId="77CC694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77F0A7D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（14）依据基金管理人的指令或有关规定向基金份额持有人支付基金收益和赎回对价的现金部分；</w:t>
      </w:r>
    </w:p>
    <w:p w14:paraId="66636FC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0FC3A6D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5FE5655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7E6EB55D"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7830B86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001F3EE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49BDFF8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19001046"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（22）法律法规及中国证监会规定的和《基金合同》约定的其他义务。</w:t>
      </w:r>
    </w:p>
    <w:p w14:paraId="327CFA7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7FA1611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w:t>
      </w:r>
      <w:r>
        <w:rPr>
          <w:rFonts w:ascii="宋体" w:hAnsi="宋体" w:cs="宋体"/>
          <w:kern w:val="0"/>
          <w:sz w:val="24"/>
          <w:szCs w:val="24"/>
        </w:rPr>
        <w:lastRenderedPageBreak/>
        <w:t>金合同》的当事人，直至其不再持有本基金的基金份额。基金份额持有人作为《基金合同》当事人并不以在《基金合同》上书面签章或签字为必要条件。</w:t>
      </w:r>
    </w:p>
    <w:p w14:paraId="6D15F86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14:paraId="7EE88EC4"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3AB9EA51"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095EFBAC"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1BE9AB96"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6E685283"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33324E32" w14:textId="77777777" w:rsidR="00BE04A8" w:rsidRDefault="00053520">
      <w:pPr>
        <w:pStyle w:val="div"/>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2BEEAF8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14:paraId="7ECFAB7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14:paraId="7FF12E7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6290ADC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14:paraId="636677D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6D104BD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25399387"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2CDD6C9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459BF92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（4）交纳基金认购款项或认购股票、申购对价、现金差额及法律法规和《基金合同》所规定的费用；</w:t>
      </w:r>
    </w:p>
    <w:p w14:paraId="0BB249A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14:paraId="51BF4DA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3312C0E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71804C5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61FCA1CE"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提供基金管理人和监管机构依法要求提供的信息，以及不时的更新和补充，并保证其真实性；</w:t>
      </w:r>
    </w:p>
    <w:p w14:paraId="33D848B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（10）遵守基金管理人、基金托管人、销售机构和登记机构的相关交易及业务规则；</w:t>
      </w:r>
    </w:p>
    <w:p w14:paraId="0B6A1EA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01277AF0" w14:textId="77777777" w:rsidR="00BE04A8" w:rsidRDefault="00053520">
      <w:pPr>
        <w:pStyle w:val="1"/>
        <w:spacing w:before="0" w:after="0"/>
        <w:jc w:val="center"/>
        <w:rPr>
          <w:rFonts w:ascii="Times New Roman"/>
          <w:color w:val="auto"/>
          <w:sz w:val="30"/>
        </w:rPr>
      </w:pPr>
      <w:bookmarkStart w:id="49"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基金份额持有人大会</w:t>
      </w:r>
      <w:bookmarkEnd w:id="49"/>
    </w:p>
    <w:p w14:paraId="62A4037B" w14:textId="77777777" w:rsidR="00BE04A8" w:rsidRDefault="00BE04A8"/>
    <w:p w14:paraId="49266BA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1FD1FD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46BC499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14:paraId="405FD35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鉴于本基金和本基金联接基金的相关性，本基金联接基金的基金份额持有人可以凭所持有的本基金联接基金的基金份额参加或者委派代表参加本基金的基金份额持有人大会并参与表决。在计算参会份额和计票时，本基金联接基金基金份额持有人持有的享有表决权的基金份额数和表决票数为：在本基金基金份额持有人大会的权益登记日，本基金联接基金持有本基金份额的总数乘以该基金份额持有人所持有的本基金联接基金份额占本基金联接基金总份额的比例。计算结果按照四舍五入的方法，保留到整数位。</w:t>
      </w:r>
    </w:p>
    <w:p w14:paraId="373B6DE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14:paraId="7DF3DA5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联接基金的基金管理人代表本基金联接基金的基金份额持有人提议召开或召集本基金份额持有人大会的，须先遵照本基金联接基金基金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14:paraId="0F0CD20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一、召开事由</w:t>
      </w:r>
    </w:p>
    <w:p w14:paraId="79E2A29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0683AC2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0471455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087DF24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（3）</w:t>
      </w:r>
      <w:r>
        <w:rPr>
          <w:rFonts w:ascii="宋体" w:hAnsi="宋体" w:cs="宋体"/>
          <w:kern w:val="0"/>
          <w:sz w:val="24"/>
          <w:szCs w:val="24"/>
        </w:rPr>
        <w:t>更换基金托管人；</w:t>
      </w:r>
    </w:p>
    <w:p w14:paraId="62C42ED6"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转换基金运作方式；</w:t>
      </w:r>
    </w:p>
    <w:p w14:paraId="1B45A58E" w14:textId="77777777" w:rsidR="00BE04A8" w:rsidRDefault="00053520">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（5）</w:t>
      </w:r>
      <w:r>
        <w:rPr>
          <w:rStyle w:val="divCharacter"/>
          <w:rFonts w:ascii="宋体" w:hAnsi="宋体" w:cs="宋体"/>
          <w:kern w:val="0"/>
          <w:sz w:val="24"/>
          <w:szCs w:val="24"/>
        </w:rPr>
        <w:t>调整基金管理人、基金托管人的报酬标准；</w:t>
      </w:r>
    </w:p>
    <w:p w14:paraId="59ECFBF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738A5810"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1D616642"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3C9CC2F9"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64F0B1D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00E411E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488E86C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1ED485C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（13）终止基金上市，但因基金不再具备上市条件而被上海证券交易所终止上市的除外；</w:t>
      </w:r>
    </w:p>
    <w:p w14:paraId="5A1D55FF"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法律法规、《基金合同》或中国证监会规定的其他应当召开基金份额持有人大会的事项。</w:t>
      </w:r>
    </w:p>
    <w:p w14:paraId="3278F9A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660DF8E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（1）法律法规要求增加的基金费用的收取；</w:t>
      </w:r>
    </w:p>
    <w:p w14:paraId="41124DBF"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（2）调整本基金的申购费率或变更收费方式；</w:t>
      </w:r>
    </w:p>
    <w:p w14:paraId="763D691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（3）因相应的法律法规、证券交易所或登记机构相关业务规则发生变动而应当对《基金合同》进行修改；</w:t>
      </w:r>
    </w:p>
    <w:p w14:paraId="2CF53C8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（4）基金管理人、证券交易所和基金登记机构等调整有关基金认购、申购、赎回、非交易过户、质押等业务规则；</w:t>
      </w:r>
    </w:p>
    <w:p w14:paraId="571F97C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（5）对《基金合同》的修改对基金份额持有人利益无实质性不利影响或修改不涉及《基金合同》当事人权利义务关系发生重大变化；</w:t>
      </w:r>
    </w:p>
    <w:p w14:paraId="720D8DF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（6）履行适当程序后基金推出新业务或服务；</w:t>
      </w:r>
    </w:p>
    <w:p w14:paraId="0D0D430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（7）基金管理人调整基金收益分配原则；</w:t>
      </w:r>
    </w:p>
    <w:p w14:paraId="50D16A3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（8）增加、减少、调整基金份额类别设置；</w:t>
      </w:r>
    </w:p>
    <w:p w14:paraId="0CE39CF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（9）募集并管理以本基金为目标ETF的一只或多只联接基金、本基金的联接基金采取特殊申购或其他方式参与本基金的申购赎回；</w:t>
      </w:r>
    </w:p>
    <w:p w14:paraId="1308737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（10）调整最小申购赎回单位、调整基金的申购赎回方式及申购对价、赎回对价组成；</w:t>
      </w:r>
    </w:p>
    <w:p w14:paraId="464157C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（11）在其他证券交易所上市或开通基金的场外申购赎回、跨系统转托管等业务；</w:t>
      </w:r>
    </w:p>
    <w:p w14:paraId="53D0F05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（12）按照本基金合同的约定，将本基金变更为跟踪标的指数的非上市的开放式指数基金；</w:t>
      </w:r>
    </w:p>
    <w:p w14:paraId="11A20AC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（13）按照法律法规和《基金合同》规定不需召开基金份额持有人大会的其他情形。</w:t>
      </w:r>
    </w:p>
    <w:p w14:paraId="1084832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二、会议召集人及召集方式</w:t>
      </w:r>
    </w:p>
    <w:p w14:paraId="46A9647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6B7FDA2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14:paraId="22E121D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1DB67B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w:t>
      </w:r>
      <w:r>
        <w:rPr>
          <w:rFonts w:ascii="宋体" w:hAnsi="宋体" w:cs="宋体"/>
          <w:kern w:val="0"/>
          <w:sz w:val="24"/>
          <w:szCs w:val="24"/>
        </w:rPr>
        <w:lastRenderedPageBreak/>
        <w:t>日起60日内召开并告知基金管理人，基金管理人应当配合。</w:t>
      </w:r>
    </w:p>
    <w:p w14:paraId="49264C3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D47B6E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234151C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三、召开基金份额持有人大会的通知时间、通知内容、通知方式</w:t>
      </w:r>
    </w:p>
    <w:p w14:paraId="1BEA20A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7FF42BD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14:paraId="5543C52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（2）会议拟审议的事项、议事程序和表决方式；</w:t>
      </w:r>
    </w:p>
    <w:p w14:paraId="23EE68F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0C3DADB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353EF59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14:paraId="4B616C9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（6）出席会议者必须准备的文件和必须履行的手续；</w:t>
      </w:r>
    </w:p>
    <w:p w14:paraId="738FAD8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（7）召集人需要通知的其他事项。</w:t>
      </w:r>
    </w:p>
    <w:p w14:paraId="6A01EC1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6CBF1F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90EA45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四、基金份额持有人出席会议的方式</w:t>
      </w:r>
    </w:p>
    <w:p w14:paraId="01C3710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14:paraId="41D2ED3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3E2ECC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A2C66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6A1CF5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189BC40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2ABBF35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077356A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ED01CC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w:t>
      </w:r>
      <w:r>
        <w:rPr>
          <w:rFonts w:ascii="宋体" w:hAnsi="宋体" w:cs="宋体"/>
          <w:kern w:val="0"/>
          <w:sz w:val="24"/>
          <w:szCs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40ED15E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26CF78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09610F5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五、议事内容与程序</w:t>
      </w:r>
    </w:p>
    <w:p w14:paraId="6B96953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1、议事内容及提案权</w:t>
      </w:r>
    </w:p>
    <w:p w14:paraId="0AE7F8B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03D36C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476A85B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5C99BEF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2、议事程序</w:t>
      </w:r>
    </w:p>
    <w:p w14:paraId="1140C68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（1）现场开会</w:t>
      </w:r>
    </w:p>
    <w:p w14:paraId="7D0D01F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rFonts w:ascii="宋体" w:hAnsi="宋体" w:cs="宋体"/>
          <w:kern w:val="0"/>
          <w:sz w:val="24"/>
          <w:szCs w:val="24"/>
        </w:rPr>
        <w:lastRenderedPageBreak/>
        <w:t>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7711EB5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57DB3C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（2）通讯开会</w:t>
      </w:r>
    </w:p>
    <w:p w14:paraId="4266D76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7E62326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六、表决</w:t>
      </w:r>
    </w:p>
    <w:p w14:paraId="18357FA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576EED7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559949E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4B5AC1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897C18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70E8237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4A695A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w:t>
      </w:r>
      <w:r>
        <w:rPr>
          <w:rFonts w:ascii="宋体" w:hAnsi="宋体" w:cs="宋体"/>
          <w:kern w:val="0"/>
          <w:sz w:val="24"/>
          <w:szCs w:val="24"/>
        </w:rPr>
        <w:lastRenderedPageBreak/>
        <w:t>审议、逐项表决。</w:t>
      </w:r>
    </w:p>
    <w:p w14:paraId="55C9064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七、计票</w:t>
      </w:r>
    </w:p>
    <w:p w14:paraId="1C01E7D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1、现场开会</w:t>
      </w:r>
    </w:p>
    <w:p w14:paraId="1028297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6FCB14C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5CE883E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5F1A54D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1035C75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2、通讯开会</w:t>
      </w:r>
    </w:p>
    <w:p w14:paraId="7A2C815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86B87D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八、生效与公告</w:t>
      </w:r>
    </w:p>
    <w:p w14:paraId="7046AEF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62B27F6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74CFB98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w:t>
      </w:r>
      <w:r>
        <w:rPr>
          <w:rFonts w:ascii="宋体" w:hAnsi="宋体" w:cs="宋体"/>
          <w:kern w:val="0"/>
          <w:sz w:val="24"/>
          <w:szCs w:val="24"/>
        </w:rPr>
        <w:lastRenderedPageBreak/>
        <w:t>证机构、公证员姓名等一同公告。</w:t>
      </w:r>
    </w:p>
    <w:p w14:paraId="600DB26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882208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ascii="宋体" w:hAnsi="宋体" w:cs="宋体" w:hint="eastAsia"/>
          <w:kern w:val="0"/>
          <w:sz w:val="24"/>
          <w:szCs w:val="24"/>
        </w:rPr>
        <w:t>并提前公告后</w:t>
      </w:r>
      <w:r>
        <w:rPr>
          <w:rFonts w:ascii="宋体" w:hAnsi="宋体" w:cs="宋体"/>
          <w:kern w:val="0"/>
          <w:sz w:val="24"/>
          <w:szCs w:val="24"/>
        </w:rPr>
        <w:t>，可直接对本部分内容进行修改和调整，无需召开基金份额持有人大会审议。</w:t>
      </w:r>
      <w:r>
        <w:rPr>
          <w:rFonts w:ascii="宋体" w:hAnsi="宋体" w:cs="宋体"/>
          <w:kern w:val="0"/>
          <w:sz w:val="24"/>
          <w:szCs w:val="24"/>
        </w:rPr>
        <w:br w:type="page"/>
      </w:r>
    </w:p>
    <w:p w14:paraId="03262E8A" w14:textId="77777777" w:rsidR="00BE04A8" w:rsidRDefault="00053520">
      <w:pPr>
        <w:pStyle w:val="1"/>
        <w:spacing w:before="0" w:after="0"/>
        <w:jc w:val="center"/>
        <w:rPr>
          <w:rFonts w:ascii="Times New Roman"/>
          <w:color w:val="auto"/>
          <w:sz w:val="30"/>
        </w:rPr>
      </w:pPr>
      <w:bookmarkStart w:id="50"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基金管理人、基金托管人的更换条件和程序</w:t>
      </w:r>
      <w:bookmarkEnd w:id="50"/>
    </w:p>
    <w:p w14:paraId="6AD41BA7" w14:textId="77777777" w:rsidR="00BE04A8" w:rsidRDefault="00BE04A8"/>
    <w:p w14:paraId="6635C65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一、基金管理人和基金托管人职责终止的情形</w:t>
      </w:r>
    </w:p>
    <w:p w14:paraId="3807AF8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（一）基金管理人职责终止的情形</w:t>
      </w:r>
    </w:p>
    <w:p w14:paraId="19E5D4C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有下列情形之一的，基金管理人职责终止：</w:t>
      </w:r>
    </w:p>
    <w:p w14:paraId="21202D4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1、被依法取消基金管理资格；</w:t>
      </w:r>
    </w:p>
    <w:p w14:paraId="6A76FBD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14:paraId="71A7BC7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14:paraId="4AF63A3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14:paraId="6324E65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（二）基金托管人职责终止的情形</w:t>
      </w:r>
    </w:p>
    <w:p w14:paraId="19A5699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有下列情形之一的，基金托管人职责终止：</w:t>
      </w:r>
    </w:p>
    <w:p w14:paraId="79D021A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1、被依法取消基金托管资格；</w:t>
      </w:r>
    </w:p>
    <w:p w14:paraId="40A85AD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14:paraId="15B29D8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14:paraId="0052750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14:paraId="7660425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二、基金管理人和基金托管人的更换程序</w:t>
      </w:r>
    </w:p>
    <w:p w14:paraId="65DEEC2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（一）基金管理人的更换程序</w:t>
      </w:r>
    </w:p>
    <w:p w14:paraId="3416CB3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1、提名：新任基金管理人由基金托管人或由单独或合计持有10%以上（含10%）基金份额的基金份额持有人提名；</w:t>
      </w:r>
    </w:p>
    <w:p w14:paraId="697EF38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650F66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3、临时基金管理人：新任基金管理人产生之前，由中国证监会指定临时基金管理人；</w:t>
      </w:r>
    </w:p>
    <w:p w14:paraId="2B0AADE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4、备案：基金份额持有人大会更换基金管理人的决议须报中国证监会备案；</w:t>
      </w:r>
    </w:p>
    <w:p w14:paraId="53BD7B5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5、公告：基金管理人更换后，由基金托管人在更换基金管理人的基金份额持有人大会决议生效后2日内在规定媒介公告；</w:t>
      </w:r>
    </w:p>
    <w:p w14:paraId="2732647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6、交接：基金管理人职责终止的，基金管理人应妥善保管基金管理业务资料，及时向临时基金管理人或新任基金管理人办理基金管理业务的移交手续，临</w:t>
      </w:r>
      <w:r>
        <w:rPr>
          <w:rFonts w:ascii="宋体" w:hAnsi="宋体" w:cs="宋体"/>
          <w:kern w:val="0"/>
          <w:sz w:val="24"/>
          <w:szCs w:val="24"/>
        </w:rPr>
        <w:lastRenderedPageBreak/>
        <w:t>时基金管理人或新任基金管理人应及时接收。临时基金管理人或新任基金管理人应与基金托管人核对基金资产总值和基金资产净值；</w:t>
      </w:r>
    </w:p>
    <w:p w14:paraId="5345269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1EE61DE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8、基金名称变更：基金管理人更换后，如果原任或新任基金管理人要求，应按其要求替换或删除基金名称中与原基金管理人有关的名称字样。</w:t>
      </w:r>
    </w:p>
    <w:p w14:paraId="7D16502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（二）基金托管人的更换程序</w:t>
      </w:r>
    </w:p>
    <w:p w14:paraId="5C0EDB1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1、提名：新任基金托管人由基金管理人或由单独或合计持有10%以上（含10%）基金份额的基金份额持有人提名；</w:t>
      </w:r>
    </w:p>
    <w:p w14:paraId="40F6D37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581AA61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3、临时基金托管人：新任基金托管人产生之前，由中国证监会指定临时基金托管人；</w:t>
      </w:r>
    </w:p>
    <w:p w14:paraId="1161920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4、备案：基金份额持有人大会更换基金托管人的决议须报中国证监会备案；</w:t>
      </w:r>
    </w:p>
    <w:p w14:paraId="672AC9D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5、公告：基金托管人更换后，由基金管理人在更换基金托管人的基金份额持有人大会决议生效后2日内在规定媒介公告；</w:t>
      </w:r>
    </w:p>
    <w:p w14:paraId="6F8E0DA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6、交接：基金托管人职责终止的，应当妥善保管基金财产和基金托管业务资料，及时</w:t>
      </w:r>
      <w:r>
        <w:rPr>
          <w:rFonts w:ascii="宋体" w:hAnsi="宋体" w:cs="宋体" w:hint="eastAsia"/>
          <w:kern w:val="0"/>
          <w:sz w:val="24"/>
          <w:szCs w:val="24"/>
        </w:rPr>
        <w:t>向临时基金托管人或新任基金托管人</w:t>
      </w:r>
      <w:r>
        <w:rPr>
          <w:rFonts w:ascii="宋体" w:hAnsi="宋体" w:cs="宋体"/>
          <w:kern w:val="0"/>
          <w:sz w:val="24"/>
          <w:szCs w:val="24"/>
        </w:rPr>
        <w:t>办理基金财产和基金托管业务的移交手续，新任基金托管人或者临时基金托管人应当及时接收。临时基金托管人或新任基金托管人与基金管理人核对基金资产总值和基金资产净值；</w:t>
      </w:r>
    </w:p>
    <w:p w14:paraId="37AEA3A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41C7F09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（三）基金管理人与基金托管人同时更换的条件和程序</w:t>
      </w:r>
    </w:p>
    <w:p w14:paraId="2E65A4E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1、提名：如果基金管理人和基金托管人同时更换，由单独或合计持有基金总份额10%以上（含10%）的基金份额持有人提名新的基金管理人和基金托管人；</w:t>
      </w:r>
    </w:p>
    <w:p w14:paraId="0C74EA4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2、基金管理人和基金托管人的更换分别按上述程序进行；</w:t>
      </w:r>
    </w:p>
    <w:p w14:paraId="7C4D230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3、公告：新任基金管理人和新任基金托管人应在更换基金管理人和基金托管人的基金份额持有人大会决议生效后2日内在规定媒介上联合公告。</w:t>
      </w:r>
    </w:p>
    <w:p w14:paraId="3646817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49E180A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6B1273DE" w14:textId="77777777" w:rsidR="00BE04A8" w:rsidRDefault="00053520">
      <w:pPr>
        <w:pStyle w:val="1"/>
        <w:spacing w:before="0" w:after="0"/>
        <w:jc w:val="center"/>
        <w:rPr>
          <w:rFonts w:ascii="Times New Roman"/>
          <w:color w:val="auto"/>
          <w:sz w:val="30"/>
        </w:rPr>
      </w:pPr>
      <w:bookmarkStart w:id="51"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基金的托管</w:t>
      </w:r>
      <w:bookmarkEnd w:id="51"/>
    </w:p>
    <w:p w14:paraId="3DF3F1A0" w14:textId="77777777" w:rsidR="00BE04A8" w:rsidRDefault="00BE04A8"/>
    <w:p w14:paraId="5289693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7C95E7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1DD289C8" w14:textId="77777777" w:rsidR="00BE04A8" w:rsidRDefault="00053520">
      <w:pPr>
        <w:pStyle w:val="1"/>
        <w:spacing w:before="0" w:after="0"/>
        <w:jc w:val="center"/>
        <w:rPr>
          <w:rFonts w:ascii="Times New Roman"/>
          <w:color w:val="auto"/>
          <w:sz w:val="30"/>
        </w:rPr>
      </w:pPr>
      <w:bookmarkStart w:id="52"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基金份额的登记</w:t>
      </w:r>
      <w:bookmarkEnd w:id="52"/>
    </w:p>
    <w:p w14:paraId="30FC8ECE" w14:textId="77777777" w:rsidR="00BE04A8" w:rsidRDefault="00BE04A8"/>
    <w:p w14:paraId="63FF43C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一、基金份额的登记业务</w:t>
      </w:r>
    </w:p>
    <w:p w14:paraId="52D9474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490118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二、基金登记业务办理机构</w:t>
      </w:r>
    </w:p>
    <w:p w14:paraId="55FE7F9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F71288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三、基金登记机构的权利</w:t>
      </w:r>
    </w:p>
    <w:p w14:paraId="532BD19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基金登记机构享有以下权利：</w:t>
      </w:r>
    </w:p>
    <w:p w14:paraId="5314DAA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1、取得登记费；</w:t>
      </w:r>
    </w:p>
    <w:p w14:paraId="621462F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2、建立和管理投资者基金账户；</w:t>
      </w:r>
    </w:p>
    <w:p w14:paraId="4324E5E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3、保管基金份额持有人开户资料、交易资料、基金份额持有人名册等；</w:t>
      </w:r>
    </w:p>
    <w:p w14:paraId="7994E91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4、在法律法规允许的范围内，对登记业务的办理时间进行调整，并依照有关规定于开始实施前在规定媒介上公告；</w:t>
      </w:r>
    </w:p>
    <w:p w14:paraId="60C01D0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5、法律法规及中国证监会规定的和《基金合同》约定的其他权利。</w:t>
      </w:r>
    </w:p>
    <w:p w14:paraId="4527975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四、基金登记机构的义务</w:t>
      </w:r>
    </w:p>
    <w:p w14:paraId="1AE6157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基金登记机构承担以下义务：</w:t>
      </w:r>
    </w:p>
    <w:p w14:paraId="07D136F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1、配备足够的专业人员办理本基金份额的登记业务；</w:t>
      </w:r>
    </w:p>
    <w:p w14:paraId="0035797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2、严格按照法律法规和《基金合同》规定的条件办理本基金份额的登记业务；</w:t>
      </w:r>
    </w:p>
    <w:p w14:paraId="1E80BF3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3、妥善保存登记数据，并将基金份额持有人名称、身份信息及基金份额明细等数据备份至中国证监会认定的机构。其保存期限自基金账户销户之日起不得少于20年；</w:t>
      </w:r>
    </w:p>
    <w:p w14:paraId="4C3563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72A794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5、按《基金合同》及招募说明书规定为投资者办理非交易过户业务、提供其他必要的服务；</w:t>
      </w:r>
    </w:p>
    <w:p w14:paraId="737C9BD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6、接受基金管理人的监督；</w:t>
      </w:r>
    </w:p>
    <w:p w14:paraId="0E74A17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7、法律法规及中国证监会规定的和《基金合同》约定的其他义务。</w:t>
      </w:r>
      <w:r>
        <w:rPr>
          <w:rFonts w:ascii="宋体" w:hAnsi="宋体" w:cs="宋体"/>
          <w:kern w:val="0"/>
          <w:sz w:val="24"/>
          <w:szCs w:val="24"/>
        </w:rPr>
        <w:br w:type="page"/>
      </w:r>
    </w:p>
    <w:p w14:paraId="2B640C68" w14:textId="77777777" w:rsidR="00BE04A8" w:rsidRDefault="00053520">
      <w:pPr>
        <w:pStyle w:val="1"/>
        <w:spacing w:before="0" w:after="0"/>
        <w:jc w:val="center"/>
        <w:rPr>
          <w:rFonts w:ascii="Times New Roman"/>
          <w:color w:val="auto"/>
          <w:sz w:val="30"/>
        </w:rPr>
      </w:pPr>
      <w:bookmarkStart w:id="53"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基金的投资</w:t>
      </w:r>
      <w:bookmarkEnd w:id="53"/>
    </w:p>
    <w:p w14:paraId="383CBD03" w14:textId="77777777" w:rsidR="00BE04A8" w:rsidRDefault="00BE04A8"/>
    <w:p w14:paraId="0D2BDDA8"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66E32708"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紧密跟踪标的指数，追求跟踪偏离度和跟踪误差的最小化。</w:t>
      </w:r>
    </w:p>
    <w:p w14:paraId="335D562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1EBF778E"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主要投资于标的指数成份股、备选成份股。为更好地实现投资目标，本基金可少量投资于非成份股（包括主板、创业板及其他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但须符合中国证监会相关规定)。</w:t>
      </w:r>
    </w:p>
    <w:p w14:paraId="325A4473"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本基金可根据法律法规的规定参与融资及转融通证券出借业务。</w:t>
      </w:r>
    </w:p>
    <w:p w14:paraId="4C00BCA7"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53523A71" w14:textId="77777777" w:rsidR="00BE04A8" w:rsidRDefault="00053520">
      <w:pPr>
        <w:pStyle w:val="div"/>
        <w:spacing w:line="360" w:lineRule="auto"/>
        <w:ind w:firstLine="480"/>
        <w:jc w:val="left"/>
        <w:rPr>
          <w:rFonts w:ascii="宋体" w:hAnsi="宋体" w:cs="宋体"/>
          <w:kern w:val="0"/>
          <w:sz w:val="24"/>
          <w:szCs w:val="24"/>
        </w:rPr>
      </w:pPr>
      <w:bookmarkStart w:id="54" w:name="OLE_LINK1"/>
      <w:bookmarkStart w:id="55" w:name="OLE_LINK2"/>
      <w:r>
        <w:rPr>
          <w:rStyle w:val="custom"/>
          <w:rFonts w:ascii="宋体" w:hAnsi="宋体" w:cs="宋体"/>
          <w:kern w:val="0"/>
          <w:sz w:val="24"/>
          <w:szCs w:val="24"/>
        </w:rPr>
        <w:t>基金的投资组合比例为：投资于标的指数成份股和备选成份股的比例不低于基金资产净值的90%，且不低于非现金基金资产的80%，因法律法规的规定而受限制的情形除外。</w:t>
      </w:r>
    </w:p>
    <w:p w14:paraId="1498F0D9"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bookmarkEnd w:id="54"/>
    <w:bookmarkEnd w:id="55"/>
    <w:p w14:paraId="4A5C689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5625EFDA"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主要采用完全复制法，即完全按照标的指数的成份股组成及其权重构建基金股票投资组合，并根据标的指数成份股及其权重的变化进行相应调整。但在因特殊情况（如流动性不足等）导致本基金无法有效复制和跟踪标的指数时，基金管理人将运用其他合理的投资方法构建本基金的实际投资组合，追求尽可能贴近标的指数的表现。</w:t>
      </w:r>
    </w:p>
    <w:p w14:paraId="086F6D78"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特殊情况包括但不限于以下情形：（1）法律法规的限制；（2）标的指数成份股流动性严重不足；（3）标的指数的成份股票长期停牌；（4）其它合理原因</w:t>
      </w:r>
      <w:r>
        <w:rPr>
          <w:rStyle w:val="custom"/>
          <w:rFonts w:ascii="宋体" w:hAnsi="宋体" w:cs="宋体"/>
          <w:kern w:val="0"/>
          <w:sz w:val="24"/>
          <w:szCs w:val="24"/>
        </w:rPr>
        <w:lastRenderedPageBreak/>
        <w:t>导致本基金管理人对标的指数的跟踪构成严重制约等。</w:t>
      </w:r>
    </w:p>
    <w:p w14:paraId="35C73DF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本基金力争日均跟踪偏离度的绝对值不超过0.2%，年跟踪误差不超过</w:t>
      </w:r>
      <w:r>
        <w:rPr>
          <w:rStyle w:val="custom0"/>
          <w:rFonts w:ascii="宋体" w:hAnsi="宋体" w:cs="宋体"/>
          <w:kern w:val="0"/>
          <w:sz w:val="24"/>
          <w:szCs w:val="24"/>
        </w:rPr>
        <w:t>2%</w:t>
      </w:r>
      <w:r>
        <w:rPr>
          <w:rStyle w:val="custom"/>
          <w:rFonts w:ascii="宋体" w:hAnsi="宋体" w:cs="宋体"/>
          <w:kern w:val="0"/>
          <w:sz w:val="24"/>
          <w:szCs w:val="24"/>
        </w:rPr>
        <w:t>。如因标的指数编制规则调整等其他原因，导致基金跟踪偏离度和跟踪误差超过上述范围，基金管理人应采取合理措施，避免跟踪偏离度和跟踪误差的进一步扩大。</w:t>
      </w:r>
    </w:p>
    <w:p w14:paraId="37A09DA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27CD95C5"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w:t>
      </w:r>
      <w:r>
        <w:rPr>
          <w:rStyle w:val="custom"/>
          <w:rFonts w:ascii="宋体" w:hAnsi="宋体" w:cs="宋体"/>
          <w:kern w:val="0"/>
          <w:sz w:val="24"/>
          <w:szCs w:val="24"/>
        </w:rPr>
        <w:t>资产配置策略</w:t>
      </w:r>
    </w:p>
    <w:p w14:paraId="14F7689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管理人完全按照标的指数的成份股组成及其权重构建基金股票投资组合，并根据标的指数成份股及其权重的变化进行相应调整。本基金投资于标的指数成份股和备选成份股的比例不低于基金资产净值的90%，且不低于非现金基金资产的80%，股指期货、国债期货、股票期权及其他金融工具的投资比例依照法律法规或监管机构的规定执行。</w:t>
      </w:r>
    </w:p>
    <w:p w14:paraId="7273D093"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2、</w:t>
      </w:r>
      <w:r>
        <w:rPr>
          <w:rStyle w:val="custom"/>
          <w:rFonts w:ascii="宋体" w:hAnsi="宋体" w:cs="宋体"/>
          <w:kern w:val="0"/>
          <w:sz w:val="24"/>
          <w:szCs w:val="24"/>
        </w:rPr>
        <w:t>债券投资策略</w:t>
      </w:r>
    </w:p>
    <w:p w14:paraId="60159D4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降低跟踪误差。</w:t>
      </w:r>
    </w:p>
    <w:p w14:paraId="38405D3A"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3、</w:t>
      </w:r>
      <w:r>
        <w:rPr>
          <w:rStyle w:val="custom"/>
          <w:rFonts w:ascii="宋体" w:hAnsi="宋体" w:cs="宋体"/>
          <w:kern w:val="0"/>
          <w:sz w:val="24"/>
          <w:szCs w:val="24"/>
        </w:rPr>
        <w:t>资产支持证券投资策略</w:t>
      </w:r>
    </w:p>
    <w:p w14:paraId="18455423"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w:t>
      </w:r>
    </w:p>
    <w:p w14:paraId="36B982EE"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4、金融衍生工具投资策略</w:t>
      </w:r>
    </w:p>
    <w:p w14:paraId="05E0B17E"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本基金将基于谨慎原则运用金融衍生工具对基金投资组合进行管理，以控制并降低投资组合风险、提高投资效率，降低跟踪误差，从而更好地实现本基金的投资目标。</w:t>
      </w:r>
    </w:p>
    <w:p w14:paraId="1805D7C3"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本基金将根据风险管理的原则，以套期保值为目的，主要选择流动性好、交</w:t>
      </w:r>
      <w:r>
        <w:rPr>
          <w:rStyle w:val="custom"/>
          <w:rFonts w:ascii="宋体" w:hAnsi="宋体" w:cs="宋体"/>
          <w:kern w:val="0"/>
          <w:sz w:val="24"/>
          <w:szCs w:val="24"/>
        </w:rPr>
        <w:lastRenderedPageBreak/>
        <w:t>易活跃的股指期货合约进行投资，以降低交易成本，提高投资效率，从而更好地跟踪标的指数。</w:t>
      </w:r>
    </w:p>
    <w:p w14:paraId="33331507"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本基金将根据风险管理的原则，以套期保值为目的，结合对宏观经济形势和政策趋势的判断、对债券市场进行定性和定量分析，充分考虑国债期货流动性和风险收益特征，参与国债期货的投资。</w:t>
      </w:r>
    </w:p>
    <w:p w14:paraId="49BA886E"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本基金将根据风险管理的原则，以套期保值为主要目的，参与股票期权交易。本基金将结合投资目标、比例限制、风险收益特征以及法律法规的相关限定和要求，确定参与股票期权交易的投资时机和投资比例。</w:t>
      </w:r>
    </w:p>
    <w:p w14:paraId="1410CA77"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影响的情况下，无需召开基金份额持有人大会。</w:t>
      </w:r>
    </w:p>
    <w:p w14:paraId="6333FD49"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5、参与融资投资策略</w:t>
      </w:r>
    </w:p>
    <w:p w14:paraId="5C88D35A"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本基金将基于对市场行情和组合风险收益的分析，确定投资时机、标的证券以及投资比例。若相关融资业务法律法规和监管要求发生变化，本基金将从其最新规定，以符合上述法律法规和监管要求的变化。</w:t>
      </w:r>
    </w:p>
    <w:p w14:paraId="08210AE0"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6、参与转融通证券出借业务策略</w:t>
      </w:r>
    </w:p>
    <w:p w14:paraId="76AAEB6B"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161662FB"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7、存托凭证的投资策略</w:t>
      </w:r>
    </w:p>
    <w:p w14:paraId="73DFFB71"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本基金在综合考虑预期收益、风险、流动性等因素的基础上，根据审慎原则合理参与存托凭证的投资。</w:t>
      </w:r>
    </w:p>
    <w:p w14:paraId="72BE0A18"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7F963838"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14:paraId="40F7C623"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基金的投资组合应遵循以下限制：</w:t>
      </w:r>
    </w:p>
    <w:p w14:paraId="7C79080D"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（1）本基金投资于标的指数成份股和备选成份股的比例不低于基金资产净值的90%，且不低于非现金基金资产的80%；</w:t>
      </w:r>
    </w:p>
    <w:p w14:paraId="4A36C4A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（2）本基金投资于同一原始权益人的各类资产支持证券的比例，不得超过基金资产净值的10%；</w:t>
      </w:r>
    </w:p>
    <w:p w14:paraId="3223CE5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（3）本基金持有的全部资产支持证券，其市值不得超过基金资产净值的20%；</w:t>
      </w:r>
    </w:p>
    <w:p w14:paraId="22AF502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（4）本基金持有的同一(指同一信用级别)资产支持证券的比例，不得超过该资产支持证券规模的10%；</w:t>
      </w:r>
    </w:p>
    <w:p w14:paraId="3AA371CA"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（5）本基金管理人管理的全部基金投资于同一原始权益人的各类资产支持证券，不得超过其各类资产支持证券合计规模的10%；</w:t>
      </w:r>
    </w:p>
    <w:p w14:paraId="2B512900"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本基金应投资于信用级别评级为BBB以上(含BBB)的资产支持证券。基金持有资产支持证券期间，如果其信用等级下降、不再符合投资标准，应在评级报告发布之日起3个月内予以全部卖出；</w:t>
      </w:r>
    </w:p>
    <w:p w14:paraId="639EBDF0"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14:paraId="5BE99154"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（8）本基金参与股指期货和国债期货交易的，应当遵守下列要求：</w:t>
      </w:r>
    </w:p>
    <w:p w14:paraId="2A7927FF"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1）本基金在任何交易日日终，持有的买入股指期货合约价值，不得超过基金资产净值的10%；持有的买入国债期货合约价值，不得超过基金资产净值的15%；</w:t>
      </w:r>
    </w:p>
    <w:p w14:paraId="05002B5F"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728C84CB"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3）本基金在任何交易日日终，持有的卖出股指期货合约价值不得超过基金持有的股票总市值的20%；持有的卖出国债期货合约价值不得超过基金持有的债券总市值的30%；</w:t>
      </w:r>
    </w:p>
    <w:p w14:paraId="13CF632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161C598A"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lastRenderedPageBreak/>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58A3D2B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14:paraId="1FD73FD9"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9）因未平仓的股票期权合约支付和收取的权利金总额不得超过基金资产净值的10%；开仓卖出认购股票期权的，应持有足额标的证券；开仓卖出认沽股票期权的，应持有合约行权所需的全额现金或交易所规则认可的可冲抵期权保证金的现金等价物；未平仓的股票期权合约面值不得超过基金资产净值的20%。其中，合约面值按照行权价乘以合约乘数计算；</w:t>
      </w:r>
    </w:p>
    <w:p w14:paraId="1FB9365C"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（10）本基金参与融资的，每个交易日日终，本基金持有的融资买入股票与其他有价证券市值之和，不得超过基金资产净值的95%；</w:t>
      </w:r>
    </w:p>
    <w:p w14:paraId="1F6728B0"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（11）</w:t>
      </w:r>
      <w:r>
        <w:rPr>
          <w:rStyle w:val="custom"/>
          <w:rFonts w:ascii="宋体" w:hAnsi="宋体" w:cs="宋体"/>
          <w:kern w:val="0"/>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5390A36E" w14:textId="77777777" w:rsidR="00BE04A8" w:rsidRDefault="00053520">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（12）</w:t>
      </w:r>
      <w:r>
        <w:rPr>
          <w:rStyle w:val="custom"/>
          <w:rFonts w:ascii="宋体" w:hAnsi="宋体" w:cs="宋体"/>
          <w:kern w:val="0"/>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EDA9557" w14:textId="77777777" w:rsidR="00BE04A8" w:rsidRDefault="00053520">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（13）</w:t>
      </w:r>
      <w:r>
        <w:rPr>
          <w:rStyle w:val="custom"/>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14:paraId="52A01767"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（14）本基金资产总值不超过基金资产净值的140%；</w:t>
      </w:r>
    </w:p>
    <w:p w14:paraId="62AE9A5D"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（15）本基金投资存托凭证的比例限制依照境内上市交易的股票执行；</w:t>
      </w:r>
    </w:p>
    <w:p w14:paraId="5F64DAB8"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（16）法律法规及中国证监会规定的和《基金合同》约定的其他投资限制。</w:t>
      </w:r>
    </w:p>
    <w:p w14:paraId="3B27A521"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lastRenderedPageBreak/>
        <w:t>除上述第</w:t>
      </w:r>
      <w:r>
        <w:rPr>
          <w:rStyle w:val="custom0"/>
          <w:rFonts w:ascii="宋体" w:hAnsi="宋体" w:cs="宋体"/>
          <w:kern w:val="0"/>
          <w:sz w:val="24"/>
          <w:szCs w:val="24"/>
        </w:rPr>
        <w:t>（6）</w:t>
      </w:r>
      <w:r>
        <w:rPr>
          <w:rStyle w:val="custom"/>
          <w:rFonts w:ascii="宋体" w:hAnsi="宋体" w:cs="宋体"/>
          <w:kern w:val="0"/>
          <w:sz w:val="24"/>
          <w:szCs w:val="24"/>
        </w:rPr>
        <w:t>、</w:t>
      </w:r>
      <w:r>
        <w:rPr>
          <w:rStyle w:val="custom0"/>
          <w:rFonts w:ascii="宋体" w:hAnsi="宋体" w:cs="宋体"/>
          <w:kern w:val="0"/>
          <w:sz w:val="24"/>
          <w:szCs w:val="24"/>
        </w:rPr>
        <w:t>（11）</w:t>
      </w:r>
      <w:r>
        <w:rPr>
          <w:rStyle w:val="custom"/>
          <w:rFonts w:ascii="宋体" w:hAnsi="宋体" w:cs="宋体"/>
          <w:kern w:val="0"/>
          <w:sz w:val="24"/>
          <w:szCs w:val="24"/>
        </w:rPr>
        <w:t>、</w:t>
      </w:r>
      <w:r>
        <w:rPr>
          <w:rStyle w:val="custom0"/>
          <w:rFonts w:ascii="宋体" w:hAnsi="宋体" w:cs="宋体"/>
          <w:kern w:val="0"/>
          <w:sz w:val="24"/>
          <w:szCs w:val="24"/>
        </w:rPr>
        <w:t>（12）</w:t>
      </w:r>
      <w:r>
        <w:rPr>
          <w:rStyle w:val="custom"/>
          <w:rFonts w:ascii="宋体" w:hAnsi="宋体" w:cs="宋体"/>
          <w:kern w:val="0"/>
          <w:sz w:val="24"/>
          <w:szCs w:val="24"/>
        </w:rPr>
        <w:t>、</w:t>
      </w:r>
      <w:r>
        <w:rPr>
          <w:rStyle w:val="custom0"/>
          <w:rFonts w:ascii="宋体" w:hAnsi="宋体" w:cs="宋体"/>
          <w:kern w:val="0"/>
          <w:sz w:val="24"/>
          <w:szCs w:val="24"/>
        </w:rPr>
        <w:t>（13）</w:t>
      </w:r>
      <w:r>
        <w:rPr>
          <w:rStyle w:val="custom"/>
          <w:rFonts w:ascii="宋体" w:hAnsi="宋体" w:cs="宋体"/>
          <w:kern w:val="0"/>
          <w:sz w:val="24"/>
          <w:szCs w:val="24"/>
        </w:rPr>
        <w:t>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11）项规定的，基金管理人不得新增出借业务。法律法规另有规定的从其规定。</w:t>
      </w:r>
    </w:p>
    <w:p w14:paraId="7AF6A61F"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34FE9DF"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BCBFE89"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14:paraId="2BF07E2D"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为维护基金份额持有人的合法权益，基金财产不得用于下列投资或者活动：</w:t>
      </w:r>
    </w:p>
    <w:p w14:paraId="442544DC"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（1）承销证券；</w:t>
      </w:r>
    </w:p>
    <w:p w14:paraId="64CF94D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（2）违反规定向他人贷款或者提供担保；</w:t>
      </w:r>
    </w:p>
    <w:p w14:paraId="0A8D2185"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（3）从事承担无限责任的投资；</w:t>
      </w:r>
    </w:p>
    <w:p w14:paraId="634BAE00"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695F292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（5）向其基金管理人、基金托管人出资；</w:t>
      </w:r>
    </w:p>
    <w:p w14:paraId="02BB111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（6）从事内幕交易、操纵证券交易价格及其他不正当的证券交易活动；</w:t>
      </w:r>
    </w:p>
    <w:p w14:paraId="5D8A86B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（7）法律、行政法规和中国证监会规定禁止的其他活动。</w:t>
      </w:r>
    </w:p>
    <w:p w14:paraId="265F6757"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0C2FF3"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法律法规或监管部门取消或调整上述限制，如适用于本基金，基金管理人在履行适当程序后，则本基金投资不再受相关限制或以调整以后的规定为准。</w:t>
      </w:r>
    </w:p>
    <w:p w14:paraId="2F9851B9"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五、</w:t>
      </w:r>
      <w:r>
        <w:rPr>
          <w:rFonts w:ascii="宋体" w:hAnsi="宋体" w:cs="宋体"/>
          <w:kern w:val="0"/>
          <w:sz w:val="24"/>
          <w:szCs w:val="24"/>
        </w:rPr>
        <w:t>业绩比较基准</w:t>
      </w:r>
    </w:p>
    <w:p w14:paraId="0183F4E3"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hint="eastAsia"/>
          <w:kern w:val="0"/>
          <w:sz w:val="24"/>
          <w:szCs w:val="24"/>
        </w:rPr>
        <w:t>本基金业绩比较基准为：</w:t>
      </w:r>
      <w:r>
        <w:rPr>
          <w:rStyle w:val="custom"/>
          <w:rFonts w:ascii="宋体" w:hAnsi="宋体" w:cs="宋体"/>
          <w:kern w:val="0"/>
          <w:sz w:val="24"/>
          <w:szCs w:val="24"/>
        </w:rPr>
        <w:t>中证全指红利质量指数收益率。</w:t>
      </w:r>
    </w:p>
    <w:p w14:paraId="2175A79F"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1、业绩比较基准设定的原因</w:t>
      </w:r>
    </w:p>
    <w:p w14:paraId="39AC41C0"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本基金为股票型ETF,主要采用完全复制法跟踪标的指数，追求跟踪偏离度和跟踪误差的最小化。本基金的标的指数为中证全指红利质量指数，相应选取中证全指红利质量指数作为基准要素，同时将中证全指红利质量指数的基准要素权重设置为100%。</w:t>
      </w:r>
    </w:p>
    <w:p w14:paraId="20632510"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综上，本基金选取的业绩比较基准与基金投资目标、投资范围、投资策略、投资比例限制相匹配。</w:t>
      </w:r>
    </w:p>
    <w:p w14:paraId="1691A723"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2、业绩比较基准要素的基本信息</w:t>
      </w:r>
    </w:p>
    <w:p w14:paraId="6CC5B8C3"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kern w:val="0"/>
          <w:sz w:val="24"/>
          <w:szCs w:val="24"/>
        </w:rPr>
        <w:t>中证全指红利质量</w:t>
      </w:r>
      <w:r>
        <w:rPr>
          <w:rStyle w:val="custom0"/>
          <w:rFonts w:ascii="宋体" w:hAnsi="宋体" w:cs="宋体" w:hint="eastAsia"/>
          <w:kern w:val="0"/>
          <w:sz w:val="24"/>
          <w:szCs w:val="24"/>
        </w:rPr>
        <w:t>指数由中证指数有限公司编制发布，指数代码为</w:t>
      </w:r>
      <w:r>
        <w:rPr>
          <w:rStyle w:val="custom0"/>
          <w:rFonts w:ascii="宋体" w:hAnsi="宋体" w:cs="宋体"/>
          <w:kern w:val="0"/>
          <w:sz w:val="24"/>
          <w:szCs w:val="24"/>
        </w:rPr>
        <w:t>932315</w:t>
      </w:r>
      <w:r>
        <w:rPr>
          <w:rStyle w:val="custom0"/>
          <w:rFonts w:ascii="宋体" w:hAnsi="宋体" w:cs="宋体" w:hint="eastAsia"/>
          <w:kern w:val="0"/>
          <w:sz w:val="24"/>
          <w:szCs w:val="24"/>
        </w:rPr>
        <w:t>,指数具体信息详见中证指数有限公司网站，网址：https://www.csindex.com.cn/。</w:t>
      </w:r>
    </w:p>
    <w:p w14:paraId="784E02E1"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3、业绩比较基准的计算方法</w:t>
      </w:r>
    </w:p>
    <w:p w14:paraId="63D15D42"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本基金业绩比较基准收益率的计算方法以每日收益率为基础，以时间加权为计算原则。</w:t>
      </w:r>
    </w:p>
    <w:p w14:paraId="71F39FFD" w14:textId="77777777"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4、管理投资偏离业绩比较基准的定性或定量方法</w:t>
      </w:r>
    </w:p>
    <w:p w14:paraId="2A4DA625" w14:textId="17BE7289" w:rsidR="00BE04A8" w:rsidRDefault="00053520">
      <w:pPr>
        <w:pStyle w:val="div"/>
        <w:spacing w:line="360" w:lineRule="auto"/>
        <w:ind w:firstLine="480"/>
        <w:jc w:val="left"/>
        <w:rPr>
          <w:rStyle w:val="custom0"/>
          <w:rFonts w:ascii="宋体" w:hAnsi="宋体" w:cs="宋体"/>
          <w:kern w:val="0"/>
          <w:sz w:val="24"/>
          <w:szCs w:val="24"/>
        </w:rPr>
      </w:pPr>
      <w:r>
        <w:rPr>
          <w:rStyle w:val="custom0"/>
          <w:rFonts w:ascii="宋体" w:hAnsi="宋体" w:cs="宋体" w:hint="eastAsia"/>
          <w:kern w:val="0"/>
          <w:sz w:val="24"/>
          <w:szCs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0.2%以内，年跟踪误差控制在2%以内。如因标的指数编制规则调整或其他因素导致跟踪误差超过上述范围的，本基金将采取合理措施避免跟踪误差过大。法律法规或监管机构另有规定的，从其规定。</w:t>
      </w:r>
    </w:p>
    <w:p w14:paraId="6E711EF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Style w:val="custom"/>
          <w:rFonts w:ascii="宋体" w:hAnsi="宋体" w:cs="宋体" w:hint="eastAsia"/>
          <w:kern w:val="0"/>
          <w:sz w:val="24"/>
          <w:szCs w:val="24"/>
        </w:rPr>
        <w:t>、</w:t>
      </w:r>
      <w:r>
        <w:rPr>
          <w:rStyle w:val="custom"/>
          <w:rFonts w:ascii="宋体" w:hAnsi="宋体" w:cs="宋体"/>
          <w:kern w:val="0"/>
          <w:sz w:val="24"/>
          <w:szCs w:val="24"/>
        </w:rPr>
        <w:t>未来若出现标的指数不符合要求（因成份股价格波动等指数编制方法变动之外的因素致使标的指数不符合要求的情形除外）</w:t>
      </w:r>
      <w:r>
        <w:rPr>
          <w:rFonts w:ascii="宋体" w:hAnsi="宋体" w:cs="宋体"/>
          <w:kern w:val="0"/>
          <w:sz w:val="24"/>
          <w:szCs w:val="24"/>
        </w:rPr>
        <w:t>、指数编制机构退出等情形，基金管理人应当自该情形发生之日起十个工作日内向中国证监会报告并提出解</w:t>
      </w:r>
      <w:r>
        <w:rPr>
          <w:rFonts w:ascii="宋体" w:hAnsi="宋体" w:cs="宋体"/>
          <w:kern w:val="0"/>
          <w:sz w:val="24"/>
          <w:szCs w:val="24"/>
        </w:rPr>
        <w:lastRenderedPageBreak/>
        <w:t>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p w14:paraId="04BD25C6"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法律法规或监管机构另有规定的，从其规定。</w:t>
      </w:r>
    </w:p>
    <w:p w14:paraId="675EDA25"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r>
        <w:rPr>
          <w:rFonts w:ascii="宋体" w:hAnsi="宋体" w:cs="宋体" w:hint="eastAsia"/>
          <w:kern w:val="0"/>
          <w:sz w:val="24"/>
          <w:szCs w:val="24"/>
        </w:rPr>
        <w:t>若本基金调整业绩比较基准的要素权重，本基金将根据法律法规、中国证监会的规定和基金合同约定履行相关程序。</w:t>
      </w:r>
    </w:p>
    <w:p w14:paraId="3CE3A6A4"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047CBC5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本基金属于股票型基金，其预期的风险与收益高于混合型基金、债券型基金与货币市场基金。同时本基金为指数基金，主要采用完全复制法跟踪标的指数表现，具有与标的指数相似的风险收益特征。</w:t>
      </w:r>
    </w:p>
    <w:p w14:paraId="405147FE"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0943A994"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03CD3F21"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73FB767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10FD2DF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r>
        <w:rPr>
          <w:rFonts w:ascii="宋体" w:hAnsi="宋体" w:cs="宋体"/>
          <w:kern w:val="0"/>
          <w:sz w:val="24"/>
          <w:szCs w:val="24"/>
        </w:rPr>
        <w:br w:type="page"/>
      </w:r>
    </w:p>
    <w:p w14:paraId="5BD847B2" w14:textId="77777777" w:rsidR="00BE04A8" w:rsidRDefault="00053520">
      <w:pPr>
        <w:pStyle w:val="1"/>
        <w:spacing w:before="0" w:after="0"/>
        <w:jc w:val="center"/>
        <w:rPr>
          <w:rFonts w:ascii="Times New Roman"/>
          <w:color w:val="auto"/>
          <w:sz w:val="30"/>
        </w:rPr>
      </w:pPr>
      <w:bookmarkStart w:id="56" w:name="_Toc25600001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基金的财产</w:t>
      </w:r>
      <w:bookmarkEnd w:id="56"/>
    </w:p>
    <w:p w14:paraId="13436D01" w14:textId="77777777" w:rsidR="00BE04A8" w:rsidRDefault="00BE04A8"/>
    <w:p w14:paraId="1CB9841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一、基金资产总值</w:t>
      </w:r>
    </w:p>
    <w:p w14:paraId="140C960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14:paraId="41E4958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二、基金资产净值</w:t>
      </w:r>
    </w:p>
    <w:p w14:paraId="7949806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基金资产净值是指基金资产总值减去基金负债后的价值。</w:t>
      </w:r>
    </w:p>
    <w:p w14:paraId="13D1101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三、基金财产的账户</w:t>
      </w:r>
    </w:p>
    <w:p w14:paraId="5663469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99872A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四、基金财产的保管和处分</w:t>
      </w:r>
    </w:p>
    <w:p w14:paraId="2872B84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4132B5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7E729C5E" w14:textId="77777777" w:rsidR="00BE04A8" w:rsidRDefault="00053520">
      <w:pPr>
        <w:pStyle w:val="1"/>
        <w:spacing w:before="0" w:after="0"/>
        <w:jc w:val="center"/>
        <w:rPr>
          <w:rFonts w:ascii="Times New Roman"/>
          <w:color w:val="auto"/>
          <w:sz w:val="30"/>
        </w:rPr>
      </w:pPr>
      <w:bookmarkStart w:id="57" w:name="_Toc25600001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基金资产估值</w:t>
      </w:r>
      <w:bookmarkEnd w:id="57"/>
    </w:p>
    <w:p w14:paraId="0DE5B458" w14:textId="77777777" w:rsidR="00BE04A8" w:rsidRDefault="00BE04A8"/>
    <w:p w14:paraId="4044408D"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估值日</w:t>
      </w:r>
    </w:p>
    <w:p w14:paraId="156D3DF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1AEFC171"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估值对象</w:t>
      </w:r>
    </w:p>
    <w:p w14:paraId="7ADCDE2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基金所拥有的</w:t>
      </w:r>
      <w:r>
        <w:rPr>
          <w:rStyle w:val="custom"/>
          <w:rFonts w:ascii="宋体" w:hAnsi="宋体" w:cs="宋体"/>
          <w:kern w:val="0"/>
          <w:sz w:val="24"/>
          <w:szCs w:val="24"/>
        </w:rPr>
        <w:t>股票、</w:t>
      </w:r>
      <w:r>
        <w:rPr>
          <w:rFonts w:ascii="宋体" w:hAnsi="宋体" w:cs="宋体"/>
          <w:kern w:val="0"/>
          <w:sz w:val="24"/>
          <w:szCs w:val="24"/>
        </w:rPr>
        <w:t>债券</w:t>
      </w:r>
      <w:r>
        <w:rPr>
          <w:rStyle w:val="custom"/>
          <w:rFonts w:ascii="宋体" w:hAnsi="宋体" w:cs="宋体"/>
          <w:kern w:val="0"/>
          <w:sz w:val="24"/>
          <w:szCs w:val="24"/>
        </w:rPr>
        <w:t>、股指期货合约、国债期货合约、股票期权合约、资产支持证券</w:t>
      </w:r>
      <w:r>
        <w:rPr>
          <w:rFonts w:ascii="宋体" w:hAnsi="宋体" w:cs="宋体"/>
          <w:kern w:val="0"/>
          <w:sz w:val="24"/>
          <w:szCs w:val="24"/>
        </w:rPr>
        <w:t>和银行存款本息、应收款项、其它投资等资产及负债。</w:t>
      </w:r>
    </w:p>
    <w:p w14:paraId="06441AD3"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估值原则</w:t>
      </w:r>
    </w:p>
    <w:p w14:paraId="7DC5C63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2752740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13A7CE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BD55DA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37716C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2AB0B55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估值方法</w:t>
      </w:r>
    </w:p>
    <w:p w14:paraId="5829B288" w14:textId="77777777" w:rsidR="00BE04A8" w:rsidRDefault="00053520">
      <w:pPr>
        <w:pStyle w:val="div"/>
        <w:spacing w:line="360" w:lineRule="auto"/>
        <w:ind w:firstLine="480"/>
        <w:rPr>
          <w:rStyle w:val="custom"/>
          <w:rFonts w:ascii="宋体" w:hAnsi="宋体" w:cs="宋体"/>
          <w:kern w:val="0"/>
          <w:sz w:val="24"/>
          <w:szCs w:val="24"/>
        </w:rPr>
      </w:pPr>
      <w:r>
        <w:rPr>
          <w:rStyle w:val="serial-tag"/>
          <w:rFonts w:ascii="宋体" w:hAnsi="宋体" w:cs="宋体"/>
          <w:kern w:val="0"/>
          <w:sz w:val="24"/>
          <w:szCs w:val="24"/>
        </w:rPr>
        <w:t>1、</w:t>
      </w:r>
      <w:r>
        <w:rPr>
          <w:rStyle w:val="custom"/>
          <w:rFonts w:ascii="宋体" w:hAnsi="宋体" w:cs="宋体"/>
          <w:kern w:val="0"/>
          <w:sz w:val="24"/>
          <w:szCs w:val="24"/>
        </w:rPr>
        <w:t>证券交易所上市的有价证券的估值</w:t>
      </w:r>
    </w:p>
    <w:p w14:paraId="52B2E2C6"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3B297D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（2）交易所上市不存在活跃市场的有价证券，采用估值技术确定公允价值。</w:t>
      </w:r>
    </w:p>
    <w:p w14:paraId="657767F2"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2、处于未上市期间的有价证券应区分如下情况处理：</w:t>
      </w:r>
    </w:p>
    <w:p w14:paraId="30DB972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73420CF4"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（2）首次公开发行未上市的股票，采用估值技术确定公允价值，在估值技术难以可靠计量公允价值的情况下，按成本估值；</w:t>
      </w:r>
    </w:p>
    <w:p w14:paraId="47F7D46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99CD661"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以公允价值计量的固定收益品种</w:t>
      </w:r>
    </w:p>
    <w:p w14:paraId="60D901F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对于已上市或已挂牌转让的不含权固定收益品种，选取第三方估值基准服务机构提供的相应品种当日的估值全价；</w:t>
      </w:r>
    </w:p>
    <w:p w14:paraId="002DE39D"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对于已上市或已挂牌转让的含权固定收益品种，选取第三方估值基准服务机构提供的相应品种当日的唯一估值全价或推荐估值全价；</w:t>
      </w:r>
    </w:p>
    <w:p w14:paraId="7B81A0F3"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37087CD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（4）对于在交易所市场上市交易的公开发行的可转换债券等有活跃市场的</w:t>
      </w:r>
      <w:r>
        <w:rPr>
          <w:rStyle w:val="custom"/>
          <w:rFonts w:ascii="宋体" w:hAnsi="宋体" w:cs="宋体"/>
          <w:kern w:val="0"/>
          <w:sz w:val="24"/>
          <w:szCs w:val="24"/>
        </w:rPr>
        <w:lastRenderedPageBreak/>
        <w:t>含转股权的债券，实行全价交易的债券选取估值日收盘价作为估值全价；实行净价交易的债券选取估值日收盘价并加计每百元税前应计利息作为估值全价；</w:t>
      </w:r>
    </w:p>
    <w:p w14:paraId="5BAA485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2EA69564"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同一证券同时在两个或两个以上市场交易的，按证券所处的市场分别估值。</w:t>
      </w:r>
    </w:p>
    <w:p w14:paraId="47BDD7FF"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9143417"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771F4A1E" w14:textId="77777777" w:rsidR="00BE04A8" w:rsidRDefault="00053520">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7、</w:t>
      </w:r>
      <w:r>
        <w:rPr>
          <w:rStyle w:val="custom"/>
          <w:rFonts w:ascii="宋体" w:hAnsi="宋体" w:cs="宋体"/>
          <w:kern w:val="0"/>
          <w:sz w:val="24"/>
          <w:szCs w:val="24"/>
        </w:rPr>
        <w:t>本基金投资股票期权合约，一般以股票期权估值日的结算价进行估值，估值当日无结算价的，且最近交易日后经济环境未发生重大变化的，采用最近交易日结算价估值。</w:t>
      </w:r>
    </w:p>
    <w:p w14:paraId="066B531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5E5F6C4D"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9、本基金投资存托凭证的估值核算，依照境内上市交易的股票进行。</w:t>
      </w:r>
    </w:p>
    <w:p w14:paraId="0DCAA2BD"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10、本基金参与融资和转融通证券出借业务的，按照相关法律法规和行业协会的相关规定进行估值。</w:t>
      </w:r>
    </w:p>
    <w:p w14:paraId="31D1DB31" w14:textId="77777777" w:rsidR="00BE04A8" w:rsidRDefault="00053520">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11、</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5AD2B8EC"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12、</w:t>
      </w:r>
      <w:r>
        <w:rPr>
          <w:rFonts w:ascii="宋体" w:hAnsi="宋体" w:cs="宋体"/>
          <w:kern w:val="0"/>
          <w:sz w:val="24"/>
          <w:szCs w:val="24"/>
        </w:rPr>
        <w:t>相关法律法规以及监管部门有强制规定的，从其规定。如有新增事项，按国家最新规定估值。</w:t>
      </w:r>
    </w:p>
    <w:p w14:paraId="610D129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w:t>
      </w:r>
      <w:r>
        <w:rPr>
          <w:rFonts w:ascii="宋体" w:hAnsi="宋体" w:cs="宋体"/>
          <w:kern w:val="0"/>
          <w:sz w:val="24"/>
          <w:szCs w:val="24"/>
        </w:rPr>
        <w:lastRenderedPageBreak/>
        <w:t>序及相关法律法规的规定或者未能充分维护基金份额持有人利益时，应立即通知对方，共同查明原因，双方协商解决。</w:t>
      </w:r>
    </w:p>
    <w:p w14:paraId="4D8E46E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642D9E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估值程序</w:t>
      </w:r>
    </w:p>
    <w:p w14:paraId="2DAEE995"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2A43D179"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基金管理人每个估值日计算基金资产净值及基金份额净值，并按规定公告。</w:t>
      </w:r>
    </w:p>
    <w:p w14:paraId="06C7C85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14:paraId="395E03C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估值错误的处理</w:t>
      </w:r>
    </w:p>
    <w:p w14:paraId="66C3D66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基金管理人和基金托管人将采取必要、适当、合理的措施确保基金资产估值的准确性、及时性。当基金份额净值小数点后4位以内(含第4位)发生估值错误时，视为基金份额净值错误。</w:t>
      </w:r>
    </w:p>
    <w:p w14:paraId="02047FC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本基金合同的当事人应按照以下约定处理：</w:t>
      </w:r>
    </w:p>
    <w:p w14:paraId="01A72A7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1、估值错误类型</w:t>
      </w:r>
    </w:p>
    <w:p w14:paraId="05151F6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661984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391BFD3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2、估值错误处理原则</w:t>
      </w:r>
    </w:p>
    <w:p w14:paraId="01CF25E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2EE981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164D7D8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（3）因估值错误而获得不当得利的当事人负有及时返还不当得利的义务</w:t>
      </w:r>
      <w:r>
        <w:rPr>
          <w:rFonts w:ascii="宋体" w:hAnsi="宋体" w:cs="宋体" w:hint="eastAsia"/>
          <w:kern w:val="0"/>
          <w:sz w:val="24"/>
          <w:szCs w:val="24"/>
        </w:rPr>
        <w:t>，</w:t>
      </w:r>
      <w:r>
        <w:rPr>
          <w:rFonts w:ascii="宋体" w:hAnsi="宋体" w:cs="宋体"/>
          <w:kern w:val="0"/>
          <w:sz w:val="24"/>
          <w:szCs w:val="24"/>
        </w:rPr>
        <w:t>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D5865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5B8FBC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3、估值错误处理程序</w:t>
      </w:r>
    </w:p>
    <w:p w14:paraId="3432C25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1A55919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5FBE2FF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1E4394E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21B3A71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041E53B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4、基金份额净值估值错误处理的方法如下：</w:t>
      </w:r>
    </w:p>
    <w:p w14:paraId="1A7F0B1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（1）基金份额净值计算出现错误时，基金管理人应当立即予以纠正，通报</w:t>
      </w:r>
      <w:r>
        <w:rPr>
          <w:rFonts w:ascii="宋体" w:hAnsi="宋体" w:cs="宋体"/>
          <w:kern w:val="0"/>
          <w:sz w:val="24"/>
          <w:szCs w:val="24"/>
        </w:rPr>
        <w:lastRenderedPageBreak/>
        <w:t>基金托管人，并采取合理的措施防止损失进一步扩大。</w:t>
      </w:r>
    </w:p>
    <w:p w14:paraId="16DA641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（2）错误偏差达到基金份额净值的0.25%时，基金管理人应当通报基金托管人并报中国证监会备案；错误偏差达到基金份额净值的0.5%时，基金管理人应当公告，</w:t>
      </w:r>
      <w:r>
        <w:rPr>
          <w:rFonts w:ascii="宋体" w:hAnsi="宋体" w:cs="宋体" w:hint="eastAsia"/>
          <w:kern w:val="0"/>
          <w:sz w:val="24"/>
          <w:szCs w:val="24"/>
        </w:rPr>
        <w:t>通报基金托管人</w:t>
      </w:r>
      <w:r>
        <w:rPr>
          <w:rFonts w:ascii="宋体" w:hAnsi="宋体" w:cs="宋体"/>
          <w:kern w:val="0"/>
          <w:sz w:val="24"/>
          <w:szCs w:val="24"/>
        </w:rPr>
        <w:t>并报中国证监会备案。</w:t>
      </w:r>
    </w:p>
    <w:p w14:paraId="533F09F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w:t>
      </w:r>
      <w:r>
        <w:rPr>
          <w:rFonts w:ascii="宋体" w:hAnsi="宋体" w:cs="宋体" w:hint="eastAsia"/>
          <w:kern w:val="0"/>
          <w:sz w:val="24"/>
          <w:szCs w:val="24"/>
        </w:rPr>
        <w:t>在不违背法律法规且不损害投资者利益的前提下，</w:t>
      </w:r>
      <w:r>
        <w:rPr>
          <w:rFonts w:ascii="宋体" w:hAnsi="宋体" w:cs="宋体"/>
          <w:kern w:val="0"/>
          <w:sz w:val="24"/>
          <w:szCs w:val="24"/>
        </w:rPr>
        <w:t>基金管理人和基金托管人应本着平等和保护基金份额持有人利益的原则进行协商。</w:t>
      </w:r>
    </w:p>
    <w:p w14:paraId="346F393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暂停估值的情形</w:t>
      </w:r>
    </w:p>
    <w:p w14:paraId="29F34BC0"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1、基金投资所涉及的证券/期货交易市场遇法定节假日或因其他原因暂停营业时；</w:t>
      </w:r>
    </w:p>
    <w:p w14:paraId="75ADCAE1"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274D1A8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当前一估值日基金资产净值50%以上的资产出现无可参考的活跃市场价格且采用估值技术仍导致公允价值存在重大不确定性时，经与基金托管人协商确认后，基金管理人应当暂停估值；</w:t>
      </w:r>
    </w:p>
    <w:p w14:paraId="54000343"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法律法规规定、中国证监会和基金合同认定的其它情形。</w:t>
      </w:r>
    </w:p>
    <w:p w14:paraId="1F8A0718"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基金净值的确认</w:t>
      </w:r>
    </w:p>
    <w:p w14:paraId="0D3EF0D3"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用于基金信息披露的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信息按约定予以公布。</w:t>
      </w:r>
    </w:p>
    <w:p w14:paraId="42A97E9B"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特殊情形的处理</w:t>
      </w:r>
    </w:p>
    <w:p w14:paraId="7B6AE3B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1、基金管理人、基金托管人按本部分有关估值方法约定的第11项进行估值时，所造成的误差不作为基金资产估值错误处理。</w:t>
      </w:r>
    </w:p>
    <w:p w14:paraId="4EAFA4EC"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2、由于证券/期货交易所、指数编制机构及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Style w:val="custom"/>
          <w:rFonts w:ascii="宋体" w:hAnsi="宋体" w:cs="宋体"/>
          <w:kern w:val="0"/>
          <w:sz w:val="24"/>
          <w:szCs w:val="24"/>
        </w:rPr>
        <w:br w:type="page"/>
      </w:r>
    </w:p>
    <w:p w14:paraId="4356D4DD" w14:textId="77777777" w:rsidR="00BE04A8" w:rsidRDefault="00053520">
      <w:pPr>
        <w:pStyle w:val="1"/>
        <w:spacing w:before="0" w:after="0"/>
        <w:jc w:val="center"/>
        <w:rPr>
          <w:rFonts w:ascii="Times New Roman"/>
          <w:color w:val="auto"/>
          <w:sz w:val="30"/>
        </w:rPr>
      </w:pPr>
      <w:bookmarkStart w:id="58" w:name="_Toc25600001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基金费用与税收</w:t>
      </w:r>
      <w:bookmarkEnd w:id="58"/>
    </w:p>
    <w:p w14:paraId="75310809" w14:textId="77777777" w:rsidR="00BE04A8" w:rsidRDefault="00BE04A8"/>
    <w:p w14:paraId="750E34BB"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一、基金费用的种类</w:t>
      </w:r>
    </w:p>
    <w:p w14:paraId="3D09E6B1"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3FE3D869"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2、基金托管人的托管费；</w:t>
      </w:r>
    </w:p>
    <w:p w14:paraId="22F2124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《基金合同》生效后与基金相关的信息披露费用（但法律法规、中国证监会另有规定的除外）；</w:t>
      </w:r>
    </w:p>
    <w:p w14:paraId="3BB326D9"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《基金合同》生效后与基金相关的会计师费、律师费、仲裁费和诉讼费；</w:t>
      </w:r>
    </w:p>
    <w:p w14:paraId="62E62780"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基金份额持有人大会费用；</w:t>
      </w:r>
    </w:p>
    <w:p w14:paraId="32863D1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6、基金的证券/期货/期权等交易费用；</w:t>
      </w:r>
    </w:p>
    <w:p w14:paraId="62E21177"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7、基金的银行汇划费用；</w:t>
      </w:r>
    </w:p>
    <w:p w14:paraId="15C4DCF9"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8、</w:t>
      </w:r>
      <w:r>
        <w:rPr>
          <w:rFonts w:ascii="宋体" w:hAnsi="宋体" w:cs="宋体"/>
          <w:kern w:val="0"/>
          <w:sz w:val="24"/>
          <w:szCs w:val="24"/>
        </w:rPr>
        <w:t>基金的账户开户费用、账户维护费用；</w:t>
      </w:r>
    </w:p>
    <w:p w14:paraId="3C5DEEA9"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9、</w:t>
      </w:r>
      <w:r>
        <w:rPr>
          <w:rFonts w:ascii="宋体" w:hAnsi="宋体" w:cs="宋体"/>
          <w:kern w:val="0"/>
          <w:sz w:val="24"/>
          <w:szCs w:val="24"/>
        </w:rPr>
        <w:t>基金的上市费；</w:t>
      </w:r>
    </w:p>
    <w:p w14:paraId="7A9997B1" w14:textId="77777777" w:rsidR="00BE04A8" w:rsidRDefault="00053520">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10、</w:t>
      </w:r>
      <w:r>
        <w:rPr>
          <w:rFonts w:ascii="宋体" w:hAnsi="宋体" w:cs="宋体"/>
          <w:kern w:val="0"/>
          <w:sz w:val="24"/>
          <w:szCs w:val="24"/>
        </w:rPr>
        <w:t>收益分配中发生的费用、登记结算费用、IOPV计算与发布费用；</w:t>
      </w:r>
    </w:p>
    <w:p w14:paraId="715D5A62" w14:textId="77777777" w:rsidR="00BE04A8" w:rsidRDefault="00053520">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25614FD3"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14:paraId="21400CA0"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14:paraId="313107BB"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w:t>
      </w:r>
      <w:r>
        <w:rPr>
          <w:rStyle w:val="custom0"/>
          <w:rFonts w:ascii="宋体" w:hAnsi="宋体" w:cs="宋体"/>
          <w:kern w:val="0"/>
          <w:sz w:val="24"/>
          <w:szCs w:val="24"/>
        </w:rPr>
        <w:t>0.5</w:t>
      </w:r>
      <w:r>
        <w:rPr>
          <w:rStyle w:val="custom"/>
          <w:rFonts w:ascii="宋体" w:hAnsi="宋体" w:cs="宋体"/>
          <w:kern w:val="0"/>
          <w:sz w:val="24"/>
          <w:szCs w:val="24"/>
        </w:rPr>
        <w:t>%年费率计提。管理费的计算方法如下：</w:t>
      </w:r>
    </w:p>
    <w:p w14:paraId="41024DDA"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H＝E×0.5%÷当年天数</w:t>
      </w:r>
    </w:p>
    <w:p w14:paraId="10717186"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H为每日应计提的基金管理费</w:t>
      </w:r>
    </w:p>
    <w:p w14:paraId="6B1CE689"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E为前一日的基金资产净值</w:t>
      </w:r>
    </w:p>
    <w:p w14:paraId="4EC51333"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基金管理费每日计算，逐日累计至每月月末，按月支付，由基金托管人根据与基金管理人核对一致的财务数据，自动在次月初</w:t>
      </w:r>
      <w:r>
        <w:rPr>
          <w:rStyle w:val="custom"/>
          <w:rFonts w:eastAsia="Times New Roman"/>
          <w:kern w:val="0"/>
          <w:sz w:val="24"/>
          <w:szCs w:val="24"/>
        </w:rPr>
        <w:t>5</w:t>
      </w:r>
      <w:r>
        <w:rPr>
          <w:rStyle w:val="custom"/>
          <w:rFonts w:ascii="宋体" w:hAnsi="宋体" w:cs="宋体"/>
          <w:kern w:val="0"/>
          <w:sz w:val="24"/>
          <w:szCs w:val="24"/>
        </w:rPr>
        <w:t>个工作日内按照指定的账户路径进行资金支付，基金管理人无需再出具资金划拨指令。若遇法定节假日、公休日或不可抗力致使无法按时支付的，顺延至法定节假日、公休日结束之日起</w:t>
      </w:r>
      <w:r>
        <w:rPr>
          <w:rStyle w:val="custom"/>
          <w:rFonts w:eastAsia="Times New Roman"/>
          <w:kern w:val="0"/>
          <w:sz w:val="24"/>
          <w:szCs w:val="24"/>
        </w:rPr>
        <w:t>5</w:t>
      </w:r>
      <w:r>
        <w:rPr>
          <w:rStyle w:val="custom"/>
          <w:rFonts w:ascii="宋体" w:hAnsi="宋体" w:cs="宋体"/>
          <w:kern w:val="0"/>
          <w:sz w:val="24"/>
          <w:szCs w:val="24"/>
        </w:rPr>
        <w:t>个工作日内或不可抗力情形消除之日起</w:t>
      </w:r>
      <w:r>
        <w:rPr>
          <w:rStyle w:val="custom"/>
          <w:rFonts w:eastAsia="Times New Roman"/>
          <w:kern w:val="0"/>
          <w:sz w:val="24"/>
          <w:szCs w:val="24"/>
        </w:rPr>
        <w:t>5</w:t>
      </w:r>
      <w:r>
        <w:rPr>
          <w:rStyle w:val="custom"/>
          <w:rFonts w:ascii="宋体" w:hAnsi="宋体" w:cs="宋体"/>
          <w:kern w:val="0"/>
          <w:sz w:val="24"/>
          <w:szCs w:val="24"/>
        </w:rPr>
        <w:t>个工作日内支付。费用自动扣划后，基金管理人应进行核对，如发现数据不符，及时联系基金托管人协商解决。</w:t>
      </w:r>
    </w:p>
    <w:p w14:paraId="797E6810"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2、基金托管人的托管费</w:t>
      </w:r>
    </w:p>
    <w:p w14:paraId="016B142B"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本基金的托管费按前一日基金资产净值的</w:t>
      </w:r>
      <w:r>
        <w:rPr>
          <w:rStyle w:val="custom"/>
          <w:rFonts w:ascii="宋体" w:hAnsi="宋体" w:cs="宋体"/>
          <w:kern w:val="0"/>
          <w:sz w:val="24"/>
          <w:szCs w:val="24"/>
        </w:rPr>
        <w:t>0.1</w:t>
      </w:r>
      <w:r>
        <w:rPr>
          <w:rFonts w:ascii="宋体" w:hAnsi="宋体" w:cs="宋体"/>
          <w:kern w:val="0"/>
          <w:sz w:val="24"/>
          <w:szCs w:val="24"/>
        </w:rPr>
        <w:t>%的年费率计提。托管费的计算方法如下：</w:t>
      </w:r>
    </w:p>
    <w:p w14:paraId="03F16DE5"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H＝E×</w:t>
      </w:r>
      <w:r>
        <w:rPr>
          <w:rStyle w:val="custom0"/>
          <w:rFonts w:ascii="宋体" w:hAnsi="宋体" w:cs="宋体"/>
          <w:kern w:val="0"/>
          <w:sz w:val="24"/>
          <w:szCs w:val="24"/>
        </w:rPr>
        <w:t>0.1</w:t>
      </w:r>
      <w:r>
        <w:rPr>
          <w:rFonts w:ascii="宋体" w:hAnsi="宋体" w:cs="宋体"/>
          <w:kern w:val="0"/>
          <w:sz w:val="24"/>
          <w:szCs w:val="24"/>
        </w:rPr>
        <w:t>%÷当年天数</w:t>
      </w:r>
    </w:p>
    <w:p w14:paraId="6011AD7A"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14:paraId="21390B01"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2467EC3F" w14:textId="77777777" w:rsidR="00BE04A8" w:rsidRDefault="00053520">
      <w:pPr>
        <w:pStyle w:val="div"/>
        <w:spacing w:line="360" w:lineRule="auto"/>
        <w:ind w:firstLine="480"/>
        <w:rPr>
          <w:rFonts w:ascii="宋体" w:hAnsi="宋体" w:cs="宋体"/>
          <w:kern w:val="0"/>
          <w:sz w:val="24"/>
          <w:szCs w:val="24"/>
        </w:rPr>
      </w:pPr>
      <w:r>
        <w:rPr>
          <w:rFonts w:ascii="宋体" w:hAnsi="宋体" w:cs="宋体"/>
          <w:kern w:val="0"/>
          <w:sz w:val="24"/>
          <w:szCs w:val="24"/>
        </w:rPr>
        <w:t>基金托管费每日计算，逐日累计至每月月末，按月支付，由基金托管人根据与基金管理人核对一致的财务数据，自动在次月初</w:t>
      </w:r>
      <w:r>
        <w:rPr>
          <w:rStyle w:val="custom"/>
          <w:rFonts w:eastAsia="Times New Roman"/>
          <w:kern w:val="0"/>
          <w:sz w:val="24"/>
          <w:szCs w:val="24"/>
        </w:rPr>
        <w:t>5</w:t>
      </w:r>
      <w:r>
        <w:rPr>
          <w:rFonts w:ascii="宋体" w:hAnsi="宋体" w:cs="宋体"/>
          <w:kern w:val="0"/>
          <w:sz w:val="24"/>
          <w:szCs w:val="24"/>
        </w:rPr>
        <w:t>个工作日内按照指定的账户路径进行资金支付，基金管理人无需再出具资金划拨指令。若遇法定节假日、公休日或不可抗力致使无法按时支付的，顺延至法定节假日、公休日结束之日起</w:t>
      </w:r>
      <w:r>
        <w:rPr>
          <w:rStyle w:val="custom"/>
          <w:rFonts w:eastAsia="Times New Roman"/>
          <w:kern w:val="0"/>
          <w:sz w:val="24"/>
          <w:szCs w:val="24"/>
        </w:rPr>
        <w:t>5</w:t>
      </w:r>
      <w:r>
        <w:rPr>
          <w:rFonts w:ascii="宋体" w:hAnsi="宋体" w:cs="宋体"/>
          <w:kern w:val="0"/>
          <w:sz w:val="24"/>
          <w:szCs w:val="24"/>
        </w:rPr>
        <w:t>个工作日内或不可抗力情形消除之日起</w:t>
      </w:r>
      <w:r>
        <w:rPr>
          <w:rStyle w:val="custom"/>
          <w:rFonts w:eastAsia="Times New Roman"/>
          <w:kern w:val="0"/>
          <w:sz w:val="24"/>
          <w:szCs w:val="24"/>
        </w:rPr>
        <w:t>5</w:t>
      </w:r>
      <w:r>
        <w:rPr>
          <w:rFonts w:ascii="宋体" w:hAnsi="宋体" w:cs="宋体"/>
          <w:kern w:val="0"/>
          <w:sz w:val="24"/>
          <w:szCs w:val="24"/>
        </w:rPr>
        <w:t>个工作日内支付。费用自动扣划后，基金管理人应进行核对，如发现数据不符，及时联系基金托管人协商解决。</w:t>
      </w:r>
    </w:p>
    <w:p w14:paraId="41DF0048"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3</w:t>
      </w:r>
      <w:r>
        <w:rPr>
          <w:rFonts w:ascii="宋体" w:hAnsi="宋体" w:cs="宋体"/>
          <w:kern w:val="0"/>
          <w:sz w:val="24"/>
          <w:szCs w:val="24"/>
        </w:rPr>
        <w:t>－</w:t>
      </w:r>
      <w:r>
        <w:rPr>
          <w:rStyle w:val="custom0"/>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231AAA5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三、不列入基金费用的项目</w:t>
      </w:r>
    </w:p>
    <w:p w14:paraId="51069451"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下列费用不列入基金费用：</w:t>
      </w:r>
    </w:p>
    <w:p w14:paraId="0474BBCD"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14:paraId="0D5548D2"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14:paraId="1BD74D40"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3、《基金合同》生效前的相关费用；</w:t>
      </w:r>
    </w:p>
    <w:p w14:paraId="2DBB4321"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4、基金的指数许可使用费（该费用由基金管理人承担）；</w:t>
      </w:r>
    </w:p>
    <w:p w14:paraId="040B0948"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14:paraId="366FBCCA"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四、基金税收</w:t>
      </w:r>
    </w:p>
    <w:p w14:paraId="77AA5C9C"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5DAFB499" w14:textId="77777777" w:rsidR="00BE04A8" w:rsidRDefault="00053520">
      <w:pPr>
        <w:pStyle w:val="1"/>
        <w:spacing w:before="0" w:after="0"/>
        <w:jc w:val="center"/>
        <w:rPr>
          <w:rFonts w:ascii="Times New Roman"/>
          <w:color w:val="auto"/>
          <w:sz w:val="30"/>
        </w:rPr>
      </w:pPr>
      <w:bookmarkStart w:id="59"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基金的收益与分配</w:t>
      </w:r>
      <w:bookmarkEnd w:id="59"/>
    </w:p>
    <w:p w14:paraId="38B02906" w14:textId="77777777" w:rsidR="00BE04A8" w:rsidRDefault="00BE04A8"/>
    <w:p w14:paraId="5922A40B"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20FC242C"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04046E3A"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39054A10"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1AF71AFC"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14D300DA"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1、《基金合同》生效不满3个月可不进行收益分配；</w:t>
      </w:r>
    </w:p>
    <w:p w14:paraId="7DD473B9"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2、本基金收益分配采用现金分红；</w:t>
      </w:r>
    </w:p>
    <w:p w14:paraId="5A6879D0"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3、每一基金份额享有同等分配权；</w:t>
      </w:r>
    </w:p>
    <w:p w14:paraId="75161945"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4、基金管理人可对基金相对标的指数的超额收益率和/或基金的可供分配利润进行评价，当收益评价日核定的超额收益率或者基金可供分配利润金额大于零时，基金管理人可进行收益分配；</w:t>
      </w:r>
    </w:p>
    <w:p w14:paraId="6BD45DCE"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4D1F9DD9"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50F76AF8"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3ECF7D77"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390D221C"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w:t>
      </w:r>
      <w:r>
        <w:rPr>
          <w:rFonts w:ascii="宋体" w:hAnsi="宋体" w:cs="宋体" w:hint="eastAsia"/>
          <w:kern w:val="0"/>
          <w:sz w:val="24"/>
          <w:szCs w:val="24"/>
        </w:rPr>
        <w:t>可供分配利润（如需）、</w:t>
      </w:r>
      <w:r>
        <w:rPr>
          <w:rFonts w:ascii="宋体" w:hAnsi="宋体" w:cs="宋体"/>
          <w:kern w:val="0"/>
          <w:sz w:val="24"/>
          <w:szCs w:val="24"/>
        </w:rPr>
        <w:t>基金收益分配对象、分配时间、分配数额及比例、分配方式等内容。</w:t>
      </w:r>
    </w:p>
    <w:p w14:paraId="47E26AE2"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542B2A5B"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1704BF20"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lastRenderedPageBreak/>
        <w:t>六、基金收益分配中发生的费用</w:t>
      </w:r>
    </w:p>
    <w:p w14:paraId="2C24EED7" w14:textId="77777777" w:rsidR="00BE04A8" w:rsidRDefault="00053520">
      <w:pPr>
        <w:pStyle w:val="div"/>
        <w:widowControl/>
        <w:spacing w:line="360" w:lineRule="auto"/>
        <w:ind w:firstLine="480"/>
        <w:jc w:val="left"/>
        <w:rPr>
          <w:rFonts w:eastAsia="Times New Roman"/>
          <w:kern w:val="0"/>
          <w:sz w:val="24"/>
          <w:szCs w:val="24"/>
        </w:rPr>
      </w:pPr>
      <w:r>
        <w:rPr>
          <w:rFonts w:ascii="宋体" w:hAnsi="宋体" w:cs="宋体"/>
          <w:kern w:val="0"/>
          <w:sz w:val="24"/>
          <w:szCs w:val="24"/>
        </w:rPr>
        <w:t>基金收益分配时所发生的银行转账或其他手续费用由投资者自行承担。</w:t>
      </w:r>
      <w:r>
        <w:rPr>
          <w:rFonts w:ascii="宋体" w:hAnsi="宋体" w:cs="宋体"/>
          <w:kern w:val="0"/>
          <w:sz w:val="24"/>
          <w:szCs w:val="24"/>
        </w:rPr>
        <w:br w:type="page"/>
      </w:r>
    </w:p>
    <w:p w14:paraId="1FEB7B22" w14:textId="77777777" w:rsidR="00BE04A8" w:rsidRDefault="00053520">
      <w:pPr>
        <w:pStyle w:val="1"/>
        <w:spacing w:before="0" w:after="0"/>
        <w:jc w:val="center"/>
        <w:rPr>
          <w:rFonts w:ascii="Times New Roman"/>
          <w:color w:val="auto"/>
          <w:sz w:val="30"/>
        </w:rPr>
      </w:pPr>
      <w:bookmarkStart w:id="60" w:name="_Toc256000018"/>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基金的会计与审计</w:t>
      </w:r>
      <w:bookmarkEnd w:id="60"/>
    </w:p>
    <w:p w14:paraId="27DF96B4" w14:textId="77777777" w:rsidR="00BE04A8" w:rsidRDefault="00BE04A8"/>
    <w:p w14:paraId="47A5389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一、基金会计政策</w:t>
      </w:r>
    </w:p>
    <w:p w14:paraId="287860A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1、基金管理人为本基金的基金会计责任方；</w:t>
      </w:r>
    </w:p>
    <w:p w14:paraId="2D20CD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14:paraId="5E6BD70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3、基金核算以人民币为记账本位币，以人民币元为记账单位；</w:t>
      </w:r>
    </w:p>
    <w:p w14:paraId="6A25947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4、会计制度执行国家有关会计制度；</w:t>
      </w:r>
    </w:p>
    <w:p w14:paraId="3EBD806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5、本基金独立建账、独立核算；</w:t>
      </w:r>
    </w:p>
    <w:p w14:paraId="06F3F43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57EBD08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0CAC4F0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二、基金的年度审计</w:t>
      </w:r>
    </w:p>
    <w:p w14:paraId="49613E1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32973A0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6E99807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11E36833" w14:textId="77777777" w:rsidR="00BE04A8" w:rsidRDefault="00053520">
      <w:pPr>
        <w:pStyle w:val="1"/>
        <w:spacing w:before="0" w:after="0"/>
        <w:jc w:val="center"/>
        <w:rPr>
          <w:rFonts w:ascii="Times New Roman"/>
          <w:color w:val="auto"/>
          <w:sz w:val="30"/>
        </w:rPr>
      </w:pPr>
      <w:bookmarkStart w:id="61" w:name="_Toc25600001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基金的信息披露</w:t>
      </w:r>
      <w:bookmarkEnd w:id="61"/>
    </w:p>
    <w:p w14:paraId="5C211AE8" w14:textId="77777777" w:rsidR="00BE04A8" w:rsidRDefault="00BE04A8"/>
    <w:p w14:paraId="7D1220D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14:paraId="3B824A1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二、信息披露义务人</w:t>
      </w:r>
    </w:p>
    <w:p w14:paraId="106155E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0129814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3051F62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535E3E0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三、本基金信息披露义务人承诺公开披露的基金信息，不得有下列行为：</w:t>
      </w:r>
    </w:p>
    <w:p w14:paraId="617F109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1、虚假记载、误导性陈述或者重大遗漏；</w:t>
      </w:r>
    </w:p>
    <w:p w14:paraId="62AC31E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2、对证券投资业绩进行预测；</w:t>
      </w:r>
    </w:p>
    <w:p w14:paraId="0302EB2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3、违规承诺收益或者承担损失；</w:t>
      </w:r>
    </w:p>
    <w:p w14:paraId="2203B2D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4、诋毁其他基金管理人、基金托管人或者基金销售机构；</w:t>
      </w:r>
    </w:p>
    <w:p w14:paraId="02F00DF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5、登载任何自然人、法人和非法人组织的祝贺性、恭维性或推荐性的文字；</w:t>
      </w:r>
    </w:p>
    <w:p w14:paraId="4E5487E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6、中国证监会禁止的其他行为。</w:t>
      </w:r>
    </w:p>
    <w:p w14:paraId="1BEDCA1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14:paraId="0C6D93F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本基金公开披露的信息采用阿拉伯数字；除特别说明外，货币单位为人民币元。</w:t>
      </w:r>
    </w:p>
    <w:p w14:paraId="62D14D0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五、公开披露的基金信息</w:t>
      </w:r>
    </w:p>
    <w:p w14:paraId="1284120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公开披露的基金信息包括：</w:t>
      </w:r>
    </w:p>
    <w:p w14:paraId="6FB386C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（一）基金招募说明书、《基金合同》、基金托管协议、基金产品资料概要</w:t>
      </w:r>
    </w:p>
    <w:p w14:paraId="5545848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14:paraId="66F96CB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9CD254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14:paraId="1E1C5C2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109117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3EF403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（二）基金份额发售公告</w:t>
      </w:r>
    </w:p>
    <w:p w14:paraId="5C7F7D3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14:paraId="21F3446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（三）《基金合同》生效公告</w:t>
      </w:r>
    </w:p>
    <w:p w14:paraId="0C94F23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基金管理人应当在收到中国证监会确认文件的次日在规定媒介上登载《基金合同》生效公告。</w:t>
      </w:r>
    </w:p>
    <w:p w14:paraId="491C57E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（四）基金份额上市交易公告书</w:t>
      </w:r>
    </w:p>
    <w:p w14:paraId="5F644C4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基金份额获准在证券交易所上市交易的，基金管理人应当在基金份额上市交易3个工作日前将基金份额上市交易公告书登载在规定网站上，并将上市交易公告书提示性公告登载在规定报刊上。</w:t>
      </w:r>
    </w:p>
    <w:p w14:paraId="25CEE4B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（五）基金份额折算日和折算结果公告</w:t>
      </w:r>
    </w:p>
    <w:p w14:paraId="0D29C8D5"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基金管理人确定基金份额折算日，并提前将基金份额折算日公告登载于规定媒介上。</w:t>
      </w:r>
    </w:p>
    <w:p w14:paraId="170A404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基金份额进行折算并由登记机构完成基金份额的变更登记后，基金管理人应将基金份额折算结果公告登载于规定媒介上。</w:t>
      </w:r>
    </w:p>
    <w:p w14:paraId="7F501C9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（六）基金净值信息</w:t>
      </w:r>
    </w:p>
    <w:p w14:paraId="3F66777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《基金合同》生效后，在开始办理基金份额申购或者赎回且上市交易前，基金管理人应当至少每周在规定网站披露一次基金份额净值和基金份额累计净值。</w:t>
      </w:r>
    </w:p>
    <w:p w14:paraId="5901241C"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在开始办理基金份额申购或者赎回或基金上市交易后，基金管理人应当在不晚于每个开放日/交易日的次日，通过规定网站、基金销售机构网站或者营业网点披露开放日/交易日的基金份额净值和基金份额累计净值。</w:t>
      </w:r>
    </w:p>
    <w:p w14:paraId="1BD31BE4"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基金管理人应当在不晚于半年度和年度最后一日的次日，在规定网站披露半年度和年度最后一日的基金份额净值和基金份额累计净值。</w:t>
      </w:r>
    </w:p>
    <w:p w14:paraId="0CE1CBE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（七）基金份额申购、赎回清单公告</w:t>
      </w:r>
    </w:p>
    <w:p w14:paraId="4D57263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在开始办理基金份额申购或者赎回之后，基金管理人应当在每个开放日，通过其网站、申购赎回代理券商以及其他媒介公告当日的申购赎回清单。</w:t>
      </w:r>
    </w:p>
    <w:p w14:paraId="2362F88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（八）基金定期报告，包括基金年度报告、基金中期报告和基金季度报告</w:t>
      </w:r>
    </w:p>
    <w:p w14:paraId="26E460D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2646BE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基金管理人应当在上半年结束之日起两个月内，编制完成基金中期报告，将</w:t>
      </w:r>
      <w:r>
        <w:rPr>
          <w:rFonts w:ascii="宋体" w:hAnsi="宋体" w:cs="宋体"/>
          <w:kern w:val="0"/>
          <w:sz w:val="24"/>
          <w:szCs w:val="24"/>
        </w:rPr>
        <w:lastRenderedPageBreak/>
        <w:t>中期报告登载在规定网站上，并将中期报告提示性公告登载在规定报刊上。</w:t>
      </w:r>
    </w:p>
    <w:p w14:paraId="018D500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254493E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52EA0F6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85EDB7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6A1761E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（九）临时报告</w:t>
      </w:r>
    </w:p>
    <w:p w14:paraId="1E1432A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07E76EE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54959B82"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0A7BA80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44EA4AFE"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6B4BD76D"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4、更换基金管理人、基金托管人、基金份额登记机构，基金改聘会计师事务所；</w:t>
      </w:r>
    </w:p>
    <w:p w14:paraId="579452AD"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7034AE35"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6、基金管理人、基金托管人的法定名称、住所发生变更；</w:t>
      </w:r>
    </w:p>
    <w:p w14:paraId="300C0EA8"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599B0FF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8、</w:t>
      </w:r>
      <w:r>
        <w:rPr>
          <w:rFonts w:ascii="宋体" w:hAnsi="宋体" w:cs="宋体"/>
          <w:kern w:val="0"/>
          <w:sz w:val="24"/>
          <w:szCs w:val="24"/>
        </w:rPr>
        <w:t>基金募集期延长或提前结束募集；</w:t>
      </w:r>
    </w:p>
    <w:p w14:paraId="2CC0FEEE"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0300B5C6"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lastRenderedPageBreak/>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4D4A2114"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2FE3E64B"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5506968C" w14:textId="77777777" w:rsidR="00BE04A8" w:rsidRDefault="00053520">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8CA67C0"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07FB2A5D"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15、</w:t>
      </w:r>
      <w:r>
        <w:rPr>
          <w:rFonts w:ascii="宋体" w:hAnsi="宋体" w:cs="宋体"/>
          <w:kern w:val="0"/>
          <w:sz w:val="24"/>
          <w:szCs w:val="24"/>
        </w:rPr>
        <w:t>管理费、托管费、申购费和赎回费等费用计提标准、计提方式和费率发生变更；</w:t>
      </w:r>
    </w:p>
    <w:p w14:paraId="4994DDC5"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16、</w:t>
      </w:r>
      <w:r>
        <w:rPr>
          <w:rFonts w:ascii="宋体" w:hAnsi="宋体" w:cs="宋体"/>
          <w:kern w:val="0"/>
          <w:sz w:val="24"/>
          <w:szCs w:val="24"/>
        </w:rPr>
        <w:t>基金份额净值估值错误达基金份额净值百分之零点五；</w:t>
      </w:r>
    </w:p>
    <w:p w14:paraId="6F0C99F1"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17、</w:t>
      </w:r>
      <w:r>
        <w:rPr>
          <w:rFonts w:ascii="宋体" w:hAnsi="宋体" w:cs="宋体"/>
          <w:kern w:val="0"/>
          <w:sz w:val="24"/>
          <w:szCs w:val="24"/>
        </w:rPr>
        <w:t>本基金开始办理申购、赎回；</w:t>
      </w:r>
    </w:p>
    <w:p w14:paraId="517AA86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18、</w:t>
      </w:r>
      <w:r>
        <w:rPr>
          <w:rFonts w:ascii="宋体" w:hAnsi="宋体" w:cs="宋体"/>
          <w:kern w:val="0"/>
          <w:sz w:val="24"/>
          <w:szCs w:val="24"/>
        </w:rPr>
        <w:t>本基金暂停接受申购、赎回申请或者重新接受申购、赎回申请；</w:t>
      </w:r>
    </w:p>
    <w:p w14:paraId="699BB9B4"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19、</w:t>
      </w:r>
      <w:r>
        <w:rPr>
          <w:rFonts w:ascii="宋体" w:hAnsi="宋体" w:cs="宋体"/>
          <w:kern w:val="0"/>
          <w:sz w:val="24"/>
          <w:szCs w:val="24"/>
        </w:rPr>
        <w:t>本基金变更标的指数；</w:t>
      </w:r>
    </w:p>
    <w:p w14:paraId="16302E5F"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20、基金份额停复牌或终止上市交易；</w:t>
      </w:r>
    </w:p>
    <w:p w14:paraId="516FAF47"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21、</w:t>
      </w:r>
      <w:r>
        <w:rPr>
          <w:rFonts w:ascii="宋体" w:hAnsi="宋体" w:cs="宋体"/>
          <w:kern w:val="0"/>
          <w:sz w:val="24"/>
          <w:szCs w:val="24"/>
        </w:rPr>
        <w:t>本基金推出新业务或服务；</w:t>
      </w:r>
    </w:p>
    <w:p w14:paraId="44A41C8C"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22、</w:t>
      </w:r>
      <w:r>
        <w:rPr>
          <w:rFonts w:ascii="宋体" w:hAnsi="宋体" w:cs="宋体"/>
          <w:kern w:val="0"/>
          <w:sz w:val="24"/>
          <w:szCs w:val="24"/>
        </w:rPr>
        <w:t>调整最小申购赎回单位、申购赎回方式及申购对价、赎回对价组成；</w:t>
      </w:r>
    </w:p>
    <w:p w14:paraId="66E7F3F5"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14:paraId="6B86FAAF"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24、</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344BEF0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（十）澄清公告</w:t>
      </w:r>
    </w:p>
    <w:p w14:paraId="601CD4B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4D18C0F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（十一）清算报告</w:t>
      </w:r>
    </w:p>
    <w:p w14:paraId="49B00A84"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lastRenderedPageBreak/>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01903FA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（十二）基金份额持有人大会决议</w:t>
      </w:r>
    </w:p>
    <w:p w14:paraId="15E77B89"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6C7AE64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（十三）中国证监会规定的其他信息</w:t>
      </w:r>
    </w:p>
    <w:p w14:paraId="41E0F6EA"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E6D4B64"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股指期货投资，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71F23A1B"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国债期货投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74AC0488"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股票期权投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636D6D0"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本基金参与融资业务，基金管理人应在季度报告、中期报告、年度报告等定期报告和招募说明书（更新）等文件中披露参与融资交易的情况，包括投资策略、业务开展情况、损益情况、风险及管理情况。</w:t>
      </w:r>
    </w:p>
    <w:p w14:paraId="00DB915B" w14:textId="77777777" w:rsidR="00BE04A8" w:rsidRDefault="00053520">
      <w:pPr>
        <w:pStyle w:val="div"/>
        <w:spacing w:line="360" w:lineRule="auto"/>
        <w:ind w:firstLine="480"/>
        <w:rPr>
          <w:rFonts w:eastAsia="Times New Roman"/>
          <w:kern w:val="0"/>
          <w:sz w:val="24"/>
          <w:szCs w:val="24"/>
        </w:rPr>
      </w:pPr>
      <w:r>
        <w:rPr>
          <w:rStyle w:val="custom"/>
          <w:rFonts w:ascii="宋体" w:hAnsi="宋体" w:cs="宋体"/>
          <w:kern w:val="0"/>
          <w:sz w:val="24"/>
          <w:szCs w:val="24"/>
        </w:rPr>
        <w:t>若本基金参与转融通证券出借业务，基金管理人应在季度报告、中期报告、年度报告等定期报告和招募说明书（更新）等文件中披露参与转融通证券出借业务交易的情况，包括投资策略、业务开展情况、损益情况、风险及管理情况，并</w:t>
      </w:r>
      <w:r>
        <w:rPr>
          <w:rStyle w:val="custom"/>
          <w:rFonts w:ascii="宋体" w:hAnsi="宋体" w:cs="宋体"/>
          <w:kern w:val="0"/>
          <w:sz w:val="24"/>
          <w:szCs w:val="24"/>
        </w:rPr>
        <w:lastRenderedPageBreak/>
        <w:t>就报告期内本基金参与转融通证券出借业务发生的重大关联交易事项做详细说明。</w:t>
      </w:r>
    </w:p>
    <w:p w14:paraId="0263EE7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六、暂停或延迟信息披露的情形</w:t>
      </w:r>
    </w:p>
    <w:p w14:paraId="4EC0B4C8" w14:textId="77777777" w:rsidR="00BE04A8" w:rsidRDefault="00053520">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51E448AA"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3DC4717B"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当前一估值日基金资产净值50%以上的资产出现无可参考的活跃市场价格且采用估值技术仍导致公允价值存在重大不确定性，并经与基金托管人协商确认后，基金管理人应当暂停估值时；</w:t>
      </w:r>
    </w:p>
    <w:p w14:paraId="34425FB7"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法律法规规定、中国证监会或《基金合同》认定的其他情形。</w:t>
      </w:r>
    </w:p>
    <w:p w14:paraId="715EB5C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七、信息披露事务管理</w:t>
      </w:r>
    </w:p>
    <w:p w14:paraId="596FE23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344632D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041A552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基金托管人应当按照相关法律法规、中国证监会的规定和《基金合同》的约定，对基金管理人编制的基金资产净值、基金份额净值、</w:t>
      </w:r>
      <w:r>
        <w:rPr>
          <w:rStyle w:val="custom"/>
          <w:rFonts w:ascii="宋体" w:hAnsi="宋体" w:cs="宋体"/>
          <w:kern w:val="0"/>
          <w:sz w:val="24"/>
          <w:szCs w:val="24"/>
        </w:rPr>
        <w:t>基金份额申购赎回对价的现金部分、</w:t>
      </w:r>
      <w:r>
        <w:rPr>
          <w:rFonts w:ascii="宋体" w:hAnsi="宋体" w:cs="宋体"/>
          <w:kern w:val="0"/>
          <w:sz w:val="24"/>
          <w:szCs w:val="24"/>
        </w:rPr>
        <w:t>基金定期报告、更新的招募说明书、更新的基金产品资料概要、基金清算报告等公开披露的相关基金信息进行复核、审查，并向基金管理人进行书面或电子确认。</w:t>
      </w:r>
    </w:p>
    <w:p w14:paraId="01417F3B"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8BAA78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14:paraId="3BBA405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w:t>
      </w:r>
      <w:r>
        <w:rPr>
          <w:rFonts w:ascii="宋体" w:hAnsi="宋体" w:cs="宋体"/>
          <w:kern w:val="0"/>
          <w:sz w:val="24"/>
          <w:szCs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7342009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461CD421"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八、信息披露文件的存放与查阅</w:t>
      </w:r>
    </w:p>
    <w:p w14:paraId="5B02CFD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依法必须披露的信息发布后，基金管理人、基金托管人应当按照相关法律法规规定将信息置备于各自住所、基金上市交易的证券交易所，供社会公众查阅、复制。</w:t>
      </w:r>
      <w:r>
        <w:rPr>
          <w:rFonts w:ascii="宋体" w:hAnsi="宋体" w:cs="宋体"/>
          <w:kern w:val="0"/>
          <w:sz w:val="24"/>
          <w:szCs w:val="24"/>
        </w:rPr>
        <w:br w:type="page"/>
      </w:r>
    </w:p>
    <w:p w14:paraId="15EBC9B1" w14:textId="77777777" w:rsidR="00BE04A8" w:rsidRDefault="00053520">
      <w:pPr>
        <w:pStyle w:val="1"/>
        <w:spacing w:before="0" w:after="0"/>
        <w:jc w:val="center"/>
        <w:rPr>
          <w:rFonts w:ascii="Times New Roman"/>
          <w:color w:val="auto"/>
          <w:sz w:val="30"/>
        </w:rPr>
      </w:pPr>
      <w:bookmarkStart w:id="62" w:name="_Toc25600002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基金合同的变更、终止与基金财产的清算</w:t>
      </w:r>
      <w:bookmarkEnd w:id="62"/>
    </w:p>
    <w:p w14:paraId="11A53E55" w14:textId="77777777" w:rsidR="00BE04A8" w:rsidRDefault="00BE04A8"/>
    <w:p w14:paraId="0B54EABF"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一、《基金合同》的变更</w:t>
      </w:r>
    </w:p>
    <w:p w14:paraId="53BE46C6"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5AE0C45"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411993F3"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二、《基金合同》的终止事由</w:t>
      </w:r>
    </w:p>
    <w:p w14:paraId="0D4DA5CD"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有下列情形之一的，经履行相关程序后，《基金合同》应当终止：</w:t>
      </w:r>
    </w:p>
    <w:p w14:paraId="76DE58C0"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4AFFAF31"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4DF0C4F0" w14:textId="77777777" w:rsidR="00BE04A8" w:rsidRDefault="00053520">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8C018BC"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6C81AD33" w14:textId="77777777" w:rsidR="00BE04A8" w:rsidRDefault="00053520">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45DE739D"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14:paraId="02063212"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42BB7C75"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DA27CE2"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4D9DB58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4、基金财产清算程序：</w:t>
      </w:r>
    </w:p>
    <w:p w14:paraId="364ADF0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14:paraId="715BE716"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14:paraId="6DBD3060"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14:paraId="0DF5B69C"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14:paraId="266B2928"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7816BCF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14:paraId="1B5D57D5"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14:paraId="66FF4E15"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6B63754F"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四、清算费用</w:t>
      </w:r>
    </w:p>
    <w:p w14:paraId="6198574D"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C5A0BB3"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五、基金财产清算剩余资产的分配</w:t>
      </w:r>
    </w:p>
    <w:p w14:paraId="157FACFE"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5E1C5361"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六、基金财产清算的公告</w:t>
      </w:r>
    </w:p>
    <w:p w14:paraId="7FB79889"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163B9FA"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七、基金财产清算账册及文件的保存</w:t>
      </w:r>
    </w:p>
    <w:p w14:paraId="29E28F8D" w14:textId="77777777" w:rsidR="00BE04A8" w:rsidRDefault="00053520">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73A9E4FE" w14:textId="77777777" w:rsidR="00BE04A8" w:rsidRDefault="00053520">
      <w:pPr>
        <w:pStyle w:val="1"/>
        <w:spacing w:before="0" w:after="0"/>
        <w:jc w:val="center"/>
        <w:rPr>
          <w:rFonts w:ascii="Times New Roman"/>
          <w:color w:val="auto"/>
          <w:sz w:val="30"/>
        </w:rPr>
      </w:pPr>
      <w:bookmarkStart w:id="63" w:name="_Toc25600002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违约责任</w:t>
      </w:r>
      <w:bookmarkEnd w:id="63"/>
    </w:p>
    <w:p w14:paraId="57C2DD22" w14:textId="77777777" w:rsidR="00BE04A8" w:rsidRDefault="00BE04A8"/>
    <w:p w14:paraId="69AA3AB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429C5940"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1、不可抗力；</w:t>
      </w:r>
    </w:p>
    <w:p w14:paraId="0318B802"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6657CA5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50FA4C7D"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D5542E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3AF59767" w14:textId="77777777" w:rsidR="00BE04A8" w:rsidRDefault="00053520">
      <w:pPr>
        <w:pStyle w:val="1"/>
        <w:spacing w:before="0" w:after="0"/>
        <w:jc w:val="center"/>
        <w:rPr>
          <w:rFonts w:ascii="Times New Roman"/>
          <w:color w:val="auto"/>
          <w:sz w:val="30"/>
        </w:rPr>
      </w:pPr>
      <w:bookmarkStart w:id="64"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争议的处理和适用的法律</w:t>
      </w:r>
      <w:bookmarkEnd w:id="64"/>
    </w:p>
    <w:p w14:paraId="7ABE1651" w14:textId="77777777" w:rsidR="00BE04A8" w:rsidRDefault="00BE04A8"/>
    <w:p w14:paraId="696B21B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14:paraId="4DF8CF08"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14:paraId="5D2B3B2C"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5E89FBF2" w14:textId="77777777" w:rsidR="00BE04A8" w:rsidRDefault="00053520">
      <w:pPr>
        <w:pStyle w:val="1"/>
        <w:spacing w:before="0" w:after="0"/>
        <w:jc w:val="center"/>
        <w:rPr>
          <w:rFonts w:ascii="Times New Roman"/>
          <w:color w:val="auto"/>
          <w:sz w:val="30"/>
        </w:rPr>
      </w:pPr>
      <w:bookmarkStart w:id="65" w:name="_Toc256000023"/>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基金合同的效力</w:t>
      </w:r>
      <w:bookmarkEnd w:id="65"/>
    </w:p>
    <w:p w14:paraId="6E936181" w14:textId="77777777" w:rsidR="00BE04A8" w:rsidRDefault="00BE04A8"/>
    <w:p w14:paraId="271095F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4255E133"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73AD2B67"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5567125E"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6E38750A"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06EEF91F"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18D7D0BD" w14:textId="77777777" w:rsidR="00BE04A8" w:rsidRDefault="00053520">
      <w:pPr>
        <w:pStyle w:val="1"/>
        <w:spacing w:before="0" w:after="0"/>
        <w:jc w:val="center"/>
        <w:rPr>
          <w:rFonts w:ascii="Times New Roman"/>
          <w:color w:val="auto"/>
          <w:sz w:val="30"/>
        </w:rPr>
      </w:pPr>
      <w:bookmarkStart w:id="66" w:name="_Toc256000024"/>
      <w:r>
        <w:rPr>
          <w:rFonts w:ascii="Times New Roman"/>
          <w:color w:val="auto"/>
          <w:sz w:val="30"/>
        </w:rPr>
        <w:lastRenderedPageBreak/>
        <w:t>第二十五部分</w:t>
      </w:r>
      <w:r>
        <w:rPr>
          <w:rFonts w:ascii="Times New Roman"/>
          <w:color w:val="auto"/>
          <w:sz w:val="30"/>
        </w:rPr>
        <w:t xml:space="preserve">  </w:t>
      </w:r>
      <w:r>
        <w:rPr>
          <w:rFonts w:ascii="Times New Roman"/>
          <w:color w:val="auto"/>
          <w:sz w:val="30"/>
        </w:rPr>
        <w:t>其他事项</w:t>
      </w:r>
      <w:bookmarkEnd w:id="66"/>
    </w:p>
    <w:p w14:paraId="2A6F9829" w14:textId="77777777" w:rsidR="00BE04A8" w:rsidRDefault="00BE04A8"/>
    <w:p w14:paraId="162D2AE6" w14:textId="77777777" w:rsidR="00BE04A8" w:rsidRDefault="00053520">
      <w:pPr>
        <w:pStyle w:val="div"/>
        <w:spacing w:line="360" w:lineRule="auto"/>
        <w:ind w:firstLine="48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5DD37067" w14:textId="77777777" w:rsidR="00BE04A8" w:rsidRDefault="00053520">
      <w:pPr>
        <w:pStyle w:val="1"/>
        <w:spacing w:before="0" w:after="0"/>
        <w:jc w:val="center"/>
        <w:rPr>
          <w:rFonts w:ascii="Times New Roman"/>
          <w:color w:val="auto"/>
          <w:sz w:val="30"/>
        </w:rPr>
      </w:pPr>
      <w:bookmarkStart w:id="67" w:name="_Toc256000025"/>
      <w:r>
        <w:rPr>
          <w:rFonts w:ascii="Times New Roman"/>
          <w:color w:val="auto"/>
          <w:sz w:val="30"/>
        </w:rPr>
        <w:lastRenderedPageBreak/>
        <w:t>第二十六部分</w:t>
      </w:r>
      <w:r>
        <w:rPr>
          <w:rFonts w:ascii="Times New Roman"/>
          <w:color w:val="auto"/>
          <w:sz w:val="30"/>
        </w:rPr>
        <w:t xml:space="preserve">  </w:t>
      </w:r>
      <w:r>
        <w:rPr>
          <w:rFonts w:ascii="Times New Roman"/>
          <w:color w:val="auto"/>
          <w:sz w:val="30"/>
        </w:rPr>
        <w:t>基金合同内容摘要</w:t>
      </w:r>
      <w:bookmarkEnd w:id="67"/>
      <w:r>
        <w:rPr>
          <w:rFonts w:ascii="Times New Roman"/>
          <w:color w:val="auto"/>
          <w:sz w:val="30"/>
        </w:rPr>
        <w:br/>
      </w:r>
    </w:p>
    <w:p w14:paraId="3F8123CB"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777B6D0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6437F46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7D13FFB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5301DF1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7135C35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1A0D60B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3F22A8F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62C831E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4BB123C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2BCBC1A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3D3C192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6B0CED8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2651538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68A25A4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464E59C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（13）在法律法规允许的前提下，为基金的利益依法为基金进行融资及转融通证券出借业务；</w:t>
      </w:r>
    </w:p>
    <w:p w14:paraId="3B8A7DE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16DB5ED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2BDC598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（16）在符合有关法律、法规的前提下，制订和调整有关基金认购、申购、赎回等业务规则；</w:t>
      </w:r>
    </w:p>
    <w:p w14:paraId="66D6B49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（17）法律法规及中国证监会规定的和《基金合同》约定的其他权利。</w:t>
      </w:r>
    </w:p>
    <w:p w14:paraId="1FE2F76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0BE2EE3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24CD911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63DAB9B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4DE08B4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6B535E3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0B3E6A9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02EC3E7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553AF19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价格、申购对价、赎回对价和注销价格的方法符合《基金合同》等法律文件的规定，按有关规定计算并公告基金净值信息，确定基金份额申购、赎回的对价，编制申购赎回清单；</w:t>
      </w:r>
    </w:p>
    <w:p w14:paraId="5ADC02F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6C7C4DB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753A116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5A14910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（12）保守基金商业秘密，不泄露基金投资计划、投资意向等。除《基金法》、《基金合同》及其他有关规定另有规定外，在基金信息公开披露前应予保密，不</w:t>
      </w:r>
      <w:r>
        <w:rPr>
          <w:rFonts w:ascii="宋体" w:hAnsi="宋体" w:cs="宋体"/>
          <w:kern w:val="0"/>
          <w:sz w:val="24"/>
          <w:szCs w:val="24"/>
        </w:rPr>
        <w:lastRenderedPageBreak/>
        <w:t>向他人泄露，但应监管机构、司法机关等有权机关的要求，或因审计、法律等外部专业顾问提供服务需要提供的情况除外；</w:t>
      </w:r>
    </w:p>
    <w:p w14:paraId="5A54343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1BFC8A2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（14）按规定受理申购与赎回申请，及时、足额支付赎回对价；</w:t>
      </w:r>
    </w:p>
    <w:p w14:paraId="2F351A3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7EE3B26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173E375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30B9AF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57D35C4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025E4D1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4FF86B2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4D738CE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0DA9B97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7A582A0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14:paraId="6FC6135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（25）执行生效的基金份额持有人大会的决议；</w:t>
      </w:r>
    </w:p>
    <w:p w14:paraId="00105A9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20CA90C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（27）法律法规及中国证监会规定的和《基金合同》约定的其他义务。</w:t>
      </w:r>
    </w:p>
    <w:p w14:paraId="37559E9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3B0DC85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0A2E664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（1）自《基金合同》生效之日起，依法律法规和《基金合同》的规定安全保管基金财产；</w:t>
      </w:r>
    </w:p>
    <w:p w14:paraId="3997F0F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6B06ABB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384F3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1B53214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6F029AC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46EAF50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（7）法律法规及中国证监会规定的和《基金合同》约定的其他权利。</w:t>
      </w:r>
    </w:p>
    <w:p w14:paraId="5BD86E8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3ECB625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0469F1A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1389D8E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EEAEDC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14:paraId="3F08C09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（5）保管由基金管理人代表基金签订的与基金有关的重大合同及有关凭证；</w:t>
      </w:r>
    </w:p>
    <w:p w14:paraId="1534697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286CAF8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178AD9C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（8）复核、审查基金管理人计算的基金资产净值、基金份额净值、基金份额申购、赎回对价的现金部分；</w:t>
      </w:r>
    </w:p>
    <w:p w14:paraId="7AAFAE6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5C16362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E71911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0CAE06D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（12）建立并保存基金份额持有人名册；</w:t>
      </w:r>
    </w:p>
    <w:p w14:paraId="6A285D0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0FB636F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（14）依据基金管理人的指令或有关规定向基金份额持有人支付基金收益和赎回对价的现金部分；</w:t>
      </w:r>
    </w:p>
    <w:p w14:paraId="524B8A2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24880EA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23EDB55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42038E1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（18）面临解散、依法被撤销或者被依法宣告破产时，及时报告中国证监会和银行业监督管理机构，并通知基金管理人；</w:t>
      </w:r>
    </w:p>
    <w:p w14:paraId="61554CE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14:paraId="3804CA5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15934BC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536101C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（22）法律法规及中国证监会规定的和《基金合同》约定的其他义务。</w:t>
      </w:r>
    </w:p>
    <w:p w14:paraId="44474ED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33A2D8B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ED5A5E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14:paraId="4EA2BF4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7FF61DF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599B865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42E9034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77D6601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480A728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250A46D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14:paraId="21FCADF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14:paraId="26F1D7B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0DB2D5E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14:paraId="12C6B1C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2、根据《基金法》、《运作办法》及其他有关规定，基金份额持有人的义务包括但不限于：</w:t>
      </w:r>
    </w:p>
    <w:p w14:paraId="58D9FBD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2321579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0903BE0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（3）关注基金信息披露，及时行使权利和履行义务；</w:t>
      </w:r>
    </w:p>
    <w:p w14:paraId="46CD858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（4）交纳基金认购款项或认购股票、申购对价、现金差额及法律法规和《基金合同》所规定的费用；</w:t>
      </w:r>
    </w:p>
    <w:p w14:paraId="60AAFE0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248F1CA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0C04601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57BCC0C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2980416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1F34674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667364E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5DEC9106"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3C32864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319193E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5FA3E24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14:paraId="31A0210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鉴于本基金和本基金联接基金的相关性，本基金联接基金的基金份额持有人可以凭所持有的本基金联接基金的基金份额参加或者委派代表参加本基金的基金份额持有人大会并参与表决。在计算参会份额和计票时，本基金联接基金基金份额持有人持有的享有表决权的基金份额数和表决票数为：在本基金基金份额持有人大会的权益登记日，本基金联接基金持有本基金份额的总数乘以该基金份额持有人所持有的本基金联接基金份额占本基金联接基金总份额的比例。计算结果按照四舍五入的方法，保留到整数位。</w:t>
      </w:r>
    </w:p>
    <w:p w14:paraId="4072048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14:paraId="483767B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本基金联接基金的基金管理人代表本基金联接基金的基金份额持有人提议召开或召集本基金份额持有人大会的，须先遵照本基金联接基金基金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14:paraId="76F9923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（一）召开事由</w:t>
      </w:r>
    </w:p>
    <w:p w14:paraId="3D772F6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61DB2A2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3B30CD0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411EBD5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4245140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（4）转换基金运作方式；</w:t>
      </w:r>
    </w:p>
    <w:p w14:paraId="0132C7C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（5）调整基金管理人、基金托管人的报酬标准；</w:t>
      </w:r>
    </w:p>
    <w:p w14:paraId="151AB14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3EE95CA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6AD44F2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0983EC7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263BCF4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1E439A3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2E4B955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433A1B2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（13）终止基金上市，但因基金不再具备上市条件而被上海证券交易所终止上市的除外；</w:t>
      </w:r>
    </w:p>
    <w:p w14:paraId="727513E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（14）法律法规、《基金合同》或中国证监会规定的其他应当召开基金份额持有人大会的事项。</w:t>
      </w:r>
    </w:p>
    <w:p w14:paraId="0D23B11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w:t>
      </w:r>
      <w:r>
        <w:rPr>
          <w:rFonts w:ascii="宋体" w:hAnsi="宋体" w:cs="宋体"/>
          <w:kern w:val="0"/>
          <w:sz w:val="24"/>
          <w:szCs w:val="24"/>
        </w:rPr>
        <w:lastRenderedPageBreak/>
        <w:t>不需召开基金份额持有人大会：</w:t>
      </w:r>
    </w:p>
    <w:p w14:paraId="3E95B9B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（1）法律法规要求增加的基金费用的收取；</w:t>
      </w:r>
    </w:p>
    <w:p w14:paraId="70BA405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（2）调整本基金的申购费率或变更收费方式；</w:t>
      </w:r>
    </w:p>
    <w:p w14:paraId="759F60E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（3）因相应的法律法规、证券交易所或登记机构相关业务规则发生变动而应当对《基金合同》进行修改；</w:t>
      </w:r>
    </w:p>
    <w:p w14:paraId="3173181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（4）基金管理人、证券交易所和基金登记机构等调整有关基金认购、申购、赎回、非交易过户、质押等业务规则；</w:t>
      </w:r>
    </w:p>
    <w:p w14:paraId="43FE197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（5）对《基金合同》的修改对基金份额持有人利益无实质性不利影响或修改不涉及《基金合同》当事人权利义务关系发生重大变化；</w:t>
      </w:r>
    </w:p>
    <w:p w14:paraId="333A9F4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（6）履行适当程序后基金推出新业务或服务；</w:t>
      </w:r>
    </w:p>
    <w:p w14:paraId="7596F58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（7）基金管理人调整基金收益分配原则；</w:t>
      </w:r>
    </w:p>
    <w:p w14:paraId="7983AD0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（8）增加、减少、调整基金份额类别设置；</w:t>
      </w:r>
    </w:p>
    <w:p w14:paraId="70A30BE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（9）募集并管理以本基金为目标ETF的一只或多只联接基金、本基金的联接基金采取特殊申购或其他方式参与本基金的申购赎回；</w:t>
      </w:r>
    </w:p>
    <w:p w14:paraId="10D4813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（10）调整最小申购赎回单位、调整基金的申购赎回方式及申购对价、赎回对价组成；</w:t>
      </w:r>
    </w:p>
    <w:p w14:paraId="7F04229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（11）在其他证券交易所上市或开通基金的场外申购赎回、跨系统转托管等业务；</w:t>
      </w:r>
    </w:p>
    <w:p w14:paraId="1FE1259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（12）按照本基金合同的约定，将本基金变更为跟踪标的指数的非上市的开放式指数基金；</w:t>
      </w:r>
    </w:p>
    <w:p w14:paraId="03E9766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（13）按照法律法规和《基金合同》规定不需召开基金份额持有人大会的其他情形。</w:t>
      </w:r>
    </w:p>
    <w:p w14:paraId="04A2415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（二）会议召集人及召集方式</w:t>
      </w:r>
    </w:p>
    <w:p w14:paraId="412DF12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53E511E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14:paraId="74F240E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r>
        <w:rPr>
          <w:rFonts w:ascii="宋体" w:hAnsi="宋体" w:cs="宋体"/>
          <w:kern w:val="0"/>
          <w:sz w:val="24"/>
          <w:szCs w:val="24"/>
        </w:rPr>
        <w:lastRenderedPageBreak/>
        <w:t>60日内召开；基金管理人决定不召集，基金托管人仍认为有必要召开的，应当由基金托管人自行召集，并自出具书面决定之日起60日内召开并告知基金管理人，基金管理人应当配合。</w:t>
      </w:r>
    </w:p>
    <w:p w14:paraId="0346774C"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772909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E62A52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07FD901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（三）召开基金份额持有人大会的通知时间、通知内容、通知方式</w:t>
      </w:r>
    </w:p>
    <w:p w14:paraId="71E7C10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6729181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14:paraId="625CC15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（2）会议拟审议的事项、议事程序和表决方式；</w:t>
      </w:r>
    </w:p>
    <w:p w14:paraId="5031153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3E6E6AD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5A8C26F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14:paraId="3D8CB0E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（6）出席会议者必须准备的文件和必须履行的手续；</w:t>
      </w:r>
    </w:p>
    <w:p w14:paraId="41CB9DD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（7）召集人需要通知的其他事项。</w:t>
      </w:r>
    </w:p>
    <w:p w14:paraId="42787D1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E49749C"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114EE4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（四）基金份额持有人出席会议的方式</w:t>
      </w:r>
    </w:p>
    <w:p w14:paraId="4D5E3E0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48CE384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5E8F11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17640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7E5FA0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2、通讯开会。通讯开会系指基金份额持有人将其对表决事项的投票以书面</w:t>
      </w:r>
      <w:r>
        <w:rPr>
          <w:rFonts w:ascii="宋体" w:hAnsi="宋体" w:cs="宋体"/>
          <w:kern w:val="0"/>
          <w:sz w:val="24"/>
          <w:szCs w:val="24"/>
        </w:rPr>
        <w:lastRenderedPageBreak/>
        <w:t>形式或大会公告载明的其他方式在表决截止日以前送达至召集人指定的地址或系统。通讯开会应以书面方式或大会公告载明的其他方式进行表决。</w:t>
      </w:r>
    </w:p>
    <w:p w14:paraId="105810C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4647219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3FE7C5F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419CD7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336B6F8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A35423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49C1A72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（五）议事内容与程序</w:t>
      </w:r>
    </w:p>
    <w:p w14:paraId="6B65D90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1、议事内容及提案权</w:t>
      </w:r>
    </w:p>
    <w:p w14:paraId="3FCD0AF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w:t>
      </w:r>
      <w:r>
        <w:rPr>
          <w:rFonts w:ascii="宋体" w:hAnsi="宋体" w:cs="宋体"/>
          <w:kern w:val="0"/>
          <w:sz w:val="24"/>
          <w:szCs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7D776F1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3DF5A46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2D3C153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2、议事程序</w:t>
      </w:r>
    </w:p>
    <w:p w14:paraId="055977F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（1）现场开会</w:t>
      </w:r>
    </w:p>
    <w:p w14:paraId="0909203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Pr>
          <w:rFonts w:ascii="宋体" w:hAnsi="宋体" w:cs="宋体" w:hint="eastAsia"/>
          <w:kern w:val="0"/>
          <w:sz w:val="24"/>
          <w:szCs w:val="24"/>
        </w:rPr>
        <w:t>（</w:t>
      </w:r>
      <w:r>
        <w:rPr>
          <w:rFonts w:ascii="宋体" w:hAnsi="宋体" w:cs="宋体"/>
          <w:kern w:val="0"/>
          <w:sz w:val="24"/>
          <w:szCs w:val="24"/>
        </w:rPr>
        <w:t>七</w:t>
      </w:r>
      <w:r>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4722724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46897A7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（2）通讯开会</w:t>
      </w:r>
    </w:p>
    <w:p w14:paraId="5920130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116FFA3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（六）表决</w:t>
      </w:r>
    </w:p>
    <w:p w14:paraId="2759B54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7B26D44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4789BE7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11CE6C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8A8185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79B376D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519D3A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5BCC985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（七）计票</w:t>
      </w:r>
    </w:p>
    <w:p w14:paraId="6DBB76D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1、现场开会</w:t>
      </w:r>
    </w:p>
    <w:p w14:paraId="66F99A6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55DE4D7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1C878AF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40A2687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781A7A4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2、通讯开会</w:t>
      </w:r>
    </w:p>
    <w:p w14:paraId="16AE17B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7AF8E7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（八）生效与公告</w:t>
      </w:r>
    </w:p>
    <w:p w14:paraId="18998D6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2ECAD8D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48B981F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44BFC9B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0206E3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1C3B035A"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5BBCCC7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681E3B8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261D1D6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3DB3762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236E5D7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0EFF4B5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1、《基金合同》生效不满3个月可不进行收益分配；</w:t>
      </w:r>
    </w:p>
    <w:p w14:paraId="286716F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2、本基金收益分配采用现金分红；</w:t>
      </w:r>
    </w:p>
    <w:p w14:paraId="76F3DF7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3、每一基金份额享有同等分配权；</w:t>
      </w:r>
    </w:p>
    <w:p w14:paraId="7017FB7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4、基金管理人可对基金相对标的指数的超额收益率和/或基金的可供分配利润进行评价，当收益评价日核定的超额收益率或者基金可供分配利润金额大于零时，基金管理人可进行收益分配；</w:t>
      </w:r>
    </w:p>
    <w:p w14:paraId="5002EAA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6A5B5D4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14:paraId="18E27D4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3E4D2EA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704C5B5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基金收益分配方案中应载明截至收益分配基准日的可供分配利润（如需）、基金收益分配对象、分配时间、分配数额及比例、分配方式等内容。</w:t>
      </w:r>
    </w:p>
    <w:p w14:paraId="2AFE3DF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66A65CE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7B73888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093365C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14:paraId="02F6535E"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2EB5991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6A9FB42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2A65226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1DF9DB0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3、《基金合同》生效后与基金相关的信息披露费用（但法律法规、中国证监会另有规定的除外）；</w:t>
      </w:r>
    </w:p>
    <w:p w14:paraId="5B129C7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4、《基金合同》生效后与基金相关的会计师费、律师费、仲裁费和诉讼费；</w:t>
      </w:r>
    </w:p>
    <w:p w14:paraId="6EC78FF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5、基金份额持有人大会费用；</w:t>
      </w:r>
    </w:p>
    <w:p w14:paraId="33C44AF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6、基金的证券/期货/期权等交易费用；</w:t>
      </w:r>
    </w:p>
    <w:p w14:paraId="0609937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7、基金的银行汇划费用；</w:t>
      </w:r>
    </w:p>
    <w:p w14:paraId="0EFA3BD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8、基金的账户开户费用、账户维护费用；</w:t>
      </w:r>
    </w:p>
    <w:p w14:paraId="0119EC8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9、基金的上市费；</w:t>
      </w:r>
    </w:p>
    <w:p w14:paraId="7D948A3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10、收益分配中发生的费用、登记结算费用、IOPV计算与发布费用；</w:t>
      </w:r>
    </w:p>
    <w:p w14:paraId="1FC756A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780BF52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727E3C7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6682119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本基金的管理费按前一日基金资产净值的0.5%年费率计提。管理费的计算方法如下：</w:t>
      </w:r>
    </w:p>
    <w:p w14:paraId="24084B7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H＝E×0.5%÷当年天数</w:t>
      </w:r>
    </w:p>
    <w:p w14:paraId="4A4C64E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7B28701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7DD474E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管理费每日计算，逐日累计至每月月末，按月支付，由基金托管人根据与基金管理人核对一致的财务数据，自动在次月初5个工作日内按照指定的账户路径进行资金支付，基金管理人无需再出具资金划拨指令。若遇法定节假日、公休日或不可抗力致使无法按时支付的，顺延至法定节假日、公休日结束之日起5个工作日内或不可抗力情形消除之日起5个工作日内支付。费用自动扣划后，基金管理人应进行核对，如发现数据不符，及时联系基金托管人协商解决。</w:t>
      </w:r>
    </w:p>
    <w:p w14:paraId="5BBB006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2、基金托管人的托管费</w:t>
      </w:r>
    </w:p>
    <w:p w14:paraId="3038DDB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本基金的托管费按前一日基金资产净值的0.1%的年费率计提。托管费的计算方法如下：</w:t>
      </w:r>
    </w:p>
    <w:p w14:paraId="35A883A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H＝E×0.1%÷当年天数</w:t>
      </w:r>
    </w:p>
    <w:p w14:paraId="3F267B1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03756738"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3631947A"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托管费每日计算，逐日累计至每月月末，按月支付，由基金托管人根据与基金管理人核对一致的财务数据，自动在次月初5个工作日内按照指定的账户路径进行资金支付，基金管理人无需再出具资金划拨指令。若遇法定节假日、公休日或不可抗力致使无法按时支付的，顺延至法定节假日、公休日结束之日起5个工作日内或不可抗力情形消除之日起5个工作日内支付。费用自动扣划后，基</w:t>
      </w:r>
      <w:r>
        <w:rPr>
          <w:rFonts w:ascii="宋体" w:hAnsi="宋体" w:cs="宋体"/>
          <w:kern w:val="0"/>
          <w:sz w:val="24"/>
          <w:szCs w:val="24"/>
        </w:rPr>
        <w:lastRenderedPageBreak/>
        <w:t>金管理人应进行核对，如发现数据不符，及时联系基金托管人协商解决。</w:t>
      </w:r>
    </w:p>
    <w:p w14:paraId="39C1F0B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上述“</w:t>
      </w:r>
      <w:r>
        <w:rPr>
          <w:rFonts w:ascii="宋体" w:hAnsi="宋体" w:cs="宋体" w:hint="eastAsia"/>
          <w:kern w:val="0"/>
          <w:sz w:val="24"/>
          <w:szCs w:val="24"/>
        </w:rPr>
        <w:t>（</w:t>
      </w:r>
      <w:r>
        <w:rPr>
          <w:rFonts w:ascii="宋体" w:hAnsi="宋体" w:cs="宋体"/>
          <w:kern w:val="0"/>
          <w:sz w:val="24"/>
          <w:szCs w:val="24"/>
        </w:rPr>
        <w:t>一</w:t>
      </w:r>
      <w:r>
        <w:rPr>
          <w:rFonts w:ascii="宋体" w:hAnsi="宋体" w:cs="宋体" w:hint="eastAsia"/>
          <w:kern w:val="0"/>
          <w:sz w:val="24"/>
          <w:szCs w:val="24"/>
        </w:rPr>
        <w:t>）</w:t>
      </w:r>
      <w:r>
        <w:rPr>
          <w:rFonts w:ascii="宋体" w:hAnsi="宋体" w:cs="宋体"/>
          <w:kern w:val="0"/>
          <w:sz w:val="24"/>
          <w:szCs w:val="24"/>
        </w:rPr>
        <w:t>、基金费用的种类”中第3－11项费用，根据有关法规及相应协议规定，按费用实际支出金额列入当期费用，由基金托管人从基金财产中支付。</w:t>
      </w:r>
    </w:p>
    <w:p w14:paraId="7E865C3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（三）不列入基金费用的项目</w:t>
      </w:r>
    </w:p>
    <w:p w14:paraId="2BFF783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下列费用不列入基金费用：</w:t>
      </w:r>
    </w:p>
    <w:p w14:paraId="3D70384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18F4F7A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7201A5B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3、《基金合同》生效前的相关费用；</w:t>
      </w:r>
    </w:p>
    <w:p w14:paraId="127ECBE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4、基金的指数许可使用费（该费用由基金管理人承担）；</w:t>
      </w:r>
    </w:p>
    <w:p w14:paraId="773484E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5、其他根据相关法律法规及中国证监会的有关规定不得列入基金费用的项目。</w:t>
      </w:r>
    </w:p>
    <w:p w14:paraId="1409227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（四）基金税收</w:t>
      </w:r>
    </w:p>
    <w:p w14:paraId="7C28639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60D7D14"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6714334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（一）投资范围</w:t>
      </w:r>
    </w:p>
    <w:p w14:paraId="44ABBB5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本基金主要投资于标的指数成份股、备选成份股。为更好地实现投资目标，本基金可少量投资于非成份股（包括主板、创业板及其他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但须符合中国证监会相关规定)。</w:t>
      </w:r>
    </w:p>
    <w:p w14:paraId="280C7E8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本基金可根据法律法规的规定参与融资及转融通证券出借业务。</w:t>
      </w:r>
    </w:p>
    <w:p w14:paraId="022C969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4AE5CE3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基金的投资组合比例为：投资于标的指数成份股和备选成份股的比例不低于</w:t>
      </w:r>
      <w:r>
        <w:rPr>
          <w:rFonts w:ascii="宋体" w:hAnsi="宋体" w:cs="宋体"/>
          <w:kern w:val="0"/>
          <w:sz w:val="24"/>
          <w:szCs w:val="24"/>
        </w:rPr>
        <w:lastRenderedPageBreak/>
        <w:t>基金资产净值的90%，且不低于非现金基金资产的80%，因法律法规的规定而受限制的情形除外。</w:t>
      </w:r>
    </w:p>
    <w:p w14:paraId="23BB549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7B9DE509"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（二）投资限制</w:t>
      </w:r>
    </w:p>
    <w:p w14:paraId="77D06CD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78E0A09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基金的投资组合应遵循以下限制：</w:t>
      </w:r>
    </w:p>
    <w:p w14:paraId="1393562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（1）本基金投资于标的指数成份股和备选成份股的比例不低于基金资产净值的90%，且不低于非现金基金资产的80%；</w:t>
      </w:r>
    </w:p>
    <w:p w14:paraId="570A4B9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（2）本基金投资于同一原始权益人的各类资产支持证券的比例，不得超过基金资产净值的10%；</w:t>
      </w:r>
    </w:p>
    <w:p w14:paraId="220D662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（3）本基金持有的全部资产支持证券，其市值不得超过基金资产净值的20%；</w:t>
      </w:r>
    </w:p>
    <w:p w14:paraId="5EB831D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（4）本基金持有的同一(指同一信用级别)资产支持证券的比例，不得超过该资产支持证券规模的10%；</w:t>
      </w:r>
    </w:p>
    <w:p w14:paraId="1A0CE5C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（5）本基金管理人管理的全部基金投资于同一原始权益人的各类资产支持证券，不得超过其各类资产支持证券合计规模的10%；</w:t>
      </w:r>
    </w:p>
    <w:p w14:paraId="2D3A8B1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（6）本基金应投资于信用级别评级为BBB以上(含BBB)的资产支持证券。基金持有资产支持证券期间，如果其信用等级下降、不再符合投资标准，应在评级报告发布之日起3个月内予以全部卖出；</w:t>
      </w:r>
    </w:p>
    <w:p w14:paraId="02892AD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14:paraId="799FC11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（8）本基金参与股指期货和国债期货交易的，应当遵守下列要求：</w:t>
      </w:r>
    </w:p>
    <w:p w14:paraId="01C885F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1）本基金在任何交易日日终，持有的买入股指期货合约价值，不得超过基金资产净值的10%；持有的买入国债期货合约价值，不得超过基金资产净值的15%；</w:t>
      </w:r>
    </w:p>
    <w:p w14:paraId="5991B1C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248F1BA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3）本基金在任何交易日日终，持有的卖出股指期货合约价值不得超过基金</w:t>
      </w:r>
      <w:r>
        <w:rPr>
          <w:rFonts w:ascii="宋体" w:hAnsi="宋体" w:cs="宋体"/>
          <w:kern w:val="0"/>
          <w:sz w:val="24"/>
          <w:szCs w:val="24"/>
        </w:rPr>
        <w:lastRenderedPageBreak/>
        <w:t>持有的股票总市值的20%；持有的卖出国债期货合约价值不得超过基金持有的债券总市值的30%；</w:t>
      </w:r>
    </w:p>
    <w:p w14:paraId="262EFCD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4B4275D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5D0FB75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14:paraId="13DE54F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9）因未平仓的股票期权合约支付和收取的权利金总额不得超过基金资产净值的10%；开仓卖出认购股票期权的，应持有足额标的证券；开仓卖出认沽股票期权的，应持有合约行权所需的全额现金或交易所规则认可的可冲抵期权保证金的现金等价物；未平仓的股票期权合约面值不得超过基金资产净值的20%。其中，合约面值按照行权价乘以合约乘数计算；</w:t>
      </w:r>
    </w:p>
    <w:p w14:paraId="0B80C6E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（10）本基金参与融资的，每个交易日日终，本基金持有的融资买入股票与其他有价证券市值之和，不得超过基金资产净值的95%；</w:t>
      </w:r>
    </w:p>
    <w:p w14:paraId="5982246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54BB888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032F437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（13）本基金与私募类证券资管产品及中国证监会认定的其他主体为交易对手开展逆回购交易的，可接受质押品的资质要求应当与本基金合同约定的投资范围保持一致；</w:t>
      </w:r>
    </w:p>
    <w:p w14:paraId="377DA95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14:paraId="572819F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（15）本基金投资存托凭证的比例限制依照境内上市交易的股票执行；</w:t>
      </w:r>
    </w:p>
    <w:p w14:paraId="74FE718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（16）法律法规及中国证监会规定的和《基金合同》约定的其他投资限制。</w:t>
      </w:r>
    </w:p>
    <w:p w14:paraId="725488C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除上述第（6）、（11）、（12）、（13）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11）项规定的，基金管理人不得新增出借业务。法律法规另有规定的从其规定。</w:t>
      </w:r>
    </w:p>
    <w:p w14:paraId="19C78AC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1CCA4A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5E0734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3551171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179FDC9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1A85375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0767497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1F51D04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40A5BE5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063CD65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0A6CA7A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6F564A5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基金管理人运用基金财产买卖基金管理人、基金托管人及其控股股东、实际</w:t>
      </w:r>
      <w:r>
        <w:rPr>
          <w:rFonts w:ascii="宋体" w:hAnsi="宋体" w:cs="宋体"/>
          <w:kern w:val="0"/>
          <w:sz w:val="24"/>
          <w:szCs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B12DA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3F5CA5B"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5AC1FC9C"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（一）估值方法</w:t>
      </w:r>
    </w:p>
    <w:p w14:paraId="5C4E84A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14:paraId="5AC54194"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B35D06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（2）交易所上市不存在活跃市场的有价证券，采用估值技术确定公允价值。</w:t>
      </w:r>
    </w:p>
    <w:p w14:paraId="4AD8DFB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14AC504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37F61EF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44C2F25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73B400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3、以公允价值计量的固定收益品种</w:t>
      </w:r>
    </w:p>
    <w:p w14:paraId="4080554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251E333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（2）对于已上市或已挂牌转让的含权固定收益品种，选取第三方估值基准服务机构提供的相应品种当日的唯一估值全价或推荐估值全价；</w:t>
      </w:r>
    </w:p>
    <w:p w14:paraId="2CC85E8B"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36B0B9E"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9B8CDA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（5）对于未上市或未挂牌转让且不存在活跃市场的固定收益品种，应采用在当前情况下适用并且有足够可利用数据和其他信息支持的估值技术确定其公允价值。</w:t>
      </w:r>
    </w:p>
    <w:p w14:paraId="1B922A9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4、同一证券同时在两个或两个以上市场交易的，按证券所处的市场分别估值。</w:t>
      </w:r>
    </w:p>
    <w:p w14:paraId="71F57D35"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12ADF9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6D20546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5D94529F"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0488B20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lastRenderedPageBreak/>
        <w:t>9、本基金投资存托凭证的估值核算，依照境内上市交易的股票进行。</w:t>
      </w:r>
    </w:p>
    <w:p w14:paraId="3C4E0451"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23FFB1E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11、如有确凿证据表明按上述方法进行估值不能客观反映其公允价值的，基金管理人可根据具体情况与基金托管人商定后，按最能反映公允价值的价格估值。</w:t>
      </w:r>
    </w:p>
    <w:p w14:paraId="69257CB1"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12、相关法律法规以及监管部门有强制规定的，从其规定。如有新增事项，按国家最新规定估值。</w:t>
      </w:r>
    </w:p>
    <w:p w14:paraId="757CC04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6FA7BB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947657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（二）估值程序</w:t>
      </w:r>
    </w:p>
    <w:p w14:paraId="0047329D"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6934C2F2"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基金管理人每个估值日计算基金资产净值及基金份额净值，并按规定公告。</w:t>
      </w:r>
    </w:p>
    <w:p w14:paraId="321E1715"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14:paraId="4F54552F"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1694A7D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7A62A45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CB4BC3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2、关于《基金合同》变更的基金份额持有人大会决议自生效后方可执行，自决议生效后两日内在规定媒介公告。</w:t>
      </w:r>
    </w:p>
    <w:p w14:paraId="50F71A3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5F28937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有下列情形之一的，经履行相关程序后，《基金合同》应当终止：</w:t>
      </w:r>
    </w:p>
    <w:p w14:paraId="66E222C0"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5FBBC35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00BB63D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20F0ED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14:paraId="7C495F6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14:paraId="6646B8C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13F3492F"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5F603F7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DD40B3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543C127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70BDB01E"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44B5E42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545204C3"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5CEDB66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075921ED"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42E4627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lastRenderedPageBreak/>
        <w:t>（6）将清算报告报中国证监会备案并公告；</w:t>
      </w:r>
    </w:p>
    <w:p w14:paraId="6269DB2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2FAB261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205523FC"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1C28FA79"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5355EFBA"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45834828"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6BB5C3A4"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10968192"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A2C0FF6"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02EEDA47" w14:textId="77777777" w:rsidR="00BE04A8" w:rsidRDefault="00053520">
      <w:pPr>
        <w:spacing w:line="360" w:lineRule="auto"/>
        <w:ind w:firstLine="480"/>
        <w:jc w:val="left"/>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47AA0F9F"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30765B5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14:paraId="2A06366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14:paraId="1585D4B0"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31060408" w14:textId="77777777" w:rsidR="00BE04A8" w:rsidRDefault="00053520">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lastRenderedPageBreak/>
        <w:t>九、基金合同的效力</w:t>
      </w:r>
    </w:p>
    <w:p w14:paraId="5D2D678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597267C6"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1ABB975B"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03C8B413"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0E2FB26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49801797" w14:textId="77777777" w:rsidR="00BE04A8" w:rsidRDefault="00053520">
      <w:pPr>
        <w:spacing w:line="360" w:lineRule="auto"/>
        <w:ind w:firstLine="480"/>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14:paraId="310F6E7C" w14:textId="77777777" w:rsidR="00BE04A8" w:rsidRDefault="00BE04A8">
      <w:pPr>
        <w:pStyle w:val="1"/>
        <w:spacing w:before="0" w:after="0"/>
        <w:jc w:val="center"/>
        <w:rPr>
          <w:rFonts w:ascii="Times New Roman"/>
          <w:color w:val="auto"/>
          <w:sz w:val="30"/>
        </w:rPr>
        <w:sectPr w:rsidR="00BE04A8">
          <w:footerReference w:type="default" r:id="rId12"/>
          <w:pgSz w:w="11906" w:h="16838"/>
          <w:pgMar w:top="1440" w:right="1800" w:bottom="1440" w:left="1800" w:header="851" w:footer="992" w:gutter="0"/>
          <w:pgNumType w:start="1"/>
          <w:cols w:space="720"/>
          <w:docGrid w:type="lines" w:linePitch="312"/>
        </w:sectPr>
      </w:pPr>
    </w:p>
    <w:p w14:paraId="138BF7C3" w14:textId="77777777" w:rsidR="00BE04A8" w:rsidRDefault="00053520">
      <w:pPr>
        <w:autoSpaceDE w:val="0"/>
        <w:autoSpaceDN w:val="0"/>
        <w:adjustRightInd w:val="0"/>
        <w:spacing w:line="360" w:lineRule="auto"/>
        <w:jc w:val="left"/>
        <w:rPr>
          <w:bCs/>
          <w:sz w:val="24"/>
        </w:rPr>
      </w:pPr>
      <w:r>
        <w:rPr>
          <w:rFonts w:ascii="宋体" w:hAnsi="宋体" w:hint="eastAsia"/>
          <w:sz w:val="24"/>
        </w:rPr>
        <w:lastRenderedPageBreak/>
        <w:t>本页无正文，为《</w:t>
      </w:r>
      <w:r>
        <w:rPr>
          <w:rFonts w:ascii="宋体" w:hAnsi="宋体"/>
          <w:sz w:val="24"/>
        </w:rPr>
        <w:t>汇添富中证全指红利质量交易型开放式指数证券投资基金</w:t>
      </w:r>
      <w:r>
        <w:rPr>
          <w:rFonts w:ascii="宋体" w:hAnsi="宋体" w:hint="eastAsia"/>
          <w:sz w:val="24"/>
        </w:rPr>
        <w:t>基金合同》签字盖章页</w:t>
      </w:r>
    </w:p>
    <w:p w14:paraId="7BACAD3B" w14:textId="77777777" w:rsidR="00BE04A8" w:rsidRDefault="00BE04A8">
      <w:pPr>
        <w:autoSpaceDE w:val="0"/>
        <w:autoSpaceDN w:val="0"/>
        <w:spacing w:line="360" w:lineRule="auto"/>
        <w:ind w:firstLine="425"/>
        <w:textAlignment w:val="bottom"/>
        <w:rPr>
          <w:rFonts w:ascii="宋体" w:hAnsi="宋体"/>
          <w:sz w:val="24"/>
        </w:rPr>
      </w:pPr>
    </w:p>
    <w:p w14:paraId="2A7EB5E2" w14:textId="77777777" w:rsidR="00BE04A8" w:rsidRDefault="00BE04A8">
      <w:pPr>
        <w:autoSpaceDE w:val="0"/>
        <w:autoSpaceDN w:val="0"/>
        <w:spacing w:line="360" w:lineRule="auto"/>
        <w:ind w:firstLine="425"/>
        <w:textAlignment w:val="bottom"/>
        <w:rPr>
          <w:rFonts w:ascii="宋体" w:hAnsi="宋体"/>
          <w:sz w:val="24"/>
        </w:rPr>
      </w:pPr>
    </w:p>
    <w:p w14:paraId="5A1465E8" w14:textId="77777777" w:rsidR="00BE04A8" w:rsidRDefault="00BE04A8">
      <w:pPr>
        <w:spacing w:line="360" w:lineRule="auto"/>
        <w:ind w:right="26"/>
        <w:rPr>
          <w:rFonts w:ascii="宋体" w:hAnsi="宋体"/>
          <w:sz w:val="24"/>
        </w:rPr>
      </w:pPr>
    </w:p>
    <w:p w14:paraId="5B966812" w14:textId="77777777" w:rsidR="00BE04A8" w:rsidRDefault="00053520">
      <w:pPr>
        <w:spacing w:line="360" w:lineRule="auto"/>
        <w:ind w:right="26"/>
        <w:rPr>
          <w:rFonts w:ascii="宋体" w:hAnsi="宋体"/>
          <w:b/>
          <w:sz w:val="24"/>
        </w:rPr>
      </w:pPr>
      <w:r>
        <w:rPr>
          <w:rFonts w:ascii="宋体" w:hAnsi="宋体" w:hint="eastAsia"/>
          <w:b/>
          <w:sz w:val="24"/>
        </w:rPr>
        <w:t>基金管理人：</w:t>
      </w:r>
      <w:r>
        <w:rPr>
          <w:rFonts w:ascii="宋体" w:hAnsi="宋体"/>
          <w:b/>
          <w:sz w:val="24"/>
        </w:rPr>
        <w:t>汇添富基金管理股份有限公司</w:t>
      </w:r>
      <w:r>
        <w:rPr>
          <w:rFonts w:ascii="宋体" w:hAnsi="宋体" w:hint="eastAsia"/>
          <w:b/>
          <w:sz w:val="24"/>
        </w:rPr>
        <w:t>（公章）</w:t>
      </w:r>
    </w:p>
    <w:p w14:paraId="34235EDE" w14:textId="77777777" w:rsidR="00BE04A8" w:rsidRDefault="00BE04A8">
      <w:pPr>
        <w:spacing w:line="360" w:lineRule="auto"/>
        <w:ind w:right="26"/>
        <w:rPr>
          <w:rFonts w:ascii="宋体" w:hAnsi="宋体"/>
          <w:b/>
          <w:sz w:val="24"/>
        </w:rPr>
      </w:pPr>
    </w:p>
    <w:p w14:paraId="4BFB4CCE" w14:textId="77777777" w:rsidR="00BE04A8" w:rsidRDefault="00BE04A8">
      <w:pPr>
        <w:spacing w:line="360" w:lineRule="auto"/>
        <w:ind w:right="26"/>
        <w:rPr>
          <w:rFonts w:ascii="宋体" w:hAnsi="宋体"/>
          <w:b/>
          <w:sz w:val="24"/>
        </w:rPr>
      </w:pPr>
    </w:p>
    <w:p w14:paraId="02BE52BB" w14:textId="77777777" w:rsidR="00BE04A8" w:rsidRDefault="00BE04A8">
      <w:pPr>
        <w:spacing w:line="360" w:lineRule="auto"/>
        <w:ind w:right="26"/>
        <w:rPr>
          <w:rFonts w:ascii="宋体" w:hAnsi="宋体"/>
          <w:b/>
          <w:sz w:val="24"/>
        </w:rPr>
      </w:pPr>
    </w:p>
    <w:p w14:paraId="5A7885E1" w14:textId="77777777" w:rsidR="00BE04A8" w:rsidRDefault="00053520">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14:paraId="5CB5008D" w14:textId="77777777" w:rsidR="00BE04A8" w:rsidRDefault="00BE04A8">
      <w:pPr>
        <w:spacing w:line="360" w:lineRule="auto"/>
        <w:ind w:right="26"/>
        <w:rPr>
          <w:rFonts w:ascii="宋体" w:hAnsi="宋体"/>
          <w:b/>
          <w:sz w:val="24"/>
        </w:rPr>
      </w:pPr>
    </w:p>
    <w:p w14:paraId="26E2FCB6" w14:textId="77777777" w:rsidR="00BE04A8" w:rsidRDefault="00BE04A8">
      <w:pPr>
        <w:spacing w:line="360" w:lineRule="auto"/>
        <w:ind w:right="26"/>
        <w:rPr>
          <w:rFonts w:ascii="宋体" w:hAnsi="宋体"/>
          <w:b/>
          <w:sz w:val="24"/>
        </w:rPr>
      </w:pPr>
    </w:p>
    <w:p w14:paraId="6D05A3A3" w14:textId="77777777" w:rsidR="00BE04A8" w:rsidRDefault="00BE04A8">
      <w:pPr>
        <w:spacing w:line="360" w:lineRule="auto"/>
        <w:ind w:right="26"/>
        <w:rPr>
          <w:rFonts w:ascii="宋体" w:hAnsi="宋体"/>
          <w:b/>
          <w:sz w:val="24"/>
        </w:rPr>
      </w:pPr>
    </w:p>
    <w:p w14:paraId="0C639609" w14:textId="77777777" w:rsidR="00BE04A8" w:rsidRDefault="00BE04A8">
      <w:pPr>
        <w:spacing w:line="360" w:lineRule="auto"/>
        <w:ind w:right="26"/>
        <w:rPr>
          <w:rFonts w:ascii="宋体" w:hAnsi="宋体"/>
          <w:b/>
          <w:sz w:val="24"/>
        </w:rPr>
      </w:pPr>
    </w:p>
    <w:p w14:paraId="637F8772" w14:textId="77777777" w:rsidR="00BE04A8" w:rsidRDefault="00BE04A8">
      <w:pPr>
        <w:spacing w:line="360" w:lineRule="auto"/>
        <w:ind w:right="26"/>
        <w:rPr>
          <w:rFonts w:ascii="宋体" w:hAnsi="宋体"/>
          <w:b/>
          <w:sz w:val="24"/>
        </w:rPr>
      </w:pPr>
    </w:p>
    <w:p w14:paraId="2E7C18C0" w14:textId="77777777" w:rsidR="00BE04A8" w:rsidRDefault="00053520">
      <w:pPr>
        <w:spacing w:line="360" w:lineRule="auto"/>
        <w:ind w:right="26"/>
        <w:rPr>
          <w:rFonts w:ascii="宋体" w:hAnsi="宋体"/>
          <w:b/>
          <w:sz w:val="24"/>
        </w:rPr>
      </w:pPr>
      <w:r>
        <w:rPr>
          <w:rFonts w:ascii="宋体" w:hAnsi="宋体" w:hint="eastAsia"/>
          <w:b/>
          <w:sz w:val="24"/>
        </w:rPr>
        <w:t>基金托管人：</w:t>
      </w:r>
      <w:r>
        <w:rPr>
          <w:rFonts w:ascii="宋体" w:hAnsi="宋体"/>
          <w:b/>
          <w:sz w:val="24"/>
        </w:rPr>
        <w:t>上海浦东发展银行股份有限公司</w:t>
      </w:r>
      <w:r>
        <w:rPr>
          <w:rFonts w:ascii="宋体" w:hAnsi="宋体" w:hint="eastAsia"/>
          <w:b/>
          <w:sz w:val="24"/>
        </w:rPr>
        <w:t>（公章或合同专用章）</w:t>
      </w:r>
    </w:p>
    <w:p w14:paraId="69CE4CA6" w14:textId="77777777" w:rsidR="00BE04A8" w:rsidRDefault="00BE04A8">
      <w:pPr>
        <w:spacing w:line="360" w:lineRule="auto"/>
        <w:ind w:right="26"/>
        <w:rPr>
          <w:rFonts w:ascii="宋体" w:hAnsi="宋体"/>
          <w:b/>
          <w:sz w:val="24"/>
        </w:rPr>
      </w:pPr>
    </w:p>
    <w:p w14:paraId="2A5F6069" w14:textId="77777777" w:rsidR="00BE04A8" w:rsidRDefault="00BE04A8">
      <w:pPr>
        <w:spacing w:line="360" w:lineRule="auto"/>
        <w:ind w:right="26"/>
        <w:rPr>
          <w:rFonts w:ascii="宋体" w:hAnsi="宋体"/>
          <w:b/>
          <w:sz w:val="24"/>
        </w:rPr>
      </w:pPr>
    </w:p>
    <w:p w14:paraId="28026966" w14:textId="77777777" w:rsidR="00BE04A8" w:rsidRDefault="00BE04A8">
      <w:pPr>
        <w:spacing w:line="360" w:lineRule="auto"/>
        <w:ind w:right="26"/>
        <w:rPr>
          <w:rFonts w:ascii="宋体" w:hAnsi="宋体"/>
          <w:b/>
          <w:sz w:val="24"/>
        </w:rPr>
      </w:pPr>
    </w:p>
    <w:p w14:paraId="7F922BF1" w14:textId="77777777" w:rsidR="00BE04A8" w:rsidRDefault="00053520">
      <w:pPr>
        <w:spacing w:line="360" w:lineRule="auto"/>
        <w:ind w:right="26"/>
        <w:rPr>
          <w:rFonts w:ascii="宋体" w:hAnsi="宋体"/>
          <w:b/>
          <w:sz w:val="24"/>
        </w:rPr>
      </w:pPr>
      <w:r>
        <w:rPr>
          <w:rFonts w:ascii="宋体" w:hAnsi="宋体" w:hint="eastAsia"/>
          <w:b/>
          <w:sz w:val="24"/>
        </w:rPr>
        <w:t>法定代表人或授权代表：            （签字或盖章）</w:t>
      </w:r>
    </w:p>
    <w:p w14:paraId="25ACBE1B" w14:textId="77777777" w:rsidR="00BE04A8" w:rsidRDefault="00BE04A8">
      <w:pPr>
        <w:spacing w:line="360" w:lineRule="auto"/>
        <w:ind w:right="26"/>
        <w:rPr>
          <w:rFonts w:ascii="宋体" w:hAnsi="宋体"/>
          <w:b/>
          <w:sz w:val="24"/>
        </w:rPr>
      </w:pPr>
    </w:p>
    <w:p w14:paraId="6F05C788" w14:textId="77777777" w:rsidR="00BE04A8" w:rsidRDefault="00BE04A8">
      <w:pPr>
        <w:spacing w:line="360" w:lineRule="auto"/>
        <w:ind w:right="26"/>
        <w:rPr>
          <w:rFonts w:ascii="宋体" w:hAnsi="宋体"/>
          <w:b/>
          <w:sz w:val="24"/>
        </w:rPr>
      </w:pPr>
    </w:p>
    <w:p w14:paraId="4BC48F50" w14:textId="77777777" w:rsidR="00BE04A8" w:rsidRDefault="00BE04A8">
      <w:pPr>
        <w:spacing w:line="360" w:lineRule="auto"/>
        <w:ind w:right="26"/>
        <w:rPr>
          <w:rFonts w:ascii="宋体" w:hAnsi="宋体"/>
          <w:b/>
          <w:sz w:val="24"/>
        </w:rPr>
      </w:pPr>
    </w:p>
    <w:p w14:paraId="4EBAC0E9" w14:textId="77777777" w:rsidR="00BE04A8" w:rsidRDefault="00BE04A8">
      <w:pPr>
        <w:spacing w:line="360" w:lineRule="auto"/>
        <w:ind w:right="26"/>
        <w:rPr>
          <w:rFonts w:ascii="宋体" w:hAnsi="宋体"/>
          <w:b/>
          <w:sz w:val="24"/>
        </w:rPr>
      </w:pPr>
    </w:p>
    <w:p w14:paraId="6D87841B" w14:textId="77777777" w:rsidR="00BE04A8" w:rsidRDefault="00BE04A8">
      <w:pPr>
        <w:spacing w:line="360" w:lineRule="auto"/>
        <w:ind w:right="26"/>
        <w:rPr>
          <w:rFonts w:ascii="宋体" w:hAnsi="宋体"/>
          <w:b/>
          <w:sz w:val="24"/>
        </w:rPr>
      </w:pPr>
    </w:p>
    <w:p w14:paraId="02E3FB5F" w14:textId="77777777" w:rsidR="00BE04A8" w:rsidRDefault="00BE04A8">
      <w:pPr>
        <w:spacing w:line="360" w:lineRule="auto"/>
        <w:ind w:right="26"/>
        <w:rPr>
          <w:rFonts w:ascii="宋体" w:hAnsi="宋体"/>
          <w:b/>
          <w:sz w:val="24"/>
        </w:rPr>
      </w:pPr>
    </w:p>
    <w:p w14:paraId="7F2F0CDA" w14:textId="77777777" w:rsidR="00BE04A8" w:rsidRDefault="00053520">
      <w:pPr>
        <w:spacing w:line="360" w:lineRule="auto"/>
        <w:ind w:right="26"/>
        <w:rPr>
          <w:rFonts w:ascii="宋体" w:hAnsi="宋体"/>
          <w:b/>
          <w:sz w:val="24"/>
        </w:rPr>
      </w:pPr>
      <w:r>
        <w:rPr>
          <w:rFonts w:ascii="宋体" w:hAnsi="宋体" w:hint="eastAsia"/>
          <w:b/>
          <w:sz w:val="24"/>
        </w:rPr>
        <w:t>签订地点：</w:t>
      </w:r>
    </w:p>
    <w:p w14:paraId="4B0D00E1" w14:textId="77777777" w:rsidR="00BE04A8" w:rsidRDefault="00053520">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BE04A8">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00DD5" w16cid:durableId="2D95C1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9554E" w14:textId="77777777" w:rsidR="00573A9C" w:rsidRDefault="00573A9C">
      <w:r>
        <w:separator/>
      </w:r>
    </w:p>
  </w:endnote>
  <w:endnote w:type="continuationSeparator" w:id="0">
    <w:p w14:paraId="3EA64789" w14:textId="77777777" w:rsidR="00573A9C" w:rsidRDefault="0057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1C1A" w14:textId="77777777" w:rsidR="001E5780" w:rsidRDefault="001E5780">
    <w:pPr>
      <w:pStyle w:val="ab"/>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94761"/>
      <w:docPartObj>
        <w:docPartGallery w:val="AutoText"/>
      </w:docPartObj>
    </w:sdtPr>
    <w:sdtEndPr/>
    <w:sdtContent>
      <w:p w14:paraId="3D52B4DC" w14:textId="3B283194" w:rsidR="001E5780" w:rsidRDefault="001E5780">
        <w:pPr>
          <w:pStyle w:val="ab"/>
          <w:jc w:val="center"/>
        </w:pPr>
        <w:r>
          <w:fldChar w:fldCharType="begin"/>
        </w:r>
        <w:r>
          <w:instrText>PAGE   \* MERGEFORMAT</w:instrText>
        </w:r>
        <w:r>
          <w:fldChar w:fldCharType="separate"/>
        </w:r>
        <w:r w:rsidR="001D777D" w:rsidRPr="001D777D">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409254"/>
      <w:docPartObj>
        <w:docPartGallery w:val="AutoText"/>
      </w:docPartObj>
    </w:sdtPr>
    <w:sdtEndPr/>
    <w:sdtContent>
      <w:p w14:paraId="48D36992" w14:textId="36C61B31" w:rsidR="001E5780" w:rsidRDefault="001E5780">
        <w:pPr>
          <w:pStyle w:val="ab"/>
          <w:jc w:val="center"/>
        </w:pPr>
        <w:r>
          <w:fldChar w:fldCharType="begin"/>
        </w:r>
        <w:r>
          <w:instrText>PAGE   \* MERGEFORMAT</w:instrText>
        </w:r>
        <w:r>
          <w:fldChar w:fldCharType="separate"/>
        </w:r>
        <w:r w:rsidR="001D777D" w:rsidRPr="001D777D">
          <w:rPr>
            <w:noProof/>
            <w:lang w:val="zh-CN"/>
          </w:rPr>
          <w:t>2</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BA00" w14:textId="77777777" w:rsidR="001E5780" w:rsidRDefault="001E5780">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EACB5" w14:textId="77777777" w:rsidR="00573A9C" w:rsidRDefault="00573A9C">
      <w:r>
        <w:separator/>
      </w:r>
    </w:p>
  </w:footnote>
  <w:footnote w:type="continuationSeparator" w:id="0">
    <w:p w14:paraId="113A4FC0" w14:textId="77777777" w:rsidR="00573A9C" w:rsidRDefault="00573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ED5C" w14:textId="2FCFDBA3" w:rsidR="001E5780" w:rsidRDefault="001E5780">
    <w:pPr>
      <w:pStyle w:val="ad"/>
      <w:tabs>
        <w:tab w:val="clear" w:pos="4153"/>
      </w:tabs>
      <w:jc w:val="left"/>
    </w:pPr>
    <w:r>
      <w:t>汇添富中证全指红利质量交易型开放式指数证券投资基金</w:t>
    </w:r>
    <w:r>
      <w:tab/>
    </w:r>
    <w: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5373" w14:textId="77777777" w:rsidR="001E5780" w:rsidRDefault="001E5780">
    <w:pPr>
      <w:pStyle w:val="ad"/>
      <w:tabs>
        <w:tab w:val="clear" w:pos="4153"/>
      </w:tabs>
      <w:jc w:val="left"/>
    </w:pPr>
    <w:r>
      <w:t>汇添富中证全指红利质量交易型开放式指数证券投资基金</w:t>
    </w:r>
    <w:r>
      <w:tab/>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0135"/>
    <w:rsid w:val="00032906"/>
    <w:rsid w:val="00032A5E"/>
    <w:rsid w:val="00035B3D"/>
    <w:rsid w:val="000402C2"/>
    <w:rsid w:val="00040E8E"/>
    <w:rsid w:val="000421FF"/>
    <w:rsid w:val="000425E1"/>
    <w:rsid w:val="00044193"/>
    <w:rsid w:val="0004568D"/>
    <w:rsid w:val="000464E5"/>
    <w:rsid w:val="000466DC"/>
    <w:rsid w:val="0005235A"/>
    <w:rsid w:val="00053520"/>
    <w:rsid w:val="00055194"/>
    <w:rsid w:val="00056035"/>
    <w:rsid w:val="00056089"/>
    <w:rsid w:val="00056B5C"/>
    <w:rsid w:val="0005789D"/>
    <w:rsid w:val="0006098B"/>
    <w:rsid w:val="0006588B"/>
    <w:rsid w:val="000658E8"/>
    <w:rsid w:val="00067658"/>
    <w:rsid w:val="000700C4"/>
    <w:rsid w:val="00072899"/>
    <w:rsid w:val="0007536D"/>
    <w:rsid w:val="00080338"/>
    <w:rsid w:val="0008313D"/>
    <w:rsid w:val="00085549"/>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0D44"/>
    <w:rsid w:val="000C24FA"/>
    <w:rsid w:val="000C3747"/>
    <w:rsid w:val="000C7015"/>
    <w:rsid w:val="000C718F"/>
    <w:rsid w:val="000C7F98"/>
    <w:rsid w:val="000D214C"/>
    <w:rsid w:val="000D5B88"/>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3269"/>
    <w:rsid w:val="001134B3"/>
    <w:rsid w:val="001220F7"/>
    <w:rsid w:val="00123EB0"/>
    <w:rsid w:val="00126AE2"/>
    <w:rsid w:val="00126E79"/>
    <w:rsid w:val="001272BD"/>
    <w:rsid w:val="00131B53"/>
    <w:rsid w:val="001342AC"/>
    <w:rsid w:val="00134954"/>
    <w:rsid w:val="00137FA4"/>
    <w:rsid w:val="00141EF4"/>
    <w:rsid w:val="001514B8"/>
    <w:rsid w:val="001522C5"/>
    <w:rsid w:val="001531D8"/>
    <w:rsid w:val="00153D01"/>
    <w:rsid w:val="00153E62"/>
    <w:rsid w:val="00154395"/>
    <w:rsid w:val="00154557"/>
    <w:rsid w:val="00156A25"/>
    <w:rsid w:val="00157A3D"/>
    <w:rsid w:val="00163549"/>
    <w:rsid w:val="00164D53"/>
    <w:rsid w:val="00171C27"/>
    <w:rsid w:val="00172A27"/>
    <w:rsid w:val="0017353E"/>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121"/>
    <w:rsid w:val="001B325B"/>
    <w:rsid w:val="001B62D7"/>
    <w:rsid w:val="001B6BAC"/>
    <w:rsid w:val="001C101B"/>
    <w:rsid w:val="001C1B8F"/>
    <w:rsid w:val="001C4009"/>
    <w:rsid w:val="001C5537"/>
    <w:rsid w:val="001C6D6A"/>
    <w:rsid w:val="001C7B68"/>
    <w:rsid w:val="001D57AF"/>
    <w:rsid w:val="001D777D"/>
    <w:rsid w:val="001E094C"/>
    <w:rsid w:val="001E0FF2"/>
    <w:rsid w:val="001E2C2E"/>
    <w:rsid w:val="001E2C50"/>
    <w:rsid w:val="001E505C"/>
    <w:rsid w:val="001E5780"/>
    <w:rsid w:val="001E5A8A"/>
    <w:rsid w:val="001E5F81"/>
    <w:rsid w:val="001E5F9D"/>
    <w:rsid w:val="001F0926"/>
    <w:rsid w:val="001F0940"/>
    <w:rsid w:val="001F13BD"/>
    <w:rsid w:val="001F4B18"/>
    <w:rsid w:val="001F50E1"/>
    <w:rsid w:val="00204621"/>
    <w:rsid w:val="00206016"/>
    <w:rsid w:val="00210EF2"/>
    <w:rsid w:val="002172E3"/>
    <w:rsid w:val="002178D8"/>
    <w:rsid w:val="0022040F"/>
    <w:rsid w:val="00221F63"/>
    <w:rsid w:val="00222562"/>
    <w:rsid w:val="00222DE4"/>
    <w:rsid w:val="002254B5"/>
    <w:rsid w:val="002256A5"/>
    <w:rsid w:val="00226C42"/>
    <w:rsid w:val="0022787F"/>
    <w:rsid w:val="002306FB"/>
    <w:rsid w:val="00232C19"/>
    <w:rsid w:val="0023388E"/>
    <w:rsid w:val="00236F6C"/>
    <w:rsid w:val="00244337"/>
    <w:rsid w:val="00244608"/>
    <w:rsid w:val="0024488F"/>
    <w:rsid w:val="00245AE5"/>
    <w:rsid w:val="0024674D"/>
    <w:rsid w:val="00251CDE"/>
    <w:rsid w:val="0026130F"/>
    <w:rsid w:val="00265178"/>
    <w:rsid w:val="00265761"/>
    <w:rsid w:val="00265EF4"/>
    <w:rsid w:val="00266093"/>
    <w:rsid w:val="0026618B"/>
    <w:rsid w:val="002700A3"/>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6254"/>
    <w:rsid w:val="00296F4D"/>
    <w:rsid w:val="002A05A3"/>
    <w:rsid w:val="002A0C0C"/>
    <w:rsid w:val="002A0EA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3842"/>
    <w:rsid w:val="002E426E"/>
    <w:rsid w:val="002E5101"/>
    <w:rsid w:val="002E6AA0"/>
    <w:rsid w:val="002E6E68"/>
    <w:rsid w:val="002F0CE1"/>
    <w:rsid w:val="002F0DB6"/>
    <w:rsid w:val="002F1A4D"/>
    <w:rsid w:val="002F2B69"/>
    <w:rsid w:val="002F4328"/>
    <w:rsid w:val="002F6E80"/>
    <w:rsid w:val="00303634"/>
    <w:rsid w:val="00303F10"/>
    <w:rsid w:val="003055ED"/>
    <w:rsid w:val="00311061"/>
    <w:rsid w:val="00313741"/>
    <w:rsid w:val="003144DD"/>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35731"/>
    <w:rsid w:val="00341D5C"/>
    <w:rsid w:val="00341FC3"/>
    <w:rsid w:val="00343C18"/>
    <w:rsid w:val="00343C28"/>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2963"/>
    <w:rsid w:val="003740DF"/>
    <w:rsid w:val="003767F5"/>
    <w:rsid w:val="00376907"/>
    <w:rsid w:val="00376F9E"/>
    <w:rsid w:val="00377337"/>
    <w:rsid w:val="00380E9F"/>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7966"/>
    <w:rsid w:val="003B1DF6"/>
    <w:rsid w:val="003B46E8"/>
    <w:rsid w:val="003B6E3D"/>
    <w:rsid w:val="003C19BF"/>
    <w:rsid w:val="003C4530"/>
    <w:rsid w:val="003C5B82"/>
    <w:rsid w:val="003C5C9E"/>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3F5EA4"/>
    <w:rsid w:val="004030CE"/>
    <w:rsid w:val="00412396"/>
    <w:rsid w:val="0041281C"/>
    <w:rsid w:val="00415036"/>
    <w:rsid w:val="00416341"/>
    <w:rsid w:val="00421136"/>
    <w:rsid w:val="00424437"/>
    <w:rsid w:val="00425210"/>
    <w:rsid w:val="00425551"/>
    <w:rsid w:val="0043083F"/>
    <w:rsid w:val="004356A1"/>
    <w:rsid w:val="004421C9"/>
    <w:rsid w:val="00443E05"/>
    <w:rsid w:val="00443F0B"/>
    <w:rsid w:val="004455DC"/>
    <w:rsid w:val="0045064E"/>
    <w:rsid w:val="004514D2"/>
    <w:rsid w:val="00451940"/>
    <w:rsid w:val="004523BC"/>
    <w:rsid w:val="00454167"/>
    <w:rsid w:val="00456A74"/>
    <w:rsid w:val="004630AA"/>
    <w:rsid w:val="00463C2E"/>
    <w:rsid w:val="0046493A"/>
    <w:rsid w:val="004663BB"/>
    <w:rsid w:val="004748B5"/>
    <w:rsid w:val="00476147"/>
    <w:rsid w:val="00477B2F"/>
    <w:rsid w:val="00481428"/>
    <w:rsid w:val="004817AB"/>
    <w:rsid w:val="00482449"/>
    <w:rsid w:val="00483A5A"/>
    <w:rsid w:val="004850E4"/>
    <w:rsid w:val="00485743"/>
    <w:rsid w:val="00485D6C"/>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2FB8"/>
    <w:rsid w:val="004E71CB"/>
    <w:rsid w:val="004E7693"/>
    <w:rsid w:val="004F0F39"/>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C59"/>
    <w:rsid w:val="00523FEC"/>
    <w:rsid w:val="0052416A"/>
    <w:rsid w:val="00524736"/>
    <w:rsid w:val="005250A6"/>
    <w:rsid w:val="0052660B"/>
    <w:rsid w:val="00530000"/>
    <w:rsid w:val="0053172D"/>
    <w:rsid w:val="00531E8F"/>
    <w:rsid w:val="005329C4"/>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C62"/>
    <w:rsid w:val="00555F55"/>
    <w:rsid w:val="0056021E"/>
    <w:rsid w:val="00560C71"/>
    <w:rsid w:val="00562944"/>
    <w:rsid w:val="00563105"/>
    <w:rsid w:val="00563823"/>
    <w:rsid w:val="00563EDF"/>
    <w:rsid w:val="00565143"/>
    <w:rsid w:val="00565504"/>
    <w:rsid w:val="0056786D"/>
    <w:rsid w:val="00573A9C"/>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D6D39"/>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390D"/>
    <w:rsid w:val="0068450B"/>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E7E0D"/>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6F47"/>
    <w:rsid w:val="00817FDD"/>
    <w:rsid w:val="00820176"/>
    <w:rsid w:val="008215E7"/>
    <w:rsid w:val="0082282E"/>
    <w:rsid w:val="00823C3C"/>
    <w:rsid w:val="008279AF"/>
    <w:rsid w:val="00830F84"/>
    <w:rsid w:val="00831C63"/>
    <w:rsid w:val="008349B9"/>
    <w:rsid w:val="00835199"/>
    <w:rsid w:val="00835EF3"/>
    <w:rsid w:val="008367AC"/>
    <w:rsid w:val="0084171C"/>
    <w:rsid w:val="008420CD"/>
    <w:rsid w:val="00845783"/>
    <w:rsid w:val="00846146"/>
    <w:rsid w:val="00847110"/>
    <w:rsid w:val="008475D1"/>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0C44"/>
    <w:rsid w:val="008A1936"/>
    <w:rsid w:val="008A2107"/>
    <w:rsid w:val="008A29AF"/>
    <w:rsid w:val="008A3C1F"/>
    <w:rsid w:val="008A664D"/>
    <w:rsid w:val="008B377E"/>
    <w:rsid w:val="008B5538"/>
    <w:rsid w:val="008B69A5"/>
    <w:rsid w:val="008C2DB4"/>
    <w:rsid w:val="008C2F9E"/>
    <w:rsid w:val="008C3F2C"/>
    <w:rsid w:val="008C5E8F"/>
    <w:rsid w:val="008D13E6"/>
    <w:rsid w:val="008D1538"/>
    <w:rsid w:val="008D4520"/>
    <w:rsid w:val="008E1E18"/>
    <w:rsid w:val="008E46DA"/>
    <w:rsid w:val="008E4ED9"/>
    <w:rsid w:val="008F21BF"/>
    <w:rsid w:val="008F2229"/>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3276"/>
    <w:rsid w:val="00923E84"/>
    <w:rsid w:val="00932484"/>
    <w:rsid w:val="00932558"/>
    <w:rsid w:val="0093355C"/>
    <w:rsid w:val="00937205"/>
    <w:rsid w:val="00937C1D"/>
    <w:rsid w:val="00940EDA"/>
    <w:rsid w:val="00942271"/>
    <w:rsid w:val="00943759"/>
    <w:rsid w:val="009503C7"/>
    <w:rsid w:val="00950B05"/>
    <w:rsid w:val="0095289B"/>
    <w:rsid w:val="00953B50"/>
    <w:rsid w:val="00957CC9"/>
    <w:rsid w:val="00963AB1"/>
    <w:rsid w:val="009667E1"/>
    <w:rsid w:val="00970AC2"/>
    <w:rsid w:val="00970CA9"/>
    <w:rsid w:val="00971A90"/>
    <w:rsid w:val="00971EF9"/>
    <w:rsid w:val="009727EA"/>
    <w:rsid w:val="00972A6E"/>
    <w:rsid w:val="009732FF"/>
    <w:rsid w:val="00976551"/>
    <w:rsid w:val="00976BDA"/>
    <w:rsid w:val="0097727E"/>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DEE"/>
    <w:rsid w:val="009B6E72"/>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332"/>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87A"/>
    <w:rsid w:val="00AF00F9"/>
    <w:rsid w:val="00AF0888"/>
    <w:rsid w:val="00AF0D99"/>
    <w:rsid w:val="00AF30BD"/>
    <w:rsid w:val="00AF31D5"/>
    <w:rsid w:val="00AF6810"/>
    <w:rsid w:val="00B0001B"/>
    <w:rsid w:val="00B034AA"/>
    <w:rsid w:val="00B03EB7"/>
    <w:rsid w:val="00B0594C"/>
    <w:rsid w:val="00B05FC7"/>
    <w:rsid w:val="00B06E05"/>
    <w:rsid w:val="00B13ECD"/>
    <w:rsid w:val="00B172BA"/>
    <w:rsid w:val="00B17B36"/>
    <w:rsid w:val="00B2034A"/>
    <w:rsid w:val="00B2097F"/>
    <w:rsid w:val="00B22512"/>
    <w:rsid w:val="00B23268"/>
    <w:rsid w:val="00B244A2"/>
    <w:rsid w:val="00B277C1"/>
    <w:rsid w:val="00B3200C"/>
    <w:rsid w:val="00B3323E"/>
    <w:rsid w:val="00B342DE"/>
    <w:rsid w:val="00B34F9B"/>
    <w:rsid w:val="00B354D4"/>
    <w:rsid w:val="00B36F96"/>
    <w:rsid w:val="00B42022"/>
    <w:rsid w:val="00B459FB"/>
    <w:rsid w:val="00B50249"/>
    <w:rsid w:val="00B50840"/>
    <w:rsid w:val="00B54994"/>
    <w:rsid w:val="00B5539B"/>
    <w:rsid w:val="00B574DB"/>
    <w:rsid w:val="00B60816"/>
    <w:rsid w:val="00B60C8A"/>
    <w:rsid w:val="00B610A6"/>
    <w:rsid w:val="00B63FF0"/>
    <w:rsid w:val="00B6498C"/>
    <w:rsid w:val="00B70F05"/>
    <w:rsid w:val="00B76C5D"/>
    <w:rsid w:val="00B77E6E"/>
    <w:rsid w:val="00B809BA"/>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719F"/>
    <w:rsid w:val="00BE04A8"/>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7D71"/>
    <w:rsid w:val="00C20C6E"/>
    <w:rsid w:val="00C2130B"/>
    <w:rsid w:val="00C21371"/>
    <w:rsid w:val="00C21495"/>
    <w:rsid w:val="00C23AC6"/>
    <w:rsid w:val="00C23E97"/>
    <w:rsid w:val="00C25578"/>
    <w:rsid w:val="00C26CB0"/>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A3BC8"/>
    <w:rsid w:val="00CB0EBD"/>
    <w:rsid w:val="00CB1D5F"/>
    <w:rsid w:val="00CB2917"/>
    <w:rsid w:val="00CB79F7"/>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01B2"/>
    <w:rsid w:val="00D1180D"/>
    <w:rsid w:val="00D138FA"/>
    <w:rsid w:val="00D14200"/>
    <w:rsid w:val="00D146B0"/>
    <w:rsid w:val="00D15392"/>
    <w:rsid w:val="00D17421"/>
    <w:rsid w:val="00D208B0"/>
    <w:rsid w:val="00D21B7C"/>
    <w:rsid w:val="00D22C4F"/>
    <w:rsid w:val="00D27105"/>
    <w:rsid w:val="00D27E40"/>
    <w:rsid w:val="00D30937"/>
    <w:rsid w:val="00D345EB"/>
    <w:rsid w:val="00D40ACF"/>
    <w:rsid w:val="00D425C1"/>
    <w:rsid w:val="00D517C0"/>
    <w:rsid w:val="00D53CBF"/>
    <w:rsid w:val="00D54E76"/>
    <w:rsid w:val="00D56097"/>
    <w:rsid w:val="00D57FB4"/>
    <w:rsid w:val="00D60175"/>
    <w:rsid w:val="00D603B4"/>
    <w:rsid w:val="00D6219D"/>
    <w:rsid w:val="00D6225B"/>
    <w:rsid w:val="00D63801"/>
    <w:rsid w:val="00D6456C"/>
    <w:rsid w:val="00D6779A"/>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42BB"/>
    <w:rsid w:val="00E249F1"/>
    <w:rsid w:val="00E24F4F"/>
    <w:rsid w:val="00E2616B"/>
    <w:rsid w:val="00E27023"/>
    <w:rsid w:val="00E27B7A"/>
    <w:rsid w:val="00E31FDD"/>
    <w:rsid w:val="00E322B4"/>
    <w:rsid w:val="00E3600C"/>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BCB"/>
    <w:rsid w:val="00EA510A"/>
    <w:rsid w:val="00EB0F58"/>
    <w:rsid w:val="00EB22B0"/>
    <w:rsid w:val="00EB4528"/>
    <w:rsid w:val="00EB4987"/>
    <w:rsid w:val="00EB5A25"/>
    <w:rsid w:val="00EB7E47"/>
    <w:rsid w:val="00EC0720"/>
    <w:rsid w:val="00EC1F01"/>
    <w:rsid w:val="00EC27C8"/>
    <w:rsid w:val="00EC7309"/>
    <w:rsid w:val="00ED2461"/>
    <w:rsid w:val="00ED6959"/>
    <w:rsid w:val="00ED7C5D"/>
    <w:rsid w:val="00EE0AAC"/>
    <w:rsid w:val="00EE0F8E"/>
    <w:rsid w:val="00EE2D8D"/>
    <w:rsid w:val="00EE4A7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6BDF"/>
    <w:rsid w:val="00F47FCF"/>
    <w:rsid w:val="00F500A4"/>
    <w:rsid w:val="00F51791"/>
    <w:rsid w:val="00F560DB"/>
    <w:rsid w:val="00F57C1D"/>
    <w:rsid w:val="00F60672"/>
    <w:rsid w:val="00F6076D"/>
    <w:rsid w:val="00F61232"/>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07A4"/>
    <w:rsid w:val="00FD32E4"/>
    <w:rsid w:val="00FD6030"/>
    <w:rsid w:val="00FD743D"/>
    <w:rsid w:val="00FE04EE"/>
    <w:rsid w:val="00FE13E2"/>
    <w:rsid w:val="00FE42E5"/>
    <w:rsid w:val="00FE66B1"/>
    <w:rsid w:val="00FE769B"/>
    <w:rsid w:val="00FF146D"/>
    <w:rsid w:val="00FF2104"/>
    <w:rsid w:val="00FF3B47"/>
    <w:rsid w:val="00FF41B3"/>
    <w:rsid w:val="00FF516D"/>
    <w:rsid w:val="00FF5DC4"/>
    <w:rsid w:val="00FF7CBD"/>
    <w:rsid w:val="04EB1B83"/>
    <w:rsid w:val="3B85430D"/>
    <w:rsid w:val="59BB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7C4A5"/>
  <w15:docId w15:val="{A95674B7-AADC-4541-8915-33942A8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paragraph" w:styleId="a7">
    <w:name w:val="Body Text"/>
    <w:basedOn w:val="a"/>
    <w:link w:val="a8"/>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link w:val="ac"/>
    <w:uiPriority w:val="99"/>
    <w:pPr>
      <w:tabs>
        <w:tab w:val="center" w:pos="4153"/>
        <w:tab w:val="right" w:pos="8306"/>
      </w:tabs>
      <w:snapToGrid w:val="0"/>
      <w:jc w:val="left"/>
    </w:pPr>
    <w:rPr>
      <w:sz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rPr>
  </w:style>
  <w:style w:type="paragraph" w:styleId="11">
    <w:name w:val="toc 1"/>
    <w:basedOn w:val="a"/>
    <w:next w:val="a"/>
    <w:pPr>
      <w:tabs>
        <w:tab w:val="right" w:leader="dot" w:pos="8296"/>
      </w:tabs>
    </w:pPr>
    <w:rPr>
      <w:sz w:val="22"/>
    </w:rPr>
  </w:style>
  <w:style w:type="paragraph" w:styleId="af">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autoRedefine/>
    <w:qFormat/>
    <w:pPr>
      <w:ind w:left="240"/>
    </w:pPr>
    <w:rPr>
      <w:sz w:val="22"/>
    </w:r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qFormat/>
    <w:pPr>
      <w:spacing w:before="240" w:after="60"/>
      <w:jc w:val="center"/>
      <w:outlineLvl w:val="0"/>
    </w:pPr>
    <w:rPr>
      <w:rFonts w:ascii="Cambria" w:hAnsi="Cambria"/>
      <w:b/>
      <w:sz w:val="32"/>
      <w:lang w:val="zh-CN"/>
    </w:rPr>
  </w:style>
  <w:style w:type="paragraph" w:styleId="af3">
    <w:name w:val="annotation subject"/>
    <w:basedOn w:val="a5"/>
    <w:next w:val="a5"/>
    <w:rPr>
      <w:b/>
    </w:rPr>
  </w:style>
  <w:style w:type="character" w:styleId="af4">
    <w:name w:val="page number"/>
    <w:basedOn w:val="a0"/>
    <w:qFormat/>
  </w:style>
  <w:style w:type="character" w:styleId="af5">
    <w:name w:val="Hyperlink"/>
    <w:qFormat/>
    <w:rPr>
      <w:color w:val="0000FF"/>
      <w:u w:val="single"/>
    </w:rPr>
  </w:style>
  <w:style w:type="character" w:styleId="af6">
    <w:name w:val="annotation reference"/>
    <w:rPr>
      <w:sz w:val="21"/>
    </w:rPr>
  </w:style>
  <w:style w:type="character" w:styleId="af7">
    <w:name w:val="footnote reference"/>
    <w:qFormat/>
    <w:rPr>
      <w:vertAlign w:val="superscript"/>
    </w:rPr>
  </w:style>
  <w:style w:type="character" w:customStyle="1" w:styleId="a8">
    <w:name w:val="正文文本 字符"/>
    <w:link w:val="a7"/>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af2">
    <w:name w:val="标题 字符"/>
    <w:link w:val="af1"/>
    <w:rPr>
      <w:rFonts w:ascii="Cambria" w:hAnsi="Cambria"/>
      <w:b/>
      <w:kern w:val="2"/>
      <w:sz w:val="32"/>
      <w:lang w:val="zh-CN" w:eastAsia="zh-CN"/>
    </w:rPr>
  </w:style>
  <w:style w:type="character" w:customStyle="1" w:styleId="ae">
    <w:name w:val="页眉 字符"/>
    <w:link w:val="ad"/>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after="78" w:line="360" w:lineRule="auto"/>
      <w:ind w:firstLineChars="200" w:firstLine="200"/>
    </w:pPr>
    <w:rPr>
      <w:sz w:val="24"/>
    </w:rPr>
  </w:style>
  <w:style w:type="paragraph" w:customStyle="1" w:styleId="Char">
    <w:name w:val="Char"/>
    <w:basedOn w:val="a"/>
  </w:style>
  <w:style w:type="paragraph" w:customStyle="1" w:styleId="Char0">
    <w:name w:val="Char_0"/>
    <w:basedOn w:val="a"/>
  </w:style>
  <w:style w:type="paragraph" w:customStyle="1" w:styleId="CharCharChar">
    <w:name w:val="Char Char Char"/>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9">
    <w:name w:val="正文所"/>
    <w:basedOn w:val="a"/>
    <w:pPr>
      <w:spacing w:line="360" w:lineRule="auto"/>
      <w:ind w:firstLineChars="200" w:firstLine="420"/>
    </w:pPr>
    <w:rPr>
      <w:rFonts w:ascii="宋体"/>
    </w:rPr>
  </w:style>
  <w:style w:type="paragraph" w:customStyle="1" w:styleId="12">
    <w:name w:val="修订1"/>
    <w:hidden/>
    <w:uiPriority w:val="99"/>
    <w:semiHidden/>
    <w:rPr>
      <w:kern w:val="2"/>
      <w:sz w:val="21"/>
    </w:rPr>
  </w:style>
  <w:style w:type="character" w:customStyle="1" w:styleId="10">
    <w:name w:val="标题 1 字符"/>
    <w:link w:val="1"/>
    <w:rPr>
      <w:rFonts w:ascii="宋体"/>
      <w:b/>
      <w:color w:val="000000"/>
      <w:sz w:val="24"/>
    </w:rPr>
  </w:style>
  <w:style w:type="character" w:customStyle="1" w:styleId="a6">
    <w:name w:val="批注文字 字符"/>
    <w:link w:val="a5"/>
    <w:rPr>
      <w:kern w:val="2"/>
      <w:sz w:val="21"/>
    </w:rPr>
  </w:style>
  <w:style w:type="paragraph" w:customStyle="1" w:styleId="CharChar0">
    <w:name w:val="Char Char_0"/>
    <w:basedOn w:val="a"/>
  </w:style>
  <w:style w:type="paragraph" w:customStyle="1" w:styleId="CharChar10">
    <w:name w:val="Char Char_1"/>
    <w:basedOn w:val="a"/>
  </w:style>
  <w:style w:type="paragraph" w:customStyle="1" w:styleId="Char1">
    <w:name w:val="Char_1"/>
    <w:basedOn w:val="a"/>
  </w:style>
  <w:style w:type="paragraph" w:customStyle="1" w:styleId="CharCharChar0">
    <w:name w:val="Char Char Char_0"/>
    <w:basedOn w:val="a"/>
  </w:style>
  <w:style w:type="paragraph" w:customStyle="1" w:styleId="CharCharCharChar0">
    <w:name w:val="Char Char Char Char_0"/>
    <w:basedOn w:val="a"/>
    <w:pPr>
      <w:tabs>
        <w:tab w:val="left" w:pos="360"/>
      </w:tabs>
    </w:pPr>
  </w:style>
  <w:style w:type="paragraph" w:customStyle="1" w:styleId="CharChar100">
    <w:name w:val="Char Char1_0"/>
    <w:basedOn w:val="a"/>
  </w:style>
  <w:style w:type="paragraph" w:customStyle="1" w:styleId="CharChar2">
    <w:name w:val="Char Char_2"/>
    <w:basedOn w:val="a"/>
  </w:style>
  <w:style w:type="paragraph" w:styleId="afa">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
    <w:name w:val="Char_2"/>
    <w:basedOn w:val="a"/>
    <w:qFormat/>
  </w:style>
  <w:style w:type="paragraph" w:customStyle="1" w:styleId="CharChar12">
    <w:name w:val="Char Char1_2"/>
    <w:basedOn w:val="a"/>
    <w:qFormat/>
  </w:style>
  <w:style w:type="paragraph" w:customStyle="1" w:styleId="Char3">
    <w:name w:val="Char_3"/>
    <w:basedOn w:val="a"/>
    <w:qFormat/>
  </w:style>
  <w:style w:type="paragraph" w:customStyle="1" w:styleId="CharChar13">
    <w:name w:val="Char Char1_3"/>
    <w:basedOn w:val="a"/>
    <w:qFormat/>
  </w:style>
  <w:style w:type="paragraph" w:customStyle="1" w:styleId="Char4">
    <w:name w:val="Char_4"/>
    <w:basedOn w:val="a"/>
    <w:qFormat/>
  </w:style>
  <w:style w:type="paragraph" w:customStyle="1" w:styleId="CharChar3">
    <w:name w:val="Char Char_3"/>
    <w:basedOn w:val="a"/>
    <w:qFormat/>
  </w:style>
  <w:style w:type="character" w:customStyle="1" w:styleId="ac">
    <w:name w:val="页脚 字符"/>
    <w:basedOn w:val="a0"/>
    <w:link w:val="ab"/>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custom0">
    <w:name w:val="custom_0"/>
    <w:basedOn w:val="a0"/>
    <w:qFormat/>
  </w:style>
  <w:style w:type="character" w:customStyle="1" w:styleId="divCharacter">
    <w:name w:val="div Character"/>
    <w:basedOn w:val="a0"/>
    <w:qFormat/>
  </w:style>
  <w:style w:type="character" w:customStyle="1" w:styleId="serial-tag">
    <w:name w:val="serial-tag"/>
    <w:basedOn w:val="a0"/>
    <w:qFormat/>
  </w:style>
  <w:style w:type="character" w:customStyle="1" w:styleId="custom1">
    <w:name w:val="custom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0387-ED8A-4257-9779-9C2635C4CC30}">
  <ds:schemaRefs>
    <ds:schemaRef ds:uri="http://schemas.openxmlformats.org/officeDocument/2006/bibliography"/>
  </ds:schemaRefs>
</ds:datastoreItem>
</file>

<file path=customXml/itemProps2.xml><?xml version="1.0" encoding="utf-8"?>
<ds:datastoreItem xmlns:ds="http://schemas.openxmlformats.org/officeDocument/2006/customXml" ds:itemID="{08A41991-BAAC-4BDE-AC0E-C39239B7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11230</Words>
  <Characters>64012</Characters>
  <Application>Microsoft Office Word</Application>
  <DocSecurity>0</DocSecurity>
  <Lines>533</Lines>
  <Paragraphs>150</Paragraphs>
  <ScaleCrop>false</ScaleCrop>
  <Company/>
  <LinksUpToDate>false</LinksUpToDate>
  <CharactersWithSpaces>75092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ma</dc:creator>
  <cp:lastModifiedBy>陈镇珍</cp:lastModifiedBy>
  <cp:revision>32</cp:revision>
  <cp:lastPrinted>2026-06-02T02:49:00Z</cp:lastPrinted>
  <dcterms:created xsi:type="dcterms:W3CDTF">2020-07-09T02:06:00Z</dcterms:created>
  <dcterms:modified xsi:type="dcterms:W3CDTF">2026-06-08T02:37:00Z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eyJoZGlkIjoiNDQ0ZWQxNjM1M2JmOWExZjUxOWY5MDUxNGJjOThiOTUiLCJ1c2VySWQiOiIyNTA3NDA1MTEifQ==</vt:lpwstr>
  </property>
  <property fmtid="{D5CDD505-2E9C-101B-9397-08002B2CF9AE}" pid="4" name="ICV">
    <vt:lpwstr>A82A42FDEF5A46D0ACEEF07DC25D40F1_12</vt:lpwstr>
  </property>
</Properties>
</file>