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24B6">
      <w:pPr>
        <w:rPr>
          <w:rFonts w:ascii="宋体" w:hAnsi="宋体"/>
          <w:sz w:val="24"/>
        </w:rPr>
      </w:pPr>
    </w:p>
    <w:p w14:paraId="40681862">
      <w:pPr>
        <w:ind w:right="-17" w:rightChars="-8"/>
        <w:rPr>
          <w:rFonts w:eastAsia="黑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2116A4B5">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14:paraId="2116A4B5">
                      <w:pPr>
                        <w:rPr>
                          <w:b/>
                          <w:sz w:val="28"/>
                          <w:szCs w:val="28"/>
                        </w:rPr>
                      </w:pPr>
                      <w:r>
                        <w:rPr>
                          <w:rFonts w:hint="eastAsia"/>
                          <w:b/>
                          <w:sz w:val="28"/>
                          <w:szCs w:val="28"/>
                        </w:rPr>
                        <w:t>编号：</w:t>
                      </w:r>
                    </w:p>
                  </w:txbxContent>
                </v:textbox>
              </v:shape>
            </w:pict>
          </mc:Fallback>
        </mc:AlternateContent>
      </w:r>
    </w:p>
    <w:p w14:paraId="747C3F44">
      <w:pPr>
        <w:rPr>
          <w:rFonts w:eastAsia="黑体"/>
          <w:sz w:val="52"/>
          <w:szCs w:val="52"/>
        </w:rPr>
      </w:pPr>
    </w:p>
    <w:p w14:paraId="5D940179">
      <w:pPr>
        <w:tabs>
          <w:tab w:val="left" w:pos="3495"/>
        </w:tabs>
        <w:rPr>
          <w:rFonts w:eastAsia="黑体"/>
          <w:sz w:val="52"/>
          <w:szCs w:val="52"/>
        </w:rPr>
      </w:pPr>
    </w:p>
    <w:p w14:paraId="12095CD8">
      <w:pPr>
        <w:tabs>
          <w:tab w:val="center" w:pos="4164"/>
          <w:tab w:val="left" w:pos="5455"/>
        </w:tabs>
        <w:ind w:right="-17" w:rightChars="-8"/>
        <w:jc w:val="center"/>
        <w:rPr>
          <w:rFonts w:eastAsia="黑体"/>
          <w:sz w:val="52"/>
          <w:szCs w:val="52"/>
        </w:rPr>
      </w:pPr>
    </w:p>
    <w:p w14:paraId="0C3B94CD">
      <w:pPr>
        <w:tabs>
          <w:tab w:val="center" w:pos="4164"/>
          <w:tab w:val="left" w:pos="5455"/>
        </w:tabs>
        <w:ind w:right="-17" w:rightChars="-8"/>
        <w:jc w:val="center"/>
        <w:rPr>
          <w:rFonts w:eastAsia="黑体"/>
          <w:sz w:val="52"/>
          <w:szCs w:val="52"/>
        </w:rPr>
      </w:pPr>
    </w:p>
    <w:p w14:paraId="64C83724">
      <w:pPr>
        <w:jc w:val="center"/>
        <w:rPr>
          <w:rFonts w:ascii="宋体" w:hAnsi="宋体"/>
          <w:sz w:val="24"/>
        </w:rPr>
      </w:pPr>
    </w:p>
    <w:p w14:paraId="6FF84288">
      <w:pPr>
        <w:jc w:val="center"/>
        <w:rPr>
          <w:b/>
          <w:sz w:val="52"/>
          <w:szCs w:val="52"/>
        </w:rPr>
      </w:pPr>
    </w:p>
    <w:p w14:paraId="221D4F2C">
      <w:pPr>
        <w:jc w:val="center"/>
        <w:rPr>
          <w:rFonts w:ascii="仿宋_GB2312" w:eastAsia="仿宋_GB2312"/>
          <w:b/>
          <w:sz w:val="32"/>
          <w:szCs w:val="32"/>
        </w:rPr>
      </w:pPr>
    </w:p>
    <w:p w14:paraId="2F41DC61">
      <w:pPr>
        <w:jc w:val="center"/>
        <w:rPr>
          <w:rFonts w:ascii="宋体" w:hAnsi="宋体"/>
          <w:sz w:val="44"/>
          <w:szCs w:val="44"/>
        </w:rPr>
      </w:pPr>
      <w:r>
        <w:rPr>
          <w:rFonts w:hint="eastAsia" w:ascii="黑体" w:hAnsi="黑体" w:eastAsia="黑体"/>
          <w:b/>
          <w:sz w:val="44"/>
          <w:szCs w:val="44"/>
        </w:rPr>
        <w:t>博时汇益优选3个月持有期混合型基金中基金（FOF）托管协议</w:t>
      </w:r>
    </w:p>
    <w:p w14:paraId="0CB04DE2">
      <w:pPr>
        <w:jc w:val="center"/>
        <w:rPr>
          <w:rFonts w:ascii="宋体" w:hAnsi="宋体"/>
          <w:sz w:val="44"/>
          <w:szCs w:val="44"/>
        </w:rPr>
      </w:pPr>
    </w:p>
    <w:p w14:paraId="62A88601">
      <w:pPr>
        <w:jc w:val="center"/>
        <w:rPr>
          <w:rFonts w:ascii="宋体" w:hAnsi="宋体"/>
          <w:sz w:val="44"/>
          <w:szCs w:val="44"/>
        </w:rPr>
      </w:pPr>
    </w:p>
    <w:p w14:paraId="7629C953">
      <w:pPr>
        <w:rPr>
          <w:rFonts w:ascii="宋体"/>
          <w:sz w:val="30"/>
        </w:rPr>
      </w:pPr>
    </w:p>
    <w:p w14:paraId="54F699F2">
      <w:pPr>
        <w:rPr>
          <w:rFonts w:ascii="宋体"/>
          <w:sz w:val="30"/>
        </w:rPr>
      </w:pPr>
    </w:p>
    <w:p w14:paraId="352805C3">
      <w:pPr>
        <w:rPr>
          <w:rFonts w:ascii="宋体"/>
          <w:sz w:val="30"/>
        </w:rPr>
      </w:pPr>
    </w:p>
    <w:p w14:paraId="3FF57AC3">
      <w:pPr>
        <w:rPr>
          <w:rFonts w:ascii="宋体"/>
          <w:sz w:val="30"/>
        </w:rPr>
      </w:pPr>
    </w:p>
    <w:p w14:paraId="3C1D63BF">
      <w:pPr>
        <w:ind w:left="1135" w:leftChars="540" w:hanging="1"/>
        <w:jc w:val="left"/>
        <w:rPr>
          <w:sz w:val="32"/>
          <w:szCs w:val="32"/>
          <w:u w:val="single"/>
        </w:rPr>
      </w:pPr>
      <w:bookmarkStart w:id="0" w:name="_Toc382818591"/>
      <w:bookmarkStart w:id="1" w:name="_Toc382819065"/>
      <w:r>
        <w:rPr>
          <w:rFonts w:hint="eastAsia"/>
          <w:sz w:val="32"/>
          <w:szCs w:val="32"/>
        </w:rPr>
        <w:t>基金管理人：</w:t>
      </w:r>
      <w:bookmarkEnd w:id="0"/>
      <w:bookmarkEnd w:id="1"/>
      <w:r>
        <w:rPr>
          <w:rFonts w:hint="eastAsia"/>
          <w:sz w:val="32"/>
          <w:szCs w:val="32"/>
        </w:rPr>
        <w:t>博时基金管理有限公司</w:t>
      </w:r>
      <w:r>
        <w:rPr>
          <w:sz w:val="32"/>
          <w:szCs w:val="32"/>
        </w:rPr>
        <w:t xml:space="preserve">          </w:t>
      </w:r>
    </w:p>
    <w:p w14:paraId="4E88741F">
      <w:pPr>
        <w:ind w:left="1135" w:leftChars="540" w:hanging="1"/>
        <w:jc w:val="left"/>
        <w:rPr>
          <w:sz w:val="32"/>
          <w:szCs w:val="32"/>
        </w:rPr>
      </w:pPr>
      <w:bookmarkStart w:id="2" w:name="_Toc382819066"/>
      <w:bookmarkStart w:id="3" w:name="_Toc382818592"/>
      <w:r>
        <w:rPr>
          <w:rFonts w:hint="eastAsia"/>
          <w:sz w:val="32"/>
          <w:szCs w:val="32"/>
        </w:rPr>
        <w:t>基金托管人：上海浦东发展银行股份有限公司</w:t>
      </w:r>
      <w:bookmarkEnd w:id="2"/>
      <w:bookmarkEnd w:id="3"/>
    </w:p>
    <w:p w14:paraId="63DBAC04">
      <w:pPr>
        <w:spacing w:line="500" w:lineRule="atLeast"/>
        <w:jc w:val="center"/>
        <w:outlineLvl w:val="0"/>
        <w:rPr>
          <w:rFonts w:ascii="黑体" w:hAnsi="宋体" w:eastAsia="黑体"/>
          <w:b/>
          <w:sz w:val="28"/>
          <w:szCs w:val="28"/>
        </w:rPr>
      </w:pPr>
      <w:r>
        <w:rPr>
          <w:rFonts w:hint="eastAsia" w:ascii="黑体" w:hAnsi="宋体" w:eastAsia="黑体"/>
          <w:b/>
          <w:sz w:val="28"/>
          <w:szCs w:val="28"/>
        </w:rPr>
        <w:br w:type="page"/>
      </w:r>
      <w:bookmarkStart w:id="4" w:name="_Toc382818593"/>
      <w:bookmarkStart w:id="5" w:name="_Toc382819067"/>
    </w:p>
    <w:p w14:paraId="7D62FEB9">
      <w:pPr>
        <w:spacing w:line="500" w:lineRule="atLeast"/>
        <w:jc w:val="center"/>
        <w:outlineLvl w:val="0"/>
        <w:rPr>
          <w:rFonts w:ascii="宋体" w:hAnsi="宋体"/>
          <w:b/>
          <w:sz w:val="36"/>
          <w:szCs w:val="28"/>
        </w:rPr>
      </w:pPr>
      <w:r>
        <w:rPr>
          <w:rFonts w:hint="eastAsia" w:ascii="宋体" w:hAnsi="宋体"/>
          <w:b/>
          <w:sz w:val="32"/>
          <w:szCs w:val="28"/>
        </w:rPr>
        <w:t>目 录</w:t>
      </w:r>
      <w:bookmarkEnd w:id="4"/>
      <w:bookmarkEnd w:id="5"/>
    </w:p>
    <w:p w14:paraId="59D30747">
      <w:pPr>
        <w:pStyle w:val="16"/>
        <w:tabs>
          <w:tab w:val="left" w:pos="440"/>
          <w:tab w:val="right" w:leader="dot" w:pos="8296"/>
        </w:tabs>
        <w:spacing w:line="360" w:lineRule="auto"/>
        <w:rPr>
          <w:rFonts w:ascii="Calibri" w:hAnsi="Calibri"/>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14:paraId="0FCB033E">
      <w:pPr>
        <w:pStyle w:val="16"/>
        <w:tabs>
          <w:tab w:val="right" w:leader="dot" w:pos="8296"/>
        </w:tabs>
        <w:spacing w:line="360" w:lineRule="auto"/>
        <w:rPr>
          <w:rFonts w:ascii="Calibri" w:hAnsi="Calibri"/>
          <w:szCs w:val="21"/>
        </w:rPr>
      </w:pPr>
      <w:r>
        <w:fldChar w:fldCharType="begin"/>
      </w:r>
      <w:r>
        <w:instrText xml:space="preserve"> HYPERLINK \l "_Toc382819071" </w:instrText>
      </w:r>
      <w:r>
        <w:fldChar w:fldCharType="separate"/>
      </w:r>
      <w:r>
        <w:rPr>
          <w:rStyle w:val="21"/>
          <w:rFonts w:hint="eastAsia" w:ascii="宋体" w:hAnsi="宋体" w:cs="Arial"/>
          <w:szCs w:val="21"/>
        </w:rPr>
        <w:t>一、</w:t>
      </w:r>
      <w:r>
        <w:rPr>
          <w:rStyle w:val="21"/>
          <w:rFonts w:ascii="宋体" w:hAnsi="宋体" w:cs="Arial"/>
          <w:szCs w:val="21"/>
        </w:rPr>
        <w:t xml:space="preserve"> </w:t>
      </w:r>
      <w:r>
        <w:rPr>
          <w:rStyle w:val="21"/>
          <w:rFonts w:hint="eastAsia" w:ascii="宋体" w:hAnsi="宋体" w:cs="Arial"/>
          <w:szCs w:val="21"/>
        </w:rPr>
        <w:t>基金托管协议的依据、目的、原则和解释</w:t>
      </w:r>
      <w:r>
        <w:rPr>
          <w:szCs w:val="21"/>
        </w:rPr>
        <w:tab/>
      </w:r>
      <w:r>
        <w:rPr>
          <w:szCs w:val="21"/>
        </w:rPr>
        <w:fldChar w:fldCharType="begin"/>
      </w:r>
      <w:r>
        <w:rPr>
          <w:szCs w:val="21"/>
        </w:rPr>
        <w:instrText xml:space="preserve"> PAGEREF _Toc382819071 \h </w:instrText>
      </w:r>
      <w:r>
        <w:rPr>
          <w:szCs w:val="21"/>
        </w:rPr>
        <w:fldChar w:fldCharType="separate"/>
      </w:r>
      <w:r>
        <w:rPr>
          <w:szCs w:val="21"/>
        </w:rPr>
        <w:t>3</w:t>
      </w:r>
      <w:r>
        <w:rPr>
          <w:szCs w:val="21"/>
        </w:rPr>
        <w:fldChar w:fldCharType="end"/>
      </w:r>
      <w:r>
        <w:rPr>
          <w:szCs w:val="21"/>
        </w:rPr>
        <w:fldChar w:fldCharType="end"/>
      </w:r>
    </w:p>
    <w:p w14:paraId="7A4809D5">
      <w:pPr>
        <w:pStyle w:val="16"/>
        <w:tabs>
          <w:tab w:val="right" w:leader="dot" w:pos="8296"/>
        </w:tabs>
        <w:spacing w:line="360" w:lineRule="auto"/>
        <w:rPr>
          <w:rFonts w:ascii="Calibri" w:hAnsi="Calibri"/>
          <w:szCs w:val="21"/>
        </w:rPr>
      </w:pPr>
      <w:r>
        <w:fldChar w:fldCharType="begin"/>
      </w:r>
      <w:r>
        <w:instrText xml:space="preserve"> HYPERLINK \l "_Toc382819072" </w:instrText>
      </w:r>
      <w:r>
        <w:fldChar w:fldCharType="separate"/>
      </w:r>
      <w:r>
        <w:rPr>
          <w:rStyle w:val="21"/>
          <w:rFonts w:hint="eastAsia" w:ascii="宋体" w:hAnsi="宋体" w:cs="Arial"/>
          <w:szCs w:val="21"/>
        </w:rPr>
        <w:t>二、</w:t>
      </w:r>
      <w:r>
        <w:rPr>
          <w:rStyle w:val="21"/>
          <w:rFonts w:ascii="宋体" w:hAnsi="宋体" w:cs="Arial"/>
          <w:szCs w:val="21"/>
        </w:rPr>
        <w:t xml:space="preserve"> </w:t>
      </w:r>
      <w:r>
        <w:rPr>
          <w:rStyle w:val="21"/>
          <w:rFonts w:hint="eastAsia" w:ascii="宋体" w:hAnsi="宋体" w:cs="Arial"/>
          <w:szCs w:val="21"/>
        </w:rPr>
        <w:t>基金托管人对基金管理人的业务监督和核查</w:t>
      </w:r>
      <w:r>
        <w:rPr>
          <w:szCs w:val="21"/>
        </w:rPr>
        <w:tab/>
      </w:r>
      <w:r>
        <w:rPr>
          <w:szCs w:val="21"/>
        </w:rPr>
        <w:fldChar w:fldCharType="begin"/>
      </w:r>
      <w:r>
        <w:rPr>
          <w:szCs w:val="21"/>
        </w:rPr>
        <w:instrText xml:space="preserve"> PAGEREF _Toc382819072 \h </w:instrText>
      </w:r>
      <w:r>
        <w:rPr>
          <w:szCs w:val="21"/>
        </w:rPr>
        <w:fldChar w:fldCharType="separate"/>
      </w:r>
      <w:r>
        <w:rPr>
          <w:szCs w:val="21"/>
        </w:rPr>
        <w:t>4</w:t>
      </w:r>
      <w:r>
        <w:rPr>
          <w:szCs w:val="21"/>
        </w:rPr>
        <w:fldChar w:fldCharType="end"/>
      </w:r>
      <w:r>
        <w:rPr>
          <w:szCs w:val="21"/>
        </w:rPr>
        <w:fldChar w:fldCharType="end"/>
      </w:r>
    </w:p>
    <w:p w14:paraId="38AE25F1">
      <w:pPr>
        <w:pStyle w:val="16"/>
        <w:tabs>
          <w:tab w:val="right" w:leader="dot" w:pos="8296"/>
        </w:tabs>
        <w:spacing w:line="360" w:lineRule="auto"/>
        <w:rPr>
          <w:rFonts w:ascii="Calibri" w:hAnsi="Calibri"/>
          <w:szCs w:val="21"/>
        </w:rPr>
      </w:pPr>
      <w:r>
        <w:fldChar w:fldCharType="begin"/>
      </w:r>
      <w:r>
        <w:instrText xml:space="preserve"> HYPERLINK \l "_Toc382819076" </w:instrText>
      </w:r>
      <w:r>
        <w:fldChar w:fldCharType="separate"/>
      </w:r>
      <w:r>
        <w:rPr>
          <w:rStyle w:val="21"/>
          <w:rFonts w:hint="eastAsia" w:ascii="宋体" w:hAnsi="宋体" w:cs="Arial"/>
          <w:szCs w:val="21"/>
        </w:rPr>
        <w:t>三、</w:t>
      </w:r>
      <w:r>
        <w:rPr>
          <w:rStyle w:val="21"/>
          <w:rFonts w:ascii="宋体" w:hAnsi="宋体" w:cs="Arial"/>
          <w:szCs w:val="21"/>
        </w:rPr>
        <w:t xml:space="preserve"> </w:t>
      </w:r>
      <w:r>
        <w:rPr>
          <w:rStyle w:val="21"/>
          <w:rFonts w:hint="eastAsia" w:ascii="宋体" w:hAnsi="宋体" w:cs="Arial"/>
          <w:szCs w:val="21"/>
        </w:rPr>
        <w:t>基金管理人对基金托管人的业务核查</w:t>
      </w:r>
      <w:r>
        <w:rPr>
          <w:szCs w:val="21"/>
        </w:rPr>
        <w:tab/>
      </w:r>
      <w:r>
        <w:rPr>
          <w:szCs w:val="21"/>
        </w:rPr>
        <w:fldChar w:fldCharType="begin"/>
      </w:r>
      <w:r>
        <w:rPr>
          <w:szCs w:val="21"/>
        </w:rPr>
        <w:instrText xml:space="preserve"> PAGEREF _Toc382819076 \h </w:instrText>
      </w:r>
      <w:r>
        <w:rPr>
          <w:szCs w:val="21"/>
        </w:rPr>
        <w:fldChar w:fldCharType="separate"/>
      </w:r>
      <w:r>
        <w:rPr>
          <w:szCs w:val="21"/>
        </w:rPr>
        <w:t>11</w:t>
      </w:r>
      <w:r>
        <w:rPr>
          <w:szCs w:val="21"/>
        </w:rPr>
        <w:fldChar w:fldCharType="end"/>
      </w:r>
      <w:r>
        <w:rPr>
          <w:szCs w:val="21"/>
        </w:rPr>
        <w:fldChar w:fldCharType="end"/>
      </w:r>
    </w:p>
    <w:p w14:paraId="0BF2683E">
      <w:pPr>
        <w:pStyle w:val="16"/>
        <w:tabs>
          <w:tab w:val="right" w:leader="dot" w:pos="8296"/>
        </w:tabs>
        <w:spacing w:line="360" w:lineRule="auto"/>
        <w:rPr>
          <w:rFonts w:ascii="Calibri" w:hAnsi="Calibri"/>
          <w:szCs w:val="21"/>
        </w:rPr>
      </w:pPr>
      <w:r>
        <w:fldChar w:fldCharType="begin"/>
      </w:r>
      <w:r>
        <w:instrText xml:space="preserve"> HYPERLINK \l "_Toc382819078" </w:instrText>
      </w:r>
      <w:r>
        <w:fldChar w:fldCharType="separate"/>
      </w:r>
      <w:r>
        <w:rPr>
          <w:rStyle w:val="21"/>
          <w:rFonts w:hint="eastAsia" w:ascii="宋体" w:hAnsi="宋体" w:cs="Arial"/>
          <w:szCs w:val="21"/>
        </w:rPr>
        <w:t>四、</w:t>
      </w:r>
      <w:r>
        <w:rPr>
          <w:rStyle w:val="21"/>
          <w:rFonts w:ascii="宋体" w:hAnsi="宋体" w:cs="Arial"/>
          <w:szCs w:val="21"/>
        </w:rPr>
        <w:t xml:space="preserve"> </w:t>
      </w:r>
      <w:r>
        <w:rPr>
          <w:rStyle w:val="21"/>
          <w:rFonts w:hint="eastAsia" w:ascii="宋体" w:hAnsi="宋体" w:cs="Arial"/>
          <w:szCs w:val="21"/>
        </w:rPr>
        <w:t>基金财产保管</w:t>
      </w:r>
      <w:r>
        <w:rPr>
          <w:szCs w:val="21"/>
        </w:rPr>
        <w:tab/>
      </w:r>
      <w:r>
        <w:rPr>
          <w:szCs w:val="21"/>
        </w:rPr>
        <w:fldChar w:fldCharType="begin"/>
      </w:r>
      <w:r>
        <w:rPr>
          <w:szCs w:val="21"/>
        </w:rPr>
        <w:instrText xml:space="preserve"> PAGEREF _Toc382819078 \h </w:instrText>
      </w:r>
      <w:r>
        <w:rPr>
          <w:szCs w:val="21"/>
        </w:rPr>
        <w:fldChar w:fldCharType="separate"/>
      </w:r>
      <w:r>
        <w:rPr>
          <w:szCs w:val="21"/>
        </w:rPr>
        <w:t>12</w:t>
      </w:r>
      <w:r>
        <w:rPr>
          <w:szCs w:val="21"/>
        </w:rPr>
        <w:fldChar w:fldCharType="end"/>
      </w:r>
      <w:r>
        <w:rPr>
          <w:szCs w:val="21"/>
        </w:rPr>
        <w:fldChar w:fldCharType="end"/>
      </w:r>
    </w:p>
    <w:p w14:paraId="6D95D642">
      <w:pPr>
        <w:pStyle w:val="16"/>
        <w:tabs>
          <w:tab w:val="right" w:leader="dot" w:pos="8296"/>
        </w:tabs>
        <w:spacing w:line="360" w:lineRule="auto"/>
        <w:rPr>
          <w:rFonts w:ascii="Calibri" w:hAnsi="Calibri"/>
          <w:szCs w:val="21"/>
        </w:rPr>
      </w:pPr>
      <w:r>
        <w:fldChar w:fldCharType="begin"/>
      </w:r>
      <w:r>
        <w:instrText xml:space="preserve"> HYPERLINK \l "_Toc382819088" </w:instrText>
      </w:r>
      <w:r>
        <w:fldChar w:fldCharType="separate"/>
      </w:r>
      <w:r>
        <w:rPr>
          <w:rStyle w:val="21"/>
          <w:rFonts w:hint="eastAsia" w:ascii="宋体" w:hAnsi="宋体" w:cs="Arial"/>
          <w:szCs w:val="21"/>
        </w:rPr>
        <w:t>五、</w:t>
      </w:r>
      <w:r>
        <w:rPr>
          <w:rStyle w:val="21"/>
          <w:rFonts w:ascii="宋体" w:hAnsi="宋体" w:cs="Arial"/>
          <w:szCs w:val="21"/>
        </w:rPr>
        <w:t xml:space="preserve"> </w:t>
      </w:r>
      <w:r>
        <w:rPr>
          <w:rStyle w:val="21"/>
          <w:rFonts w:hint="eastAsia" w:ascii="宋体" w:hAnsi="宋体" w:cs="Arial"/>
          <w:szCs w:val="21"/>
        </w:rPr>
        <w:t>指令的发送、确认和执行</w:t>
      </w:r>
      <w:r>
        <w:rPr>
          <w:szCs w:val="21"/>
        </w:rPr>
        <w:tab/>
      </w:r>
      <w:r>
        <w:rPr>
          <w:szCs w:val="21"/>
        </w:rPr>
        <w:fldChar w:fldCharType="begin"/>
      </w:r>
      <w:r>
        <w:rPr>
          <w:szCs w:val="21"/>
        </w:rPr>
        <w:instrText xml:space="preserve"> PAGEREF _Toc382819088 \h </w:instrText>
      </w:r>
      <w:r>
        <w:rPr>
          <w:szCs w:val="21"/>
        </w:rPr>
        <w:fldChar w:fldCharType="separate"/>
      </w:r>
      <w:r>
        <w:rPr>
          <w:szCs w:val="21"/>
        </w:rPr>
        <w:t>15</w:t>
      </w:r>
      <w:r>
        <w:rPr>
          <w:szCs w:val="21"/>
        </w:rPr>
        <w:fldChar w:fldCharType="end"/>
      </w:r>
      <w:r>
        <w:rPr>
          <w:szCs w:val="21"/>
        </w:rPr>
        <w:fldChar w:fldCharType="end"/>
      </w:r>
    </w:p>
    <w:p w14:paraId="2849839C">
      <w:pPr>
        <w:pStyle w:val="16"/>
        <w:tabs>
          <w:tab w:val="right" w:leader="dot" w:pos="8296"/>
        </w:tabs>
        <w:spacing w:line="360" w:lineRule="auto"/>
        <w:rPr>
          <w:rFonts w:ascii="Calibri" w:hAnsi="Calibri"/>
          <w:szCs w:val="21"/>
        </w:rPr>
      </w:pPr>
      <w:r>
        <w:fldChar w:fldCharType="begin"/>
      </w:r>
      <w:r>
        <w:instrText xml:space="preserve"> HYPERLINK \l "_Toc382819097" </w:instrText>
      </w:r>
      <w:r>
        <w:fldChar w:fldCharType="separate"/>
      </w:r>
      <w:r>
        <w:rPr>
          <w:rStyle w:val="21"/>
          <w:rFonts w:hint="eastAsia" w:ascii="宋体" w:hAnsi="宋体" w:cs="Arial"/>
          <w:szCs w:val="21"/>
        </w:rPr>
        <w:t>六、</w:t>
      </w:r>
      <w:r>
        <w:rPr>
          <w:rStyle w:val="21"/>
          <w:rFonts w:ascii="宋体" w:hAnsi="宋体" w:cs="Arial"/>
          <w:szCs w:val="21"/>
        </w:rPr>
        <w:t xml:space="preserve"> </w:t>
      </w:r>
      <w:r>
        <w:rPr>
          <w:rStyle w:val="21"/>
          <w:rFonts w:hint="eastAsia" w:ascii="宋体" w:hAnsi="宋体" w:cs="Arial"/>
          <w:szCs w:val="21"/>
        </w:rPr>
        <w:t>交易及清算交收安排</w:t>
      </w:r>
      <w:r>
        <w:rPr>
          <w:szCs w:val="21"/>
        </w:rPr>
        <w:tab/>
      </w:r>
      <w:r>
        <w:rPr>
          <w:szCs w:val="21"/>
        </w:rPr>
        <w:fldChar w:fldCharType="begin"/>
      </w:r>
      <w:r>
        <w:rPr>
          <w:szCs w:val="21"/>
        </w:rPr>
        <w:instrText xml:space="preserve"> PAGEREF _Toc382819097 \h </w:instrText>
      </w:r>
      <w:r>
        <w:rPr>
          <w:szCs w:val="21"/>
        </w:rPr>
        <w:fldChar w:fldCharType="separate"/>
      </w:r>
      <w:r>
        <w:rPr>
          <w:szCs w:val="21"/>
        </w:rPr>
        <w:t>18</w:t>
      </w:r>
      <w:r>
        <w:rPr>
          <w:szCs w:val="21"/>
        </w:rPr>
        <w:fldChar w:fldCharType="end"/>
      </w:r>
      <w:r>
        <w:rPr>
          <w:szCs w:val="21"/>
        </w:rPr>
        <w:fldChar w:fldCharType="end"/>
      </w:r>
    </w:p>
    <w:p w14:paraId="274AC539">
      <w:pPr>
        <w:pStyle w:val="16"/>
        <w:tabs>
          <w:tab w:val="right" w:leader="dot" w:pos="8296"/>
        </w:tabs>
        <w:spacing w:line="360" w:lineRule="auto"/>
        <w:rPr>
          <w:rFonts w:ascii="Calibri" w:hAnsi="Calibri"/>
          <w:szCs w:val="21"/>
        </w:rPr>
      </w:pPr>
      <w:r>
        <w:fldChar w:fldCharType="begin"/>
      </w:r>
      <w:r>
        <w:instrText xml:space="preserve"> HYPERLINK \l "_Toc382819103" </w:instrText>
      </w:r>
      <w:r>
        <w:fldChar w:fldCharType="separate"/>
      </w:r>
      <w:r>
        <w:rPr>
          <w:rStyle w:val="21"/>
          <w:rFonts w:hint="eastAsia" w:ascii="宋体" w:hAnsi="宋体" w:cs="Arial"/>
          <w:szCs w:val="21"/>
        </w:rPr>
        <w:t>七、</w:t>
      </w:r>
      <w:r>
        <w:rPr>
          <w:rStyle w:val="21"/>
          <w:rFonts w:ascii="宋体" w:hAnsi="宋体" w:cs="Arial"/>
          <w:szCs w:val="21"/>
        </w:rPr>
        <w:t xml:space="preserve"> </w:t>
      </w:r>
      <w:r>
        <w:rPr>
          <w:rStyle w:val="21"/>
          <w:rFonts w:hint="eastAsia" w:ascii="宋体" w:hAnsi="宋体" w:cs="Arial"/>
          <w:szCs w:val="21"/>
        </w:rPr>
        <w:t>基金资产净值计算和会计核算</w:t>
      </w:r>
      <w:r>
        <w:rPr>
          <w:szCs w:val="21"/>
        </w:rPr>
        <w:tab/>
      </w:r>
      <w:r>
        <w:rPr>
          <w:szCs w:val="21"/>
        </w:rPr>
        <w:fldChar w:fldCharType="begin"/>
      </w:r>
      <w:r>
        <w:rPr>
          <w:szCs w:val="21"/>
        </w:rPr>
        <w:instrText xml:space="preserve"> PAGEREF _Toc382819103 \h </w:instrText>
      </w:r>
      <w:r>
        <w:rPr>
          <w:szCs w:val="21"/>
        </w:rPr>
        <w:fldChar w:fldCharType="separate"/>
      </w:r>
      <w:r>
        <w:rPr>
          <w:szCs w:val="21"/>
        </w:rPr>
        <w:t>23</w:t>
      </w:r>
      <w:r>
        <w:rPr>
          <w:szCs w:val="21"/>
        </w:rPr>
        <w:fldChar w:fldCharType="end"/>
      </w:r>
      <w:r>
        <w:rPr>
          <w:szCs w:val="21"/>
        </w:rPr>
        <w:fldChar w:fldCharType="end"/>
      </w:r>
    </w:p>
    <w:p w14:paraId="7A7CF578">
      <w:pPr>
        <w:pStyle w:val="16"/>
        <w:tabs>
          <w:tab w:val="right" w:leader="dot" w:pos="8296"/>
        </w:tabs>
        <w:spacing w:line="360" w:lineRule="auto"/>
        <w:rPr>
          <w:rFonts w:ascii="Calibri" w:hAnsi="Calibri"/>
          <w:szCs w:val="21"/>
        </w:rPr>
      </w:pPr>
      <w:r>
        <w:fldChar w:fldCharType="begin"/>
      </w:r>
      <w:r>
        <w:instrText xml:space="preserve"> HYPERLINK \l "_Toc382819118" </w:instrText>
      </w:r>
      <w:r>
        <w:fldChar w:fldCharType="separate"/>
      </w:r>
      <w:r>
        <w:rPr>
          <w:rStyle w:val="21"/>
          <w:rFonts w:hint="eastAsia" w:ascii="宋体" w:hAnsi="宋体" w:cs="Arial"/>
          <w:szCs w:val="21"/>
        </w:rPr>
        <w:t>八、</w:t>
      </w:r>
      <w:r>
        <w:rPr>
          <w:rStyle w:val="21"/>
          <w:rFonts w:ascii="宋体" w:hAnsi="宋体" w:cs="Arial"/>
          <w:szCs w:val="21"/>
        </w:rPr>
        <w:t xml:space="preserve"> </w:t>
      </w:r>
      <w:r>
        <w:rPr>
          <w:rStyle w:val="21"/>
          <w:rFonts w:hint="eastAsia" w:ascii="宋体" w:hAnsi="宋体" w:cs="Arial"/>
          <w:szCs w:val="21"/>
        </w:rPr>
        <w:t>基金收益分配</w:t>
      </w:r>
      <w:r>
        <w:rPr>
          <w:szCs w:val="21"/>
        </w:rPr>
        <w:tab/>
      </w:r>
      <w:r>
        <w:rPr>
          <w:szCs w:val="21"/>
        </w:rPr>
        <w:fldChar w:fldCharType="begin"/>
      </w:r>
      <w:r>
        <w:rPr>
          <w:szCs w:val="21"/>
        </w:rPr>
        <w:instrText xml:space="preserve"> PAGEREF _Toc382819118 \h </w:instrText>
      </w:r>
      <w:r>
        <w:rPr>
          <w:szCs w:val="21"/>
        </w:rPr>
        <w:fldChar w:fldCharType="separate"/>
      </w:r>
      <w:r>
        <w:rPr>
          <w:szCs w:val="21"/>
        </w:rPr>
        <w:t>26</w:t>
      </w:r>
      <w:r>
        <w:rPr>
          <w:szCs w:val="21"/>
        </w:rPr>
        <w:fldChar w:fldCharType="end"/>
      </w:r>
      <w:r>
        <w:rPr>
          <w:szCs w:val="21"/>
        </w:rPr>
        <w:fldChar w:fldCharType="end"/>
      </w:r>
    </w:p>
    <w:p w14:paraId="26E1EDAA">
      <w:pPr>
        <w:pStyle w:val="16"/>
        <w:tabs>
          <w:tab w:val="right" w:leader="dot" w:pos="8296"/>
        </w:tabs>
        <w:spacing w:line="360" w:lineRule="auto"/>
        <w:rPr>
          <w:rFonts w:ascii="Calibri" w:hAnsi="Calibri"/>
          <w:szCs w:val="21"/>
        </w:rPr>
      </w:pPr>
      <w:r>
        <w:fldChar w:fldCharType="begin"/>
      </w:r>
      <w:r>
        <w:instrText xml:space="preserve"> HYPERLINK \l "_Toc382819121" </w:instrText>
      </w:r>
      <w:r>
        <w:fldChar w:fldCharType="separate"/>
      </w:r>
      <w:r>
        <w:rPr>
          <w:rStyle w:val="21"/>
          <w:rFonts w:hint="eastAsia" w:ascii="宋体" w:hAnsi="宋体" w:cs="Arial"/>
          <w:szCs w:val="21"/>
        </w:rPr>
        <w:t>九、</w:t>
      </w:r>
      <w:r>
        <w:rPr>
          <w:rStyle w:val="21"/>
          <w:rFonts w:ascii="宋体" w:hAnsi="宋体" w:cs="Arial"/>
          <w:szCs w:val="21"/>
        </w:rPr>
        <w:t xml:space="preserve"> </w:t>
      </w:r>
      <w:r>
        <w:rPr>
          <w:rStyle w:val="21"/>
          <w:rFonts w:hint="eastAsia" w:ascii="宋体" w:hAnsi="宋体" w:cs="Arial"/>
          <w:szCs w:val="21"/>
        </w:rPr>
        <w:t>信息披露</w:t>
      </w:r>
      <w:r>
        <w:rPr>
          <w:szCs w:val="21"/>
        </w:rPr>
        <w:tab/>
      </w:r>
      <w:r>
        <w:rPr>
          <w:szCs w:val="21"/>
        </w:rPr>
        <w:fldChar w:fldCharType="begin"/>
      </w:r>
      <w:r>
        <w:rPr>
          <w:szCs w:val="21"/>
        </w:rPr>
        <w:instrText xml:space="preserve"> PAGEREF _Toc382819121 \h </w:instrText>
      </w:r>
      <w:r>
        <w:rPr>
          <w:szCs w:val="21"/>
        </w:rPr>
        <w:fldChar w:fldCharType="separate"/>
      </w:r>
      <w:r>
        <w:rPr>
          <w:szCs w:val="21"/>
        </w:rPr>
        <w:t>27</w:t>
      </w:r>
      <w:r>
        <w:rPr>
          <w:szCs w:val="21"/>
        </w:rPr>
        <w:fldChar w:fldCharType="end"/>
      </w:r>
      <w:r>
        <w:rPr>
          <w:szCs w:val="21"/>
        </w:rPr>
        <w:fldChar w:fldCharType="end"/>
      </w:r>
    </w:p>
    <w:p w14:paraId="446749FB">
      <w:pPr>
        <w:pStyle w:val="16"/>
        <w:tabs>
          <w:tab w:val="right" w:leader="dot" w:pos="8296"/>
        </w:tabs>
        <w:spacing w:line="360" w:lineRule="auto"/>
        <w:rPr>
          <w:rFonts w:ascii="Calibri" w:hAnsi="Calibri"/>
          <w:szCs w:val="21"/>
        </w:rPr>
      </w:pPr>
      <w:r>
        <w:fldChar w:fldCharType="begin"/>
      </w:r>
      <w:r>
        <w:instrText xml:space="preserve"> HYPERLINK \l "_Toc382819125" </w:instrText>
      </w:r>
      <w:r>
        <w:fldChar w:fldCharType="separate"/>
      </w:r>
      <w:r>
        <w:rPr>
          <w:rStyle w:val="21"/>
          <w:rFonts w:hint="eastAsia" w:ascii="宋体" w:hAnsi="宋体" w:cs="Arial"/>
          <w:szCs w:val="21"/>
        </w:rPr>
        <w:t>十、</w:t>
      </w:r>
      <w:r>
        <w:rPr>
          <w:rStyle w:val="21"/>
          <w:rFonts w:ascii="宋体" w:hAnsi="宋体" w:cs="Arial"/>
          <w:szCs w:val="21"/>
        </w:rPr>
        <w:t xml:space="preserve"> </w:t>
      </w:r>
      <w:r>
        <w:rPr>
          <w:rStyle w:val="21"/>
          <w:rFonts w:hint="eastAsia" w:ascii="宋体" w:hAnsi="宋体" w:cs="Arial"/>
          <w:szCs w:val="21"/>
        </w:rPr>
        <w:t>基金费用</w:t>
      </w:r>
      <w:r>
        <w:rPr>
          <w:szCs w:val="21"/>
        </w:rPr>
        <w:tab/>
      </w:r>
      <w:r>
        <w:rPr>
          <w:szCs w:val="21"/>
        </w:rPr>
        <w:fldChar w:fldCharType="begin"/>
      </w:r>
      <w:r>
        <w:rPr>
          <w:szCs w:val="21"/>
        </w:rPr>
        <w:instrText xml:space="preserve"> PAGEREF _Toc382819125 \h </w:instrText>
      </w:r>
      <w:r>
        <w:rPr>
          <w:szCs w:val="21"/>
        </w:rPr>
        <w:fldChar w:fldCharType="separate"/>
      </w:r>
      <w:r>
        <w:rPr>
          <w:szCs w:val="21"/>
        </w:rPr>
        <w:t>29</w:t>
      </w:r>
      <w:r>
        <w:rPr>
          <w:szCs w:val="21"/>
        </w:rPr>
        <w:fldChar w:fldCharType="end"/>
      </w:r>
      <w:r>
        <w:rPr>
          <w:szCs w:val="21"/>
        </w:rPr>
        <w:fldChar w:fldCharType="end"/>
      </w:r>
    </w:p>
    <w:p w14:paraId="498DF701">
      <w:pPr>
        <w:pStyle w:val="16"/>
        <w:tabs>
          <w:tab w:val="right" w:leader="dot" w:pos="8296"/>
        </w:tabs>
        <w:spacing w:line="360" w:lineRule="auto"/>
        <w:rPr>
          <w:rFonts w:ascii="Calibri" w:hAnsi="Calibri"/>
          <w:szCs w:val="21"/>
        </w:rPr>
      </w:pPr>
      <w:r>
        <w:fldChar w:fldCharType="begin"/>
      </w:r>
      <w:r>
        <w:instrText xml:space="preserve"> HYPERLINK \l "_Toc382819126" </w:instrText>
      </w:r>
      <w:r>
        <w:fldChar w:fldCharType="separate"/>
      </w:r>
      <w:r>
        <w:rPr>
          <w:rStyle w:val="21"/>
          <w:rFonts w:hint="eastAsia" w:ascii="宋体" w:hAnsi="宋体" w:cs="Arial"/>
          <w:szCs w:val="21"/>
        </w:rPr>
        <w:t>十一、</w:t>
      </w:r>
      <w:r>
        <w:rPr>
          <w:rStyle w:val="21"/>
          <w:rFonts w:ascii="宋体" w:hAnsi="宋体" w:cs="Arial"/>
          <w:szCs w:val="21"/>
        </w:rPr>
        <w:t xml:space="preserve"> </w:t>
      </w:r>
      <w:r>
        <w:rPr>
          <w:rStyle w:val="21"/>
          <w:rFonts w:hint="eastAsia" w:ascii="宋体" w:hAnsi="宋体" w:cs="Arial"/>
          <w:szCs w:val="21"/>
        </w:rPr>
        <w:t>基金份额持有人名册的保管</w:t>
      </w:r>
      <w:r>
        <w:rPr>
          <w:szCs w:val="21"/>
        </w:rPr>
        <w:tab/>
      </w:r>
      <w:r>
        <w:rPr>
          <w:szCs w:val="21"/>
        </w:rPr>
        <w:fldChar w:fldCharType="begin"/>
      </w:r>
      <w:r>
        <w:rPr>
          <w:szCs w:val="21"/>
        </w:rPr>
        <w:instrText xml:space="preserve"> PAGEREF _Toc382819126 \h </w:instrText>
      </w:r>
      <w:r>
        <w:rPr>
          <w:szCs w:val="21"/>
        </w:rPr>
        <w:fldChar w:fldCharType="separate"/>
      </w:r>
      <w:r>
        <w:rPr>
          <w:szCs w:val="21"/>
        </w:rPr>
        <w:t>29</w:t>
      </w:r>
      <w:r>
        <w:rPr>
          <w:szCs w:val="21"/>
        </w:rPr>
        <w:fldChar w:fldCharType="end"/>
      </w:r>
      <w:r>
        <w:rPr>
          <w:szCs w:val="21"/>
        </w:rPr>
        <w:fldChar w:fldCharType="end"/>
      </w:r>
    </w:p>
    <w:p w14:paraId="6649AC84">
      <w:pPr>
        <w:pStyle w:val="16"/>
        <w:tabs>
          <w:tab w:val="right" w:leader="dot" w:pos="8296"/>
        </w:tabs>
        <w:spacing w:line="360" w:lineRule="auto"/>
        <w:rPr>
          <w:rFonts w:ascii="Calibri" w:hAnsi="Calibri"/>
          <w:szCs w:val="21"/>
        </w:rPr>
      </w:pPr>
      <w:r>
        <w:fldChar w:fldCharType="begin"/>
      </w:r>
      <w:r>
        <w:instrText xml:space="preserve"> HYPERLINK \l "_Toc382819127" </w:instrText>
      </w:r>
      <w:r>
        <w:fldChar w:fldCharType="separate"/>
      </w:r>
      <w:r>
        <w:rPr>
          <w:rStyle w:val="21"/>
          <w:rFonts w:hint="eastAsia" w:ascii="宋体" w:hAnsi="宋体" w:cs="Arial"/>
          <w:szCs w:val="21"/>
        </w:rPr>
        <w:t>十二、</w:t>
      </w:r>
      <w:r>
        <w:rPr>
          <w:rStyle w:val="21"/>
          <w:rFonts w:ascii="宋体" w:hAnsi="宋体" w:cs="Arial"/>
          <w:szCs w:val="21"/>
        </w:rPr>
        <w:t xml:space="preserve"> </w:t>
      </w:r>
      <w:r>
        <w:rPr>
          <w:rStyle w:val="21"/>
          <w:rFonts w:hint="eastAsia" w:ascii="宋体" w:hAnsi="宋体" w:cs="Arial"/>
          <w:szCs w:val="21"/>
        </w:rPr>
        <w:t>基金有关文件和档案的保存</w:t>
      </w:r>
      <w:r>
        <w:rPr>
          <w:szCs w:val="21"/>
        </w:rPr>
        <w:tab/>
      </w:r>
      <w:r>
        <w:rPr>
          <w:szCs w:val="21"/>
        </w:rPr>
        <w:fldChar w:fldCharType="begin"/>
      </w:r>
      <w:r>
        <w:rPr>
          <w:szCs w:val="21"/>
        </w:rPr>
        <w:instrText xml:space="preserve"> PAGEREF _Toc382819127 \h </w:instrText>
      </w:r>
      <w:r>
        <w:rPr>
          <w:szCs w:val="21"/>
        </w:rPr>
        <w:fldChar w:fldCharType="separate"/>
      </w:r>
      <w:r>
        <w:rPr>
          <w:szCs w:val="21"/>
        </w:rPr>
        <w:t>31</w:t>
      </w:r>
      <w:r>
        <w:rPr>
          <w:szCs w:val="21"/>
        </w:rPr>
        <w:fldChar w:fldCharType="end"/>
      </w:r>
      <w:r>
        <w:rPr>
          <w:szCs w:val="21"/>
        </w:rPr>
        <w:fldChar w:fldCharType="end"/>
      </w:r>
    </w:p>
    <w:p w14:paraId="336C24E9">
      <w:pPr>
        <w:pStyle w:val="16"/>
        <w:tabs>
          <w:tab w:val="right" w:leader="dot" w:pos="8296"/>
        </w:tabs>
        <w:spacing w:line="360" w:lineRule="auto"/>
        <w:rPr>
          <w:rFonts w:ascii="Calibri" w:hAnsi="Calibri"/>
          <w:szCs w:val="21"/>
        </w:rPr>
      </w:pPr>
      <w:r>
        <w:fldChar w:fldCharType="begin"/>
      </w:r>
      <w:r>
        <w:instrText xml:space="preserve"> HYPERLINK \l "_Toc382819128" </w:instrText>
      </w:r>
      <w:r>
        <w:fldChar w:fldCharType="separate"/>
      </w:r>
      <w:r>
        <w:rPr>
          <w:rStyle w:val="21"/>
          <w:rFonts w:hint="eastAsia" w:ascii="宋体" w:hAnsi="宋体" w:cs="Arial"/>
          <w:szCs w:val="21"/>
        </w:rPr>
        <w:t>十三、</w:t>
      </w:r>
      <w:r>
        <w:rPr>
          <w:rStyle w:val="21"/>
          <w:rFonts w:ascii="宋体" w:hAnsi="宋体" w:cs="Arial"/>
          <w:szCs w:val="21"/>
        </w:rPr>
        <w:t xml:space="preserve"> </w:t>
      </w:r>
      <w:r>
        <w:rPr>
          <w:rStyle w:val="21"/>
          <w:rFonts w:hint="eastAsia" w:ascii="宋体" w:hAnsi="宋体" w:cs="Arial"/>
          <w:szCs w:val="21"/>
        </w:rPr>
        <w:t>基金管理人和基金托管人的更换</w:t>
      </w:r>
      <w:r>
        <w:rPr>
          <w:szCs w:val="21"/>
        </w:rPr>
        <w:tab/>
      </w:r>
      <w:r>
        <w:rPr>
          <w:szCs w:val="21"/>
        </w:rPr>
        <w:fldChar w:fldCharType="begin"/>
      </w:r>
      <w:r>
        <w:rPr>
          <w:szCs w:val="21"/>
        </w:rPr>
        <w:instrText xml:space="preserve"> PAGEREF _Toc382819128 \h </w:instrText>
      </w:r>
      <w:r>
        <w:rPr>
          <w:szCs w:val="21"/>
        </w:rPr>
        <w:fldChar w:fldCharType="separate"/>
      </w:r>
      <w:r>
        <w:rPr>
          <w:szCs w:val="21"/>
        </w:rPr>
        <w:t>31</w:t>
      </w:r>
      <w:r>
        <w:rPr>
          <w:szCs w:val="21"/>
        </w:rPr>
        <w:fldChar w:fldCharType="end"/>
      </w:r>
      <w:r>
        <w:rPr>
          <w:szCs w:val="21"/>
        </w:rPr>
        <w:fldChar w:fldCharType="end"/>
      </w:r>
    </w:p>
    <w:p w14:paraId="56D0DA22">
      <w:pPr>
        <w:pStyle w:val="16"/>
        <w:tabs>
          <w:tab w:val="right" w:leader="dot" w:pos="8296"/>
        </w:tabs>
        <w:spacing w:line="360" w:lineRule="auto"/>
        <w:rPr>
          <w:rFonts w:ascii="Calibri" w:hAnsi="Calibri"/>
          <w:szCs w:val="21"/>
        </w:rPr>
      </w:pPr>
      <w:r>
        <w:fldChar w:fldCharType="begin"/>
      </w:r>
      <w:r>
        <w:instrText xml:space="preserve"> HYPERLINK \l "_Toc382819131" </w:instrText>
      </w:r>
      <w:r>
        <w:fldChar w:fldCharType="separate"/>
      </w:r>
      <w:r>
        <w:rPr>
          <w:rStyle w:val="21"/>
          <w:rFonts w:hint="eastAsia" w:ascii="宋体" w:hAnsi="宋体" w:cs="Arial"/>
          <w:szCs w:val="21"/>
        </w:rPr>
        <w:t>十四、</w:t>
      </w:r>
      <w:r>
        <w:rPr>
          <w:rStyle w:val="21"/>
          <w:rFonts w:ascii="宋体" w:hAnsi="宋体" w:cs="Arial"/>
          <w:szCs w:val="21"/>
        </w:rPr>
        <w:t xml:space="preserve"> </w:t>
      </w:r>
      <w:r>
        <w:rPr>
          <w:rStyle w:val="21"/>
          <w:rFonts w:hint="eastAsia" w:ascii="宋体" w:hAnsi="宋体" w:cs="Arial"/>
          <w:szCs w:val="21"/>
        </w:rPr>
        <w:t>禁止行为</w:t>
      </w:r>
      <w:r>
        <w:rPr>
          <w:szCs w:val="21"/>
        </w:rPr>
        <w:tab/>
      </w:r>
      <w:r>
        <w:rPr>
          <w:szCs w:val="21"/>
        </w:rPr>
        <w:fldChar w:fldCharType="begin"/>
      </w:r>
      <w:r>
        <w:rPr>
          <w:szCs w:val="21"/>
        </w:rPr>
        <w:instrText xml:space="preserve"> PAGEREF _Toc382819131 \h </w:instrText>
      </w:r>
      <w:r>
        <w:rPr>
          <w:szCs w:val="21"/>
        </w:rPr>
        <w:fldChar w:fldCharType="separate"/>
      </w:r>
      <w:r>
        <w:rPr>
          <w:szCs w:val="21"/>
        </w:rPr>
        <w:t>33</w:t>
      </w:r>
      <w:r>
        <w:rPr>
          <w:szCs w:val="21"/>
        </w:rPr>
        <w:fldChar w:fldCharType="end"/>
      </w:r>
      <w:r>
        <w:rPr>
          <w:szCs w:val="21"/>
        </w:rPr>
        <w:fldChar w:fldCharType="end"/>
      </w:r>
    </w:p>
    <w:p w14:paraId="254D1BE0">
      <w:pPr>
        <w:pStyle w:val="16"/>
        <w:tabs>
          <w:tab w:val="right" w:leader="dot" w:pos="8296"/>
        </w:tabs>
        <w:spacing w:line="360" w:lineRule="auto"/>
        <w:rPr>
          <w:rFonts w:ascii="Calibri" w:hAnsi="Calibri"/>
          <w:szCs w:val="21"/>
        </w:rPr>
      </w:pPr>
      <w:r>
        <w:fldChar w:fldCharType="begin"/>
      </w:r>
      <w:r>
        <w:instrText xml:space="preserve"> HYPERLINK \l "_Toc382819132" </w:instrText>
      </w:r>
      <w:r>
        <w:fldChar w:fldCharType="separate"/>
      </w:r>
      <w:r>
        <w:rPr>
          <w:rStyle w:val="21"/>
          <w:rFonts w:hint="eastAsia" w:ascii="宋体" w:hAnsi="宋体" w:cs="Arial"/>
          <w:szCs w:val="21"/>
        </w:rPr>
        <w:t>十五、</w:t>
      </w:r>
      <w:r>
        <w:rPr>
          <w:rStyle w:val="21"/>
          <w:rFonts w:ascii="宋体" w:hAnsi="宋体" w:cs="Arial"/>
          <w:szCs w:val="21"/>
        </w:rPr>
        <w:t xml:space="preserve"> </w:t>
      </w:r>
      <w:r>
        <w:rPr>
          <w:rStyle w:val="21"/>
          <w:rFonts w:hint="eastAsia" w:ascii="宋体" w:hAnsi="宋体" w:cs="Arial"/>
          <w:szCs w:val="21"/>
        </w:rPr>
        <w:t>基金托管协议的变更、终止与基金财产的清算</w:t>
      </w:r>
      <w:r>
        <w:rPr>
          <w:szCs w:val="21"/>
        </w:rPr>
        <w:tab/>
      </w:r>
      <w:r>
        <w:rPr>
          <w:szCs w:val="21"/>
        </w:rPr>
        <w:fldChar w:fldCharType="begin"/>
      </w:r>
      <w:r>
        <w:rPr>
          <w:szCs w:val="21"/>
        </w:rPr>
        <w:instrText xml:space="preserve"> PAGEREF _Toc382819132 \h </w:instrText>
      </w:r>
      <w:r>
        <w:rPr>
          <w:szCs w:val="21"/>
        </w:rPr>
        <w:fldChar w:fldCharType="separate"/>
      </w:r>
      <w:r>
        <w:rPr>
          <w:szCs w:val="21"/>
        </w:rPr>
        <w:t>35</w:t>
      </w:r>
      <w:r>
        <w:rPr>
          <w:szCs w:val="21"/>
        </w:rPr>
        <w:fldChar w:fldCharType="end"/>
      </w:r>
      <w:r>
        <w:rPr>
          <w:szCs w:val="21"/>
        </w:rPr>
        <w:fldChar w:fldCharType="end"/>
      </w:r>
    </w:p>
    <w:p w14:paraId="1A332BD5">
      <w:pPr>
        <w:pStyle w:val="16"/>
        <w:tabs>
          <w:tab w:val="right" w:leader="dot" w:pos="8296"/>
        </w:tabs>
        <w:spacing w:line="360" w:lineRule="auto"/>
        <w:rPr>
          <w:rFonts w:ascii="Calibri" w:hAnsi="Calibri"/>
          <w:szCs w:val="21"/>
        </w:rPr>
      </w:pPr>
      <w:r>
        <w:fldChar w:fldCharType="begin"/>
      </w:r>
      <w:r>
        <w:instrText xml:space="preserve"> HYPERLINK \l "_Toc382819133" </w:instrText>
      </w:r>
      <w:r>
        <w:fldChar w:fldCharType="separate"/>
      </w:r>
      <w:r>
        <w:rPr>
          <w:rStyle w:val="21"/>
          <w:rFonts w:hint="eastAsia" w:ascii="宋体" w:hAnsi="宋体" w:cs="Arial"/>
          <w:szCs w:val="21"/>
        </w:rPr>
        <w:t>十六、</w:t>
      </w:r>
      <w:r>
        <w:rPr>
          <w:rStyle w:val="21"/>
          <w:rFonts w:ascii="宋体" w:hAnsi="宋体" w:cs="Arial"/>
          <w:szCs w:val="21"/>
        </w:rPr>
        <w:t xml:space="preserve"> </w:t>
      </w:r>
      <w:r>
        <w:rPr>
          <w:rStyle w:val="21"/>
          <w:rFonts w:hint="eastAsia" w:ascii="宋体" w:hAnsi="宋体" w:cs="Arial"/>
          <w:szCs w:val="21"/>
        </w:rPr>
        <w:t>违约责任</w:t>
      </w:r>
      <w:r>
        <w:rPr>
          <w:szCs w:val="21"/>
        </w:rPr>
        <w:tab/>
      </w:r>
      <w:r>
        <w:rPr>
          <w:szCs w:val="21"/>
        </w:rPr>
        <w:fldChar w:fldCharType="begin"/>
      </w:r>
      <w:r>
        <w:rPr>
          <w:szCs w:val="21"/>
        </w:rPr>
        <w:instrText xml:space="preserve"> PAGEREF _Toc382819133 \h </w:instrText>
      </w:r>
      <w:r>
        <w:rPr>
          <w:szCs w:val="21"/>
        </w:rPr>
        <w:fldChar w:fldCharType="separate"/>
      </w:r>
      <w:r>
        <w:rPr>
          <w:szCs w:val="21"/>
        </w:rPr>
        <w:t>36</w:t>
      </w:r>
      <w:r>
        <w:rPr>
          <w:szCs w:val="21"/>
        </w:rPr>
        <w:fldChar w:fldCharType="end"/>
      </w:r>
      <w:r>
        <w:rPr>
          <w:szCs w:val="21"/>
        </w:rPr>
        <w:fldChar w:fldCharType="end"/>
      </w:r>
    </w:p>
    <w:p w14:paraId="38253A7C">
      <w:pPr>
        <w:pStyle w:val="16"/>
        <w:tabs>
          <w:tab w:val="right" w:leader="dot" w:pos="8296"/>
        </w:tabs>
        <w:spacing w:line="360" w:lineRule="auto"/>
        <w:rPr>
          <w:rFonts w:ascii="Calibri" w:hAnsi="Calibri"/>
          <w:szCs w:val="21"/>
        </w:rPr>
      </w:pPr>
      <w:r>
        <w:fldChar w:fldCharType="begin"/>
      </w:r>
      <w:r>
        <w:instrText xml:space="preserve"> HYPERLINK \l "_Toc382819134" </w:instrText>
      </w:r>
      <w:r>
        <w:fldChar w:fldCharType="separate"/>
      </w:r>
      <w:r>
        <w:rPr>
          <w:rStyle w:val="21"/>
          <w:rFonts w:hint="eastAsia" w:ascii="宋体" w:hAnsi="宋体" w:cs="Arial"/>
          <w:szCs w:val="21"/>
        </w:rPr>
        <w:t>十七、</w:t>
      </w:r>
      <w:r>
        <w:rPr>
          <w:rStyle w:val="21"/>
          <w:rFonts w:ascii="宋体" w:hAnsi="宋体" w:cs="Arial"/>
          <w:szCs w:val="21"/>
        </w:rPr>
        <w:t xml:space="preserve"> </w:t>
      </w:r>
      <w:r>
        <w:rPr>
          <w:rStyle w:val="21"/>
          <w:rFonts w:hint="eastAsia" w:ascii="宋体" w:hAnsi="宋体" w:cs="Arial"/>
          <w:szCs w:val="21"/>
        </w:rPr>
        <w:t>适用法律及争议解决方式</w:t>
      </w:r>
      <w:r>
        <w:rPr>
          <w:szCs w:val="21"/>
        </w:rPr>
        <w:tab/>
      </w:r>
      <w:r>
        <w:rPr>
          <w:szCs w:val="21"/>
        </w:rPr>
        <w:fldChar w:fldCharType="begin"/>
      </w:r>
      <w:r>
        <w:rPr>
          <w:szCs w:val="21"/>
        </w:rPr>
        <w:instrText xml:space="preserve"> PAGEREF _Toc382819134 \h </w:instrText>
      </w:r>
      <w:r>
        <w:rPr>
          <w:szCs w:val="21"/>
        </w:rPr>
        <w:fldChar w:fldCharType="separate"/>
      </w:r>
      <w:r>
        <w:rPr>
          <w:szCs w:val="21"/>
        </w:rPr>
        <w:t>37</w:t>
      </w:r>
      <w:r>
        <w:rPr>
          <w:szCs w:val="21"/>
        </w:rPr>
        <w:fldChar w:fldCharType="end"/>
      </w:r>
      <w:r>
        <w:rPr>
          <w:szCs w:val="21"/>
        </w:rPr>
        <w:fldChar w:fldCharType="end"/>
      </w:r>
    </w:p>
    <w:p w14:paraId="0741720E">
      <w:pPr>
        <w:pStyle w:val="16"/>
        <w:tabs>
          <w:tab w:val="right" w:leader="dot" w:pos="8296"/>
        </w:tabs>
        <w:spacing w:line="360" w:lineRule="auto"/>
        <w:rPr>
          <w:rFonts w:ascii="Calibri" w:hAnsi="Calibri"/>
          <w:szCs w:val="21"/>
        </w:rPr>
      </w:pPr>
      <w:r>
        <w:fldChar w:fldCharType="begin"/>
      </w:r>
      <w:r>
        <w:instrText xml:space="preserve"> HYPERLINK \l "_Toc382819135" </w:instrText>
      </w:r>
      <w:r>
        <w:fldChar w:fldCharType="separate"/>
      </w:r>
      <w:r>
        <w:rPr>
          <w:rStyle w:val="21"/>
          <w:rFonts w:hint="eastAsia" w:ascii="宋体" w:hAnsi="宋体" w:cs="Arial"/>
          <w:szCs w:val="21"/>
        </w:rPr>
        <w:t>十八、</w:t>
      </w:r>
      <w:r>
        <w:rPr>
          <w:rStyle w:val="21"/>
          <w:rFonts w:ascii="宋体" w:hAnsi="宋体" w:cs="Arial"/>
          <w:szCs w:val="21"/>
        </w:rPr>
        <w:t xml:space="preserve"> </w:t>
      </w:r>
      <w:r>
        <w:rPr>
          <w:rStyle w:val="21"/>
          <w:rFonts w:hint="eastAsia" w:ascii="宋体" w:hAnsi="宋体" w:cs="Arial"/>
          <w:szCs w:val="21"/>
        </w:rPr>
        <w:t>基金托管协议的效力和文本</w:t>
      </w:r>
      <w:r>
        <w:rPr>
          <w:szCs w:val="21"/>
        </w:rPr>
        <w:tab/>
      </w:r>
      <w:r>
        <w:rPr>
          <w:szCs w:val="21"/>
        </w:rPr>
        <w:fldChar w:fldCharType="begin"/>
      </w:r>
      <w:r>
        <w:rPr>
          <w:szCs w:val="21"/>
        </w:rPr>
        <w:instrText xml:space="preserve"> PAGEREF _Toc382819135 \h </w:instrText>
      </w:r>
      <w:r>
        <w:rPr>
          <w:szCs w:val="21"/>
        </w:rPr>
        <w:fldChar w:fldCharType="separate"/>
      </w:r>
      <w:r>
        <w:rPr>
          <w:szCs w:val="21"/>
        </w:rPr>
        <w:t>37</w:t>
      </w:r>
      <w:r>
        <w:rPr>
          <w:szCs w:val="21"/>
        </w:rPr>
        <w:fldChar w:fldCharType="end"/>
      </w:r>
      <w:r>
        <w:rPr>
          <w:szCs w:val="21"/>
        </w:rPr>
        <w:fldChar w:fldCharType="end"/>
      </w:r>
    </w:p>
    <w:p w14:paraId="74C12FBE">
      <w:pPr>
        <w:pStyle w:val="16"/>
        <w:tabs>
          <w:tab w:val="right" w:leader="dot" w:pos="8296"/>
        </w:tabs>
        <w:spacing w:line="360" w:lineRule="auto"/>
        <w:rPr>
          <w:rFonts w:ascii="Calibri" w:hAnsi="Calibri"/>
          <w:szCs w:val="21"/>
        </w:rPr>
      </w:pPr>
      <w:r>
        <w:fldChar w:fldCharType="begin"/>
      </w:r>
      <w:r>
        <w:instrText xml:space="preserve"> HYPERLINK \l "_Toc382819136" </w:instrText>
      </w:r>
      <w:r>
        <w:fldChar w:fldCharType="separate"/>
      </w:r>
      <w:r>
        <w:rPr>
          <w:rStyle w:val="21"/>
          <w:rFonts w:hint="eastAsia" w:ascii="宋体" w:hAnsi="宋体"/>
          <w:szCs w:val="21"/>
        </w:rPr>
        <w:t>十九、</w:t>
      </w:r>
      <w:r>
        <w:rPr>
          <w:rStyle w:val="21"/>
          <w:rFonts w:ascii="宋体" w:hAnsi="宋体" w:cs="Arial"/>
          <w:szCs w:val="21"/>
        </w:rPr>
        <w:t xml:space="preserve"> 其他事项</w:t>
      </w:r>
      <w:r>
        <w:rPr>
          <w:szCs w:val="21"/>
        </w:rPr>
        <w:tab/>
      </w:r>
      <w:r>
        <w:rPr>
          <w:szCs w:val="21"/>
        </w:rPr>
        <w:fldChar w:fldCharType="begin"/>
      </w:r>
      <w:r>
        <w:rPr>
          <w:szCs w:val="21"/>
        </w:rPr>
        <w:instrText xml:space="preserve"> PAGEREF _Toc382819136 \h </w:instrText>
      </w:r>
      <w:r>
        <w:rPr>
          <w:szCs w:val="21"/>
        </w:rPr>
        <w:fldChar w:fldCharType="separate"/>
      </w:r>
      <w:r>
        <w:rPr>
          <w:szCs w:val="21"/>
        </w:rPr>
        <w:t>38</w:t>
      </w:r>
      <w:r>
        <w:rPr>
          <w:szCs w:val="21"/>
        </w:rPr>
        <w:fldChar w:fldCharType="end"/>
      </w:r>
      <w:r>
        <w:rPr>
          <w:szCs w:val="21"/>
        </w:rPr>
        <w:fldChar w:fldCharType="end"/>
      </w:r>
    </w:p>
    <w:p w14:paraId="32516FC1">
      <w:pPr>
        <w:spacing w:line="360" w:lineRule="auto"/>
        <w:rPr>
          <w:rFonts w:ascii="仿宋_GB2312" w:eastAsia="仿宋_GB2312"/>
          <w:szCs w:val="21"/>
        </w:rPr>
      </w:pPr>
      <w:r>
        <w:rPr>
          <w:rFonts w:ascii="宋体" w:hAnsi="宋体"/>
          <w:szCs w:val="21"/>
        </w:rPr>
        <w:fldChar w:fldCharType="end"/>
      </w:r>
    </w:p>
    <w:p w14:paraId="55C31565">
      <w:pPr>
        <w:widowControl/>
        <w:jc w:val="left"/>
        <w:rPr>
          <w:rFonts w:ascii="仿宋_GB2312" w:eastAsia="仿宋_GB2312"/>
          <w:sz w:val="24"/>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14:paraId="1D2629D6">
      <w:pPr>
        <w:jc w:val="center"/>
        <w:rPr>
          <w:rFonts w:ascii="黑体" w:hAnsi="黑体" w:eastAsia="黑体"/>
          <w:b/>
          <w:sz w:val="32"/>
          <w:szCs w:val="32"/>
        </w:rPr>
      </w:pPr>
      <w:bookmarkStart w:id="6" w:name="_Toc382818594"/>
      <w:bookmarkStart w:id="7" w:name="_Toc382819068"/>
      <w:r>
        <w:rPr>
          <w:rFonts w:hint="eastAsia" w:ascii="黑体" w:hAnsi="黑体" w:eastAsia="黑体"/>
          <w:sz w:val="32"/>
          <w:szCs w:val="32"/>
        </w:rPr>
        <w:t>公开募集证券投资基金托管协议</w:t>
      </w:r>
      <w:bookmarkEnd w:id="6"/>
      <w:bookmarkEnd w:id="7"/>
    </w:p>
    <w:p w14:paraId="5C1FA5B9">
      <w:pPr>
        <w:rPr>
          <w:lang w:val="zh-CN"/>
        </w:rPr>
      </w:pPr>
    </w:p>
    <w:p w14:paraId="45257FC6">
      <w:pPr>
        <w:rPr>
          <w:lang w:val="zh-CN"/>
        </w:rPr>
      </w:pPr>
    </w:p>
    <w:p w14:paraId="4AA3B967">
      <w:pPr>
        <w:spacing w:line="360" w:lineRule="auto"/>
        <w:ind w:firstLine="422" w:firstLineChars="200"/>
        <w:rPr>
          <w:rFonts w:ascii="宋体" w:hAnsi="宋体"/>
          <w:szCs w:val="21"/>
        </w:rPr>
      </w:pPr>
      <w:bookmarkStart w:id="8" w:name="_Toc382819069"/>
      <w:r>
        <w:rPr>
          <w:rFonts w:hint="eastAsia" w:ascii="宋体" w:hAnsi="宋体"/>
          <w:b/>
          <w:szCs w:val="21"/>
        </w:rPr>
        <w:t>基金管理人：</w:t>
      </w:r>
      <w:bookmarkEnd w:id="8"/>
      <w:r>
        <w:rPr>
          <w:rFonts w:hint="eastAsia" w:ascii="宋体" w:hAnsi="宋体"/>
          <w:b/>
          <w:szCs w:val="21"/>
        </w:rPr>
        <w:t>博时基金管理有限公司</w:t>
      </w:r>
    </w:p>
    <w:p w14:paraId="060C8288">
      <w:pPr>
        <w:spacing w:line="360" w:lineRule="auto"/>
        <w:ind w:firstLine="420" w:firstLineChars="200"/>
        <w:rPr>
          <w:rFonts w:ascii="宋体" w:hAnsi="宋体"/>
          <w:szCs w:val="21"/>
        </w:rPr>
      </w:pPr>
      <w:r>
        <w:rPr>
          <w:rFonts w:hint="eastAsia" w:ascii="宋体" w:hAnsi="宋体"/>
          <w:szCs w:val="21"/>
        </w:rPr>
        <w:t>住所：深圳市福田区莲花街道福新社区益田路5999号基金大厦21层</w:t>
      </w:r>
    </w:p>
    <w:p w14:paraId="28F85447">
      <w:pPr>
        <w:spacing w:line="360" w:lineRule="auto"/>
        <w:ind w:firstLine="420" w:firstLineChars="200"/>
        <w:rPr>
          <w:rFonts w:ascii="宋体" w:hAnsi="宋体"/>
          <w:szCs w:val="21"/>
        </w:rPr>
      </w:pPr>
      <w:r>
        <w:rPr>
          <w:rFonts w:hint="eastAsia" w:ascii="宋体" w:hAnsi="宋体"/>
          <w:szCs w:val="21"/>
        </w:rPr>
        <w:t>法定代表人：张东</w:t>
      </w:r>
    </w:p>
    <w:p w14:paraId="59C5FC76">
      <w:pPr>
        <w:spacing w:line="360" w:lineRule="auto"/>
        <w:ind w:firstLine="420" w:firstLineChars="200"/>
        <w:rPr>
          <w:rFonts w:ascii="宋体" w:hAnsi="宋体"/>
          <w:szCs w:val="21"/>
        </w:rPr>
      </w:pPr>
      <w:r>
        <w:rPr>
          <w:rFonts w:hint="eastAsia" w:ascii="宋体" w:hAnsi="宋体"/>
          <w:szCs w:val="21"/>
        </w:rPr>
        <w:t>成立时间：1998年7月13日</w:t>
      </w:r>
    </w:p>
    <w:p w14:paraId="1B731E73">
      <w:pPr>
        <w:spacing w:line="360" w:lineRule="auto"/>
        <w:ind w:firstLine="420" w:firstLineChars="200"/>
        <w:rPr>
          <w:rFonts w:ascii="宋体" w:hAnsi="宋体"/>
          <w:szCs w:val="21"/>
        </w:rPr>
      </w:pPr>
      <w:r>
        <w:rPr>
          <w:rFonts w:hint="eastAsia" w:ascii="宋体" w:hAnsi="宋体"/>
          <w:szCs w:val="21"/>
        </w:rPr>
        <w:t>批准设立机关及批准设立文号：中国证监会证监基字【1998】26号</w:t>
      </w:r>
    </w:p>
    <w:p w14:paraId="2A63E49D">
      <w:pPr>
        <w:spacing w:line="360" w:lineRule="auto"/>
        <w:ind w:firstLine="420" w:firstLineChars="200"/>
        <w:rPr>
          <w:rFonts w:ascii="宋体" w:hAnsi="宋体"/>
          <w:szCs w:val="21"/>
        </w:rPr>
      </w:pPr>
      <w:r>
        <w:rPr>
          <w:rFonts w:hint="eastAsia" w:ascii="宋体" w:hAnsi="宋体"/>
          <w:szCs w:val="21"/>
        </w:rPr>
        <w:t>注册资本：2.5亿元人民币</w:t>
      </w:r>
    </w:p>
    <w:p w14:paraId="554635C6">
      <w:pPr>
        <w:spacing w:line="360" w:lineRule="auto"/>
        <w:ind w:firstLine="420" w:firstLineChars="200"/>
        <w:rPr>
          <w:rFonts w:ascii="宋体" w:hAnsi="宋体"/>
          <w:szCs w:val="21"/>
        </w:rPr>
      </w:pPr>
      <w:r>
        <w:rPr>
          <w:rFonts w:hint="eastAsia" w:ascii="宋体" w:hAnsi="宋体"/>
          <w:szCs w:val="21"/>
        </w:rPr>
        <w:t>组织形式: 有限责任公司</w:t>
      </w:r>
    </w:p>
    <w:p w14:paraId="0189C580">
      <w:pPr>
        <w:spacing w:line="360" w:lineRule="auto"/>
        <w:ind w:firstLine="420" w:firstLineChars="200"/>
        <w:rPr>
          <w:rFonts w:ascii="宋体" w:hAnsi="宋体"/>
          <w:szCs w:val="21"/>
        </w:rPr>
      </w:pPr>
      <w:r>
        <w:rPr>
          <w:rFonts w:hint="eastAsia" w:ascii="宋体" w:hAnsi="宋体"/>
          <w:szCs w:val="21"/>
        </w:rPr>
        <w:t>存续期间：持续经营</w:t>
      </w:r>
    </w:p>
    <w:p w14:paraId="1D6A6770">
      <w:pPr>
        <w:spacing w:line="360" w:lineRule="auto"/>
        <w:rPr>
          <w:rFonts w:ascii="宋体" w:hAnsi="宋体"/>
          <w:szCs w:val="21"/>
        </w:rPr>
      </w:pPr>
    </w:p>
    <w:p w14:paraId="160F066A">
      <w:pPr>
        <w:spacing w:line="360" w:lineRule="auto"/>
        <w:ind w:firstLine="422" w:firstLineChars="200"/>
        <w:rPr>
          <w:rFonts w:ascii="宋体" w:hAnsi="宋体"/>
          <w:b/>
          <w:szCs w:val="21"/>
        </w:rPr>
      </w:pPr>
      <w:bookmarkStart w:id="9" w:name="_Toc382819070"/>
      <w:r>
        <w:rPr>
          <w:rFonts w:hint="eastAsia" w:ascii="宋体" w:hAnsi="宋体"/>
          <w:b/>
          <w:szCs w:val="21"/>
        </w:rPr>
        <w:t>基金托管人：上海浦东发展银行股份有限公司</w:t>
      </w:r>
      <w:bookmarkEnd w:id="9"/>
    </w:p>
    <w:p w14:paraId="5975BD80">
      <w:pPr>
        <w:spacing w:line="360" w:lineRule="auto"/>
        <w:ind w:firstLine="420" w:firstLineChars="200"/>
        <w:rPr>
          <w:rFonts w:ascii="宋体" w:hAnsi="宋体"/>
          <w:szCs w:val="21"/>
        </w:rPr>
      </w:pPr>
      <w:r>
        <w:rPr>
          <w:rFonts w:hint="eastAsia" w:ascii="宋体" w:hAnsi="宋体"/>
          <w:szCs w:val="21"/>
        </w:rPr>
        <w:t>注册地址：上海市中山东一路12号</w:t>
      </w:r>
    </w:p>
    <w:p w14:paraId="14F3C769">
      <w:pPr>
        <w:spacing w:line="360" w:lineRule="auto"/>
        <w:ind w:firstLine="420" w:firstLineChars="200"/>
        <w:rPr>
          <w:rFonts w:ascii="宋体" w:hAnsi="宋体"/>
          <w:szCs w:val="21"/>
        </w:rPr>
      </w:pPr>
      <w:r>
        <w:rPr>
          <w:rFonts w:hint="eastAsia" w:ascii="宋体" w:hAnsi="宋体"/>
          <w:szCs w:val="21"/>
        </w:rPr>
        <w:t>法定代表人：张为忠</w:t>
      </w:r>
    </w:p>
    <w:p w14:paraId="6735B227">
      <w:pPr>
        <w:spacing w:line="360" w:lineRule="auto"/>
        <w:ind w:firstLine="420" w:firstLineChars="200"/>
        <w:rPr>
          <w:rFonts w:ascii="宋体" w:hAnsi="宋体"/>
          <w:szCs w:val="21"/>
        </w:rPr>
      </w:pPr>
      <w:r>
        <w:rPr>
          <w:rFonts w:hint="eastAsia" w:ascii="宋体" w:hAnsi="宋体"/>
          <w:szCs w:val="21"/>
        </w:rPr>
        <w:t>成立时间：1992年10月19日</w:t>
      </w:r>
    </w:p>
    <w:p w14:paraId="1200660D">
      <w:pPr>
        <w:spacing w:line="360" w:lineRule="auto"/>
        <w:ind w:firstLine="420" w:firstLineChars="200"/>
        <w:rPr>
          <w:rFonts w:ascii="宋体" w:hAnsi="宋体"/>
          <w:szCs w:val="21"/>
        </w:rPr>
      </w:pPr>
      <w:r>
        <w:rPr>
          <w:rFonts w:hint="eastAsia" w:ascii="宋体" w:hAnsi="宋体"/>
          <w:szCs w:val="21"/>
        </w:rPr>
        <w:t>组织形式：股份有限公司（上市）</w:t>
      </w:r>
    </w:p>
    <w:p w14:paraId="3457B912">
      <w:pPr>
        <w:spacing w:line="360" w:lineRule="auto"/>
        <w:ind w:firstLine="420" w:firstLineChars="200"/>
        <w:rPr>
          <w:rFonts w:ascii="宋体" w:hAnsi="宋体"/>
          <w:szCs w:val="21"/>
        </w:rPr>
      </w:pPr>
      <w:r>
        <w:rPr>
          <w:rFonts w:hint="eastAsia" w:ascii="宋体" w:hAnsi="宋体"/>
          <w:szCs w:val="21"/>
        </w:rPr>
        <w:t>注册资本：293.52亿元人民币</w:t>
      </w:r>
    </w:p>
    <w:p w14:paraId="2463B1CC">
      <w:pPr>
        <w:spacing w:line="360" w:lineRule="auto"/>
        <w:ind w:firstLine="420" w:firstLineChars="200"/>
        <w:rPr>
          <w:rFonts w:ascii="宋体" w:hAnsi="宋体"/>
          <w:szCs w:val="21"/>
        </w:rPr>
      </w:pPr>
      <w:r>
        <w:rPr>
          <w:rFonts w:hint="eastAsia" w:ascii="宋体" w:hAnsi="宋体"/>
          <w:szCs w:val="21"/>
        </w:rPr>
        <w:t>存续期间：持续经营</w:t>
      </w:r>
    </w:p>
    <w:p w14:paraId="1FA892D0">
      <w:pPr>
        <w:spacing w:line="360" w:lineRule="auto"/>
        <w:ind w:firstLine="420" w:firstLineChars="200"/>
        <w:rPr>
          <w:rFonts w:ascii="宋体" w:hAnsi="宋体"/>
          <w:sz w:val="24"/>
        </w:rPr>
      </w:pPr>
      <w:r>
        <w:rPr>
          <w:rFonts w:hint="eastAsia" w:ascii="宋体" w:hAnsi="宋体"/>
          <w:szCs w:val="21"/>
        </w:rPr>
        <w:t>基金托管资格批文及文号：中国证监会证监基金字[2003]105号</w:t>
      </w:r>
    </w:p>
    <w:p w14:paraId="2114F5C7">
      <w:pPr>
        <w:spacing w:line="360" w:lineRule="auto"/>
        <w:ind w:firstLine="480" w:firstLineChars="200"/>
        <w:rPr>
          <w:rFonts w:ascii="宋体" w:hAnsi="宋体"/>
          <w:sz w:val="24"/>
        </w:rPr>
      </w:pPr>
    </w:p>
    <w:p w14:paraId="3C25A052">
      <w:pPr>
        <w:spacing w:line="360" w:lineRule="auto"/>
        <w:ind w:firstLine="480" w:firstLineChars="200"/>
        <w:rPr>
          <w:rFonts w:ascii="宋体" w:hAnsi="宋体"/>
          <w:sz w:val="24"/>
        </w:rPr>
      </w:pPr>
    </w:p>
    <w:p w14:paraId="0A843924">
      <w:pPr>
        <w:spacing w:before="312" w:beforeLines="100" w:after="312" w:afterLines="100" w:line="240" w:lineRule="atLeast"/>
        <w:jc w:val="center"/>
        <w:outlineLvl w:val="0"/>
        <w:rPr>
          <w:rFonts w:ascii="宋体" w:hAnsi="宋体"/>
        </w:rPr>
      </w:pPr>
      <w:r>
        <w:rPr>
          <w:rFonts w:ascii="宋体" w:hAnsi="宋体"/>
          <w:sz w:val="24"/>
        </w:rPr>
        <w:br w:type="page"/>
      </w:r>
      <w:bookmarkStart w:id="10" w:name="_Toc382819071"/>
      <w:r>
        <w:rPr>
          <w:rFonts w:hint="eastAsia" w:ascii="宋体" w:hAnsi="宋体"/>
          <w:b/>
          <w:sz w:val="24"/>
        </w:rPr>
        <w:t>一、基金托管协议的依据、目的、原则和解释</w:t>
      </w:r>
      <w:bookmarkEnd w:id="10"/>
    </w:p>
    <w:p w14:paraId="0D90DB45">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（一）依据</w:t>
      </w:r>
    </w:p>
    <w:p w14:paraId="09389A98">
      <w:pPr>
        <w:spacing w:line="360" w:lineRule="auto"/>
        <w:ind w:firstLine="420" w:firstLineChars="200"/>
        <w:rPr>
          <w:rFonts w:ascii="宋体" w:hAnsi="宋体"/>
          <w:szCs w:val="21"/>
        </w:rPr>
      </w:pPr>
      <w:r>
        <w:rPr>
          <w:rFonts w:hint="eastAsia" w:ascii="宋体" w:hAnsi="宋体"/>
          <w:szCs w:val="21"/>
        </w:rPr>
        <w:t>本协议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证券投资基金托管业务管理办法》、《商业银行托管业务监督管理办法（试行）》、《证券投资基金信息披露内容与格式准则第7号〈托管协议的内容与格式〉》、《博时汇益优选3个月持有期混合型基金中基金（FOF）基金合同》（以下简称《基金合同》）及其他有关法律、法规制定。</w:t>
      </w:r>
    </w:p>
    <w:p w14:paraId="5B8F795B">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（二）目的</w:t>
      </w:r>
    </w:p>
    <w:p w14:paraId="2A2F847B">
      <w:pPr>
        <w:spacing w:line="360" w:lineRule="auto"/>
        <w:ind w:firstLine="420" w:firstLineChars="200"/>
        <w:rPr>
          <w:rFonts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7BFA3626">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（三）原则</w:t>
      </w:r>
    </w:p>
    <w:p w14:paraId="48FC5D58">
      <w:pPr>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14:paraId="1495D775">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（四）解释</w:t>
      </w:r>
    </w:p>
    <w:p w14:paraId="537758DA">
      <w:pPr>
        <w:spacing w:after="120" w:line="360" w:lineRule="auto"/>
        <w:ind w:firstLine="420" w:firstLineChars="200"/>
        <w:rPr>
          <w:rFonts w:ascii="宋体" w:hAnsi="宋体"/>
          <w:szCs w:val="21"/>
        </w:rPr>
      </w:pPr>
      <w:r>
        <w:rPr>
          <w:rFonts w:hint="eastAsia" w:ascii="宋体" w:hAnsi="宋体"/>
          <w:szCs w:val="21"/>
        </w:rPr>
        <w:t>除非本协议另有约定，本协议所有术语与《基金合同》的相应术语具有相同含义。若有抵触应以《基金合同》为准，并依其条款解释。</w:t>
      </w:r>
    </w:p>
    <w:p w14:paraId="249889A0">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r>
        <w:rPr>
          <w:rFonts w:hint="eastAsia" w:ascii="宋体" w:hAnsi="宋体" w:eastAsia="宋体"/>
          <w:b w:val="0"/>
          <w:bCs w:val="0"/>
          <w:sz w:val="21"/>
          <w:szCs w:val="21"/>
        </w:rPr>
        <w:t>（五）若本基金实施侧袋机制的，侧袋机制实施期间的相关安排见基金合同和招募说明书的规定。</w:t>
      </w:r>
    </w:p>
    <w:p w14:paraId="0AE47E38">
      <w:pPr>
        <w:widowControl/>
        <w:jc w:val="left"/>
        <w:rPr>
          <w:rFonts w:ascii="宋体" w:hAnsi="宋体"/>
          <w:szCs w:val="21"/>
        </w:rPr>
      </w:pPr>
      <w:r>
        <w:rPr>
          <w:rFonts w:ascii="宋体" w:hAnsi="宋体"/>
          <w:b/>
          <w:bCs/>
          <w:szCs w:val="21"/>
        </w:rPr>
        <w:br w:type="page"/>
      </w:r>
    </w:p>
    <w:p w14:paraId="7ACADB92">
      <w:pPr>
        <w:spacing w:before="312" w:beforeLines="100" w:after="312" w:afterLines="100" w:line="240" w:lineRule="atLeast"/>
        <w:jc w:val="center"/>
        <w:outlineLvl w:val="0"/>
        <w:rPr>
          <w:rFonts w:ascii="宋体" w:hAnsi="宋体"/>
        </w:rPr>
      </w:pPr>
      <w:bookmarkStart w:id="11" w:name="_Toc382819072"/>
      <w:r>
        <w:rPr>
          <w:rFonts w:hint="eastAsia" w:ascii="宋体" w:hAnsi="宋体"/>
          <w:b/>
          <w:sz w:val="24"/>
        </w:rPr>
        <w:t>二、基金托管人对基金管理人的业务监督和核查</w:t>
      </w:r>
      <w:bookmarkEnd w:id="11"/>
    </w:p>
    <w:p w14:paraId="535656D7">
      <w:pPr>
        <w:spacing w:after="120" w:line="360" w:lineRule="auto"/>
        <w:ind w:firstLine="420" w:firstLineChars="200"/>
        <w:rPr>
          <w:rFonts w:ascii="宋体" w:hAnsi="宋体"/>
          <w:szCs w:val="21"/>
        </w:rPr>
      </w:pPr>
      <w:bookmarkStart w:id="12" w:name="_Toc382819073"/>
      <w:r>
        <w:rPr>
          <w:rFonts w:hint="eastAsia" w:ascii="宋体" w:hAnsi="宋体"/>
          <w:szCs w:val="21"/>
        </w:rPr>
        <w:t>（一）基金托管人对基金管理人的投资行为行使监督权</w:t>
      </w:r>
      <w:bookmarkEnd w:id="12"/>
    </w:p>
    <w:p w14:paraId="324E580A">
      <w:pPr>
        <w:widowControl/>
        <w:spacing w:line="360" w:lineRule="auto"/>
        <w:ind w:firstLine="420" w:firstLineChars="200"/>
        <w:jc w:val="left"/>
        <w:rPr>
          <w:rFonts w:ascii="宋体" w:hAnsi="宋体"/>
          <w:szCs w:val="21"/>
        </w:rPr>
      </w:pPr>
      <w:r>
        <w:rPr>
          <w:rFonts w:hint="eastAsia" w:ascii="宋体" w:hAnsi="宋体"/>
          <w:szCs w:val="21"/>
        </w:rPr>
        <w:t>1.基金托管人根据有关法律法规的规定和《基金合同》的约定，对下述基金投资范围、投资对象进行监督。</w:t>
      </w:r>
    </w:p>
    <w:p w14:paraId="02943A9F">
      <w:pPr>
        <w:widowControl/>
        <w:spacing w:line="324" w:lineRule="auto"/>
        <w:ind w:firstLine="420" w:firstLineChars="200"/>
        <w:jc w:val="left"/>
        <w:rPr>
          <w:rFonts w:ascii="宋体" w:hAnsi="宋体" w:cs="宋体"/>
          <w:kern w:val="0"/>
          <w:szCs w:val="21"/>
        </w:rPr>
      </w:pPr>
      <w:r>
        <w:rPr>
          <w:rFonts w:hint="eastAsia" w:ascii="宋体" w:hAnsi="宋体"/>
          <w:szCs w:val="21"/>
        </w:rPr>
        <w:t>本</w:t>
      </w:r>
      <w:r>
        <w:rPr>
          <w:rFonts w:hint="eastAsia" w:ascii="宋体" w:hAnsi="宋体" w:cs="宋体"/>
          <w:kern w:val="0"/>
          <w:szCs w:val="21"/>
        </w:rPr>
        <w:t>基金将投资于以下金融工具：</w:t>
      </w:r>
    </w:p>
    <w:p w14:paraId="0B99A814">
      <w:pPr>
        <w:spacing w:line="360" w:lineRule="auto"/>
        <w:ind w:firstLine="420"/>
        <w:rPr>
          <w:rFonts w:ascii="宋体" w:hAnsi="宋体"/>
          <w:bCs/>
          <w:szCs w:val="21"/>
        </w:rPr>
      </w:pPr>
      <w:r>
        <w:rPr>
          <w:rFonts w:hint="eastAsia" w:ascii="宋体" w:hAnsi="宋体"/>
          <w:bCs/>
          <w:szCs w:val="21"/>
        </w:rPr>
        <w:t>本基金的投资范围主要包括经中国证监会依法核准或注册的公开募集证券投资基金（包含香港互认基金、QDII基金、公开募集基础设施证券投资基金（以下简称“公募REITs”）、商品基金，但具有复杂、衍生品性质的基金份额除外）、国内依法发行或上市的股票（包含主板、创业板及其他经中国证监会核准上市的股票、存托凭证）、港股通标的证券（包含股票和ETF）、债券（包括国债、政府支持债券、政府支持机构债券、金融债、企业债、公司债、地方政府债、央行票据、中期票据、短期融资券、超级短期融资券、公开发行的次级债、可转换债券（含可分离交易可转债）、可交换债券）、债券回购、资产支持证券、银行存款（协议存款、通知存款以及定期存款等）、同业存单、现金以及法律法规或中国证监会允许基金投资的其他金融工具（但须符合中国证监会相关规定）。</w:t>
      </w:r>
    </w:p>
    <w:p w14:paraId="20D1B13B">
      <w:pPr>
        <w:spacing w:line="360" w:lineRule="auto"/>
        <w:ind w:firstLine="420"/>
        <w:rPr>
          <w:rFonts w:ascii="宋体" w:hAnsi="宋体"/>
          <w:szCs w:val="21"/>
        </w:rPr>
      </w:pPr>
      <w:r>
        <w:rPr>
          <w:rFonts w:hint="eastAsia" w:ascii="宋体" w:hAnsi="宋体"/>
          <w:bCs/>
          <w:szCs w:val="21"/>
        </w:rPr>
        <w:t xml:space="preserve">如法律法规或监管机构以后允许基金投资其他品种的，基金管理人在履行适当程序后，可以将其纳入投资范围。                                                    </w:t>
      </w:r>
      <w:r>
        <w:rPr>
          <w:rFonts w:hint="eastAsia" w:ascii="宋体" w:hAnsi="宋体"/>
          <w:b/>
          <w:szCs w:val="21"/>
        </w:rPr>
        <w:t xml:space="preserve">  </w:t>
      </w:r>
      <w:r>
        <w:rPr>
          <w:rFonts w:hint="eastAsia" w:ascii="宋体" w:hAnsi="宋体"/>
          <w:szCs w:val="21"/>
        </w:rPr>
        <w:t xml:space="preserve">                                                           </w:t>
      </w:r>
    </w:p>
    <w:p w14:paraId="2788E41D">
      <w:pPr>
        <w:widowControl/>
        <w:spacing w:line="324" w:lineRule="auto"/>
        <w:ind w:firstLine="420" w:firstLineChars="200"/>
        <w:jc w:val="left"/>
        <w:rPr>
          <w:rFonts w:ascii="宋体" w:hAnsi="宋体"/>
          <w:kern w:val="0"/>
          <w:szCs w:val="21"/>
        </w:rPr>
      </w:pPr>
      <w:r>
        <w:rPr>
          <w:rFonts w:hint="eastAsia" w:ascii="宋体" w:hAnsi="宋体"/>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49A40643">
      <w:pPr>
        <w:widowControl/>
        <w:spacing w:line="324" w:lineRule="auto"/>
        <w:ind w:firstLine="420" w:firstLineChars="200"/>
        <w:jc w:val="left"/>
        <w:rPr>
          <w:rFonts w:ascii="宋体" w:hAnsi="宋体"/>
          <w:kern w:val="0"/>
          <w:szCs w:val="21"/>
        </w:rPr>
      </w:pPr>
      <w:r>
        <w:rPr>
          <w:rFonts w:hint="eastAsia" w:ascii="宋体" w:hAnsi="宋体"/>
          <w:kern w:val="0"/>
          <w:szCs w:val="21"/>
        </w:rPr>
        <w:t>本基金不得投资于相关法律、法规、部门规章及《基金合同》禁止投资的投资工具。</w:t>
      </w:r>
    </w:p>
    <w:p w14:paraId="349112BE">
      <w:pPr>
        <w:spacing w:after="120" w:line="324" w:lineRule="auto"/>
        <w:ind w:firstLine="420" w:firstLineChars="200"/>
        <w:rPr>
          <w:rFonts w:ascii="宋体" w:hAnsi="宋体"/>
          <w:szCs w:val="21"/>
        </w:rPr>
      </w:pPr>
      <w:r>
        <w:rPr>
          <w:rFonts w:hint="eastAsia" w:ascii="宋体" w:hAnsi="宋体"/>
          <w:szCs w:val="21"/>
        </w:rPr>
        <w:t>2.基金托管人根据有关法律法规的规定及《基金合同》的约定对下述基金投融资比例进行监督：</w:t>
      </w:r>
    </w:p>
    <w:p w14:paraId="3C88CF73">
      <w:pPr>
        <w:spacing w:line="324" w:lineRule="auto"/>
        <w:ind w:firstLine="480"/>
        <w:rPr>
          <w:rFonts w:ascii="宋体" w:hAnsi="宋体"/>
          <w:szCs w:val="21"/>
        </w:rPr>
      </w:pPr>
      <w:r>
        <w:rPr>
          <w:rFonts w:hint="eastAsia" w:ascii="宋体" w:hAnsi="宋体"/>
          <w:szCs w:val="21"/>
        </w:rPr>
        <w:t>（1）按法律法规的规定及《基金合同》的约定，本基金的投资资产配置比例为：</w:t>
      </w:r>
    </w:p>
    <w:p w14:paraId="678B531B">
      <w:pPr>
        <w:spacing w:line="324" w:lineRule="auto"/>
        <w:ind w:firstLine="480"/>
        <w:rPr>
          <w:rFonts w:ascii="宋体" w:hAnsi="宋体"/>
          <w:bCs/>
          <w:szCs w:val="21"/>
        </w:rPr>
      </w:pPr>
      <w:r>
        <w:rPr>
          <w:rFonts w:hint="eastAsia" w:ascii="宋体" w:hAnsi="宋体"/>
          <w:bCs/>
          <w:szCs w:val="21"/>
        </w:rPr>
        <w:t>本基金投资于中国证监会依法核准或注册的公开募集证券投资基金占基金资产的比例不低于80%；投资于权益类资产占基金资产的比例为5%-30%</w:t>
      </w:r>
      <w:r>
        <w:rPr>
          <w:rFonts w:hint="eastAsia" w:ascii="宋体" w:hAnsi="宋体"/>
          <w:bCs/>
          <w:szCs w:val="21"/>
          <w:lang w:eastAsia="zh-CN"/>
        </w:rPr>
        <w:t>（其中，本基金投资于境内权益类资产占基金资产的比例不低于5%，投资于港股通标的股票不超过股票资产的50%）；</w:t>
      </w:r>
      <w:r>
        <w:rPr>
          <w:rFonts w:hint="eastAsia" w:ascii="宋体" w:hAnsi="宋体"/>
          <w:bCs/>
          <w:szCs w:val="21"/>
        </w:rPr>
        <w:t>投资于香港互认基金、QDII基金的比例不超过本基金资产的20%；投资于货币市场基金的比例不高于基金资产的15%。本基金持有的现金或者到期日在一年以内的政府债券不低于基金资产净值的5%，其中现金不包括结算备付金、存出保证金、应收申购款等。</w:t>
      </w:r>
    </w:p>
    <w:p w14:paraId="670014F6">
      <w:pPr>
        <w:spacing w:line="324" w:lineRule="auto"/>
        <w:ind w:firstLine="480"/>
        <w:rPr>
          <w:rFonts w:ascii="宋体" w:hAnsi="宋体"/>
          <w:bCs/>
          <w:szCs w:val="21"/>
        </w:rPr>
      </w:pPr>
      <w:r>
        <w:rPr>
          <w:rFonts w:hint="eastAsia" w:ascii="宋体" w:hAnsi="宋体"/>
          <w:bCs/>
          <w:szCs w:val="21"/>
        </w:rPr>
        <w:t>权益类资产指股票（含存托凭证）、股票型基金和权益类混合型基金，权益类混合型基金指至少满足以下一条标准的混合型基金：（1）基金合同约定投资股票资产占基金资产的比例不低于60%；（2）基金最近连续四个季度定期报告中披露的股票资产占基金资产的比例均在60%以上。</w:t>
      </w:r>
    </w:p>
    <w:p w14:paraId="09311FA0">
      <w:pPr>
        <w:spacing w:line="324" w:lineRule="auto"/>
        <w:ind w:firstLine="480"/>
        <w:rPr>
          <w:rFonts w:ascii="宋体" w:hAnsi="宋体"/>
          <w:bCs/>
          <w:szCs w:val="21"/>
        </w:rPr>
      </w:pPr>
      <w:r>
        <w:rPr>
          <w:rFonts w:hint="eastAsia" w:ascii="宋体" w:hAnsi="宋体"/>
          <w:bCs/>
          <w:szCs w:val="21"/>
        </w:rPr>
        <w:t>如法律法规或监管机构以后允许本基金投资其他品种或对投资比例要求有变更的，基金管理人在履行适当程序后，可以做出相应调整。</w:t>
      </w:r>
    </w:p>
    <w:p w14:paraId="3C96F313">
      <w:pPr>
        <w:spacing w:line="324" w:lineRule="auto"/>
        <w:ind w:firstLine="480"/>
        <w:rPr>
          <w:rFonts w:ascii="宋体" w:hAnsi="宋体"/>
          <w:szCs w:val="21"/>
        </w:rPr>
      </w:pPr>
      <w:r>
        <w:rPr>
          <w:rFonts w:hint="eastAsia" w:ascii="宋体" w:hAnsi="宋体"/>
          <w:szCs w:val="21"/>
        </w:rPr>
        <w:t xml:space="preserve">（2）根据法律法规的规定及《基金合同》的约定，本基金投资组合遵循以下投资限制： </w:t>
      </w:r>
    </w:p>
    <w:p w14:paraId="05F7F15A">
      <w:pPr>
        <w:spacing w:line="360" w:lineRule="auto"/>
        <w:ind w:firstLine="420" w:firstLineChars="200"/>
        <w:rPr>
          <w:rFonts w:ascii="宋体" w:hAnsi="宋体"/>
          <w:bCs/>
          <w:szCs w:val="21"/>
        </w:rPr>
      </w:pPr>
      <w:r>
        <w:rPr>
          <w:rFonts w:hint="eastAsia" w:ascii="宋体" w:hAnsi="宋体"/>
          <w:bCs/>
          <w:szCs w:val="21"/>
        </w:rPr>
        <w:t>1）本基金投资于中国证监会依法核准或注册的公开募集证券投资基金占基金资产的比例不低于80%；投资于权益类资产占基金资产的比例为5%-30%</w:t>
      </w:r>
      <w:r>
        <w:rPr>
          <w:rFonts w:hint="eastAsia" w:ascii="宋体" w:hAnsi="宋体"/>
          <w:bCs/>
          <w:szCs w:val="21"/>
          <w:lang w:eastAsia="zh-CN"/>
        </w:rPr>
        <w:t>（其中，本基金投资于境内权益类资产占基金资产的比例不低于5%，投资于港股通标的股票不超过股票资产的50%）；</w:t>
      </w:r>
      <w:r>
        <w:rPr>
          <w:rFonts w:hint="eastAsia" w:ascii="宋体" w:hAnsi="宋体"/>
          <w:bCs/>
          <w:szCs w:val="21"/>
        </w:rPr>
        <w:t>投资于香港互认基金、QDII基金的比例不超过本基金资产的20%；投资于货币市场基金的比例不高于基金资产的15%；</w:t>
      </w:r>
    </w:p>
    <w:p w14:paraId="13F2CE2F">
      <w:pPr>
        <w:spacing w:line="360" w:lineRule="auto"/>
        <w:ind w:firstLine="420" w:firstLineChars="200"/>
        <w:rPr>
          <w:rFonts w:ascii="宋体" w:hAnsi="宋体"/>
          <w:bCs/>
          <w:szCs w:val="21"/>
        </w:rPr>
      </w:pPr>
      <w:r>
        <w:rPr>
          <w:rFonts w:hint="eastAsia" w:ascii="宋体" w:hAnsi="宋体"/>
          <w:bCs/>
          <w:szCs w:val="21"/>
        </w:rPr>
        <w:t>权益类资产指股票（含存托凭证）、股票型基金和权益类混合型基金，权益类混合型基金指至少满足以下一条标准的混合型基金：1）基金合同约定投资股票资产占基金资产的比例不低于60%；2）基金最近连续四个季度定期报告中披露的股票资产占基金资产的比例均在60%以上；</w:t>
      </w:r>
    </w:p>
    <w:p w14:paraId="64DC954C">
      <w:pPr>
        <w:spacing w:line="360" w:lineRule="auto"/>
        <w:ind w:firstLine="420" w:firstLineChars="200"/>
        <w:rPr>
          <w:rFonts w:ascii="宋体" w:hAnsi="宋体"/>
          <w:bCs/>
          <w:szCs w:val="21"/>
        </w:rPr>
      </w:pPr>
      <w:r>
        <w:rPr>
          <w:rFonts w:hint="eastAsia" w:ascii="宋体" w:hAnsi="宋体"/>
          <w:bCs/>
          <w:szCs w:val="21"/>
        </w:rPr>
        <w:t>2）本基金持有的现金或者到期日在一年以内的政府债券不低于基金资产净值的5%，其中现金不包括结算备付金、存出保证金、应收申购款等；</w:t>
      </w:r>
    </w:p>
    <w:p w14:paraId="7D587599">
      <w:pPr>
        <w:spacing w:line="360" w:lineRule="auto"/>
        <w:ind w:firstLine="420" w:firstLineChars="200"/>
        <w:rPr>
          <w:rFonts w:ascii="宋体" w:hAnsi="宋体"/>
          <w:bCs/>
          <w:szCs w:val="21"/>
        </w:rPr>
      </w:pPr>
      <w:r>
        <w:rPr>
          <w:rFonts w:hint="eastAsia" w:ascii="宋体" w:hAnsi="宋体"/>
          <w:bCs/>
          <w:szCs w:val="21"/>
        </w:rPr>
        <w:t>3）本基金持有单只基金，其市值不得超过基金资产净值的20%；</w:t>
      </w:r>
    </w:p>
    <w:p w14:paraId="45A46B7D">
      <w:pPr>
        <w:spacing w:line="360" w:lineRule="auto"/>
        <w:ind w:firstLine="420" w:firstLineChars="200"/>
        <w:rPr>
          <w:rFonts w:ascii="宋体" w:hAnsi="宋体"/>
          <w:bCs/>
          <w:szCs w:val="21"/>
        </w:rPr>
      </w:pPr>
      <w:r>
        <w:rPr>
          <w:rFonts w:hint="eastAsia" w:ascii="宋体" w:hAnsi="宋体"/>
          <w:bCs/>
          <w:szCs w:val="21"/>
        </w:rPr>
        <w:t>4）被投资基金的运作期限应当不少于1年，最近定期报告披露的基金净资产应当不低于1亿元；</w:t>
      </w:r>
    </w:p>
    <w:p w14:paraId="4FBC6C75">
      <w:pPr>
        <w:spacing w:line="360" w:lineRule="auto"/>
        <w:ind w:firstLine="420" w:firstLineChars="200"/>
        <w:rPr>
          <w:rFonts w:ascii="宋体" w:hAnsi="宋体"/>
          <w:bCs/>
          <w:szCs w:val="21"/>
        </w:rPr>
      </w:pPr>
      <w:r>
        <w:rPr>
          <w:rFonts w:hint="eastAsia" w:ascii="宋体" w:hAnsi="宋体"/>
          <w:bCs/>
          <w:szCs w:val="21"/>
        </w:rPr>
        <w:t>5）本基金管理人管理的全部基金（ETF联接基金除外）持有单只基金不得超过被投资基金净资产的20％，被投资基金净资产规模以最近定期报告披露的规模为准；</w:t>
      </w:r>
    </w:p>
    <w:p w14:paraId="0A999A60">
      <w:pPr>
        <w:spacing w:line="360" w:lineRule="auto"/>
        <w:ind w:firstLine="420" w:firstLineChars="200"/>
        <w:rPr>
          <w:rFonts w:ascii="宋体" w:hAnsi="宋体"/>
          <w:bCs/>
          <w:szCs w:val="21"/>
        </w:rPr>
      </w:pPr>
      <w:r>
        <w:rPr>
          <w:rFonts w:hint="eastAsia" w:ascii="宋体" w:hAnsi="宋体"/>
          <w:bCs/>
          <w:szCs w:val="21"/>
        </w:rPr>
        <w:t>6）本基金持有一家公司发行的证券（不含本基金所投资的基金份额，同一家公司在内地和香港同时上市的A+H股合并计算），其市值不超过基金资产净值的10%；</w:t>
      </w:r>
    </w:p>
    <w:p w14:paraId="41C40E7F">
      <w:pPr>
        <w:spacing w:line="360" w:lineRule="auto"/>
        <w:ind w:firstLine="420" w:firstLineChars="200"/>
        <w:rPr>
          <w:rFonts w:ascii="宋体" w:hAnsi="宋体"/>
          <w:bCs/>
          <w:szCs w:val="21"/>
        </w:rPr>
      </w:pPr>
      <w:r>
        <w:rPr>
          <w:rFonts w:hint="eastAsia" w:ascii="宋体" w:hAnsi="宋体"/>
          <w:bCs/>
          <w:szCs w:val="21"/>
        </w:rPr>
        <w:t>7）本基金管理人管理的全部基金持有一家公司发行的证券（不含本基金所投资的基金份额，同一家公司在内地和香港同时上市的A+H股合并计算），不超过该证券的10%；</w:t>
      </w:r>
    </w:p>
    <w:p w14:paraId="196CEBC4">
      <w:pPr>
        <w:spacing w:line="360" w:lineRule="auto"/>
        <w:ind w:firstLine="420" w:firstLineChars="200"/>
        <w:rPr>
          <w:rFonts w:ascii="宋体" w:hAnsi="宋体"/>
          <w:bCs/>
          <w:szCs w:val="21"/>
        </w:rPr>
      </w:pPr>
      <w:r>
        <w:rPr>
          <w:rFonts w:hint="eastAsia" w:ascii="宋体" w:hAnsi="宋体"/>
          <w:bCs/>
          <w:szCs w:val="21"/>
        </w:rPr>
        <w:t>8）本基金投资于同一原始权益人的各类资产支持证券的比例，不得超过基金资产净值的10%；</w:t>
      </w:r>
    </w:p>
    <w:p w14:paraId="029D7894">
      <w:pPr>
        <w:spacing w:line="360" w:lineRule="auto"/>
        <w:ind w:firstLine="420" w:firstLineChars="200"/>
        <w:rPr>
          <w:rFonts w:ascii="宋体" w:hAnsi="宋体"/>
          <w:bCs/>
          <w:szCs w:val="21"/>
        </w:rPr>
      </w:pPr>
      <w:r>
        <w:rPr>
          <w:rFonts w:hint="eastAsia" w:ascii="宋体" w:hAnsi="宋体"/>
          <w:bCs/>
          <w:szCs w:val="21"/>
        </w:rPr>
        <w:t>9）本基金持有的全部资产支持证券，其市值不得超过基金资产净值的20%；</w:t>
      </w:r>
    </w:p>
    <w:p w14:paraId="6E2765FB">
      <w:pPr>
        <w:spacing w:line="360" w:lineRule="auto"/>
        <w:ind w:firstLine="420" w:firstLineChars="200"/>
        <w:rPr>
          <w:rFonts w:ascii="宋体" w:hAnsi="宋体"/>
          <w:bCs/>
          <w:szCs w:val="21"/>
        </w:rPr>
      </w:pPr>
      <w:r>
        <w:rPr>
          <w:rFonts w:hint="eastAsia" w:ascii="宋体" w:hAnsi="宋体"/>
          <w:bCs/>
          <w:szCs w:val="21"/>
        </w:rPr>
        <w:t>10）本基金持有的同一（指同一信用级别）资产支持证券的比例，不得超过该资产支持证券规模的10%；</w:t>
      </w:r>
    </w:p>
    <w:p w14:paraId="7880526E">
      <w:pPr>
        <w:spacing w:line="360" w:lineRule="auto"/>
        <w:ind w:firstLine="420" w:firstLineChars="200"/>
        <w:rPr>
          <w:rFonts w:ascii="宋体" w:hAnsi="宋体"/>
          <w:bCs/>
          <w:szCs w:val="21"/>
        </w:rPr>
      </w:pPr>
      <w:r>
        <w:rPr>
          <w:rFonts w:hint="eastAsia" w:ascii="宋体" w:hAnsi="宋体"/>
          <w:bCs/>
          <w:szCs w:val="21"/>
        </w:rPr>
        <w:t>11）本基金管理人管理的全部基金投资于同一原始权益人的各类资产支持证券，不得超过其各类资产支持证券合计规模的10%；</w:t>
      </w:r>
    </w:p>
    <w:p w14:paraId="6DE74DA7">
      <w:pPr>
        <w:spacing w:line="360" w:lineRule="auto"/>
        <w:ind w:firstLine="420" w:firstLineChars="200"/>
        <w:rPr>
          <w:rFonts w:ascii="宋体" w:hAnsi="宋体"/>
          <w:bCs/>
          <w:szCs w:val="21"/>
        </w:rPr>
      </w:pPr>
      <w:r>
        <w:rPr>
          <w:rFonts w:hint="eastAsia" w:ascii="宋体" w:hAnsi="宋体"/>
          <w:bCs/>
          <w:szCs w:val="21"/>
        </w:rPr>
        <w:t>12）本基金应投资于信用级别评级为BBB以上（含BBB）的资产支持证券。基金持有资产支持证券期间，如果其信用等级下降、不再符合投资标准，应在评级报告发布之日起3个月内予以全部卖出；</w:t>
      </w:r>
    </w:p>
    <w:p w14:paraId="5D9AFE12">
      <w:pPr>
        <w:spacing w:line="360" w:lineRule="auto"/>
        <w:ind w:firstLine="420" w:firstLineChars="200"/>
        <w:rPr>
          <w:rFonts w:ascii="宋体" w:hAnsi="宋体"/>
          <w:bCs/>
          <w:szCs w:val="21"/>
        </w:rPr>
      </w:pPr>
      <w:r>
        <w:rPr>
          <w:rFonts w:hint="eastAsia" w:ascii="宋体" w:hAnsi="宋体"/>
          <w:bCs/>
          <w:szCs w:val="21"/>
        </w:rPr>
        <w:t>13）本基金财产参与股票发行申购，本基金所申报的金额不超过本基金的总资产，本基金所申报的股票数量不超过拟发行股票公司本次发行股票的总量；</w:t>
      </w:r>
    </w:p>
    <w:p w14:paraId="1E11E2DD">
      <w:pPr>
        <w:spacing w:line="360" w:lineRule="auto"/>
        <w:ind w:firstLine="420" w:firstLineChars="200"/>
        <w:rPr>
          <w:rFonts w:ascii="宋体" w:hAnsi="宋体"/>
          <w:bCs/>
          <w:szCs w:val="21"/>
        </w:rPr>
      </w:pPr>
      <w:r>
        <w:rPr>
          <w:rFonts w:hint="eastAsia" w:ascii="宋体" w:hAnsi="宋体"/>
          <w:bCs/>
          <w:szCs w:val="21"/>
        </w:rPr>
        <w:t>14）本基金的基金资产总值不得超过基金资产净值的140%；</w:t>
      </w:r>
    </w:p>
    <w:p w14:paraId="2F390876">
      <w:pPr>
        <w:spacing w:line="360" w:lineRule="auto"/>
        <w:ind w:firstLine="420" w:firstLineChars="200"/>
        <w:rPr>
          <w:rFonts w:ascii="宋体" w:hAnsi="宋体"/>
          <w:bCs/>
          <w:szCs w:val="21"/>
        </w:rPr>
      </w:pPr>
      <w:r>
        <w:rPr>
          <w:rFonts w:hint="eastAsia" w:ascii="宋体" w:hAnsi="宋体"/>
          <w:bCs/>
          <w:szCs w:val="21"/>
        </w:rPr>
        <w:t>15）本基金投资于封闭运作基金、定期开放基金等流通受限基金，不得超过基金资产净值的10%；</w:t>
      </w:r>
    </w:p>
    <w:p w14:paraId="3A0657FB">
      <w:pPr>
        <w:spacing w:line="360" w:lineRule="auto"/>
        <w:ind w:firstLine="420" w:firstLineChars="200"/>
        <w:rPr>
          <w:rFonts w:ascii="宋体" w:hAnsi="宋体"/>
          <w:bCs/>
          <w:szCs w:val="21"/>
        </w:rPr>
      </w:pPr>
      <w:r>
        <w:rPr>
          <w:rFonts w:hint="eastAsia" w:ascii="宋体" w:hAnsi="宋体"/>
          <w:bCs/>
          <w:szCs w:val="21"/>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206A0C1B">
      <w:pPr>
        <w:spacing w:line="360" w:lineRule="auto"/>
        <w:ind w:firstLine="420" w:firstLineChars="200"/>
        <w:rPr>
          <w:rFonts w:ascii="宋体" w:hAnsi="宋体"/>
          <w:bCs/>
          <w:szCs w:val="21"/>
        </w:rPr>
      </w:pPr>
      <w:r>
        <w:rPr>
          <w:rFonts w:hint="eastAsia" w:ascii="宋体" w:hAnsi="宋体"/>
          <w:bCs/>
          <w:szCs w:val="21"/>
        </w:rPr>
        <w:t>17）本基金主动投资于流动性受限资产的市值合计不得超过该基金资产净值的15% ；</w:t>
      </w:r>
    </w:p>
    <w:p w14:paraId="1F5F2C12">
      <w:pPr>
        <w:spacing w:line="360" w:lineRule="auto"/>
        <w:ind w:firstLine="420" w:firstLineChars="200"/>
        <w:rPr>
          <w:rFonts w:ascii="宋体" w:hAnsi="宋体"/>
          <w:bCs/>
          <w:szCs w:val="21"/>
        </w:rPr>
      </w:pPr>
      <w:r>
        <w:rPr>
          <w:rFonts w:hint="eastAsia" w:ascii="宋体" w:hAnsi="宋体"/>
          <w:bCs/>
          <w:szCs w:val="21"/>
        </w:rPr>
        <w:t>因证券市场波动、上市公司股票停牌、基金规模变动等基金管理人之外的因素致使基金不符合该比例限制的，基金管理人不得主动新增流动性受限资产的投资；</w:t>
      </w:r>
    </w:p>
    <w:p w14:paraId="212A7439">
      <w:pPr>
        <w:spacing w:line="360" w:lineRule="auto"/>
        <w:ind w:firstLine="420" w:firstLineChars="200"/>
        <w:rPr>
          <w:rFonts w:ascii="宋体" w:hAnsi="宋体"/>
          <w:bCs/>
          <w:szCs w:val="21"/>
        </w:rPr>
      </w:pPr>
      <w:r>
        <w:rPr>
          <w:rFonts w:hint="eastAsia" w:ascii="宋体" w:hAnsi="宋体"/>
          <w:bCs/>
          <w:szCs w:val="21"/>
        </w:rPr>
        <w:t>18）本基金与私募类证券资管产品及中国证监会认定的其他主体为交易对手开展逆回购交易的，可接受质押品的资质要求应当与基金合同约定的投资范围保持一致；</w:t>
      </w:r>
    </w:p>
    <w:p w14:paraId="74B985B2">
      <w:pPr>
        <w:spacing w:line="360" w:lineRule="auto"/>
        <w:ind w:firstLine="420" w:firstLineChars="200"/>
        <w:rPr>
          <w:rFonts w:ascii="宋体" w:hAnsi="宋体"/>
          <w:bCs/>
          <w:szCs w:val="21"/>
        </w:rPr>
      </w:pPr>
      <w:r>
        <w:rPr>
          <w:rFonts w:hint="eastAsia" w:ascii="宋体" w:hAnsi="宋体"/>
          <w:bCs/>
          <w:szCs w:val="21"/>
        </w:rPr>
        <w:t>19）本基金投资存托凭证的比例限制依照境内上市交易的股票执行，与境内上市交易的股票合并计算；</w:t>
      </w:r>
    </w:p>
    <w:p w14:paraId="0C4AF973">
      <w:pPr>
        <w:spacing w:line="360" w:lineRule="auto"/>
        <w:ind w:firstLine="420" w:firstLineChars="200"/>
        <w:rPr>
          <w:rFonts w:ascii="宋体" w:hAnsi="宋体"/>
          <w:bCs/>
          <w:szCs w:val="21"/>
        </w:rPr>
      </w:pPr>
      <w:r>
        <w:rPr>
          <w:rFonts w:hint="eastAsia" w:ascii="宋体" w:hAnsi="宋体"/>
          <w:bCs/>
          <w:szCs w:val="21"/>
        </w:rPr>
        <w:t>20）基金管理人运用基金中基金财产投资于股票、债券等金融工具的，投资品种和投资比例应当符合基金中基金投资目标和投资策略；</w:t>
      </w:r>
    </w:p>
    <w:p w14:paraId="335066F4">
      <w:pPr>
        <w:spacing w:line="360" w:lineRule="auto"/>
        <w:ind w:firstLine="420" w:firstLineChars="200"/>
        <w:rPr>
          <w:rFonts w:ascii="宋体" w:hAnsi="宋体"/>
          <w:bCs/>
          <w:szCs w:val="21"/>
        </w:rPr>
      </w:pPr>
      <w:r>
        <w:rPr>
          <w:rFonts w:hint="eastAsia" w:ascii="宋体" w:hAnsi="宋体"/>
          <w:bCs/>
          <w:szCs w:val="21"/>
        </w:rPr>
        <w:t>21）法律法规及中国证监会规定的和基金合同约定的其他投资限制。</w:t>
      </w:r>
    </w:p>
    <w:p w14:paraId="2E8A5EA1">
      <w:pPr>
        <w:spacing w:line="360" w:lineRule="auto"/>
        <w:ind w:firstLine="420" w:firstLineChars="200"/>
        <w:rPr>
          <w:rFonts w:ascii="宋体" w:hAnsi="宋体" w:cs="宋体"/>
          <w:kern w:val="0"/>
          <w:szCs w:val="21"/>
        </w:rPr>
      </w:pPr>
      <w:r>
        <w:rPr>
          <w:rFonts w:hint="eastAsia" w:ascii="宋体" w:hAnsi="宋体" w:cs="宋体"/>
          <w:kern w:val="0"/>
          <w:szCs w:val="21"/>
        </w:rPr>
        <w:t>基金托管人对上述指标的监督义务，仅限于监督由基金管理人管理且由基金托管人托管的全部公募基金是否符合上述比例限制。《基金法》及其他有关法律法规或监管部门取消上述限制的，履行法律法规或监管部门规定的适当程序</w:t>
      </w:r>
      <w:r>
        <w:rPr>
          <w:rFonts w:hint="eastAsia" w:ascii="宋体" w:hAnsi="宋体"/>
          <w:szCs w:val="21"/>
        </w:rPr>
        <w:t>并取得基金托管人同意</w:t>
      </w:r>
      <w:r>
        <w:rPr>
          <w:rFonts w:hint="eastAsia" w:ascii="宋体" w:hAnsi="宋体" w:cs="宋体"/>
          <w:kern w:val="0"/>
          <w:szCs w:val="21"/>
        </w:rPr>
        <w:t>后，基金不受上述限制。</w:t>
      </w:r>
    </w:p>
    <w:p w14:paraId="0D5D24FA">
      <w:pPr>
        <w:spacing w:line="440" w:lineRule="atLeast"/>
        <w:ind w:firstLine="420" w:firstLineChars="200"/>
        <w:rPr>
          <w:rFonts w:ascii="宋体" w:hAnsi="宋体"/>
          <w:szCs w:val="21"/>
        </w:rPr>
      </w:pPr>
      <w:r>
        <w:rPr>
          <w:rFonts w:hint="eastAsia" w:ascii="宋体" w:hAnsi="宋体"/>
          <w:szCs w:val="21"/>
        </w:rPr>
        <w:t>（3）法律法规允许的基金投资比例调整期限</w:t>
      </w:r>
    </w:p>
    <w:p w14:paraId="4960402B">
      <w:pPr>
        <w:spacing w:line="440" w:lineRule="atLeast"/>
        <w:ind w:right="28" w:firstLine="420" w:firstLineChars="200"/>
        <w:rPr>
          <w:rFonts w:ascii="宋体" w:hAnsi="宋体"/>
          <w:szCs w:val="21"/>
        </w:rPr>
      </w:pPr>
      <w:r>
        <w:rPr>
          <w:rFonts w:hint="eastAsia" w:ascii="宋体" w:hAnsi="宋体"/>
          <w:szCs w:val="21"/>
        </w:rPr>
        <w:t>因证券市场波动、基金规模变动等基金管理人之外的因素致使基金投资不符合上述第3）、5）项的，基金管理人应当在20个交易日内进行调整，但中国证监会规定的特殊情形除外；对于除第2）、3）、5）、12）、17）、18）项外的其他比例限制，因证券市场波动、证券发行人合并、基金规模变动等基金管理人之外的因素致使基金投资比例不符合上述规定投资比例的，基金管理人应当在10个交易日内进行调整，但中国证监会规定的特殊情形除外。</w:t>
      </w:r>
    </w:p>
    <w:p w14:paraId="0C8A980D">
      <w:pPr>
        <w:spacing w:line="440" w:lineRule="atLeast"/>
        <w:ind w:right="28" w:firstLine="420" w:firstLineChars="200"/>
        <w:rPr>
          <w:rFonts w:ascii="宋体" w:hAnsi="宋体"/>
          <w:szCs w:val="21"/>
        </w:rPr>
      </w:pPr>
      <w:r>
        <w:rPr>
          <w:rFonts w:hint="eastAsia" w:ascii="宋体" w:hAnsi="宋体"/>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BF7E9D0">
      <w:pPr>
        <w:spacing w:line="440" w:lineRule="atLeast"/>
        <w:ind w:right="28" w:firstLine="420" w:firstLineChars="200"/>
        <w:rPr>
          <w:rFonts w:ascii="宋体" w:hAnsi="宋体"/>
          <w:szCs w:val="21"/>
        </w:rPr>
      </w:pPr>
      <w:r>
        <w:rPr>
          <w:rFonts w:hint="eastAsia" w:ascii="宋体" w:hAnsi="宋体"/>
          <w:szCs w:val="21"/>
        </w:rPr>
        <w:t>如果法律法规或监管部门对上述投资组合比例限制进行变更的，基金管理人在履行适当程序后，以变更后的规定为准。法律法规或监管部门取消上述限制，如适用于本基金，在履行适当程序后本基金投资不再受相关限制。</w:t>
      </w:r>
    </w:p>
    <w:p w14:paraId="30D1A828">
      <w:pPr>
        <w:spacing w:after="120" w:line="440" w:lineRule="exact"/>
        <w:ind w:firstLine="420" w:firstLineChars="200"/>
        <w:rPr>
          <w:rFonts w:ascii="宋体" w:hAnsi="宋体"/>
          <w:szCs w:val="21"/>
        </w:rPr>
      </w:pPr>
      <w:r>
        <w:rPr>
          <w:rFonts w:hint="eastAsia" w:ascii="宋体" w:hAnsi="宋体"/>
          <w:szCs w:val="21"/>
        </w:rPr>
        <w:t xml:space="preserve">3.基金托管人根据有关法律法规的规定及《基金合同》的约定对下述基金投资禁止行为进行监督： </w:t>
      </w:r>
    </w:p>
    <w:p w14:paraId="762CC6F7">
      <w:pPr>
        <w:spacing w:line="360" w:lineRule="auto"/>
        <w:ind w:left="1" w:firstLine="472" w:firstLineChars="225"/>
        <w:rPr>
          <w:rFonts w:ascii="宋体" w:hAnsi="宋体"/>
          <w:szCs w:val="21"/>
        </w:rPr>
      </w:pPr>
      <w:r>
        <w:rPr>
          <w:rFonts w:hint="eastAsia" w:ascii="宋体" w:hAnsi="宋体"/>
          <w:szCs w:val="21"/>
        </w:rPr>
        <w:t>根据法律法规的规定及《基金合同》的约定，本基金禁止从事下列行为：</w:t>
      </w:r>
    </w:p>
    <w:p w14:paraId="2ED9FA07">
      <w:pPr>
        <w:spacing w:line="360" w:lineRule="auto"/>
        <w:ind w:left="1" w:firstLine="472" w:firstLineChars="225"/>
        <w:rPr>
          <w:rFonts w:ascii="宋体" w:hAnsi="宋体"/>
          <w:bCs/>
          <w:szCs w:val="21"/>
        </w:rPr>
      </w:pPr>
      <w:r>
        <w:rPr>
          <w:rFonts w:hint="eastAsia" w:ascii="宋体" w:hAnsi="宋体"/>
          <w:bCs/>
          <w:szCs w:val="21"/>
        </w:rPr>
        <w:t>（1）承销证券；</w:t>
      </w:r>
    </w:p>
    <w:p w14:paraId="7B59A19A">
      <w:pPr>
        <w:spacing w:line="360" w:lineRule="auto"/>
        <w:ind w:left="1" w:firstLine="472" w:firstLineChars="225"/>
        <w:rPr>
          <w:rFonts w:ascii="宋体" w:hAnsi="宋体"/>
          <w:bCs/>
          <w:szCs w:val="21"/>
        </w:rPr>
      </w:pPr>
      <w:r>
        <w:rPr>
          <w:rFonts w:hint="eastAsia" w:ascii="宋体" w:hAnsi="宋体"/>
          <w:bCs/>
          <w:szCs w:val="21"/>
        </w:rPr>
        <w:t>（2）违反规定向他人贷款或者提供担保；</w:t>
      </w:r>
    </w:p>
    <w:p w14:paraId="38998097">
      <w:pPr>
        <w:spacing w:line="360" w:lineRule="auto"/>
        <w:ind w:left="1" w:firstLine="472" w:firstLineChars="225"/>
        <w:rPr>
          <w:rFonts w:ascii="宋体" w:hAnsi="宋体"/>
          <w:bCs/>
          <w:szCs w:val="21"/>
        </w:rPr>
      </w:pPr>
      <w:r>
        <w:rPr>
          <w:rFonts w:hint="eastAsia" w:ascii="宋体" w:hAnsi="宋体"/>
          <w:bCs/>
          <w:szCs w:val="21"/>
        </w:rPr>
        <w:t>（3）从事承担无限责任的投资；</w:t>
      </w:r>
    </w:p>
    <w:p w14:paraId="73E6ED34">
      <w:pPr>
        <w:spacing w:line="360" w:lineRule="auto"/>
        <w:ind w:left="1" w:firstLine="472" w:firstLineChars="225"/>
        <w:rPr>
          <w:rFonts w:ascii="宋体" w:hAnsi="宋体"/>
          <w:bCs/>
          <w:szCs w:val="21"/>
        </w:rPr>
      </w:pPr>
      <w:r>
        <w:rPr>
          <w:rFonts w:hint="eastAsia" w:ascii="宋体" w:hAnsi="宋体"/>
          <w:bCs/>
          <w:szCs w:val="21"/>
        </w:rPr>
        <w:t>（4）向基金管理人、基金托管人出资；</w:t>
      </w:r>
    </w:p>
    <w:p w14:paraId="7D26E79C">
      <w:pPr>
        <w:spacing w:line="360" w:lineRule="auto"/>
        <w:ind w:left="1" w:firstLine="472" w:firstLineChars="225"/>
        <w:rPr>
          <w:rFonts w:ascii="宋体" w:hAnsi="宋体"/>
          <w:bCs/>
          <w:szCs w:val="21"/>
        </w:rPr>
      </w:pPr>
      <w:r>
        <w:rPr>
          <w:rFonts w:hint="eastAsia" w:ascii="宋体" w:hAnsi="宋体"/>
          <w:bCs/>
          <w:szCs w:val="21"/>
        </w:rPr>
        <w:t>（5）从事内幕交易、操纵证券交易价格及其他不正当的证券交易活动；</w:t>
      </w:r>
    </w:p>
    <w:p w14:paraId="58905876">
      <w:pPr>
        <w:spacing w:line="360" w:lineRule="auto"/>
        <w:ind w:left="1" w:firstLine="472" w:firstLineChars="225"/>
        <w:rPr>
          <w:rFonts w:ascii="宋体" w:hAnsi="宋体"/>
          <w:bCs/>
          <w:szCs w:val="21"/>
        </w:rPr>
      </w:pPr>
      <w:r>
        <w:rPr>
          <w:rFonts w:hint="eastAsia" w:ascii="宋体" w:hAnsi="宋体"/>
          <w:bCs/>
          <w:szCs w:val="21"/>
        </w:rPr>
        <w:t>（6）持有具有复杂、衍生品性质的基金份额，包括分级基金和中国证监会认定的其他基金份额，但中国证监会认可或批准的特殊基金中基金除外；</w:t>
      </w:r>
    </w:p>
    <w:p w14:paraId="349E8C65">
      <w:pPr>
        <w:spacing w:line="360" w:lineRule="auto"/>
        <w:ind w:left="1" w:firstLine="472" w:firstLineChars="225"/>
        <w:rPr>
          <w:rFonts w:ascii="宋体" w:hAnsi="宋体"/>
          <w:bCs/>
          <w:szCs w:val="21"/>
        </w:rPr>
      </w:pPr>
      <w:r>
        <w:rPr>
          <w:rFonts w:hint="eastAsia" w:ascii="宋体" w:hAnsi="宋体"/>
          <w:bCs/>
          <w:szCs w:val="21"/>
        </w:rPr>
        <w:t>（7）投资其他基金中基金；</w:t>
      </w:r>
    </w:p>
    <w:p w14:paraId="417CDD40">
      <w:pPr>
        <w:spacing w:line="360" w:lineRule="auto"/>
        <w:ind w:left="1" w:firstLine="472" w:firstLineChars="225"/>
        <w:rPr>
          <w:rFonts w:ascii="宋体" w:hAnsi="宋体"/>
          <w:bCs/>
          <w:szCs w:val="21"/>
        </w:rPr>
      </w:pPr>
      <w:r>
        <w:rPr>
          <w:rFonts w:hint="eastAsia" w:ascii="宋体" w:hAnsi="宋体"/>
          <w:bCs/>
          <w:szCs w:val="21"/>
        </w:rPr>
        <w:t>（8）法律、行政法规和中国证监会规定禁止的其他活动。</w:t>
      </w:r>
    </w:p>
    <w:p w14:paraId="6E40C2EE">
      <w:pPr>
        <w:spacing w:line="440" w:lineRule="exact"/>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14:paraId="458306C4">
      <w:pPr>
        <w:spacing w:line="360" w:lineRule="auto"/>
        <w:ind w:left="1" w:firstLine="472" w:firstLineChars="225"/>
        <w:rPr>
          <w:rFonts w:ascii="宋体" w:hAnsi="宋体"/>
          <w:bCs/>
          <w:szCs w:val="21"/>
        </w:rPr>
      </w:pPr>
      <w:r>
        <w:rPr>
          <w:rFonts w:hint="eastAsia" w:ascii="宋体" w:hAnsi="宋体"/>
          <w:bCs/>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EA77308">
      <w:pPr>
        <w:spacing w:line="360" w:lineRule="auto"/>
        <w:ind w:left="1" w:firstLine="472" w:firstLineChars="225"/>
        <w:rPr>
          <w:rFonts w:ascii="宋体" w:hAnsi="宋体"/>
          <w:bCs/>
          <w:szCs w:val="21"/>
        </w:rPr>
      </w:pPr>
      <w:r>
        <w:rPr>
          <w:rFonts w:hint="eastAsia" w:ascii="宋体" w:hAnsi="宋体"/>
          <w:bCs/>
          <w:szCs w:val="21"/>
        </w:rPr>
        <w:t>法律、行政法规或监管部门取消或变更上述限制，如适用于本基金，基金管理人在履行适当程序后，则本基金投资不再受相关限制或按变更后的规定执行。</w:t>
      </w:r>
    </w:p>
    <w:p w14:paraId="08F4CDFB">
      <w:pPr>
        <w:spacing w:line="440" w:lineRule="exact"/>
        <w:ind w:firstLine="420" w:firstLineChars="200"/>
        <w:rPr>
          <w:rFonts w:ascii="宋体" w:hAnsi="宋体"/>
          <w:szCs w:val="21"/>
        </w:rPr>
      </w:pPr>
      <w:r>
        <w:rPr>
          <w:rFonts w:hint="eastAsia" w:ascii="宋体" w:hAnsi="宋体"/>
          <w:szCs w:val="21"/>
        </w:rPr>
        <w:t>如法律、法规或《基金合同》有关于基金从事关联交易的规定，基金管理人和基金托管人事先相互提供与本机构有控股关系的股东、与本机构有其他重大利害关系的公司名单及有关关联方发行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328EC205">
      <w:pPr>
        <w:spacing w:line="440" w:lineRule="exact"/>
        <w:ind w:firstLine="420" w:firstLineChars="200"/>
        <w:rPr>
          <w:rFonts w:ascii="宋体" w:hAnsi="宋体"/>
          <w:szCs w:val="21"/>
        </w:rPr>
      </w:pPr>
      <w:r>
        <w:rPr>
          <w:rFonts w:hint="eastAsia" w:ascii="宋体" w:hAnsi="宋体"/>
          <w:szCs w:val="21"/>
        </w:rPr>
        <w:t>5.基金托管人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14:paraId="29B5F742">
      <w:pPr>
        <w:spacing w:line="440" w:lineRule="exact"/>
        <w:ind w:firstLine="420" w:firstLineChars="200"/>
        <w:rPr>
          <w:rFonts w:ascii="宋体" w:hAnsi="宋体"/>
          <w:szCs w:val="21"/>
        </w:rPr>
      </w:pPr>
      <w:r>
        <w:rPr>
          <w:rFonts w:hint="eastAsia" w:ascii="宋体" w:hAnsi="宋体"/>
          <w:szCs w:val="21"/>
        </w:rPr>
        <w:t>基金托管人根据基金管理人提供的银行间债券市场交易对手名单进行监督。基金管理人有责任控制交易对手的资信风险，由于交易对手的资信风险引起的损失，基金管理人应当负责向相关责任人追偿。</w:t>
      </w:r>
    </w:p>
    <w:p w14:paraId="44DB76B8">
      <w:pPr>
        <w:spacing w:line="440" w:lineRule="exact"/>
        <w:ind w:firstLine="420" w:firstLineChars="200"/>
        <w:rPr>
          <w:rFonts w:ascii="宋体" w:hAnsi="宋体"/>
          <w:szCs w:val="21"/>
        </w:rPr>
      </w:pPr>
      <w:r>
        <w:rPr>
          <w:rFonts w:hint="eastAsia" w:ascii="宋体" w:hAnsi="宋体"/>
          <w:szCs w:val="21"/>
        </w:rPr>
        <w:t>6. 基金托管人依据有关法律法规的规定和《基金合同》的约定，对基金银行存款业务进行监督。</w:t>
      </w:r>
    </w:p>
    <w:p w14:paraId="32663F38">
      <w:pPr>
        <w:spacing w:line="440" w:lineRule="exact"/>
        <w:ind w:firstLine="451" w:firstLineChars="215"/>
        <w:rPr>
          <w:rFonts w:ascii="宋体" w:hAnsi="宋体"/>
          <w:kern w:val="0"/>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rPr>
        <w:t>对于基金投资的银行存款，由于存款银行发生信用风险事件而造成损失时，由基金管理人负责追偿。如果基金托管人在运作过程中遵循</w:t>
      </w:r>
      <w:r>
        <w:rPr>
          <w:rFonts w:hint="eastAsia" w:ascii="宋体" w:hAnsi="宋体" w:cs="宋体"/>
          <w:kern w:val="0"/>
          <w:szCs w:val="21"/>
        </w:rPr>
        <w:t>有关法律法规的规定和《基金合同》的约定</w:t>
      </w:r>
      <w:r>
        <w:rPr>
          <w:rFonts w:hint="eastAsia" w:ascii="宋体" w:hAnsi="宋体"/>
          <w:kern w:val="0"/>
          <w:szCs w:val="21"/>
        </w:rPr>
        <w:t>监督流程，则对于由于存款银行信用风险引起的损失，不承担赔偿责任。</w:t>
      </w:r>
    </w:p>
    <w:p w14:paraId="17942109">
      <w:pPr>
        <w:spacing w:line="440" w:lineRule="exact"/>
        <w:ind w:firstLine="451" w:firstLineChars="215"/>
        <w:rPr>
          <w:rFonts w:ascii="宋体" w:hAnsi="宋体"/>
          <w:szCs w:val="21"/>
        </w:rPr>
      </w:pPr>
      <w:r>
        <w:rPr>
          <w:rFonts w:hint="eastAsia" w:ascii="宋体" w:hAnsi="宋体"/>
          <w:szCs w:val="21"/>
        </w:rPr>
        <w:t>7.基金托管人对基金投资流通受限证券的监督</w:t>
      </w:r>
    </w:p>
    <w:p w14:paraId="28C41A02">
      <w:pPr>
        <w:spacing w:line="440" w:lineRule="exact"/>
        <w:ind w:firstLine="451" w:firstLineChars="215"/>
        <w:rPr>
          <w:rFonts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 释义”部分。</w:t>
      </w:r>
    </w:p>
    <w:p w14:paraId="06267A00">
      <w:pPr>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D22F91E">
      <w:pPr>
        <w:spacing w:line="360" w:lineRule="auto"/>
        <w:ind w:firstLine="420" w:firstLineChars="200"/>
        <w:rPr>
          <w:rFonts w:ascii="宋体" w:hAnsi="宋体"/>
          <w:szCs w:val="21"/>
        </w:rPr>
      </w:pPr>
      <w:r>
        <w:rPr>
          <w:rFonts w:hint="eastAsia" w:ascii="宋体" w:hAnsi="宋体"/>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1BBA056">
      <w:pPr>
        <w:spacing w:line="360" w:lineRule="auto"/>
        <w:ind w:firstLine="420" w:firstLineChars="200"/>
        <w:rPr>
          <w:rFonts w:ascii="宋体" w:hAnsi="宋体"/>
          <w:szCs w:val="21"/>
        </w:rPr>
      </w:pPr>
      <w:r>
        <w:rPr>
          <w:rFonts w:hint="eastAsia" w:ascii="宋体" w:hAnsi="宋体"/>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6602ABB4">
      <w:pPr>
        <w:spacing w:line="360" w:lineRule="auto"/>
        <w:ind w:firstLine="420" w:firstLineChars="200"/>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相应损失。如因基金管理人原因导致本基金出现损失的，基金托管人不承担相应责任。</w:t>
      </w:r>
    </w:p>
    <w:p w14:paraId="0F81F588">
      <w:pPr>
        <w:spacing w:line="360" w:lineRule="auto"/>
        <w:ind w:firstLine="420" w:firstLineChars="200"/>
        <w:rPr>
          <w:rFonts w:ascii="宋体" w:hAnsi="宋体"/>
          <w:szCs w:val="21"/>
        </w:rPr>
      </w:pPr>
      <w:r>
        <w:rPr>
          <w:rFonts w:hint="eastAsia" w:ascii="宋体" w:hAnsi="宋体"/>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07B50D6B">
      <w:pPr>
        <w:spacing w:line="360" w:lineRule="auto"/>
        <w:ind w:firstLine="420" w:firstLineChars="200"/>
        <w:rPr>
          <w:rFonts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47D07F63">
      <w:pPr>
        <w:spacing w:line="360" w:lineRule="auto"/>
        <w:ind w:firstLine="420" w:firstLineChars="200"/>
        <w:rPr>
          <w:rFonts w:ascii="宋体" w:hAnsi="宋体"/>
          <w:szCs w:val="21"/>
        </w:rPr>
      </w:pPr>
      <w:r>
        <w:rPr>
          <w:rFonts w:hint="eastAsia" w:ascii="宋体" w:hAnsi="宋体"/>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14:paraId="24B3D7AD">
      <w:pPr>
        <w:spacing w:line="360" w:lineRule="auto"/>
        <w:ind w:firstLine="420" w:firstLineChars="200"/>
        <w:rPr>
          <w:rFonts w:ascii="宋体" w:hAnsi="宋体"/>
          <w:szCs w:val="21"/>
        </w:rPr>
      </w:pPr>
      <w:r>
        <w:rPr>
          <w:rFonts w:hint="eastAsia" w:ascii="宋体" w:hAnsi="宋体"/>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2265D21B">
      <w:pPr>
        <w:spacing w:line="360" w:lineRule="auto"/>
        <w:ind w:firstLine="420" w:firstLineChars="200"/>
        <w:rPr>
          <w:rFonts w:ascii="宋体" w:hAnsi="宋体"/>
          <w:szCs w:val="21"/>
        </w:rPr>
      </w:pPr>
      <w:r>
        <w:rPr>
          <w:rFonts w:hint="eastAsia" w:ascii="宋体" w:hAnsi="宋体"/>
          <w:szCs w:val="21"/>
        </w:rPr>
        <w:t>1）中国证监会批准发行非公开发行股票的批准文件。</w:t>
      </w:r>
    </w:p>
    <w:p w14:paraId="373A0983">
      <w:pPr>
        <w:spacing w:line="360" w:lineRule="auto"/>
        <w:ind w:firstLine="420" w:firstLineChars="200"/>
        <w:rPr>
          <w:rFonts w:ascii="宋体" w:hAnsi="宋体"/>
          <w:szCs w:val="21"/>
        </w:rPr>
      </w:pPr>
      <w:r>
        <w:rPr>
          <w:rFonts w:hint="eastAsia" w:ascii="宋体" w:hAnsi="宋体"/>
          <w:szCs w:val="21"/>
        </w:rPr>
        <w:t>2）有关非公开发行股票的发行数量、发行价格、锁定期等发行资料。</w:t>
      </w:r>
    </w:p>
    <w:p w14:paraId="488BA6CE">
      <w:pPr>
        <w:spacing w:line="360" w:lineRule="auto"/>
        <w:ind w:firstLine="420" w:firstLineChars="200"/>
        <w:rPr>
          <w:rFonts w:ascii="宋体" w:hAnsi="宋体"/>
          <w:szCs w:val="21"/>
        </w:rPr>
      </w:pPr>
      <w:r>
        <w:rPr>
          <w:rFonts w:hint="eastAsia" w:ascii="宋体" w:hAnsi="宋体"/>
          <w:szCs w:val="21"/>
        </w:rPr>
        <w:t>3）基金拟认购的数量、价格、总成本、账面价值。</w:t>
      </w:r>
    </w:p>
    <w:p w14:paraId="308AF9DD">
      <w:pPr>
        <w:spacing w:line="360" w:lineRule="auto"/>
        <w:ind w:firstLine="420" w:firstLineChars="200"/>
        <w:rPr>
          <w:rFonts w:ascii="宋体" w:hAnsi="宋体"/>
          <w:szCs w:val="21"/>
        </w:rPr>
      </w:pPr>
      <w:r>
        <w:rPr>
          <w:rFonts w:hint="eastAsia" w:ascii="宋体" w:hAnsi="宋体"/>
          <w:szCs w:val="21"/>
        </w:rPr>
        <w:t>4）该基金投资流通受限证券的投资额度和投资比例控制。</w:t>
      </w:r>
    </w:p>
    <w:p w14:paraId="5EA062A2">
      <w:pPr>
        <w:spacing w:after="120" w:line="360" w:lineRule="auto"/>
        <w:ind w:firstLine="420" w:firstLineChars="200"/>
        <w:rPr>
          <w:rFonts w:ascii="宋体" w:hAnsi="宋体"/>
          <w:szCs w:val="21"/>
        </w:rPr>
      </w:pPr>
      <w:r>
        <w:rPr>
          <w:rFonts w:hint="eastAsia" w:ascii="宋体" w:hAnsi="宋体"/>
          <w:szCs w:val="21"/>
        </w:rPr>
        <w:t>5）</w:t>
      </w:r>
      <w:r>
        <w:rPr>
          <w:rFonts w:hint="eastAsia" w:ascii="宋体" w:hAnsi="宋体" w:cs="宋体"/>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相应责任，并有权报告中国证监会。</w:t>
      </w:r>
    </w:p>
    <w:p w14:paraId="49F4C867">
      <w:pPr>
        <w:spacing w:after="120" w:line="360" w:lineRule="auto"/>
        <w:ind w:firstLine="420" w:firstLineChars="200"/>
        <w:rPr>
          <w:rFonts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如基金管理人和基金托管人无法就上述问题达成一致，应及时上报中国证监会请求解决。基金托管人履行了本协议规定的监督职责后，不承担相应责任。</w:t>
      </w:r>
    </w:p>
    <w:p w14:paraId="4EB8F24E">
      <w:pPr>
        <w:widowControl/>
        <w:spacing w:line="360" w:lineRule="auto"/>
        <w:ind w:firstLine="420" w:firstLineChars="200"/>
        <w:jc w:val="left"/>
        <w:rPr>
          <w:rFonts w:ascii="宋体" w:hAnsi="宋体"/>
          <w:szCs w:val="21"/>
        </w:rPr>
      </w:pPr>
      <w:r>
        <w:rPr>
          <w:rFonts w:hint="eastAsia" w:ascii="宋体" w:hAnsi="宋体"/>
          <w:szCs w:val="21"/>
        </w:rPr>
        <w:t>(5)相关法律法规对基金投资流通受限证券有新规定的，从其规定。</w:t>
      </w:r>
    </w:p>
    <w:p w14:paraId="283480D7">
      <w:pPr>
        <w:spacing w:after="120" w:line="360" w:lineRule="auto"/>
        <w:ind w:firstLine="420" w:firstLineChars="200"/>
        <w:rPr>
          <w:rFonts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14:paraId="013F7E2B">
      <w:pPr>
        <w:spacing w:after="120" w:line="360" w:lineRule="auto"/>
        <w:ind w:firstLine="420" w:firstLineChars="200"/>
        <w:rPr>
          <w:rFonts w:ascii="宋体" w:hAnsi="宋体"/>
          <w:szCs w:val="21"/>
        </w:rPr>
      </w:pPr>
      <w:bookmarkStart w:id="13" w:name="_Toc382819074"/>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如基金托管人经评估认为不满足监管机构规定和基金合同约定实施条件的，基金管理人不得启用侧袋机制。</w:t>
      </w:r>
    </w:p>
    <w:p w14:paraId="7BD7E4B9">
      <w:pPr>
        <w:spacing w:after="120" w:line="360" w:lineRule="auto"/>
        <w:ind w:firstLine="420" w:firstLineChars="200"/>
        <w:rPr>
          <w:rFonts w:ascii="宋体" w:hAnsi="宋体"/>
          <w:szCs w:val="21"/>
        </w:rPr>
      </w:pPr>
      <w:r>
        <w:rPr>
          <w:rFonts w:hint="eastAsia" w:ascii="宋体" w:hAnsi="宋体"/>
          <w:szCs w:val="21"/>
        </w:rPr>
        <w:t>（三）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3"/>
    </w:p>
    <w:p w14:paraId="246E9AC0">
      <w:pPr>
        <w:spacing w:line="440" w:lineRule="exact"/>
        <w:ind w:firstLine="420" w:firstLineChars="200"/>
        <w:rPr>
          <w:rFonts w:ascii="宋体" w:hAnsi="宋体"/>
          <w:szCs w:val="21"/>
        </w:rPr>
      </w:pPr>
      <w:r>
        <w:rPr>
          <w:rFonts w:hint="eastAsia" w:ascii="宋体" w:hAnsi="宋体"/>
          <w:szCs w:val="21"/>
        </w:rPr>
        <w:t>（四）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p>
    <w:p w14:paraId="42337B69">
      <w:pPr>
        <w:spacing w:line="440" w:lineRule="exact"/>
        <w:ind w:firstLine="420" w:firstLineChars="200"/>
        <w:rPr>
          <w:rFonts w:ascii="宋体" w:hAnsi="宋体"/>
          <w:szCs w:val="21"/>
        </w:rPr>
      </w:pPr>
      <w:r>
        <w:rPr>
          <w:rFonts w:hint="eastAsia" w:ascii="宋体" w:hAnsi="宋体"/>
          <w:szCs w:val="21"/>
        </w:rPr>
        <w:t>1.在限期内，基金托管人有权随时对通知事项进行复查，督促基金管理人改正。基金管理人对基金托管人通知的违规事项未能在限期内纠正的，基金托管人应报告中国证监会。</w:t>
      </w:r>
    </w:p>
    <w:p w14:paraId="4C1245CF">
      <w:pPr>
        <w:spacing w:line="440" w:lineRule="exact"/>
        <w:ind w:firstLine="420" w:firstLineChars="200"/>
        <w:rPr>
          <w:rFonts w:ascii="宋体" w:hAnsi="宋体"/>
          <w:szCs w:val="21"/>
        </w:rPr>
      </w:pPr>
      <w:r>
        <w:rPr>
          <w:rFonts w:hint="eastAsia" w:ascii="宋体" w:hAnsi="宋体"/>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740CE7CB">
      <w:pPr>
        <w:spacing w:line="440" w:lineRule="exact"/>
        <w:ind w:firstLine="420" w:firstLineChars="200"/>
        <w:rPr>
          <w:rFonts w:ascii="宋体" w:hAnsi="宋体"/>
          <w:szCs w:val="21"/>
        </w:rPr>
      </w:pPr>
      <w:r>
        <w:rPr>
          <w:rFonts w:hint="eastAsia" w:ascii="宋体" w:hAnsi="宋体"/>
          <w:szCs w:val="21"/>
        </w:rPr>
        <w:t>3.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2E254F88">
      <w:pPr>
        <w:spacing w:line="440" w:lineRule="exact"/>
        <w:ind w:firstLine="420" w:firstLineChars="200"/>
        <w:rPr>
          <w:rFonts w:ascii="宋体" w:hAnsi="宋体"/>
          <w:szCs w:val="21"/>
        </w:rPr>
      </w:pPr>
      <w:r>
        <w:rPr>
          <w:rFonts w:hint="eastAsia" w:ascii="宋体" w:hAnsi="宋体"/>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6868E6C0">
      <w:pPr>
        <w:spacing w:line="440" w:lineRule="exact"/>
        <w:ind w:firstLine="420" w:firstLineChars="200"/>
        <w:rPr>
          <w:rFonts w:ascii="宋体" w:hAnsi="宋体"/>
          <w:szCs w:val="21"/>
        </w:rPr>
      </w:pPr>
      <w:r>
        <w:rPr>
          <w:rFonts w:hint="eastAsia" w:ascii="宋体" w:hAnsi="宋体"/>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14:paraId="1B69457E">
      <w:pPr>
        <w:spacing w:line="440" w:lineRule="exact"/>
        <w:ind w:firstLine="420" w:firstLineChars="200"/>
        <w:rPr>
          <w:rFonts w:ascii="宋体" w:hAnsi="宋体"/>
          <w:szCs w:val="21"/>
        </w:rPr>
      </w:pPr>
      <w:r>
        <w:rPr>
          <w:rFonts w:hint="eastAsia" w:ascii="宋体" w:hAnsi="宋体"/>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14:paraId="309BC246">
      <w:pPr>
        <w:spacing w:line="440" w:lineRule="exact"/>
        <w:ind w:firstLine="420" w:firstLineChars="200"/>
        <w:rPr>
          <w:rFonts w:ascii="宋体" w:hAnsi="宋体"/>
          <w:szCs w:val="21"/>
        </w:rPr>
      </w:pPr>
    </w:p>
    <w:p w14:paraId="6278C68D">
      <w:pPr>
        <w:spacing w:before="312" w:beforeLines="100" w:after="312" w:afterLines="100" w:line="240" w:lineRule="atLeast"/>
        <w:jc w:val="center"/>
        <w:outlineLvl w:val="0"/>
        <w:rPr>
          <w:rFonts w:ascii="宋体" w:hAnsi="宋体"/>
        </w:rPr>
      </w:pPr>
      <w:bookmarkStart w:id="14" w:name="_Toc382819076"/>
      <w:r>
        <w:rPr>
          <w:rFonts w:hint="eastAsia" w:ascii="宋体" w:hAnsi="宋体"/>
          <w:b/>
          <w:sz w:val="24"/>
        </w:rPr>
        <w:t>三、基金管理人对基金托管人的业务核查</w:t>
      </w:r>
      <w:bookmarkEnd w:id="14"/>
    </w:p>
    <w:p w14:paraId="4E66083B">
      <w:pPr>
        <w:spacing w:line="360" w:lineRule="auto"/>
        <w:ind w:firstLine="420" w:firstLineChars="200"/>
        <w:rPr>
          <w:rFonts w:ascii="宋体" w:hAnsi="宋体"/>
          <w:szCs w:val="21"/>
        </w:rPr>
      </w:pPr>
      <w:r>
        <w:rPr>
          <w:rFonts w:hint="eastAsia" w:ascii="宋体" w:hAnsi="宋体"/>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14:paraId="3B56A6AF">
      <w:pPr>
        <w:spacing w:line="360" w:lineRule="auto"/>
        <w:ind w:firstLine="420" w:firstLineChars="200"/>
        <w:rPr>
          <w:rFonts w:ascii="宋体" w:hAnsi="宋体"/>
          <w:szCs w:val="21"/>
        </w:rPr>
      </w:pPr>
      <w:r>
        <w:rPr>
          <w:rFonts w:hint="eastAsia" w:ascii="宋体" w:hAnsi="宋体"/>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06456CF5">
      <w:pPr>
        <w:spacing w:line="360" w:lineRule="auto"/>
        <w:ind w:firstLine="420" w:firstLineChars="200"/>
        <w:rPr>
          <w:rFonts w:ascii="宋体" w:hAnsi="宋体"/>
          <w:szCs w:val="21"/>
        </w:rPr>
      </w:pPr>
      <w:r>
        <w:rPr>
          <w:rFonts w:hint="eastAsia" w:ascii="宋体" w:hAnsi="宋体"/>
          <w:szCs w:val="21"/>
        </w:rPr>
        <w:t>基金托管人应积极配合基金管理人的核查行为，包括但不限于：提交相关资料以供基金管理人核查托管财产的完整性和真实性，在规定时间内答复基金管理人并改正。</w:t>
      </w:r>
    </w:p>
    <w:p w14:paraId="30719D44">
      <w:pPr>
        <w:spacing w:line="360" w:lineRule="auto"/>
        <w:ind w:firstLine="420" w:firstLineChars="200"/>
        <w:rPr>
          <w:rFonts w:ascii="宋体" w:hAnsi="宋体"/>
          <w:szCs w:val="21"/>
        </w:rPr>
      </w:pPr>
      <w:bookmarkStart w:id="15" w:name="_Toc382819077"/>
      <w:bookmarkStart w:id="16" w:name="_Toc382818598"/>
      <w:r>
        <w:rPr>
          <w:rFonts w:hint="eastAsia" w:ascii="宋体" w:hAnsi="宋体"/>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5"/>
      <w:bookmarkEnd w:id="16"/>
    </w:p>
    <w:p w14:paraId="11AAFE44">
      <w:pPr>
        <w:spacing w:before="312" w:beforeLines="100" w:after="312" w:afterLines="100" w:line="240" w:lineRule="atLeast"/>
        <w:jc w:val="center"/>
        <w:outlineLvl w:val="0"/>
        <w:rPr>
          <w:rFonts w:ascii="宋体" w:hAnsi="宋体"/>
        </w:rPr>
      </w:pPr>
      <w:bookmarkStart w:id="17" w:name="_Toc382819078"/>
      <w:r>
        <w:rPr>
          <w:rFonts w:hint="eastAsia" w:ascii="宋体" w:hAnsi="宋体"/>
          <w:b/>
          <w:sz w:val="24"/>
        </w:rPr>
        <w:t>四、基金财产保管</w:t>
      </w:r>
      <w:bookmarkEnd w:id="17"/>
    </w:p>
    <w:p w14:paraId="67E931E5">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bookmarkStart w:id="18" w:name="_Toc382819079"/>
      <w:r>
        <w:rPr>
          <w:rFonts w:hint="eastAsia" w:ascii="宋体" w:hAnsi="宋体" w:eastAsia="宋体"/>
          <w:b w:val="0"/>
          <w:bCs w:val="0"/>
          <w:sz w:val="21"/>
          <w:szCs w:val="21"/>
        </w:rPr>
        <w:t>（一）基金财产保管的原则</w:t>
      </w:r>
      <w:bookmarkEnd w:id="18"/>
    </w:p>
    <w:p w14:paraId="782C0B0F">
      <w:pPr>
        <w:spacing w:line="360" w:lineRule="auto"/>
        <w:ind w:firstLine="420" w:firstLineChars="200"/>
        <w:rPr>
          <w:rFonts w:ascii="宋体" w:hAnsi="宋体"/>
          <w:szCs w:val="21"/>
        </w:rPr>
      </w:pPr>
      <w:r>
        <w:rPr>
          <w:rFonts w:hint="eastAsia" w:ascii="宋体" w:hAnsi="宋体"/>
          <w:szCs w:val="21"/>
        </w:rPr>
        <w:t>1.基金财产应独立于基金管理人、基金托管人的固有财产。</w:t>
      </w:r>
    </w:p>
    <w:p w14:paraId="4CB13BBB">
      <w:pPr>
        <w:spacing w:line="360" w:lineRule="auto"/>
        <w:ind w:firstLine="420" w:firstLineChars="200"/>
        <w:rPr>
          <w:rFonts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14:paraId="464D4362">
      <w:pPr>
        <w:spacing w:line="360" w:lineRule="auto"/>
        <w:ind w:firstLine="420" w:firstLineChars="200"/>
        <w:rPr>
          <w:rFonts w:ascii="宋体" w:hAnsi="宋体"/>
          <w:szCs w:val="21"/>
        </w:rPr>
      </w:pPr>
      <w:r>
        <w:rPr>
          <w:rFonts w:hint="eastAsia" w:ascii="宋体" w:hAnsi="宋体"/>
          <w:szCs w:val="21"/>
        </w:rPr>
        <w:t>3.基金托管人按照规定为托管的基金财产开设资金账户和证券账户及投资所需其他账户。</w:t>
      </w:r>
    </w:p>
    <w:p w14:paraId="1D1EE743">
      <w:pPr>
        <w:spacing w:line="360" w:lineRule="auto"/>
        <w:ind w:firstLine="420" w:firstLineChars="200"/>
        <w:rPr>
          <w:rFonts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4.基金托管人对所托管的不同基金财产分别设置账户，与基金托管人的其他业务和其他基金的托管业务实行严格的分账管理，确保基金财产的完整与独立。</w:t>
      </w:r>
    </w:p>
    <w:p w14:paraId="459AB4F4">
      <w:pPr>
        <w:spacing w:line="360" w:lineRule="auto"/>
        <w:ind w:firstLine="420" w:firstLineChars="200"/>
        <w:rPr>
          <w:rFonts w:ascii="宋体" w:hAnsi="宋体"/>
          <w:szCs w:val="21"/>
        </w:rPr>
      </w:pPr>
      <w:r>
        <w:rPr>
          <w:rFonts w:hint="eastAsia" w:ascii="宋体" w:hAnsi="宋体"/>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5B1CD6A5">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19" w:name="_Toc382819080"/>
      <w:r>
        <w:rPr>
          <w:rFonts w:hint="eastAsia" w:ascii="宋体" w:hAnsi="宋体" w:eastAsia="宋体"/>
          <w:b w:val="0"/>
          <w:bCs w:val="0"/>
          <w:sz w:val="21"/>
          <w:szCs w:val="21"/>
        </w:rPr>
        <w:t>（二）募集资金的验证</w:t>
      </w:r>
      <w:bookmarkEnd w:id="19"/>
    </w:p>
    <w:p w14:paraId="7C636841">
      <w:pPr>
        <w:spacing w:line="360" w:lineRule="auto"/>
        <w:ind w:firstLine="420" w:firstLineChars="200"/>
        <w:rPr>
          <w:rFonts w:ascii="宋体" w:hAnsi="宋体"/>
          <w:szCs w:val="21"/>
        </w:rPr>
      </w:pPr>
      <w:r>
        <w:rPr>
          <w:rFonts w:hint="eastAsia" w:ascii="宋体" w:hAnsi="宋体"/>
          <w:szCs w:val="21"/>
        </w:rPr>
        <w:t>募集期内销售机构按销售与服务代理协议的约定，将认购资金划入基金管理人在具有托管资格的商业银行开设的基金认购专户。该账户由基金管理人开立并管理。基金募集期满</w:t>
      </w:r>
      <w:r>
        <w:rPr>
          <w:rFonts w:hint="eastAsia" w:ascii="宋体" w:hAnsi="宋体" w:cs="Arial"/>
          <w:szCs w:val="21"/>
        </w:rPr>
        <w:t>或基金停止募集时</w:t>
      </w:r>
      <w:r>
        <w:rPr>
          <w:rFonts w:hint="eastAsia" w:ascii="宋体" w:hAnsi="宋体"/>
          <w:szCs w:val="21"/>
        </w:rPr>
        <w:t>，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0CA39089">
      <w:pPr>
        <w:spacing w:line="360" w:lineRule="auto"/>
        <w:ind w:firstLine="420" w:firstLineChars="200"/>
        <w:rPr>
          <w:rFonts w:ascii="宋体" w:hAnsi="宋体" w:cs="Arial"/>
          <w:szCs w:val="21"/>
        </w:rPr>
      </w:pPr>
      <w:bookmarkStart w:id="20" w:name="_Toc382819081"/>
      <w:r>
        <w:rPr>
          <w:rFonts w:hint="eastAsia" w:ascii="宋体" w:hAnsi="宋体" w:cs="Arial"/>
          <w:szCs w:val="21"/>
        </w:rPr>
        <w:t>若基金募集期限届满，未能达到《基金合同》生效的条件，由基金管理人按规定办理退款事宜，基金托管人应提供必要的配合。</w:t>
      </w:r>
    </w:p>
    <w:p w14:paraId="79EC8240">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（三）基金资产托管专户的开立和管理</w:t>
      </w:r>
      <w:bookmarkEnd w:id="20"/>
    </w:p>
    <w:p w14:paraId="014DD115">
      <w:pPr>
        <w:spacing w:line="360" w:lineRule="auto"/>
        <w:ind w:firstLine="420" w:firstLineChars="200"/>
        <w:rPr>
          <w:rFonts w:ascii="宋体" w:hAnsi="宋体"/>
          <w:szCs w:val="21"/>
        </w:rPr>
      </w:pPr>
      <w:r>
        <w:rPr>
          <w:rFonts w:hint="eastAsia" w:ascii="宋体" w:hAnsi="宋体"/>
          <w:szCs w:val="21"/>
        </w:rPr>
        <w:t>1.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215AC19C">
      <w:pPr>
        <w:spacing w:line="360" w:lineRule="auto"/>
        <w:ind w:firstLine="420" w:firstLineChars="200"/>
        <w:rPr>
          <w:rFonts w:ascii="宋体" w:hAnsi="宋体"/>
          <w:szCs w:val="21"/>
        </w:rPr>
      </w:pPr>
      <w:r>
        <w:rPr>
          <w:rFonts w:hint="eastAsia" w:ascii="宋体" w:hAnsi="宋体"/>
          <w:szCs w:val="21"/>
        </w:rPr>
        <w:t>2.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14:paraId="31C2533E">
      <w:pPr>
        <w:spacing w:line="360" w:lineRule="auto"/>
        <w:ind w:firstLine="420" w:firstLineChars="200"/>
        <w:rPr>
          <w:rFonts w:ascii="宋体" w:hAnsi="宋体"/>
          <w:szCs w:val="21"/>
        </w:rPr>
      </w:pPr>
      <w:r>
        <w:rPr>
          <w:rFonts w:hint="eastAsia" w:ascii="宋体" w:hAnsi="宋体"/>
          <w:szCs w:val="21"/>
        </w:rPr>
        <w:t>3.资产托管专户的管理应符合《人民币银行结算账户管理办法》、《现金管理暂行条例》、《人民币利率管理规定》、《利率管理暂行规定》、《支付结算办法》以及银行业监督管理机构的其他有关规定。</w:t>
      </w:r>
    </w:p>
    <w:p w14:paraId="07004123">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1" w:name="_Toc382819082"/>
      <w:r>
        <w:rPr>
          <w:rFonts w:hint="eastAsia" w:ascii="宋体" w:hAnsi="宋体" w:eastAsia="宋体"/>
          <w:b w:val="0"/>
          <w:bCs w:val="0"/>
          <w:sz w:val="21"/>
          <w:szCs w:val="21"/>
        </w:rPr>
        <w:t>（四）基金证券账户与证券交易资金账户的开设和管理</w:t>
      </w:r>
      <w:bookmarkEnd w:id="21"/>
    </w:p>
    <w:p w14:paraId="2FCFA21C">
      <w:pPr>
        <w:tabs>
          <w:tab w:val="left" w:pos="4680"/>
        </w:tabs>
        <w:spacing w:line="360" w:lineRule="auto"/>
        <w:ind w:firstLine="420" w:firstLineChars="200"/>
        <w:rPr>
          <w:rFonts w:ascii="宋体" w:hAnsi="宋体"/>
          <w:szCs w:val="21"/>
        </w:rPr>
      </w:pPr>
      <w:r>
        <w:rPr>
          <w:rFonts w:hint="eastAsia" w:ascii="宋体" w:hAnsi="宋体"/>
          <w:szCs w:val="21"/>
        </w:rPr>
        <w:t>1．基金托管人以基金托管人和本基金联名的方式在中国证券登记结算有限公司上海分公司/深圳分公司开立专门的证券账户。</w:t>
      </w:r>
    </w:p>
    <w:p w14:paraId="4B8AEBD1">
      <w:pPr>
        <w:spacing w:line="360" w:lineRule="auto"/>
        <w:ind w:firstLine="420" w:firstLineChars="200"/>
        <w:rPr>
          <w:rFonts w:ascii="宋体" w:hAnsi="宋体"/>
          <w:szCs w:val="21"/>
        </w:rPr>
      </w:pPr>
      <w:r>
        <w:rPr>
          <w:rFonts w:hint="eastAsia" w:ascii="宋体" w:hAnsi="宋体"/>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2B8598BE">
      <w:pPr>
        <w:spacing w:line="360" w:lineRule="auto"/>
        <w:ind w:firstLine="420" w:firstLineChars="200"/>
        <w:rPr>
          <w:rFonts w:ascii="宋体" w:hAnsi="宋体"/>
          <w:szCs w:val="21"/>
        </w:rPr>
      </w:pPr>
      <w:r>
        <w:rPr>
          <w:rFonts w:hint="eastAsia" w:ascii="宋体" w:hAnsi="宋体"/>
          <w:szCs w:val="21"/>
        </w:rPr>
        <w:t>3.基金证券账户的开立基金托管人负责，账户资产的管理和运用由基金管理人负责。</w:t>
      </w:r>
    </w:p>
    <w:p w14:paraId="3F416AB8">
      <w:pPr>
        <w:spacing w:line="360" w:lineRule="auto"/>
        <w:ind w:firstLine="420" w:firstLineChars="200"/>
        <w:rPr>
          <w:rFonts w:ascii="宋体" w:hAnsi="宋体"/>
          <w:szCs w:val="21"/>
        </w:rPr>
      </w:pPr>
      <w:r>
        <w:rPr>
          <w:rFonts w:hint="eastAsia" w:ascii="宋体" w:hAnsi="宋体"/>
          <w:szCs w:val="21"/>
        </w:rPr>
        <w:t>4.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4BA7E970">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2" w:name="_Toc382819083"/>
      <w:r>
        <w:rPr>
          <w:rFonts w:hint="eastAsia" w:ascii="宋体" w:hAnsi="宋体" w:eastAsia="宋体"/>
          <w:b w:val="0"/>
          <w:bCs w:val="0"/>
          <w:sz w:val="21"/>
          <w:szCs w:val="21"/>
        </w:rPr>
        <w:t>（五）银行间市场债券托管和资金结算专户的开立和管理及市场准入备案</w:t>
      </w:r>
      <w:bookmarkEnd w:id="22"/>
    </w:p>
    <w:p w14:paraId="03B34A4E">
      <w:pPr>
        <w:spacing w:line="360" w:lineRule="auto"/>
        <w:ind w:firstLine="420" w:firstLineChars="200"/>
        <w:rPr>
          <w:rFonts w:ascii="宋体" w:hAnsi="宋体"/>
          <w:szCs w:val="21"/>
        </w:rPr>
      </w:pPr>
      <w:bookmarkStart w:id="23"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3"/>
    </w:p>
    <w:p w14:paraId="103632EF">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r>
        <w:rPr>
          <w:rFonts w:hint="eastAsia" w:ascii="宋体" w:hAnsi="宋体" w:eastAsia="宋体"/>
          <w:b w:val="0"/>
          <w:bCs w:val="0"/>
          <w:sz w:val="21"/>
          <w:szCs w:val="21"/>
        </w:rPr>
        <w:t>（六）其他账户的开设和管理</w:t>
      </w:r>
    </w:p>
    <w:p w14:paraId="0A4CAED4">
      <w:pPr>
        <w:tabs>
          <w:tab w:val="left" w:pos="4680"/>
        </w:tabs>
        <w:spacing w:line="360" w:lineRule="auto"/>
        <w:ind w:firstLine="420" w:firstLineChars="200"/>
        <w:rPr>
          <w:rFonts w:ascii="宋体" w:hAnsi="宋体"/>
          <w:szCs w:val="21"/>
        </w:rPr>
      </w:pPr>
      <w:r>
        <w:rPr>
          <w:rFonts w:hint="eastAsia" w:ascii="宋体" w:hAnsi="宋体"/>
          <w:szCs w:val="21"/>
        </w:rPr>
        <w:t>1、因业务发展而需要开立的其它账户，可以根据《基金合同》或有关法律法规的规定，经基金管理人和基金托管人协商一致后，由基金托管人负责为基金开立。新账户按有关规则使用并管理。</w:t>
      </w:r>
    </w:p>
    <w:p w14:paraId="3ADBB0BD">
      <w:pPr>
        <w:tabs>
          <w:tab w:val="left" w:pos="4680"/>
        </w:tabs>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14:paraId="19182591">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4" w:name="_Toc382819085"/>
      <w:r>
        <w:rPr>
          <w:rFonts w:hint="eastAsia" w:ascii="宋体" w:hAnsi="宋体" w:eastAsia="宋体"/>
          <w:b w:val="0"/>
          <w:bCs w:val="0"/>
          <w:sz w:val="21"/>
          <w:szCs w:val="21"/>
        </w:rPr>
        <w:t>（七）基金投资银行存款账户的开立和管理</w:t>
      </w:r>
      <w:bookmarkEnd w:id="24"/>
    </w:p>
    <w:p w14:paraId="4E65FC86">
      <w:pPr>
        <w:tabs>
          <w:tab w:val="left" w:pos="4680"/>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基金投资银行定期存款应由基金管理人与存款银行总行或其授权分行签订总体合作协议，并将资金存放于存款银行总行或其授权分行指定的分支机构。</w:t>
      </w:r>
    </w:p>
    <w:p w14:paraId="39957A25">
      <w:pPr>
        <w:tabs>
          <w:tab w:val="left" w:pos="4680"/>
        </w:tabs>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存款账户必须以基金名义开立，账户名称为基金名称，存款账户开户文件上加盖预留印鉴及基金管理人公章。</w:t>
      </w:r>
    </w:p>
    <w:p w14:paraId="367BB2A3">
      <w:pPr>
        <w:tabs>
          <w:tab w:val="left" w:pos="4680"/>
        </w:tabs>
        <w:spacing w:line="360" w:lineRule="auto"/>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本基金投资银行存款时，基金管理人应当与存款银行签订具体存款协议，明确存款的类型、期限、利率、金额、账号、对账方式、支取方式、账户管理等细则。</w:t>
      </w:r>
    </w:p>
    <w:p w14:paraId="4280DED9">
      <w:pPr>
        <w:tabs>
          <w:tab w:val="left" w:pos="4680"/>
        </w:tabs>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为防范特殊情况下的流动性风险，定期存款协议中应当约定提前支取条款。</w:t>
      </w:r>
    </w:p>
    <w:p w14:paraId="64F1F72F">
      <w:pPr>
        <w:tabs>
          <w:tab w:val="left" w:pos="4680"/>
        </w:tabs>
        <w:spacing w:line="360" w:lineRule="auto"/>
        <w:ind w:firstLine="420" w:firstLineChars="200"/>
        <w:rPr>
          <w:rFonts w:ascii="宋体" w:hAnsi="宋体"/>
          <w:szCs w:val="21"/>
        </w:rPr>
      </w:pPr>
      <w:bookmarkStart w:id="25" w:name="_Toc382819086"/>
      <w:r>
        <w:rPr>
          <w:rFonts w:hint="eastAsia" w:ascii="宋体" w:hAnsi="宋体"/>
          <w:szCs w:val="21"/>
        </w:rPr>
        <w:t>5</w:t>
      </w:r>
      <w:r>
        <w:rPr>
          <w:rFonts w:ascii="宋体" w:hAnsi="宋体"/>
          <w:szCs w:val="21"/>
        </w:rPr>
        <w:t>.</w:t>
      </w:r>
      <w:r>
        <w:rPr>
          <w:rFonts w:hint="eastAsia" w:ascii="宋体" w:hAnsi="宋体"/>
          <w:szCs w:val="21"/>
        </w:rPr>
        <w:t>基金所投资定期存款存续期间，基金管理人、基金托管人应当与存款银行建立定期对账机制，确保基金银行存款业务账目及核对的真实、准确。</w:t>
      </w:r>
      <w:bookmarkEnd w:id="25"/>
    </w:p>
    <w:p w14:paraId="31A4A370">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6" w:name="_Toc382819087"/>
      <w:r>
        <w:rPr>
          <w:rFonts w:hint="eastAsia" w:ascii="宋体" w:hAnsi="宋体" w:eastAsia="宋体"/>
          <w:b w:val="0"/>
          <w:bCs w:val="0"/>
          <w:sz w:val="21"/>
          <w:szCs w:val="21"/>
        </w:rPr>
        <w:t>（八）基金财产投资的有关实物证券、银行定期存款存单等有价凭证的保管</w:t>
      </w:r>
      <w:bookmarkEnd w:id="26"/>
    </w:p>
    <w:p w14:paraId="141EBF9B">
      <w:pPr>
        <w:spacing w:line="360" w:lineRule="auto"/>
        <w:ind w:firstLine="420" w:firstLineChars="200"/>
        <w:rPr>
          <w:rFonts w:ascii="宋体" w:hAnsi="宋体"/>
          <w:szCs w:val="21"/>
        </w:rPr>
      </w:pPr>
      <w:r>
        <w:rPr>
          <w:rFonts w:hint="eastAsia" w:ascii="宋体" w:hAnsi="宋体"/>
          <w:szCs w:val="21"/>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7AA94E75">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（九）与基金财产有关的重大合同的保管</w:t>
      </w:r>
    </w:p>
    <w:p w14:paraId="4C33E4B3">
      <w:pPr>
        <w:spacing w:line="360" w:lineRule="auto"/>
        <w:ind w:firstLine="420" w:firstLineChars="200"/>
        <w:rPr>
          <w:rFonts w:ascii="宋体" w:hAnsi="宋体"/>
          <w:szCs w:val="21"/>
        </w:rPr>
      </w:pPr>
      <w:r>
        <w:rPr>
          <w:rFonts w:hint="eastAsia" w:ascii="宋体" w:hAnsi="宋体"/>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14:paraId="7DD98D27">
      <w:pPr>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对于无法取得二份以上的正本的，基金管理人应向基金托管人提供与合同原件核对一致的并加盖基金管理人公章的合同传真件或复印件，未经双方协商一致，合同原件不得转移。</w:t>
      </w:r>
    </w:p>
    <w:p w14:paraId="1E09011D">
      <w:pPr>
        <w:spacing w:before="312" w:beforeLines="100" w:after="312" w:afterLines="100" w:line="240" w:lineRule="atLeast"/>
        <w:jc w:val="center"/>
        <w:outlineLvl w:val="0"/>
        <w:rPr>
          <w:rFonts w:ascii="宋体" w:hAnsi="宋体"/>
        </w:rPr>
      </w:pPr>
      <w:bookmarkStart w:id="27" w:name="_Toc382819088"/>
      <w:r>
        <w:rPr>
          <w:rFonts w:hint="eastAsia" w:ascii="宋体" w:hAnsi="宋体"/>
          <w:b/>
          <w:sz w:val="24"/>
        </w:rPr>
        <w:t>五、指令的发送、确认和执行</w:t>
      </w:r>
      <w:bookmarkEnd w:id="27"/>
    </w:p>
    <w:p w14:paraId="5A7C7765">
      <w:pPr>
        <w:spacing w:line="360" w:lineRule="auto"/>
        <w:ind w:firstLine="420" w:firstLineChars="200"/>
        <w:rPr>
          <w:rFonts w:ascii="宋体" w:hAnsi="宋体"/>
          <w:szCs w:val="21"/>
        </w:rPr>
      </w:pPr>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p>
    <w:p w14:paraId="73FD50EE">
      <w:pPr>
        <w:spacing w:line="360" w:lineRule="auto"/>
        <w:ind w:firstLine="420" w:firstLineChars="200"/>
        <w:rPr>
          <w:rFonts w:ascii="宋体" w:hAnsi="宋体"/>
          <w:szCs w:val="21"/>
        </w:rPr>
      </w:pPr>
      <w:r>
        <w:rPr>
          <w:rFonts w:hint="eastAsia" w:ascii="宋体" w:hAnsi="宋体"/>
          <w:szCs w:val="21"/>
        </w:rPr>
        <w:t>（一）基金管理人对发送指令人员的书面授权</w:t>
      </w:r>
    </w:p>
    <w:p w14:paraId="5816A23C">
      <w:pPr>
        <w:spacing w:line="360" w:lineRule="auto"/>
        <w:ind w:firstLine="420" w:firstLineChars="200"/>
        <w:rPr>
          <w:rFonts w:ascii="宋体" w:hAnsi="宋体"/>
          <w:szCs w:val="21"/>
        </w:rPr>
      </w:pPr>
      <w:r>
        <w:rPr>
          <w:rFonts w:hint="eastAsia" w:ascii="宋体" w:hAnsi="宋体"/>
          <w:szCs w:val="21"/>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产品成立时或后续更新，必须提前至少一个交易日，发送扫描件或使用传真或以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回函书面传真基金管理人或通过电话向基金管理人确认。授权变更于变更通知载明的生效时间起生效。划款指令授权书原件在成立时未按时送达基金托管人的，基金托管人有权拒绝执行该授权书对应的划款指令，基金托管人不承担由此造成的损失。基金管理人和基金托管人对授权文件负有保密义务，其内容不得向授权人及相关操作人员以外的任何人泄露，但法律法规或有权机关另有要求的除外。</w:t>
      </w:r>
    </w:p>
    <w:p w14:paraId="775AC7A9">
      <w:pPr>
        <w:spacing w:line="360" w:lineRule="auto"/>
        <w:ind w:firstLine="420" w:firstLineChars="200"/>
        <w:rPr>
          <w:rFonts w:ascii="宋体" w:hAnsi="宋体"/>
          <w:szCs w:val="21"/>
        </w:rPr>
      </w:pPr>
      <w:r>
        <w:rPr>
          <w:rFonts w:hint="eastAsia" w:ascii="宋体" w:hAnsi="宋体"/>
          <w:szCs w:val="21"/>
        </w:rPr>
        <w:t>（二）指令的内容</w:t>
      </w:r>
    </w:p>
    <w:p w14:paraId="70AAA5DD">
      <w:pPr>
        <w:spacing w:line="360" w:lineRule="auto"/>
        <w:ind w:firstLine="420" w:firstLineChars="200"/>
        <w:rPr>
          <w:rFonts w:ascii="宋体" w:hAnsi="宋体"/>
          <w:szCs w:val="21"/>
        </w:rPr>
      </w:pPr>
      <w:r>
        <w:rPr>
          <w:rFonts w:hint="eastAsia" w:ascii="宋体" w:hAnsi="宋体"/>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5DA9F8B5">
      <w:pPr>
        <w:spacing w:line="360" w:lineRule="auto"/>
        <w:ind w:firstLine="420" w:firstLineChars="200"/>
        <w:rPr>
          <w:rFonts w:ascii="宋体" w:hAnsi="宋体"/>
          <w:szCs w:val="21"/>
        </w:rPr>
      </w:pPr>
      <w:r>
        <w:rPr>
          <w:rFonts w:hint="eastAsia" w:ascii="宋体" w:hAnsi="宋体"/>
          <w:szCs w:val="21"/>
        </w:rPr>
        <w:t>2、基金管理人发给基金托管人的指令应写明付款账号、付款户名、开户行、收款账号、收款户名、开户行、款项事由、支付时间、到账时间、金额、账户等，加盖预留印鉴并有被授权人签字。</w:t>
      </w:r>
    </w:p>
    <w:p w14:paraId="5CB72778">
      <w:pPr>
        <w:spacing w:line="360" w:lineRule="auto"/>
        <w:ind w:firstLine="420" w:firstLineChars="200"/>
        <w:rPr>
          <w:rFonts w:ascii="宋体" w:hAnsi="宋体"/>
          <w:szCs w:val="21"/>
        </w:rPr>
      </w:pPr>
      <w:r>
        <w:rPr>
          <w:rFonts w:hint="eastAsia" w:ascii="宋体" w:hAnsi="宋体"/>
          <w:szCs w:val="21"/>
        </w:rPr>
        <w:t>（三）指令的发送、确认和执行的时间和程序</w:t>
      </w:r>
    </w:p>
    <w:p w14:paraId="79722020">
      <w:pPr>
        <w:spacing w:line="360" w:lineRule="auto"/>
        <w:ind w:firstLine="420" w:firstLineChars="200"/>
        <w:rPr>
          <w:rFonts w:ascii="宋体" w:hAnsi="宋体"/>
          <w:szCs w:val="21"/>
        </w:rPr>
      </w:pPr>
      <w:r>
        <w:rPr>
          <w:rFonts w:hint="eastAsia" w:ascii="宋体" w:hAnsi="宋体"/>
          <w:szCs w:val="21"/>
        </w:rPr>
        <w:t>指令由“授权通知”确定的有权发送人（下称“被授权人”）代表基金管理人用传真的方式或其他基金托管人和基金管理人书面确认过的方式向基金托管人发送。基金管理人有义务在发送指令后及时与托管人进行确认，因基金管理人未能及时与基金托管人进行指令确认,致使资金未能及时到账所造成的损失，基金托管人不承担任何责任。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银行间指令、定期存款指令、非担保交收指令、新股、新债、增发等申购指令）应在15点（指令截止时间）前提交基金托管人，如基金管理人要求当天某一时点到账，则指令需提前2个工作小时(工作时间9点至11点30分,13点至17点)提交基金托管人。</w:t>
      </w:r>
    </w:p>
    <w:p w14:paraId="2A475D4B">
      <w:pPr>
        <w:spacing w:line="360" w:lineRule="auto"/>
        <w:ind w:firstLine="420" w:firstLineChars="200"/>
        <w:rPr>
          <w:rFonts w:ascii="宋体" w:hAnsi="宋体"/>
          <w:szCs w:val="21"/>
        </w:rPr>
      </w:pPr>
      <w:r>
        <w:rPr>
          <w:rFonts w:hint="eastAsia" w:ascii="宋体" w:hAnsi="宋体"/>
          <w:szCs w:val="21"/>
        </w:rPr>
        <w:t>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14:paraId="0ED2CEDB">
      <w:pPr>
        <w:spacing w:line="360" w:lineRule="auto"/>
        <w:ind w:firstLine="420" w:firstLineChars="200"/>
        <w:rPr>
          <w:rFonts w:ascii="宋体" w:hAnsi="宋体"/>
          <w:szCs w:val="21"/>
        </w:rPr>
      </w:pPr>
      <w:r>
        <w:rPr>
          <w:rFonts w:hint="eastAsia" w:ascii="宋体" w:hAnsi="宋体"/>
          <w:szCs w:val="21"/>
        </w:rPr>
        <w:t>如划款指令中给予基金托管人的划拨时间小于2个工作小时或晚于前述指令截止时间的，基金托管人应尽力在指定时间内完成资金划拨,但不承担因时间不足导致执行失败的责任。</w:t>
      </w:r>
    </w:p>
    <w:p w14:paraId="48565B69">
      <w:pPr>
        <w:spacing w:line="360" w:lineRule="auto"/>
        <w:ind w:firstLine="420" w:firstLineChars="200"/>
        <w:rPr>
          <w:rFonts w:ascii="宋体" w:hAnsi="宋体"/>
          <w:szCs w:val="21"/>
        </w:rPr>
      </w:pPr>
      <w:r>
        <w:rPr>
          <w:rFonts w:hint="eastAsia" w:ascii="宋体" w:hAnsi="宋体"/>
          <w:szCs w:val="21"/>
        </w:rPr>
        <w:t>特定用途划款指令关于截止时间点另有约定的，以另行约定为准。因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33FD994C">
      <w:pPr>
        <w:spacing w:line="360" w:lineRule="auto"/>
        <w:ind w:firstLine="420" w:firstLineChars="200"/>
        <w:rPr>
          <w:rFonts w:ascii="宋体" w:hAnsi="宋体"/>
          <w:szCs w:val="21"/>
        </w:rPr>
      </w:pPr>
      <w:r>
        <w:rPr>
          <w:rFonts w:hint="eastAsia" w:ascii="宋体" w:hAnsi="宋体"/>
          <w:szCs w:val="21"/>
        </w:rPr>
        <w:t>指令到达基金托管人后，基金托管人应指定专人及时对指令的要素是否齐全、印鉴与被授权人是否与预留的授权文件内容相符进行检查，如发现问题或有疑问应及时通知基金管理人，并有权附注相应说明后立即将指令退还给基金管理人，要求其重新下达有效指令。</w:t>
      </w:r>
    </w:p>
    <w:p w14:paraId="22EEBD65">
      <w:pPr>
        <w:spacing w:line="360" w:lineRule="auto"/>
        <w:ind w:firstLine="420" w:firstLineChars="200"/>
        <w:rPr>
          <w:rFonts w:ascii="宋体" w:hAnsi="宋体"/>
          <w:szCs w:val="21"/>
        </w:rPr>
      </w:pPr>
      <w:r>
        <w:rPr>
          <w:rFonts w:hint="eastAsia" w:ascii="宋体" w:hAnsi="宋体"/>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3BE49BCA">
      <w:pPr>
        <w:spacing w:line="360" w:lineRule="auto"/>
        <w:ind w:firstLine="420" w:firstLineChars="200"/>
        <w:rPr>
          <w:rFonts w:ascii="宋体" w:hAnsi="宋体"/>
          <w:szCs w:val="21"/>
        </w:rPr>
      </w:pPr>
      <w:r>
        <w:rPr>
          <w:rFonts w:hint="eastAsia" w:ascii="宋体" w:hAnsi="宋体"/>
          <w:szCs w:val="21"/>
        </w:rPr>
        <w:t>基金管理人应将同业市场国债交易通知单加盖预留印鉴后传真给基金托管人。</w:t>
      </w:r>
    </w:p>
    <w:p w14:paraId="4C3974E4">
      <w:pPr>
        <w:spacing w:line="360" w:lineRule="auto"/>
        <w:ind w:firstLine="420" w:firstLineChars="200"/>
        <w:rPr>
          <w:rFonts w:ascii="宋体" w:hAnsi="宋体"/>
          <w:szCs w:val="21"/>
        </w:rPr>
      </w:pPr>
      <w:r>
        <w:rPr>
          <w:rFonts w:hint="eastAsia" w:ascii="宋体" w:hAnsi="宋体"/>
          <w:szCs w:val="21"/>
        </w:rPr>
        <w:t>指令执行完毕后，基金托管人应将执行完毕的指令回传给基金管理人。基金托管人应授权专人接收基金管理人的指令，预先通知基金管理人其名单，并与基金管理人商定指令发送和接收方式。</w:t>
      </w:r>
    </w:p>
    <w:p w14:paraId="534626DE">
      <w:pPr>
        <w:spacing w:line="360" w:lineRule="auto"/>
        <w:ind w:firstLine="420" w:firstLineChars="200"/>
        <w:rPr>
          <w:rFonts w:ascii="宋体" w:hAnsi="宋体"/>
          <w:szCs w:val="21"/>
        </w:rPr>
      </w:pPr>
      <w:r>
        <w:rPr>
          <w:rFonts w:hint="eastAsia" w:ascii="宋体" w:hAnsi="宋体"/>
          <w:szCs w:val="21"/>
        </w:rPr>
        <w:t>（四）基金管理人发送错误指令的情形和处理程序</w:t>
      </w:r>
    </w:p>
    <w:p w14:paraId="454DFCE6">
      <w:pPr>
        <w:spacing w:line="360" w:lineRule="auto"/>
        <w:ind w:firstLine="420" w:firstLineChars="200"/>
        <w:rPr>
          <w:rFonts w:ascii="宋体" w:hAnsi="宋体"/>
          <w:szCs w:val="21"/>
        </w:rPr>
      </w:pPr>
      <w:r>
        <w:rPr>
          <w:rFonts w:hint="eastAsia" w:ascii="宋体" w:hAnsi="宋体"/>
          <w:szCs w:val="21"/>
        </w:rPr>
        <w:t>基金管理人发送错误指令的情形包括但不限于指令发送人员无权或超越权限发送指令及交割信息错误，指令中重要信息模糊不清或不全,指令违反法律法规、《基金合同》及本协议约定等。</w:t>
      </w:r>
    </w:p>
    <w:p w14:paraId="5BEBCCC2">
      <w:pPr>
        <w:spacing w:line="360" w:lineRule="auto"/>
        <w:ind w:firstLine="420" w:firstLineChars="200"/>
        <w:rPr>
          <w:rFonts w:ascii="宋体" w:hAnsi="宋体"/>
          <w:szCs w:val="21"/>
        </w:rPr>
      </w:pPr>
      <w:r>
        <w:rPr>
          <w:rFonts w:hint="eastAsia" w:ascii="宋体" w:hAnsi="宋体"/>
          <w:szCs w:val="21"/>
        </w:rPr>
        <w:t>基金托管人在履行监督职能时，如发现基金管理人的指令错误，有权视情况暂缓或拒绝执行，并及时以书面形式通知基金管理人改正，基金管理人收到通知后应及时核对，并以书面形式对基金托管人发出回函确认。如需撤销指令，基金管理人应出具书面说明，并加盖预留印鉴。</w:t>
      </w:r>
    </w:p>
    <w:p w14:paraId="001B1A14">
      <w:pPr>
        <w:spacing w:line="360" w:lineRule="auto"/>
        <w:ind w:firstLine="420" w:firstLineChars="200"/>
        <w:rPr>
          <w:rFonts w:ascii="宋体" w:hAnsi="宋体"/>
          <w:szCs w:val="21"/>
        </w:rPr>
      </w:pPr>
      <w:r>
        <w:rPr>
          <w:rFonts w:hint="eastAsia" w:ascii="宋体" w:hAnsi="宋体"/>
          <w:szCs w:val="21"/>
        </w:rPr>
        <w:t>（五）基金托管人未按照基金管理人指令执行的处理方法</w:t>
      </w:r>
    </w:p>
    <w:p w14:paraId="2AC41E73">
      <w:pPr>
        <w:spacing w:line="360" w:lineRule="auto"/>
        <w:ind w:firstLine="420" w:firstLineChars="200"/>
        <w:rPr>
          <w:rFonts w:ascii="宋体" w:hAnsi="宋体"/>
          <w:szCs w:val="21"/>
        </w:rPr>
      </w:pPr>
      <w:r>
        <w:rPr>
          <w:rFonts w:hint="eastAsia" w:ascii="宋体" w:hAnsi="宋体"/>
          <w:szCs w:val="21"/>
        </w:rPr>
        <w:t>除本协议另有约定外，基金托管人由于自身原因造成未按照或者未及时按照基金管理人发送的符合本协议约定的、按照正常交易程序已经生效的指令执行，给基金财产、基金管理人和基金份额持有人造成损失的，应负责赔偿相应的直接损失。</w:t>
      </w:r>
    </w:p>
    <w:p w14:paraId="40D0E98F">
      <w:pPr>
        <w:spacing w:line="360" w:lineRule="auto"/>
        <w:ind w:firstLine="420" w:firstLineChars="200"/>
        <w:rPr>
          <w:rFonts w:ascii="宋体" w:hAnsi="宋体"/>
          <w:szCs w:val="21"/>
        </w:rPr>
      </w:pPr>
      <w:r>
        <w:rPr>
          <w:rFonts w:hint="eastAsia" w:ascii="宋体" w:hAnsi="宋体"/>
          <w:szCs w:val="21"/>
        </w:rPr>
        <w:t>（六）更换被授权人的程序</w:t>
      </w:r>
    </w:p>
    <w:p w14:paraId="299CFBA0">
      <w:pPr>
        <w:spacing w:line="360" w:lineRule="auto"/>
        <w:ind w:firstLine="420" w:firstLineChars="200"/>
        <w:rPr>
          <w:rFonts w:ascii="宋体" w:hAnsi="宋体"/>
          <w:szCs w:val="21"/>
        </w:rPr>
      </w:pPr>
      <w:r>
        <w:rPr>
          <w:rFonts w:hint="eastAsia" w:ascii="宋体" w:hAnsi="宋体"/>
          <w:szCs w:val="21"/>
        </w:rPr>
        <w:t>基金管理人更换被授权人、更改或终止对被授权人的授权范围的，必须提前至少一个交易日，发送扫描件或使用传真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回函书面传真基金管理人或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受基金管理人指令的人员，应提前通过邮件、传真或录音电话等方式通知基金管理人。</w:t>
      </w:r>
    </w:p>
    <w:p w14:paraId="066DF974">
      <w:pPr>
        <w:spacing w:line="360" w:lineRule="auto"/>
        <w:ind w:firstLine="420" w:firstLineChars="200"/>
        <w:rPr>
          <w:rFonts w:ascii="宋体" w:hAnsi="宋体"/>
          <w:szCs w:val="21"/>
        </w:rPr>
      </w:pPr>
      <w:r>
        <w:rPr>
          <w:rFonts w:hint="eastAsia" w:ascii="宋体" w:hAnsi="宋体"/>
          <w:szCs w:val="21"/>
        </w:rPr>
        <w:t>（七）其它事项</w:t>
      </w:r>
    </w:p>
    <w:p w14:paraId="44077FD4">
      <w:pPr>
        <w:spacing w:line="360" w:lineRule="auto"/>
        <w:ind w:firstLine="420" w:firstLineChars="200"/>
        <w:rPr>
          <w:rFonts w:ascii="宋体" w:hAnsi="宋体"/>
          <w:szCs w:val="21"/>
        </w:rPr>
      </w:pPr>
      <w:r>
        <w:rPr>
          <w:rFonts w:hint="eastAsia" w:ascii="宋体" w:hAnsi="宋体"/>
          <w:szCs w:val="21"/>
        </w:rPr>
        <w:t>基金管理人承担下达违法、违规或违反《基金合同》和本协议约定的指令所导致的责任。基金托管人对执行基金管理人的按照正常交易程序已经生效的指令对基金财产造成的损失不承担赔偿责任，基金托管人有过错的除外。</w:t>
      </w:r>
    </w:p>
    <w:p w14:paraId="6EBFB3B1">
      <w:pPr>
        <w:spacing w:before="312" w:beforeLines="100" w:after="312" w:afterLines="100" w:line="240" w:lineRule="atLeast"/>
        <w:jc w:val="center"/>
        <w:outlineLvl w:val="0"/>
        <w:rPr>
          <w:rFonts w:ascii="宋体" w:hAnsi="宋体"/>
        </w:rPr>
      </w:pPr>
      <w:bookmarkStart w:id="28" w:name="_Toc382819097"/>
      <w:r>
        <w:rPr>
          <w:rFonts w:hint="eastAsia" w:ascii="宋体" w:hAnsi="宋体"/>
          <w:b/>
          <w:sz w:val="24"/>
        </w:rPr>
        <w:t>六、交易及清算交收安排</w:t>
      </w:r>
      <w:bookmarkEnd w:id="28"/>
    </w:p>
    <w:p w14:paraId="4B5D78AC">
      <w:pPr>
        <w:spacing w:line="360" w:lineRule="auto"/>
        <w:ind w:firstLine="420" w:firstLineChars="200"/>
        <w:rPr>
          <w:rFonts w:ascii="宋体" w:hAnsi="宋体"/>
          <w:szCs w:val="21"/>
        </w:rPr>
      </w:pPr>
      <w:r>
        <w:rPr>
          <w:rFonts w:hint="eastAsia" w:ascii="宋体" w:hAnsi="宋体"/>
          <w:szCs w:val="21"/>
        </w:rPr>
        <w:t>（一）选择代理证券、期货买卖的证券、期货经营机构的标准和程序</w:t>
      </w:r>
    </w:p>
    <w:p w14:paraId="5BEB4390">
      <w:pPr>
        <w:spacing w:line="360" w:lineRule="auto"/>
        <w:ind w:firstLine="420" w:firstLineChars="200"/>
        <w:rPr>
          <w:rFonts w:ascii="宋体" w:hAnsi="宋体"/>
          <w:szCs w:val="21"/>
        </w:rPr>
      </w:pPr>
      <w:r>
        <w:rPr>
          <w:rFonts w:hint="eastAsia" w:ascii="宋体" w:hAnsi="宋体"/>
          <w:szCs w:val="21"/>
        </w:rPr>
        <w:t>基金管理人负责根据相关标准以及内部管理制度对有关证券经营机构进行考察后确定代理本基金证券买卖证券经营机构，并承担相应责任。基金管理人和被选择的证券经营机构签订交易单元使用协议，由基金管理人通知基金托管人，并在法定信息披露公告中披露有关内容。</w:t>
      </w:r>
    </w:p>
    <w:p w14:paraId="6B8BC66C">
      <w:pPr>
        <w:spacing w:line="360" w:lineRule="auto"/>
        <w:ind w:firstLine="420" w:firstLineChars="200"/>
        <w:rPr>
          <w:rFonts w:ascii="宋体" w:hAnsi="宋体"/>
          <w:szCs w:val="21"/>
        </w:rPr>
      </w:pPr>
      <w:r>
        <w:rPr>
          <w:rFonts w:hint="eastAsia" w:ascii="宋体" w:hAnsi="宋体"/>
          <w:szCs w:val="21"/>
        </w:rPr>
        <w:t>基金管理人应及时将基金专用交易单元号、佣金费率等基本信息以及变更情况及时以书面形式通知基金托管人,并将被选中证券经营机构提供的《交易单元租用协议》及时送达基金托管人，确保基金托管人申请接收结算数据。</w:t>
      </w:r>
    </w:p>
    <w:p w14:paraId="6C4818A4">
      <w:pPr>
        <w:spacing w:line="360" w:lineRule="auto"/>
        <w:ind w:firstLine="420" w:firstLineChars="200"/>
        <w:rPr>
          <w:rFonts w:ascii="宋体" w:hAnsi="宋体"/>
          <w:szCs w:val="21"/>
        </w:rPr>
      </w:pPr>
      <w:r>
        <w:rPr>
          <w:rFonts w:hint="eastAsia" w:ascii="宋体" w:hAnsi="宋体"/>
          <w:szCs w:val="21"/>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14:paraId="24E62BB7">
      <w:pPr>
        <w:spacing w:line="360" w:lineRule="auto"/>
        <w:ind w:firstLine="420" w:firstLineChars="200"/>
        <w:rPr>
          <w:rFonts w:ascii="宋体" w:hAnsi="宋体"/>
          <w:szCs w:val="21"/>
        </w:rPr>
      </w:pPr>
      <w:r>
        <w:rPr>
          <w:rFonts w:hint="eastAsia" w:ascii="宋体" w:hAnsi="宋体"/>
          <w:szCs w:val="21"/>
        </w:rPr>
        <w:t>（二）基金投资证券后的清算交收安排</w:t>
      </w:r>
    </w:p>
    <w:p w14:paraId="2D27C0C2">
      <w:pPr>
        <w:spacing w:line="360" w:lineRule="auto"/>
        <w:ind w:firstLine="420" w:firstLineChars="200"/>
        <w:rPr>
          <w:rFonts w:ascii="宋体" w:hAnsi="宋体"/>
          <w:szCs w:val="21"/>
        </w:rPr>
      </w:pPr>
      <w:r>
        <w:rPr>
          <w:rFonts w:hint="eastAsia" w:ascii="宋体" w:hAnsi="宋体"/>
          <w:szCs w:val="21"/>
        </w:rPr>
        <w:t>1、本基金投资于证券发生的所有场内、场外交易的资金清算交割，全部由基金托管人负责办理。</w:t>
      </w:r>
    </w:p>
    <w:p w14:paraId="691A8B92">
      <w:pPr>
        <w:spacing w:line="360" w:lineRule="auto"/>
        <w:ind w:firstLine="420" w:firstLineChars="200"/>
        <w:rPr>
          <w:rFonts w:ascii="宋体" w:hAnsi="宋体"/>
          <w:szCs w:val="21"/>
        </w:rPr>
      </w:pPr>
      <w:r>
        <w:rPr>
          <w:rFonts w:hint="eastAsia" w:ascii="宋体" w:hAnsi="宋体"/>
          <w:szCs w:val="21"/>
        </w:rPr>
        <w:t>2、本基金投资于场内交易的投资品种前，基金管理人和基金托管人应当另行签署托管银行证券资金结算协议。</w:t>
      </w:r>
    </w:p>
    <w:p w14:paraId="3A69499D">
      <w:pPr>
        <w:spacing w:line="360" w:lineRule="auto"/>
        <w:ind w:firstLine="420" w:firstLineChars="200"/>
        <w:rPr>
          <w:rFonts w:ascii="宋体" w:hAnsi="宋体"/>
          <w:szCs w:val="21"/>
        </w:rPr>
      </w:pPr>
      <w:r>
        <w:rPr>
          <w:rFonts w:hint="eastAsia" w:ascii="宋体" w:hAnsi="宋体"/>
          <w:szCs w:val="21"/>
        </w:rPr>
        <w:t>3、本基金投资于非担保交收的投资品种时，基金管理人应遵守基金托管人提前以告客户书形式提供的书面通知。</w:t>
      </w:r>
    </w:p>
    <w:p w14:paraId="7439E340">
      <w:pPr>
        <w:spacing w:line="360" w:lineRule="auto"/>
        <w:ind w:firstLine="420" w:firstLineChars="200"/>
        <w:rPr>
          <w:rFonts w:ascii="宋体" w:hAnsi="宋体"/>
          <w:szCs w:val="21"/>
        </w:rPr>
      </w:pPr>
      <w:r>
        <w:rPr>
          <w:rFonts w:hint="eastAsia" w:ascii="宋体" w:hAnsi="宋体"/>
          <w:szCs w:val="21"/>
        </w:rPr>
        <w:t>4、银行间债券券款对付结算</w:t>
      </w:r>
    </w:p>
    <w:p w14:paraId="6BCFF892">
      <w:pPr>
        <w:spacing w:line="360" w:lineRule="auto"/>
        <w:ind w:firstLine="420" w:firstLineChars="200"/>
        <w:rPr>
          <w:rFonts w:ascii="宋体" w:hAnsi="宋体"/>
          <w:szCs w:val="21"/>
        </w:rPr>
      </w:pPr>
      <w:r>
        <w:rPr>
          <w:rFonts w:hint="eastAsia" w:ascii="宋体" w:hAnsi="宋体"/>
          <w:szCs w:val="21"/>
        </w:rPr>
        <w:t xml:space="preserve">银行间上清所划款指令和成交通知单应在结算日15点（指令截止时间）前提交基金托管人。银行间中债登划款指令和成交通知单应在结算日15：30分（指令截止时间）前提交基金托管人。  </w:t>
      </w:r>
    </w:p>
    <w:p w14:paraId="247FEFA7">
      <w:pPr>
        <w:spacing w:line="360" w:lineRule="auto"/>
        <w:ind w:firstLine="420" w:firstLineChars="200"/>
        <w:rPr>
          <w:rFonts w:ascii="宋体" w:hAnsi="宋体"/>
          <w:szCs w:val="21"/>
        </w:rPr>
      </w:pPr>
      <w:r>
        <w:rPr>
          <w:rFonts w:hint="eastAsia" w:ascii="宋体" w:hAnsi="宋体"/>
          <w:szCs w:val="21"/>
        </w:rPr>
        <w:t>基金管理人应根据中债登、上清所提供的查询功能，实时跟踪交易结算情况、证券与资金到账与余额变动情况，便于监控结算过程，做好资金与交易匹配的前端控制。</w:t>
      </w:r>
    </w:p>
    <w:p w14:paraId="5B19A1D3">
      <w:pPr>
        <w:spacing w:line="360" w:lineRule="auto"/>
        <w:ind w:firstLine="420" w:firstLineChars="200"/>
        <w:rPr>
          <w:rFonts w:ascii="宋体" w:hAnsi="宋体"/>
          <w:szCs w:val="21"/>
        </w:rPr>
      </w:pPr>
      <w:r>
        <w:rPr>
          <w:rFonts w:hint="eastAsia" w:ascii="宋体" w:hAnsi="宋体"/>
          <w:szCs w:val="21"/>
        </w:rPr>
        <w:t>5、定期投资</w:t>
      </w:r>
    </w:p>
    <w:p w14:paraId="0161F26C">
      <w:pPr>
        <w:spacing w:line="360" w:lineRule="auto"/>
        <w:ind w:firstLine="420" w:firstLineChars="200"/>
        <w:rPr>
          <w:rFonts w:ascii="宋体" w:hAnsi="宋体"/>
          <w:szCs w:val="21"/>
        </w:rPr>
      </w:pPr>
      <w:r>
        <w:rPr>
          <w:rFonts w:hint="eastAsia" w:ascii="宋体" w:hAnsi="宋体"/>
          <w:szCs w:val="21"/>
        </w:rPr>
        <w:t>基金管理人与存款行签订的存款协议条款格式应在定期存款起息日的前一个工作日发送给基金托管人，定期存款的划款指令及存款协议盖章版（传真件或扫描件）最迟不得晚于起息日13：00（指令截止时间）提交基金托管人。</w:t>
      </w:r>
    </w:p>
    <w:p w14:paraId="259DD9C0">
      <w:pPr>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书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14:paraId="33B75D4A">
      <w:pPr>
        <w:spacing w:line="360" w:lineRule="auto"/>
        <w:ind w:firstLine="420" w:firstLineChars="200"/>
        <w:rPr>
          <w:rFonts w:ascii="宋体" w:hAnsi="宋体"/>
          <w:szCs w:val="21"/>
        </w:rPr>
      </w:pPr>
      <w:r>
        <w:rPr>
          <w:rFonts w:hint="eastAsia" w:ascii="宋体" w:hAnsi="宋体"/>
          <w:szCs w:val="21"/>
        </w:rPr>
        <w:t>基金管理人与存款银行签订的存款协议，应包括：</w:t>
      </w:r>
    </w:p>
    <w:p w14:paraId="1C82AA40">
      <w:pPr>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14:paraId="5BCA2A95">
      <w:pPr>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75D089B4">
      <w:pPr>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5C3FB261">
      <w:pPr>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14:paraId="12AB13F9">
      <w:pPr>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上海浦东发展银行）处的托管账户，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14:paraId="4829FE0A">
      <w:pPr>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（5）存款银行应为定期存款业务提供定期对账服务。首次对账应不晚于存款资金存入后的一个自然月。除首次对账外，对账频率不少于每年一次。存款银行应配合基金托管人对“证实书”的书面征询。</w:t>
      </w:r>
    </w:p>
    <w:p w14:paraId="0E03A385">
      <w:pPr>
        <w:spacing w:line="360" w:lineRule="auto"/>
        <w:ind w:firstLine="420" w:firstLineChars="200"/>
        <w:rPr>
          <w:rFonts w:ascii="宋体" w:hAnsi="宋体"/>
          <w:szCs w:val="21"/>
        </w:rPr>
      </w:pPr>
      <w:r>
        <w:rPr>
          <w:rFonts w:hint="eastAsia" w:ascii="宋体" w:hAnsi="宋体"/>
          <w:szCs w:val="21"/>
        </w:rPr>
        <w:t>（6）在存款存续期内，“证实书”的预留印鉴发生变更的，存款银行应配合办理变更手续。</w:t>
      </w:r>
    </w:p>
    <w:p w14:paraId="3CA4EFA5">
      <w:pPr>
        <w:spacing w:line="360" w:lineRule="auto"/>
        <w:ind w:firstLine="420" w:firstLineChars="200"/>
        <w:rPr>
          <w:rFonts w:ascii="宋体" w:hAnsi="宋体"/>
          <w:szCs w:val="21"/>
        </w:rPr>
      </w:pPr>
      <w:r>
        <w:rPr>
          <w:rFonts w:hint="eastAsia" w:ascii="宋体" w:hAnsi="宋体"/>
          <w:szCs w:val="21"/>
        </w:rPr>
        <w:t>（三）可用资金余额的确认</w:t>
      </w:r>
    </w:p>
    <w:p w14:paraId="1E8A6DFA">
      <w:pPr>
        <w:spacing w:line="360" w:lineRule="auto"/>
        <w:ind w:firstLine="420" w:firstLineChars="200"/>
        <w:rPr>
          <w:rFonts w:ascii="宋体" w:hAnsi="宋体"/>
          <w:szCs w:val="21"/>
        </w:rPr>
      </w:pPr>
      <w:r>
        <w:rPr>
          <w:rFonts w:hint="eastAsia" w:ascii="宋体" w:hAnsi="宋体"/>
          <w:szCs w:val="21"/>
        </w:rPr>
        <w:t>基金托管人应于每个工作日上午9：30 前将托管账户的可用资金余额以双方认可的方式提供给基金管理人。</w:t>
      </w:r>
    </w:p>
    <w:p w14:paraId="3FA9CBEA">
      <w:pPr>
        <w:spacing w:line="360" w:lineRule="auto"/>
        <w:ind w:firstLine="420" w:firstLineChars="200"/>
        <w:rPr>
          <w:rFonts w:ascii="宋体" w:hAnsi="宋体"/>
          <w:szCs w:val="21"/>
        </w:rPr>
      </w:pPr>
      <w:r>
        <w:rPr>
          <w:rFonts w:hint="eastAsia" w:ascii="宋体" w:hAnsi="宋体"/>
          <w:szCs w:val="21"/>
        </w:rPr>
        <w:t>（四）交易记录、资金、证券账目的核对</w:t>
      </w:r>
    </w:p>
    <w:p w14:paraId="70009D68">
      <w:pPr>
        <w:spacing w:line="360" w:lineRule="auto"/>
        <w:ind w:firstLine="420" w:firstLineChars="200"/>
        <w:rPr>
          <w:rFonts w:ascii="宋体" w:hAnsi="宋体"/>
          <w:szCs w:val="21"/>
        </w:rPr>
      </w:pPr>
      <w:r>
        <w:rPr>
          <w:rFonts w:hint="eastAsia" w:ascii="宋体" w:hAnsi="宋体"/>
          <w:szCs w:val="21"/>
        </w:rPr>
        <w:t>1、交易记录的核对</w:t>
      </w:r>
    </w:p>
    <w:p w14:paraId="62A390F8">
      <w:pPr>
        <w:spacing w:line="360" w:lineRule="auto"/>
        <w:ind w:firstLine="420" w:firstLineChars="200"/>
        <w:rPr>
          <w:rFonts w:ascii="宋体" w:hAnsi="宋体"/>
          <w:szCs w:val="21"/>
        </w:rPr>
      </w:pPr>
      <w:r>
        <w:rPr>
          <w:rFonts w:hint="eastAsia" w:ascii="宋体" w:hAnsi="宋体"/>
          <w:szCs w:val="21"/>
        </w:rPr>
        <w:t>基金管理人和基金托管人按日进行交易记录的核对。对外披露净值之前，必须保证当天所有实际交易记录与基金会计账簿上的交易记录一致。</w:t>
      </w:r>
    </w:p>
    <w:p w14:paraId="37FD7367">
      <w:pPr>
        <w:spacing w:line="360" w:lineRule="auto"/>
        <w:ind w:firstLine="420" w:firstLineChars="200"/>
        <w:rPr>
          <w:rFonts w:ascii="宋体" w:hAnsi="宋体"/>
          <w:szCs w:val="21"/>
        </w:rPr>
      </w:pPr>
      <w:r>
        <w:rPr>
          <w:rFonts w:hint="eastAsia" w:ascii="宋体" w:hAnsi="宋体"/>
          <w:szCs w:val="21"/>
        </w:rPr>
        <w:t>2、资金账目的核对</w:t>
      </w:r>
    </w:p>
    <w:p w14:paraId="1141132F">
      <w:pPr>
        <w:spacing w:line="360" w:lineRule="auto"/>
        <w:ind w:firstLine="420" w:firstLineChars="200"/>
        <w:rPr>
          <w:rFonts w:ascii="宋体" w:hAnsi="宋体"/>
          <w:szCs w:val="21"/>
        </w:rPr>
      </w:pPr>
      <w:r>
        <w:rPr>
          <w:rFonts w:hint="eastAsia" w:ascii="宋体" w:hAnsi="宋体"/>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14:paraId="0889A09C">
      <w:pPr>
        <w:spacing w:line="360" w:lineRule="auto"/>
        <w:ind w:firstLine="420" w:firstLineChars="200"/>
        <w:rPr>
          <w:rFonts w:ascii="宋体" w:hAnsi="宋体"/>
          <w:szCs w:val="21"/>
        </w:rPr>
      </w:pPr>
      <w:r>
        <w:rPr>
          <w:rFonts w:hint="eastAsia" w:ascii="宋体" w:hAnsi="宋体"/>
          <w:szCs w:val="21"/>
        </w:rPr>
        <w:t>3、证券账目的核对</w:t>
      </w:r>
    </w:p>
    <w:p w14:paraId="22E32C6F">
      <w:pPr>
        <w:spacing w:line="360" w:lineRule="auto"/>
        <w:ind w:firstLine="420" w:firstLineChars="200"/>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账目的账实核对由基金托管人负责，证券交易所证券账目每交易日结束后核对一次，银行间市场证券账目每月末核对一次，确保账实相符。</w:t>
      </w:r>
    </w:p>
    <w:p w14:paraId="002C54CD">
      <w:pPr>
        <w:spacing w:line="360" w:lineRule="auto"/>
        <w:ind w:firstLine="420" w:firstLineChars="200"/>
        <w:rPr>
          <w:rFonts w:ascii="宋体" w:hAnsi="宋体"/>
          <w:szCs w:val="21"/>
        </w:rPr>
      </w:pPr>
      <w:r>
        <w:rPr>
          <w:rFonts w:hint="eastAsia" w:ascii="宋体" w:hAnsi="宋体"/>
          <w:szCs w:val="21"/>
        </w:rPr>
        <w:t>（五）基金申购、赎回、转换业务处理的基本规定</w:t>
      </w:r>
    </w:p>
    <w:p w14:paraId="3FBDF1F9">
      <w:pPr>
        <w:spacing w:line="360" w:lineRule="auto"/>
        <w:ind w:firstLine="420" w:firstLineChars="200"/>
        <w:rPr>
          <w:rFonts w:ascii="宋体" w:hAnsi="宋体"/>
          <w:szCs w:val="21"/>
        </w:rPr>
      </w:pPr>
      <w:r>
        <w:rPr>
          <w:rFonts w:hint="eastAsia" w:ascii="宋体" w:hAnsi="宋体"/>
          <w:szCs w:val="21"/>
        </w:rPr>
        <w:t>1、投资人可根据实际情况依法决定本基金开始办理申购的具体日期，具体办理时间以公告为准。基金管理人自基金合同生效之日起的最短持有期到期日起（含当日）开始办理赎回，具体业务办理时间在赎回开始公告中规定。基金份额申购、赎回的确认、清算由基金管理人或其委托的登记机构负责。</w:t>
      </w:r>
    </w:p>
    <w:p w14:paraId="74F8AB75">
      <w:pPr>
        <w:spacing w:line="360" w:lineRule="auto"/>
        <w:ind w:firstLine="420" w:firstLineChars="200"/>
        <w:rPr>
          <w:rFonts w:ascii="宋体" w:hAnsi="宋体"/>
          <w:szCs w:val="21"/>
        </w:rPr>
      </w:pPr>
      <w:r>
        <w:rPr>
          <w:rFonts w:hint="eastAsia" w:ascii="宋体" w:hAnsi="宋体"/>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前向基金托管人发送前一开放日的上述有关数据，并保证相关数据的准确、完整。</w:t>
      </w:r>
    </w:p>
    <w:p w14:paraId="02D6931B">
      <w:pPr>
        <w:spacing w:line="360" w:lineRule="auto"/>
        <w:ind w:firstLine="420" w:firstLineChars="200"/>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7CD61FFD">
      <w:pPr>
        <w:spacing w:line="360" w:lineRule="auto"/>
        <w:ind w:firstLine="420" w:firstLineChars="200"/>
        <w:rPr>
          <w:rFonts w:ascii="宋体" w:hAnsi="宋体"/>
          <w:szCs w:val="21"/>
        </w:rPr>
      </w:pPr>
      <w:r>
        <w:rPr>
          <w:rFonts w:hint="eastAsia" w:ascii="宋体" w:hAnsi="宋体"/>
          <w:szCs w:val="21"/>
        </w:rPr>
        <w:t>4、基金管理人应保证其发送的注册登记数据的接口规范与基金托管人的接口规范保持一致。</w:t>
      </w:r>
    </w:p>
    <w:p w14:paraId="3D961B0F">
      <w:pPr>
        <w:spacing w:line="360" w:lineRule="auto"/>
        <w:ind w:firstLine="420" w:firstLineChars="200"/>
        <w:rPr>
          <w:rFonts w:ascii="宋体" w:hAnsi="宋体"/>
          <w:szCs w:val="21"/>
        </w:rPr>
      </w:pPr>
      <w:r>
        <w:rPr>
          <w:rFonts w:hint="eastAsia" w:ascii="宋体" w:hAnsi="宋体"/>
          <w:szCs w:val="21"/>
        </w:rPr>
        <w:t>5、基金注册登记清算专用账户的开立和管理</w:t>
      </w:r>
    </w:p>
    <w:p w14:paraId="4298D974">
      <w:pPr>
        <w:spacing w:line="360" w:lineRule="auto"/>
        <w:ind w:firstLine="420" w:firstLineChars="200"/>
        <w:rPr>
          <w:rFonts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14:paraId="7CDB0A28">
      <w:pPr>
        <w:spacing w:line="360" w:lineRule="auto"/>
        <w:ind w:firstLine="420" w:firstLineChars="200"/>
        <w:rPr>
          <w:rFonts w:ascii="宋体" w:hAnsi="宋体"/>
          <w:szCs w:val="21"/>
        </w:rPr>
      </w:pPr>
      <w:r>
        <w:rPr>
          <w:rFonts w:hint="eastAsia" w:ascii="宋体" w:hAnsi="宋体"/>
          <w:szCs w:val="21"/>
        </w:rPr>
        <w:t>6、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基金托管人不承担任何责任。</w:t>
      </w:r>
    </w:p>
    <w:p w14:paraId="7A21AA9F">
      <w:pPr>
        <w:spacing w:line="360" w:lineRule="auto"/>
        <w:ind w:firstLine="420" w:firstLineChars="200"/>
        <w:rPr>
          <w:rFonts w:ascii="宋体" w:hAnsi="宋体"/>
          <w:szCs w:val="21"/>
        </w:rPr>
      </w:pPr>
      <w:r>
        <w:rPr>
          <w:rFonts w:hint="eastAsia" w:ascii="宋体" w:hAnsi="宋体"/>
          <w:szCs w:val="21"/>
        </w:rPr>
        <w:t>7、赎回资金的支付</w:t>
      </w:r>
    </w:p>
    <w:p w14:paraId="789B8CF8">
      <w:pPr>
        <w:spacing w:line="360" w:lineRule="auto"/>
        <w:ind w:firstLine="420" w:firstLineChars="200"/>
        <w:rPr>
          <w:rFonts w:ascii="宋体" w:hAnsi="宋体"/>
          <w:szCs w:val="21"/>
        </w:rPr>
      </w:pPr>
      <w:r>
        <w:rPr>
          <w:rFonts w:hint="eastAsia" w:ascii="宋体" w:hAnsi="宋体"/>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14:paraId="027C0600">
      <w:pPr>
        <w:spacing w:line="360" w:lineRule="auto"/>
        <w:ind w:firstLine="420" w:firstLineChars="200"/>
        <w:rPr>
          <w:rFonts w:ascii="宋体" w:hAnsi="宋体"/>
          <w:szCs w:val="21"/>
        </w:rPr>
      </w:pPr>
      <w:r>
        <w:rPr>
          <w:rFonts w:hint="eastAsia" w:ascii="宋体" w:hAnsi="宋体"/>
          <w:szCs w:val="21"/>
        </w:rPr>
        <w:t>8、资金支付执行和责任界定</w:t>
      </w:r>
    </w:p>
    <w:p w14:paraId="6AFEE3DF">
      <w:pPr>
        <w:spacing w:line="360" w:lineRule="auto"/>
        <w:ind w:firstLine="420" w:firstLineChars="200"/>
        <w:rPr>
          <w:rFonts w:ascii="宋体" w:hAnsi="宋体"/>
          <w:szCs w:val="21"/>
        </w:rPr>
      </w:pPr>
      <w:r>
        <w:rPr>
          <w:rFonts w:hint="eastAsia" w:ascii="宋体" w:hAnsi="宋体"/>
          <w:szCs w:val="21"/>
        </w:rPr>
        <w:t>除申购款项到达基金托管人处的基金账户需双方按约定方式对账外，净额划出、赎回资金支付时，应按照本协议相关规定执行。若本协议没有规定的按双方协商一致内容执行。</w:t>
      </w:r>
    </w:p>
    <w:p w14:paraId="4F78D2DB">
      <w:pPr>
        <w:spacing w:line="360" w:lineRule="auto"/>
        <w:ind w:firstLine="420" w:firstLineChars="200"/>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693DFB3D">
      <w:pPr>
        <w:spacing w:line="360" w:lineRule="auto"/>
        <w:ind w:firstLine="420" w:firstLineChars="200"/>
        <w:rPr>
          <w:rFonts w:ascii="宋体" w:hAnsi="宋体"/>
          <w:szCs w:val="21"/>
        </w:rPr>
      </w:pPr>
      <w:r>
        <w:rPr>
          <w:rFonts w:hint="eastAsia" w:ascii="宋体" w:hAnsi="宋体"/>
          <w:szCs w:val="21"/>
        </w:rPr>
        <w:t>9、暂停赎回和巨额赎回处理</w:t>
      </w:r>
    </w:p>
    <w:p w14:paraId="09DC51A5">
      <w:pPr>
        <w:spacing w:line="360" w:lineRule="auto"/>
        <w:ind w:firstLine="420" w:firstLineChars="200"/>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6434CB6E">
      <w:pPr>
        <w:spacing w:line="360" w:lineRule="auto"/>
        <w:ind w:firstLine="420" w:firstLineChars="200"/>
        <w:rPr>
          <w:rFonts w:ascii="宋体" w:hAnsi="宋体"/>
          <w:szCs w:val="21"/>
        </w:rPr>
      </w:pPr>
      <w:r>
        <w:rPr>
          <w:rFonts w:hint="eastAsia" w:ascii="宋体" w:hAnsi="宋体"/>
          <w:szCs w:val="21"/>
        </w:rPr>
        <w:t>（六）申购赎回资金结算</w:t>
      </w:r>
    </w:p>
    <w:p w14:paraId="586D2668">
      <w:pPr>
        <w:spacing w:line="360" w:lineRule="auto"/>
        <w:ind w:firstLine="420" w:firstLineChars="200"/>
        <w:rPr>
          <w:rFonts w:ascii="宋体" w:hAnsi="宋体"/>
          <w:szCs w:val="21"/>
        </w:rPr>
      </w:pPr>
      <w:r>
        <w:rPr>
          <w:rFonts w:hint="eastAsia" w:ascii="宋体" w:hAnsi="宋体"/>
          <w:szCs w:val="21"/>
        </w:rPr>
        <w:t>1、T+</w:t>
      </w:r>
      <w:r>
        <w:rPr>
          <w:rFonts w:hint="eastAsia" w:ascii="宋体" w:hAnsi="宋体"/>
          <w:szCs w:val="21"/>
          <w:lang w:val="en-US" w:eastAsia="zh-CN"/>
        </w:rPr>
        <w:t>3</w:t>
      </w:r>
      <w:r>
        <w:rPr>
          <w:rFonts w:hint="eastAsia" w:ascii="宋体" w:hAnsi="宋体"/>
          <w:szCs w:val="21"/>
        </w:rPr>
        <w:t>日前（含T＋</w:t>
      </w:r>
      <w:r>
        <w:rPr>
          <w:rFonts w:hint="eastAsia" w:ascii="宋体" w:hAnsi="宋体"/>
          <w:szCs w:val="21"/>
          <w:lang w:val="en-US" w:eastAsia="zh-CN"/>
        </w:rPr>
        <w:t>3</w:t>
      </w:r>
      <w:r>
        <w:rPr>
          <w:rFonts w:hint="eastAsia" w:ascii="宋体" w:hAnsi="宋体"/>
          <w:szCs w:val="21"/>
        </w:rPr>
        <w:t>日，T日为申请日），基金管理人负责根据T日投资人申购、赎回基金的确认数据汇总传输给基金托管人。基金管理人和基金托管人据此进行申购的基金会计处理。</w:t>
      </w:r>
    </w:p>
    <w:p w14:paraId="6E674FC0">
      <w:pPr>
        <w:spacing w:line="360" w:lineRule="auto"/>
        <w:ind w:firstLine="420" w:firstLineChars="200"/>
        <w:rPr>
          <w:rFonts w:ascii="宋体" w:hAnsi="宋体"/>
          <w:szCs w:val="21"/>
        </w:rPr>
      </w:pPr>
      <w:r>
        <w:rPr>
          <w:rFonts w:hint="eastAsia" w:ascii="宋体" w:hAnsi="宋体"/>
          <w:szCs w:val="21"/>
        </w:rPr>
        <w:t>基金托管账户与“基金清算账户”间的资金结算遵循“全额清算、净额交收”的原则，每日按照托管账户应收资金（申购申请对应申购净额与基金转换转入申请对应净额之和）与应付资金（赎回申请对应赎回金额扣除归基金资产的费用与基金转换转出申请对应金额扣除归基金资产的费用之和）的差额来确定当日托管账户净应收额或净应付额，以此确定资金交收额。如存在托管账户净应收额时，基金管理人应在交收日 15:00 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交收日12:00 之前划往基金清算账户，基金托管人在资金划出后立即通知基金管理人，并将有关书面凭证交给基金管理人进行账务管理。</w:t>
      </w:r>
    </w:p>
    <w:p w14:paraId="0C6B6F24">
      <w:pPr>
        <w:spacing w:line="360" w:lineRule="auto"/>
        <w:ind w:firstLine="420" w:firstLineChars="200"/>
        <w:rPr>
          <w:rFonts w:ascii="宋体" w:hAnsi="宋体"/>
          <w:szCs w:val="21"/>
        </w:rPr>
      </w:pPr>
      <w:r>
        <w:rPr>
          <w:rFonts w:hint="eastAsia" w:ascii="宋体" w:hAnsi="宋体"/>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14:paraId="10936B42">
      <w:pPr>
        <w:spacing w:line="360" w:lineRule="auto"/>
        <w:ind w:firstLine="420" w:firstLineChars="200"/>
        <w:rPr>
          <w:rFonts w:ascii="宋体" w:hAnsi="宋体"/>
          <w:szCs w:val="21"/>
        </w:rPr>
      </w:pPr>
      <w:r>
        <w:rPr>
          <w:rFonts w:hint="eastAsia" w:ascii="宋体" w:hAnsi="宋体"/>
          <w:szCs w:val="21"/>
        </w:rPr>
        <w:t>（七）基金转换</w:t>
      </w:r>
    </w:p>
    <w:p w14:paraId="028678C7">
      <w:pPr>
        <w:spacing w:line="360" w:lineRule="auto"/>
        <w:ind w:firstLine="420" w:firstLineChars="200"/>
        <w:rPr>
          <w:rFonts w:ascii="宋体" w:hAnsi="宋体"/>
          <w:szCs w:val="21"/>
        </w:rPr>
      </w:pPr>
      <w:r>
        <w:rPr>
          <w:rFonts w:hint="eastAsia" w:ascii="宋体" w:hAnsi="宋体"/>
          <w:szCs w:val="21"/>
        </w:rPr>
        <w:t>基金管理人与基金托管人按照相关法律法规、《基金合同》、以及本协议的规定办理基金转换。</w:t>
      </w:r>
    </w:p>
    <w:p w14:paraId="7BD42DCD">
      <w:pPr>
        <w:spacing w:line="360" w:lineRule="auto"/>
        <w:ind w:firstLine="420" w:firstLineChars="200"/>
        <w:rPr>
          <w:rFonts w:ascii="宋体" w:hAnsi="宋体"/>
          <w:szCs w:val="21"/>
        </w:rPr>
      </w:pPr>
      <w:r>
        <w:rPr>
          <w:rFonts w:hint="eastAsia" w:ascii="宋体" w:hAnsi="宋体"/>
          <w:szCs w:val="21"/>
        </w:rPr>
        <w:t>(八)基金出现超买或超卖的责任认定及处理程序</w:t>
      </w:r>
    </w:p>
    <w:p w14:paraId="15EE0491">
      <w:pPr>
        <w:spacing w:line="360" w:lineRule="auto"/>
        <w:ind w:firstLine="420" w:firstLineChars="200"/>
        <w:rPr>
          <w:rFonts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12时之前划拨资金，用以完成清算交收。</w:t>
      </w:r>
    </w:p>
    <w:p w14:paraId="6731F93A">
      <w:pPr>
        <w:spacing w:before="312" w:beforeLines="100" w:after="312" w:afterLines="100" w:line="240" w:lineRule="atLeast"/>
        <w:jc w:val="center"/>
        <w:outlineLvl w:val="0"/>
        <w:rPr>
          <w:rFonts w:ascii="宋体" w:hAnsi="宋体"/>
        </w:rPr>
      </w:pPr>
      <w:bookmarkStart w:id="29" w:name="_Toc382819103"/>
      <w:r>
        <w:rPr>
          <w:rFonts w:hint="eastAsia" w:ascii="宋体" w:hAnsi="宋体"/>
          <w:b/>
          <w:sz w:val="24"/>
        </w:rPr>
        <w:t>七、基金资产净值计算和会计核算</w:t>
      </w:r>
      <w:bookmarkEnd w:id="29"/>
    </w:p>
    <w:p w14:paraId="03331C03">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0" w:name="_Toc382819104"/>
      <w:r>
        <w:rPr>
          <w:rFonts w:hint="eastAsia" w:ascii="宋体" w:hAnsi="宋体" w:eastAsia="宋体"/>
          <w:b w:val="0"/>
          <w:bCs w:val="0"/>
          <w:sz w:val="21"/>
          <w:szCs w:val="21"/>
        </w:rPr>
        <w:t>（一）基金资产净值的计算</w:t>
      </w:r>
      <w:r>
        <w:rPr>
          <w:rFonts w:hint="eastAsia" w:ascii="宋体" w:hAnsi="宋体" w:eastAsia="宋体"/>
          <w:sz w:val="21"/>
          <w:szCs w:val="21"/>
        </w:rPr>
        <w:t>、</w:t>
      </w:r>
      <w:r>
        <w:rPr>
          <w:rFonts w:hint="eastAsia" w:ascii="宋体" w:hAnsi="宋体" w:eastAsia="宋体"/>
          <w:b w:val="0"/>
          <w:bCs w:val="0"/>
          <w:sz w:val="21"/>
          <w:szCs w:val="21"/>
        </w:rPr>
        <w:t>复核的时间和程序</w:t>
      </w:r>
      <w:bookmarkEnd w:id="30"/>
    </w:p>
    <w:p w14:paraId="5AC64ED1">
      <w:pPr>
        <w:spacing w:line="440" w:lineRule="atLeast"/>
        <w:ind w:right="28"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基金资产净值是指基金资产总值减去基金负债后的价值。</w:t>
      </w:r>
      <w:r>
        <w:rPr>
          <w:rFonts w:hint="eastAsia" w:ascii="宋体" w:hAnsi="宋体"/>
          <w:bCs/>
          <w:szCs w:val="21"/>
        </w:rPr>
        <w:t>各类</w:t>
      </w:r>
      <w:r>
        <w:rPr>
          <w:rFonts w:ascii="宋体" w:hAnsi="宋体"/>
          <w:szCs w:val="21"/>
        </w:rPr>
        <w:t>基金份额净值是按照每个</w:t>
      </w:r>
      <w:r>
        <w:rPr>
          <w:rFonts w:hint="eastAsia" w:ascii="宋体" w:hAnsi="宋体"/>
          <w:szCs w:val="21"/>
        </w:rPr>
        <w:t>估值</w:t>
      </w:r>
      <w:r>
        <w:rPr>
          <w:rFonts w:ascii="宋体" w:hAnsi="宋体"/>
          <w:szCs w:val="21"/>
        </w:rPr>
        <w:t>日</w:t>
      </w:r>
      <w:r>
        <w:rPr>
          <w:rFonts w:hint="eastAsia" w:ascii="宋体" w:hAnsi="宋体"/>
          <w:szCs w:val="21"/>
        </w:rPr>
        <w:t>,</w:t>
      </w:r>
      <w:r>
        <w:rPr>
          <w:rFonts w:hint="eastAsia"/>
        </w:rPr>
        <w:t xml:space="preserve"> </w:t>
      </w:r>
      <w:r>
        <w:rPr>
          <w:rFonts w:hint="eastAsia" w:ascii="宋体" w:hAnsi="宋体"/>
          <w:szCs w:val="21"/>
        </w:rPr>
        <w:t>各类基金份额的基金资产净值除以该类基金份额的余额数量计算，均精确到0.0001元，小数点后第5位四舍五入，由此产生的误差计入基金财产。基金管理人可以设立大额赎回情形下的净值精度应急调整机制。</w:t>
      </w:r>
      <w:r>
        <w:rPr>
          <w:rFonts w:ascii="宋体" w:hAnsi="宋体"/>
          <w:szCs w:val="21"/>
        </w:rPr>
        <w:t>国家另有规定的，从其规定。</w:t>
      </w:r>
    </w:p>
    <w:p w14:paraId="04CA9CD2">
      <w:pPr>
        <w:spacing w:line="440" w:lineRule="atLeast"/>
        <w:ind w:right="28"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基金管理人应根据《基金合同》约定的估值日对基金资产估值。但基金管理人根据法律法规或基金合同的规定暂停估值时除外。估值原则应符合《基金合同》、《证券投资基金会计核算业务指引》及其他法律、法规的规定。</w:t>
      </w:r>
      <w:r>
        <w:rPr>
          <w:rFonts w:hint="eastAsia" w:ascii="宋体" w:hAnsi="宋体" w:cs="宋体"/>
          <w:color w:val="000000"/>
          <w:kern w:val="0"/>
          <w:szCs w:val="21"/>
        </w:rPr>
        <w:t>基金管理人每个估值日交易结束后计算当日的基金份额净值和基金资产净值并以双方认可的方式发送给基金托管人。基金托管人对净值计算结果复核后以双方认可的方式发送给基金管理人，由基金管理人按约定对外公布。</w:t>
      </w:r>
    </w:p>
    <w:p w14:paraId="6BEED630">
      <w:pPr>
        <w:tabs>
          <w:tab w:val="left" w:pos="900"/>
        </w:tabs>
        <w:spacing w:line="360" w:lineRule="auto"/>
        <w:ind w:right="28"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但基金托管人应及时提示基金管理人按照有关法律法规进行信息披露。</w:t>
      </w:r>
    </w:p>
    <w:p w14:paraId="449BEE97">
      <w:pPr>
        <w:tabs>
          <w:tab w:val="left" w:pos="900"/>
        </w:tabs>
        <w:spacing w:line="360" w:lineRule="auto"/>
        <w:ind w:right="28" w:firstLine="420" w:firstLineChars="200"/>
        <w:rPr>
          <w:rFonts w:ascii="宋体" w:hAnsi="宋体"/>
          <w:szCs w:val="21"/>
        </w:rPr>
      </w:pPr>
      <w:r>
        <w:rPr>
          <w:rFonts w:hint="eastAsia" w:ascii="宋体" w:hAnsi="宋体"/>
          <w:szCs w:val="21"/>
        </w:rPr>
        <w:t>法律法规以及监管部门有强制规定的，从其规定。如有新增事项，按国家最新规定估值。</w:t>
      </w:r>
    </w:p>
    <w:p w14:paraId="2D1CFA23">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31" w:name="_Toc382819105"/>
      <w:r>
        <w:rPr>
          <w:rFonts w:hint="eastAsia" w:ascii="宋体" w:hAnsi="宋体" w:eastAsia="宋体"/>
          <w:b w:val="0"/>
          <w:bCs w:val="0"/>
          <w:sz w:val="21"/>
          <w:szCs w:val="21"/>
        </w:rPr>
        <w:t>（二）基金资产估值</w:t>
      </w:r>
      <w:bookmarkEnd w:id="31"/>
    </w:p>
    <w:p w14:paraId="4BB4DE0A">
      <w:pPr>
        <w:spacing w:line="440" w:lineRule="atLeast"/>
        <w:ind w:right="28" w:firstLine="420" w:firstLineChars="200"/>
        <w:rPr>
          <w:rFonts w:ascii="宋体" w:hAnsi="宋体"/>
          <w:szCs w:val="21"/>
        </w:rPr>
      </w:pPr>
      <w:r>
        <w:rPr>
          <w:rFonts w:hint="eastAsia" w:ascii="宋体" w:hAnsi="宋体"/>
          <w:szCs w:val="21"/>
        </w:rPr>
        <w:t>1、估值对象</w:t>
      </w:r>
    </w:p>
    <w:p w14:paraId="74B710DA">
      <w:pPr>
        <w:spacing w:line="440" w:lineRule="atLeast"/>
        <w:ind w:right="28" w:firstLine="420" w:firstLineChars="200"/>
        <w:rPr>
          <w:rFonts w:ascii="宋体" w:hAnsi="宋体"/>
          <w:szCs w:val="21"/>
        </w:rPr>
      </w:pPr>
      <w:r>
        <w:rPr>
          <w:rFonts w:hint="eastAsia" w:ascii="宋体" w:hAnsi="宋体"/>
          <w:szCs w:val="21"/>
        </w:rPr>
        <w:t>基金所拥有的股票（含存托凭证）、基金份额、债券、银行存款本息、应收款项、资产支持证券及其它投资等资产及负债。</w:t>
      </w:r>
    </w:p>
    <w:p w14:paraId="2E0E78A0">
      <w:pPr>
        <w:spacing w:line="440" w:lineRule="atLeast"/>
        <w:ind w:right="28" w:firstLine="420" w:firstLineChars="200"/>
        <w:rPr>
          <w:rFonts w:ascii="宋体" w:hAnsi="宋体"/>
          <w:szCs w:val="21"/>
        </w:rPr>
      </w:pPr>
      <w:r>
        <w:rPr>
          <w:rFonts w:hint="eastAsia" w:ascii="宋体" w:hAnsi="宋体"/>
          <w:szCs w:val="21"/>
        </w:rPr>
        <w:t>2、估值原则及方法</w:t>
      </w:r>
    </w:p>
    <w:p w14:paraId="7C366EA8">
      <w:pPr>
        <w:spacing w:line="440" w:lineRule="atLeast"/>
        <w:ind w:right="28" w:firstLine="420" w:firstLineChars="200"/>
        <w:rPr>
          <w:rFonts w:ascii="宋体" w:hAnsi="宋体"/>
          <w:szCs w:val="21"/>
        </w:rPr>
      </w:pPr>
      <w:r>
        <w:rPr>
          <w:rFonts w:hint="eastAsia" w:ascii="宋体" w:hAnsi="宋体"/>
          <w:szCs w:val="21"/>
        </w:rPr>
        <w:t>估值原则、估值方法应符合《基金合同》、《证券投资基金会计核算业务指引》、《企业会计准则》及其他法律法规的规定。</w:t>
      </w:r>
    </w:p>
    <w:p w14:paraId="4F402FBF">
      <w:pPr>
        <w:spacing w:line="440" w:lineRule="atLeast"/>
        <w:ind w:right="28" w:firstLine="420" w:firstLineChars="200"/>
        <w:rPr>
          <w:rFonts w:ascii="宋体" w:hAnsi="宋体"/>
          <w:szCs w:val="21"/>
        </w:rPr>
      </w:pPr>
      <w:r>
        <w:rPr>
          <w:rFonts w:hint="eastAsia" w:ascii="宋体" w:hAnsi="宋体"/>
          <w:szCs w:val="21"/>
        </w:rPr>
        <w:t>对于公开市场无法获取，仅能依赖基金管理人提供核算所需数据的情况，基金托管人不对该类数据的真实性、准确性、完整性负责。</w:t>
      </w:r>
    </w:p>
    <w:p w14:paraId="6C749105">
      <w:pPr>
        <w:spacing w:line="440" w:lineRule="atLeast"/>
        <w:ind w:right="28" w:firstLine="420" w:firstLineChars="200"/>
        <w:rPr>
          <w:rFonts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14:paraId="4EEC5677">
      <w:pPr>
        <w:pStyle w:val="3"/>
        <w:keepNext w:val="0"/>
        <w:keepLines w:val="0"/>
        <w:autoSpaceDE w:val="0"/>
        <w:autoSpaceDN w:val="0"/>
        <w:adjustRightInd w:val="0"/>
        <w:spacing w:before="0" w:after="0" w:line="440" w:lineRule="atLeast"/>
        <w:ind w:firstLine="420" w:firstLineChars="200"/>
        <w:textAlignment w:val="baseline"/>
        <w:rPr>
          <w:rFonts w:ascii="宋体" w:hAnsi="宋体"/>
          <w:szCs w:val="21"/>
        </w:rPr>
      </w:pPr>
      <w:r>
        <w:rPr>
          <w:rFonts w:hint="eastAsia" w:ascii="宋体" w:hAnsi="宋体" w:eastAsia="宋体"/>
          <w:b w:val="0"/>
          <w:bCs w:val="0"/>
          <w:sz w:val="21"/>
          <w:szCs w:val="21"/>
        </w:rPr>
        <w:t>（三）实施侧袋机制期间的基金资产估值</w:t>
      </w:r>
    </w:p>
    <w:p w14:paraId="5BBDF190">
      <w:pPr>
        <w:spacing w:line="440" w:lineRule="atLeast"/>
        <w:ind w:right="28" w:firstLine="420" w:firstLineChars="200"/>
        <w:rPr>
          <w:rFonts w:ascii="宋体" w:hAnsi="宋体"/>
          <w:szCs w:val="21"/>
        </w:rPr>
      </w:pPr>
      <w:r>
        <w:rPr>
          <w:rFonts w:hint="eastAsia" w:ascii="宋体" w:hAnsi="宋体"/>
          <w:szCs w:val="21"/>
        </w:rPr>
        <w:t>本基金实施侧袋机制的，应根据本部分的约定对主袋账户资产进行估值并披露主袋账户的基金净值信息，暂停披露侧袋账户份额净值。</w:t>
      </w:r>
    </w:p>
    <w:p w14:paraId="20E9157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2" w:name="_Toc382819106"/>
      <w:r>
        <w:rPr>
          <w:rFonts w:hint="eastAsia" w:ascii="宋体" w:hAnsi="宋体" w:eastAsia="宋体"/>
          <w:b w:val="0"/>
          <w:bCs w:val="0"/>
          <w:sz w:val="21"/>
          <w:szCs w:val="21"/>
        </w:rPr>
        <w:t>（四）估值错误处理</w:t>
      </w:r>
      <w:bookmarkEnd w:id="32"/>
    </w:p>
    <w:p w14:paraId="28E8CB73">
      <w:pPr>
        <w:spacing w:line="440" w:lineRule="atLeast"/>
        <w:ind w:right="28" w:firstLine="420" w:firstLineChars="200"/>
        <w:rPr>
          <w:rFonts w:ascii="宋体" w:hAnsi="宋体"/>
          <w:szCs w:val="21"/>
        </w:rPr>
      </w:pPr>
      <w:bookmarkStart w:id="33" w:name="_Toc382819107"/>
      <w:r>
        <w:rPr>
          <w:rFonts w:hint="eastAsia" w:ascii="宋体" w:hAnsi="宋体"/>
          <w:szCs w:val="21"/>
        </w:rPr>
        <w:t>1.当任一类别基金份额净值小数点后</w:t>
      </w:r>
      <w:r>
        <w:rPr>
          <w:rFonts w:ascii="宋体" w:hAnsi="宋体"/>
          <w:szCs w:val="21"/>
        </w:rPr>
        <w:t>4位以内(含第4位)</w:t>
      </w:r>
      <w:r>
        <w:rPr>
          <w:rFonts w:hint="eastAsia" w:ascii="宋体" w:hAnsi="宋体"/>
          <w:szCs w:val="21"/>
        </w:rPr>
        <w:t>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33"/>
    </w:p>
    <w:p w14:paraId="05D1B91F">
      <w:pPr>
        <w:spacing w:line="440" w:lineRule="atLeast"/>
        <w:ind w:right="28" w:firstLine="420" w:firstLineChars="200"/>
        <w:rPr>
          <w:rFonts w:ascii="宋体" w:hAnsi="宋体"/>
          <w:szCs w:val="21"/>
        </w:rPr>
      </w:pPr>
      <w:bookmarkStart w:id="34" w:name="_Toc382819108"/>
      <w:r>
        <w:rPr>
          <w:rFonts w:hint="eastAsia" w:ascii="宋体" w:hAnsi="宋体"/>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34"/>
    </w:p>
    <w:p w14:paraId="59B79288">
      <w:pPr>
        <w:spacing w:line="440" w:lineRule="atLeast"/>
        <w:ind w:right="28" w:firstLine="420" w:firstLineChars="200"/>
        <w:rPr>
          <w:rFonts w:ascii="宋体" w:hAnsi="宋体"/>
          <w:szCs w:val="21"/>
        </w:rPr>
      </w:pPr>
      <w:bookmarkStart w:id="35" w:name="_Toc382819109"/>
      <w:r>
        <w:rPr>
          <w:rFonts w:hint="eastAsia" w:ascii="宋体" w:hAnsi="宋体"/>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727D550D">
      <w:pPr>
        <w:spacing w:line="440" w:lineRule="atLeast"/>
        <w:ind w:right="28"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4D34D845">
      <w:pPr>
        <w:spacing w:line="440" w:lineRule="atLeast"/>
        <w:ind w:right="28"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）由于基金管理人提供的信息错误（包括但不限于基金申购或赎回金额等），导致基金份额净值计算错误而引起的基金份额持有人和基金财产的损失，由基金管理人负责赔付。</w:t>
      </w:r>
      <w:bookmarkEnd w:id="35"/>
      <w:bookmarkStart w:id="36" w:name="_Toc382819110"/>
    </w:p>
    <w:p w14:paraId="7F59B557">
      <w:pPr>
        <w:spacing w:line="440" w:lineRule="atLeast"/>
        <w:ind w:right="28" w:firstLine="420" w:firstLineChars="200"/>
        <w:rPr>
          <w:rFonts w:ascii="宋体" w:hAnsi="宋体"/>
          <w:szCs w:val="21"/>
        </w:rPr>
      </w:pPr>
      <w:r>
        <w:rPr>
          <w:rFonts w:hint="eastAsia" w:ascii="宋体" w:hAnsi="宋体"/>
          <w:szCs w:val="21"/>
        </w:rPr>
        <w:t>3.由于不可抗力原因，或证券交易所或登记结算公司等机构发送的数据错误原因，基金管理人和基金托管人虽然已经采取必要、适当、合理的措施进行检查，但未能发现错误的，由此造成的基金资产估值错误，基金管理人和基金托管人免除赔偿责任。但基金管理人和基金托管人应积极采取必要的措施消除或减轻由此造成的影响。</w:t>
      </w:r>
      <w:bookmarkEnd w:id="36"/>
      <w:bookmarkStart w:id="37" w:name="_Toc382819111"/>
    </w:p>
    <w:p w14:paraId="2F8EC87C">
      <w:pPr>
        <w:spacing w:line="440" w:lineRule="atLeast"/>
        <w:ind w:right="28" w:firstLine="420" w:firstLineChars="200"/>
        <w:rPr>
          <w:rFonts w:ascii="宋体" w:hAnsi="宋体"/>
          <w:szCs w:val="21"/>
        </w:rPr>
      </w:pPr>
      <w:r>
        <w:rPr>
          <w:rFonts w:hint="eastAsia" w:ascii="宋体" w:hAnsi="宋体"/>
          <w:szCs w:val="21"/>
        </w:rPr>
        <w:t>4.基金管理人和基金托管人由于各自技术系统设置而产生的净值计算尾差，以基金管理人计算结果为准。</w:t>
      </w:r>
      <w:bookmarkEnd w:id="37"/>
      <w:bookmarkStart w:id="38" w:name="_Toc382819112"/>
    </w:p>
    <w:p w14:paraId="13AE1CE2">
      <w:pPr>
        <w:spacing w:line="440" w:lineRule="atLeast"/>
        <w:ind w:right="28" w:firstLine="420" w:firstLineChars="200"/>
        <w:rPr>
          <w:rFonts w:ascii="宋体" w:hAnsi="宋体"/>
          <w:szCs w:val="21"/>
        </w:rPr>
      </w:pPr>
      <w:r>
        <w:rPr>
          <w:rFonts w:hint="eastAsia" w:ascii="宋体" w:hAnsi="宋体"/>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End w:id="38"/>
      <w:bookmarkStart w:id="39" w:name="_Toc382819113"/>
    </w:p>
    <w:p w14:paraId="1996C9CB">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（五）暂停估值与公告基金份额净值的情形</w:t>
      </w:r>
      <w:bookmarkEnd w:id="39"/>
      <w:bookmarkStart w:id="40" w:name="_Toc382819114"/>
    </w:p>
    <w:p w14:paraId="48C8335B">
      <w:pPr>
        <w:spacing w:line="440" w:lineRule="atLeast"/>
        <w:ind w:right="28" w:firstLine="420" w:firstLineChars="200"/>
        <w:rPr>
          <w:rFonts w:ascii="宋体" w:hAnsi="宋体"/>
          <w:szCs w:val="21"/>
        </w:rPr>
      </w:pPr>
      <w:r>
        <w:rPr>
          <w:rFonts w:hint="eastAsia" w:ascii="宋体" w:hAnsi="宋体"/>
          <w:szCs w:val="21"/>
        </w:rPr>
        <w:t>1．基金投资所涉及的证券交易市场或外汇市场遇法定节假日或因其他原因暂停营业时；</w:t>
      </w:r>
      <w:bookmarkEnd w:id="40"/>
      <w:bookmarkStart w:id="41" w:name="_Toc382819115"/>
    </w:p>
    <w:p w14:paraId="43671641">
      <w:pPr>
        <w:spacing w:line="440" w:lineRule="atLeast"/>
        <w:ind w:right="28" w:firstLine="420" w:firstLineChars="200"/>
        <w:rPr>
          <w:rFonts w:ascii="宋体" w:hAnsi="宋体"/>
          <w:szCs w:val="21"/>
        </w:rPr>
      </w:pPr>
      <w:r>
        <w:rPr>
          <w:rFonts w:hint="eastAsia" w:ascii="宋体" w:hAnsi="宋体"/>
          <w:szCs w:val="21"/>
        </w:rPr>
        <w:t>2．因不可抗力致使基金管理人、基金托管人无法准确评估基金资产价值时；</w:t>
      </w:r>
      <w:bookmarkEnd w:id="41"/>
    </w:p>
    <w:p w14:paraId="1FD38D64">
      <w:pPr>
        <w:spacing w:line="440" w:lineRule="atLeast"/>
        <w:ind w:right="28" w:firstLine="420" w:firstLineChars="200"/>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占基金相当比例的被投资基金暂停估值时；</w:t>
      </w:r>
    </w:p>
    <w:p w14:paraId="64CDA08A">
      <w:pPr>
        <w:spacing w:line="440" w:lineRule="atLeast"/>
        <w:ind w:right="28" w:firstLine="420" w:firstLineChars="200"/>
        <w:rPr>
          <w:rFonts w:ascii="宋体" w:hAnsi="宋体"/>
          <w:szCs w:val="21"/>
        </w:rPr>
      </w:pPr>
      <w:r>
        <w:rPr>
          <w:rFonts w:ascii="宋体" w:hAnsi="宋体"/>
          <w:szCs w:val="21"/>
        </w:rPr>
        <w:t>4</w:t>
      </w:r>
      <w:r>
        <w:rPr>
          <w:rFonts w:hint="eastAsia" w:ascii="宋体" w:hAnsi="宋体"/>
          <w:szCs w:val="21"/>
        </w:rPr>
        <w:t>．当特定资产占前一估值日基金资产净值</w:t>
      </w:r>
      <w:r>
        <w:rPr>
          <w:rFonts w:ascii="宋体" w:hAnsi="宋体"/>
          <w:szCs w:val="21"/>
        </w:rPr>
        <w:t>50%</w:t>
      </w:r>
      <w:r>
        <w:rPr>
          <w:rFonts w:hint="eastAsia" w:ascii="宋体" w:hAnsi="宋体"/>
          <w:szCs w:val="21"/>
        </w:rPr>
        <w:t>以上的，经与基金托管人协商确认后，基金管理人应当暂停估值；</w:t>
      </w:r>
    </w:p>
    <w:p w14:paraId="3F94C1AC">
      <w:pPr>
        <w:spacing w:line="440" w:lineRule="atLeast"/>
        <w:ind w:right="28" w:firstLine="420" w:firstLineChars="200"/>
        <w:rPr>
          <w:rFonts w:ascii="宋体" w:hAnsi="宋体"/>
          <w:szCs w:val="21"/>
        </w:rPr>
      </w:pPr>
      <w:r>
        <w:rPr>
          <w:rFonts w:ascii="宋体" w:hAnsi="宋体"/>
          <w:szCs w:val="21"/>
        </w:rPr>
        <w:t>5.</w:t>
      </w:r>
      <w:r>
        <w:rPr>
          <w:rFonts w:hint="eastAsia" w:ascii="宋体" w:hAnsi="宋体"/>
          <w:szCs w:val="21"/>
        </w:rPr>
        <w:t xml:space="preserve"> 法律法规规定、中国证监会或《基金合同》认定的其它情形。</w:t>
      </w:r>
      <w:bookmarkStart w:id="42" w:name="_Toc382819116"/>
    </w:p>
    <w:p w14:paraId="48D6C0C5">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（六）基金账册的建立</w:t>
      </w:r>
      <w:bookmarkEnd w:id="42"/>
    </w:p>
    <w:p w14:paraId="71AE24DF">
      <w:pPr>
        <w:spacing w:line="360" w:lineRule="auto"/>
        <w:ind w:firstLine="420" w:firstLineChars="200"/>
        <w:rPr>
          <w:rFonts w:ascii="宋体" w:hAnsi="宋体"/>
          <w:szCs w:val="21"/>
        </w:rPr>
      </w:pPr>
      <w:r>
        <w:rPr>
          <w:rFonts w:hint="eastAsia" w:ascii="宋体" w:hAnsi="宋体"/>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0C98103">
      <w:pPr>
        <w:spacing w:line="360" w:lineRule="auto"/>
        <w:ind w:firstLine="420" w:firstLineChars="200"/>
        <w:rPr>
          <w:rFonts w:ascii="宋体" w:hAnsi="宋体"/>
          <w:szCs w:val="21"/>
        </w:rPr>
      </w:pPr>
      <w:r>
        <w:rPr>
          <w:rFonts w:hint="eastAsia" w:ascii="宋体" w:hAnsi="宋体"/>
          <w:szCs w:val="21"/>
        </w:rPr>
        <w:t>2.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0D672FA0">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3" w:name="_Toc382819117"/>
      <w:r>
        <w:rPr>
          <w:rFonts w:hint="eastAsia" w:ascii="宋体" w:hAnsi="宋体" w:eastAsia="宋体"/>
          <w:b w:val="0"/>
          <w:bCs w:val="0"/>
          <w:sz w:val="21"/>
          <w:szCs w:val="21"/>
        </w:rPr>
        <w:t>（七）基金定期报告的编制和复核</w:t>
      </w:r>
      <w:bookmarkEnd w:id="43"/>
    </w:p>
    <w:p w14:paraId="4A9AD74E">
      <w:pPr>
        <w:spacing w:line="360" w:lineRule="auto"/>
        <w:ind w:firstLine="420" w:firstLineChars="200"/>
        <w:rPr>
          <w:rFonts w:ascii="宋体" w:hAnsi="宋体"/>
          <w:szCs w:val="21"/>
        </w:rPr>
      </w:pPr>
      <w:r>
        <w:rPr>
          <w:rFonts w:hint="eastAsia" w:ascii="宋体" w:hAnsi="宋体"/>
          <w:szCs w:val="21"/>
        </w:rPr>
        <w:t>1.基金财务报表由基金管理人和基金托管人每月分别独立编制。月度报表的编制，应于每月终了后5个工作日内完成。</w:t>
      </w:r>
    </w:p>
    <w:p w14:paraId="31429E6F">
      <w:pPr>
        <w:spacing w:line="360" w:lineRule="auto"/>
        <w:ind w:firstLine="420" w:firstLineChars="200"/>
        <w:rPr>
          <w:rFonts w:ascii="宋体" w:hAnsi="宋体"/>
          <w:szCs w:val="21"/>
        </w:rPr>
      </w:pPr>
      <w:r>
        <w:rPr>
          <w:rFonts w:hint="eastAsia" w:ascii="宋体" w:hAnsi="宋体"/>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应当在季度结束之日起15个工作日内完成季度报告编制并公告；在会计年度半年终了后两个月内完成中期报告编制并公告；在会计年度结束后三个月内完成年度报告编制并公告。</w:t>
      </w:r>
    </w:p>
    <w:p w14:paraId="63C4CCA8">
      <w:pPr>
        <w:spacing w:line="360" w:lineRule="auto"/>
        <w:ind w:firstLine="420" w:firstLineChars="200"/>
        <w:rPr>
          <w:rFonts w:ascii="宋体" w:hAnsi="宋体"/>
          <w:szCs w:val="21"/>
        </w:rPr>
      </w:pPr>
      <w:r>
        <w:rPr>
          <w:rFonts w:hint="eastAsia" w:ascii="宋体" w:hAnsi="宋体"/>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半年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14:paraId="0FEC3C0D">
      <w:pPr>
        <w:spacing w:line="360" w:lineRule="auto"/>
        <w:ind w:firstLine="420" w:firstLineChars="200"/>
        <w:rPr>
          <w:rFonts w:ascii="宋体" w:hAnsi="宋体"/>
          <w:szCs w:val="21"/>
        </w:rPr>
      </w:pPr>
      <w:r>
        <w:rPr>
          <w:rFonts w:hint="eastAsia" w:ascii="宋体" w:hAnsi="宋体"/>
          <w:szCs w:val="21"/>
        </w:rPr>
        <w:t>4.基金托管人在复核过程中，发现相关各方的报表存在不符时，基金管理人和基金托管人应共同查明原因，进行调整，调整以相关各方认可的账务处理方式为准。</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14:paraId="74C86B3A">
      <w:pPr>
        <w:spacing w:line="360" w:lineRule="auto"/>
        <w:ind w:firstLine="420" w:firstLineChars="200"/>
        <w:rPr>
          <w:rFonts w:ascii="宋体" w:hAnsi="宋体"/>
          <w:szCs w:val="21"/>
        </w:rPr>
      </w:pPr>
      <w:r>
        <w:rPr>
          <w:rFonts w:hint="eastAsia" w:ascii="宋体" w:hAnsi="宋体"/>
          <w:szCs w:val="21"/>
        </w:rPr>
        <w:t>5.基金定期报告应当在公开披露的第2个工作日，分别报中国证监会和基金管理人主要办公场所所在地中国证监会派出机构备案。</w:t>
      </w:r>
    </w:p>
    <w:p w14:paraId="47C68C3A">
      <w:pPr>
        <w:spacing w:line="500" w:lineRule="atLeast"/>
        <w:jc w:val="center"/>
        <w:outlineLvl w:val="0"/>
        <w:rPr>
          <w:rFonts w:ascii="宋体" w:hAnsi="宋体"/>
        </w:rPr>
      </w:pPr>
      <w:bookmarkStart w:id="44" w:name="_Toc382819118"/>
      <w:r>
        <w:rPr>
          <w:rFonts w:hint="eastAsia" w:ascii="宋体" w:hAnsi="宋体"/>
          <w:b/>
          <w:sz w:val="24"/>
        </w:rPr>
        <w:t>八、基金收益分配</w:t>
      </w:r>
      <w:bookmarkEnd w:id="44"/>
    </w:p>
    <w:p w14:paraId="26FE6629">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cs="Arial"/>
          <w:kern w:val="0"/>
          <w:sz w:val="21"/>
          <w:szCs w:val="21"/>
        </w:rPr>
      </w:pPr>
      <w:bookmarkStart w:id="45" w:name="_Toc382819119"/>
      <w:r>
        <w:rPr>
          <w:rFonts w:hint="eastAsia" w:ascii="宋体" w:hAnsi="宋体" w:eastAsia="宋体"/>
          <w:b w:val="0"/>
          <w:bCs w:val="0"/>
          <w:sz w:val="21"/>
          <w:szCs w:val="21"/>
        </w:rPr>
        <w:t>（一）基金收益分配的原则</w:t>
      </w:r>
      <w:bookmarkEnd w:id="45"/>
    </w:p>
    <w:p w14:paraId="08A20B9D">
      <w:pPr>
        <w:spacing w:line="360" w:lineRule="auto"/>
        <w:ind w:firstLine="472" w:firstLineChars="225"/>
        <w:rPr>
          <w:rFonts w:ascii="宋体" w:hAnsi="宋体"/>
          <w:szCs w:val="21"/>
        </w:rPr>
      </w:pPr>
      <w:r>
        <w:rPr>
          <w:rFonts w:hint="eastAsia" w:ascii="宋体" w:hAnsi="宋体"/>
          <w:szCs w:val="21"/>
        </w:rPr>
        <w:t>基金收益分配是指将该基金可供分配利润按收益分配方案确定的分配金额和比例根据持有该基金份额的数量按比例向该基金份额持有人进行分配。</w:t>
      </w:r>
    </w:p>
    <w:p w14:paraId="4BA43BE9">
      <w:pPr>
        <w:spacing w:line="360" w:lineRule="auto"/>
        <w:ind w:firstLine="472" w:firstLineChars="225"/>
        <w:rPr>
          <w:rFonts w:ascii="宋体" w:hAnsi="宋体"/>
          <w:szCs w:val="21"/>
        </w:rPr>
      </w:pPr>
      <w:r>
        <w:rPr>
          <w:rFonts w:hint="eastAsia" w:ascii="宋体" w:hAnsi="宋体"/>
          <w:szCs w:val="21"/>
        </w:rPr>
        <w:t>收益分配应该符合《基金合同》关于收益分配原则的规定。</w:t>
      </w:r>
      <w:bookmarkStart w:id="46" w:name="_Toc382819120"/>
    </w:p>
    <w:p w14:paraId="769B241F">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（二）基金收益分配方案的制定和实施程序</w:t>
      </w:r>
      <w:bookmarkEnd w:id="46"/>
    </w:p>
    <w:p w14:paraId="38C5A83B">
      <w:pPr>
        <w:spacing w:line="360" w:lineRule="auto"/>
        <w:ind w:firstLine="472" w:firstLineChars="225"/>
        <w:rPr>
          <w:rFonts w:ascii="宋体" w:hAnsi="宋体"/>
          <w:szCs w:val="21"/>
        </w:rPr>
      </w:pPr>
      <w:r>
        <w:rPr>
          <w:rFonts w:hint="eastAsia" w:ascii="宋体" w:hAnsi="宋体"/>
          <w:szCs w:val="21"/>
        </w:rPr>
        <w:t>基金收益分配方案由基金管理人拟定，并由基金托管人复核。</w:t>
      </w:r>
    </w:p>
    <w:p w14:paraId="11D3B9BA">
      <w:pPr>
        <w:spacing w:line="360" w:lineRule="auto"/>
        <w:ind w:firstLine="472" w:firstLineChars="225"/>
        <w:rPr>
          <w:rFonts w:ascii="宋体" w:hAnsi="宋体"/>
          <w:szCs w:val="21"/>
        </w:rPr>
      </w:pPr>
      <w:r>
        <w:rPr>
          <w:rFonts w:hint="eastAsia" w:ascii="宋体" w:hAnsi="宋体"/>
          <w:szCs w:val="21"/>
        </w:rPr>
        <w:t>基金收益分配方案确定后，由基金管理人依照《信息披露办法》的有关规定在规定媒介公告。</w:t>
      </w:r>
    </w:p>
    <w:p w14:paraId="0288C354">
      <w:pPr>
        <w:spacing w:line="360" w:lineRule="auto"/>
        <w:ind w:firstLine="472" w:firstLineChars="225"/>
        <w:rPr>
          <w:rFonts w:ascii="宋体" w:hAnsi="宋体"/>
          <w:szCs w:val="21"/>
        </w:rPr>
      </w:pPr>
      <w:r>
        <w:rPr>
          <w:rFonts w:hint="eastAsia" w:ascii="宋体" w:hAnsi="宋体"/>
          <w:szCs w:val="21"/>
        </w:rPr>
        <w:t>基金管理人向基金托管人下达收益分配的付款指令，基金托管人按照基金管理人的指令及时进行分红资金的划付。</w:t>
      </w:r>
    </w:p>
    <w:p w14:paraId="53BA2E2E">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r>
        <w:rPr>
          <w:rFonts w:hint="eastAsia" w:ascii="宋体" w:hAnsi="宋体" w:eastAsia="宋体"/>
          <w:b w:val="0"/>
          <w:bCs w:val="0"/>
          <w:sz w:val="21"/>
          <w:szCs w:val="21"/>
        </w:rPr>
        <w:t>（三）实施侧袋机制期间的收益分配</w:t>
      </w:r>
    </w:p>
    <w:p w14:paraId="288A6B30">
      <w:pPr>
        <w:spacing w:line="500" w:lineRule="atLeast"/>
        <w:jc w:val="center"/>
        <w:outlineLvl w:val="0"/>
        <w:rPr>
          <w:rFonts w:ascii="宋体" w:hAnsi="宋体"/>
          <w:szCs w:val="21"/>
        </w:rPr>
      </w:pPr>
      <w:r>
        <w:rPr>
          <w:rFonts w:hint="eastAsia" w:ascii="宋体" w:hAnsi="宋体"/>
          <w:szCs w:val="21"/>
        </w:rPr>
        <w:t>本基金实施侧袋机制的，侧袋账户不进行收益分配，详见招募说明书的规定。</w:t>
      </w:r>
      <w:bookmarkStart w:id="47" w:name="_Toc382819121"/>
    </w:p>
    <w:p w14:paraId="613EDE10">
      <w:pPr>
        <w:spacing w:line="500" w:lineRule="atLeast"/>
        <w:jc w:val="center"/>
        <w:outlineLvl w:val="0"/>
        <w:rPr>
          <w:rFonts w:ascii="宋体" w:hAnsi="宋体"/>
        </w:rPr>
      </w:pPr>
      <w:r>
        <w:rPr>
          <w:rFonts w:hint="eastAsia" w:ascii="宋体" w:hAnsi="宋体"/>
          <w:b/>
          <w:sz w:val="24"/>
        </w:rPr>
        <w:t>九、信息披露</w:t>
      </w:r>
      <w:bookmarkEnd w:id="47"/>
    </w:p>
    <w:p w14:paraId="43D9EC8C">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cs="Arial"/>
          <w:b w:val="0"/>
          <w:kern w:val="0"/>
          <w:sz w:val="21"/>
          <w:szCs w:val="21"/>
        </w:rPr>
      </w:pPr>
      <w:bookmarkStart w:id="48" w:name="_Toc382819122"/>
      <w:r>
        <w:rPr>
          <w:rFonts w:hint="eastAsia" w:ascii="宋体" w:hAnsi="宋体" w:eastAsia="宋体"/>
          <w:b w:val="0"/>
          <w:sz w:val="21"/>
          <w:szCs w:val="21"/>
        </w:rPr>
        <w:t>（一）</w:t>
      </w:r>
      <w:r>
        <w:rPr>
          <w:rFonts w:hint="eastAsia" w:ascii="宋体" w:hAnsi="宋体" w:eastAsia="宋体" w:cs="Arial"/>
          <w:b w:val="0"/>
          <w:kern w:val="0"/>
          <w:sz w:val="21"/>
          <w:szCs w:val="21"/>
        </w:rPr>
        <w:t>保密义务</w:t>
      </w:r>
      <w:bookmarkEnd w:id="48"/>
    </w:p>
    <w:p w14:paraId="1A547D72">
      <w:pPr>
        <w:spacing w:line="360" w:lineRule="auto"/>
        <w:ind w:right="28" w:firstLine="420" w:firstLineChars="200"/>
        <w:rPr>
          <w:rFonts w:ascii="宋体" w:hAnsi="宋体"/>
          <w:szCs w:val="21"/>
        </w:rPr>
      </w:pPr>
      <w:r>
        <w:rPr>
          <w:rFonts w:hint="eastAsia" w:ascii="宋体" w:hAnsi="宋体"/>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365D35F0">
      <w:pPr>
        <w:pStyle w:val="11"/>
        <w:ind w:firstLine="420" w:firstLineChars="200"/>
        <w:rPr>
          <w:rFonts w:ascii="宋体" w:hAnsi="宋体"/>
          <w:szCs w:val="21"/>
        </w:rPr>
      </w:pPr>
      <w:r>
        <w:rPr>
          <w:rFonts w:hint="eastAsia" w:ascii="宋体" w:hAnsi="宋体"/>
          <w:szCs w:val="21"/>
        </w:rPr>
        <w:t>1.非因基金管理人和基金托管人的原因导致保密信息被披露、泄露或公开；</w:t>
      </w:r>
    </w:p>
    <w:p w14:paraId="30EB0285">
      <w:pPr>
        <w:spacing w:line="360" w:lineRule="auto"/>
        <w:ind w:firstLine="420" w:firstLineChars="200"/>
        <w:rPr>
          <w:rFonts w:ascii="宋体" w:hAnsi="宋体"/>
          <w:szCs w:val="21"/>
        </w:rPr>
      </w:pPr>
      <w:r>
        <w:rPr>
          <w:rFonts w:hint="eastAsia" w:ascii="宋体" w:hAnsi="宋体"/>
          <w:szCs w:val="21"/>
        </w:rPr>
        <w:t>2.基金管理人和基金托管人为遵守和服从法院判决、仲裁裁决或中国证监会等监管机构的命令、决定所做出的信息披露或公开。</w:t>
      </w:r>
    </w:p>
    <w:p w14:paraId="42CC62FC">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（二）信息披露的内容</w:t>
      </w:r>
    </w:p>
    <w:p w14:paraId="35FE4001">
      <w:pPr>
        <w:tabs>
          <w:tab w:val="left" w:pos="4680"/>
        </w:tabs>
        <w:spacing w:line="360" w:lineRule="auto"/>
        <w:ind w:firstLine="420" w:firstLineChars="200"/>
        <w:rPr>
          <w:rFonts w:ascii="宋体" w:hAnsi="宋体"/>
          <w:szCs w:val="21"/>
        </w:rPr>
      </w:pPr>
      <w:r>
        <w:rPr>
          <w:rFonts w:hint="eastAsia" w:ascii="宋体" w:hAnsi="宋体"/>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75EA33C3">
      <w:pPr>
        <w:tabs>
          <w:tab w:val="left" w:pos="4680"/>
        </w:tabs>
        <w:spacing w:line="360" w:lineRule="auto"/>
        <w:ind w:firstLine="420" w:firstLineChars="200"/>
        <w:rPr>
          <w:rFonts w:ascii="宋体" w:hAnsi="宋体"/>
          <w:szCs w:val="21"/>
        </w:rPr>
      </w:pPr>
      <w:r>
        <w:rPr>
          <w:rFonts w:hint="eastAsia" w:ascii="宋体" w:hAnsi="宋体"/>
          <w:szCs w:val="21"/>
        </w:rPr>
        <w:t>2.本基金的信息披露主要包括基金招募说明书、《基金合同》、基金托管协议、基金产品资料概要、基金份额发售公告、《基金合同》生效公告、基金定期报告（包括基金年度报告、基金中期报告和基金季度报告）、临时报告、基金净值信息、基金份额申购、赎回价格、澄清公告、基金份额持有人大会决议、清算报告、投资基金的信息披露、投资资产支持证券的信息披露、投资港股通标的信息披露、实施侧袋机制期间的信息披露等其他必要的公告文件，由基金管理人拟定并负责公布。</w:t>
      </w:r>
    </w:p>
    <w:p w14:paraId="34D0B208">
      <w:pPr>
        <w:tabs>
          <w:tab w:val="left" w:pos="4680"/>
        </w:tabs>
        <w:spacing w:line="360" w:lineRule="auto"/>
        <w:ind w:firstLine="420" w:firstLineChars="200"/>
        <w:rPr>
          <w:rFonts w:ascii="宋体" w:hAnsi="宋体"/>
          <w:szCs w:val="21"/>
        </w:rPr>
      </w:pPr>
      <w:r>
        <w:rPr>
          <w:rFonts w:hint="eastAsia" w:ascii="宋体" w:hAnsi="宋体"/>
          <w:szCs w:val="21"/>
        </w:rPr>
        <w:t>3.基金管理人与基金托管人应严格遵守《基金合同》所规定的信息披露要求。基金净值信息、基金份额净值、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454AAFDA">
      <w:pPr>
        <w:tabs>
          <w:tab w:val="left" w:pos="4680"/>
        </w:tabs>
        <w:spacing w:line="360" w:lineRule="auto"/>
        <w:ind w:firstLine="420" w:firstLineChars="200"/>
        <w:rPr>
          <w:rFonts w:ascii="宋体" w:hAnsi="宋体"/>
          <w:szCs w:val="21"/>
        </w:rPr>
      </w:pPr>
      <w:bookmarkStart w:id="49" w:name="_Toc382819123"/>
      <w:r>
        <w:rPr>
          <w:rFonts w:hint="eastAsia" w:ascii="宋体" w:hAnsi="宋体"/>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49"/>
    </w:p>
    <w:p w14:paraId="5D491AF4">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50" w:name="_Toc382819124"/>
      <w:r>
        <w:rPr>
          <w:rFonts w:hint="eastAsia" w:ascii="宋体" w:hAnsi="宋体" w:eastAsia="宋体"/>
          <w:b w:val="0"/>
          <w:sz w:val="21"/>
          <w:szCs w:val="21"/>
        </w:rPr>
        <w:t>（三）基金管理人和基金托管人在信息披露中的职责和信息披露程序</w:t>
      </w:r>
      <w:bookmarkEnd w:id="50"/>
    </w:p>
    <w:p w14:paraId="589BFDE6">
      <w:pPr>
        <w:tabs>
          <w:tab w:val="left" w:pos="4680"/>
        </w:tabs>
        <w:spacing w:line="360" w:lineRule="auto"/>
        <w:ind w:firstLine="420" w:firstLineChars="200"/>
        <w:rPr>
          <w:rFonts w:ascii="宋体" w:hAnsi="宋体"/>
          <w:szCs w:val="21"/>
        </w:rPr>
      </w:pPr>
      <w:r>
        <w:rPr>
          <w:rFonts w:hint="eastAsia" w:ascii="宋体" w:hAnsi="宋体"/>
          <w:szCs w:val="21"/>
        </w:rPr>
        <w:t>1.职责</w:t>
      </w:r>
    </w:p>
    <w:p w14:paraId="736832AC">
      <w:pPr>
        <w:tabs>
          <w:tab w:val="left" w:pos="4680"/>
        </w:tabs>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7F6CF3AE">
      <w:pPr>
        <w:tabs>
          <w:tab w:val="left" w:pos="4680"/>
        </w:tabs>
        <w:spacing w:line="360" w:lineRule="auto"/>
        <w:ind w:firstLine="420" w:firstLineChars="200"/>
        <w:rPr>
          <w:rFonts w:ascii="宋体" w:hAnsi="宋体"/>
          <w:szCs w:val="21"/>
        </w:rPr>
      </w:pPr>
      <w:r>
        <w:rPr>
          <w:rFonts w:hint="eastAsia" w:ascii="宋体" w:hAnsi="宋体"/>
          <w:szCs w:val="21"/>
        </w:rPr>
        <w:t>2.程序</w:t>
      </w:r>
    </w:p>
    <w:p w14:paraId="11CD5C84">
      <w:pPr>
        <w:tabs>
          <w:tab w:val="left" w:pos="4680"/>
        </w:tabs>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14:paraId="0E62E2A3">
      <w:pPr>
        <w:tabs>
          <w:tab w:val="left" w:pos="4680"/>
        </w:tabs>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14:paraId="029D40EA">
      <w:pPr>
        <w:tabs>
          <w:tab w:val="left" w:pos="4680"/>
        </w:tabs>
        <w:spacing w:line="360" w:lineRule="auto"/>
        <w:ind w:firstLine="420" w:firstLineChars="200"/>
        <w:rPr>
          <w:rFonts w:ascii="宋体" w:hAnsi="宋体"/>
          <w:szCs w:val="21"/>
        </w:rPr>
      </w:pPr>
      <w:r>
        <w:rPr>
          <w:rFonts w:hint="eastAsia" w:ascii="宋体" w:hAnsi="宋体"/>
          <w:szCs w:val="21"/>
        </w:rPr>
        <w:t>3.信息文本的存放</w:t>
      </w:r>
    </w:p>
    <w:p w14:paraId="65CFFF3D">
      <w:pPr>
        <w:autoSpaceDE w:val="0"/>
        <w:autoSpaceDN w:val="0"/>
        <w:adjustRightInd w:val="0"/>
        <w:spacing w:line="360" w:lineRule="auto"/>
        <w:ind w:firstLine="420" w:firstLineChars="200"/>
        <w:rPr>
          <w:rFonts w:ascii="宋体" w:hAnsi="宋体"/>
          <w:szCs w:val="21"/>
        </w:rPr>
      </w:pPr>
      <w:r>
        <w:rPr>
          <w:rFonts w:hint="eastAsia" w:ascii="宋体" w:hAnsi="宋体"/>
          <w:szCs w:val="21"/>
        </w:rPr>
        <w:t>依法必须披露的信息发布后，基金管理人、基金托管人应当按照相关法律法规规定将信息置备于各自住所，供社会公众查阅、复制。投资者在支付工本费后可以获得上述文件的复制件或复印件。</w:t>
      </w:r>
    </w:p>
    <w:p w14:paraId="777FA3C5">
      <w:pPr>
        <w:autoSpaceDE w:val="0"/>
        <w:autoSpaceDN w:val="0"/>
        <w:adjustRightInd w:val="0"/>
        <w:spacing w:line="360" w:lineRule="auto"/>
        <w:ind w:firstLine="420" w:firstLineChars="200"/>
        <w:rPr>
          <w:rFonts w:ascii="宋体" w:hAnsi="宋体"/>
          <w:szCs w:val="21"/>
        </w:rPr>
      </w:pPr>
      <w:r>
        <w:rPr>
          <w:rFonts w:hint="eastAsia" w:ascii="宋体" w:hAnsi="宋体"/>
          <w:szCs w:val="21"/>
        </w:rPr>
        <w:t>基金管理人和基金托管人应保证文本的内容与所公告的内容完全一致。</w:t>
      </w:r>
    </w:p>
    <w:p w14:paraId="76BAC0E3">
      <w:pPr>
        <w:adjustRightInd w:val="0"/>
        <w:snapToGrid w:val="0"/>
        <w:spacing w:line="360" w:lineRule="auto"/>
        <w:ind w:firstLine="420" w:firstLineChars="200"/>
        <w:rPr>
          <w:rFonts w:ascii="宋体" w:hAnsi="宋体"/>
          <w:szCs w:val="21"/>
        </w:rPr>
      </w:pPr>
      <w:r>
        <w:rPr>
          <w:rFonts w:hint="eastAsia" w:ascii="宋体" w:hAnsi="宋体"/>
          <w:szCs w:val="21"/>
        </w:rPr>
        <w:t>4.暂停</w:t>
      </w:r>
      <w:r>
        <w:rPr>
          <w:rFonts w:hint="eastAsia" w:ascii="宋体" w:hAnsi="宋体" w:cs="Arial"/>
          <w:szCs w:val="21"/>
        </w:rPr>
        <w:t>或延迟披露基金相关信息</w:t>
      </w:r>
      <w:r>
        <w:rPr>
          <w:rFonts w:hint="eastAsia" w:ascii="宋体" w:hAnsi="宋体"/>
          <w:szCs w:val="21"/>
        </w:rPr>
        <w:t>的情形</w:t>
      </w:r>
    </w:p>
    <w:p w14:paraId="7586BC46">
      <w:pPr>
        <w:spacing w:line="360" w:lineRule="auto"/>
        <w:ind w:right="28" w:firstLine="420" w:firstLineChars="200"/>
        <w:rPr>
          <w:rFonts w:ascii="宋体" w:hAnsi="宋体"/>
          <w:szCs w:val="21"/>
        </w:rPr>
      </w:pPr>
      <w:r>
        <w:rPr>
          <w:rFonts w:hint="eastAsia" w:ascii="宋体" w:hAnsi="宋体"/>
          <w:szCs w:val="21"/>
        </w:rPr>
        <w:t>（1）基金投资所涉及的证券交易市场或外汇市场遇法定节假日或因其他原因暂停营业时；</w:t>
      </w:r>
    </w:p>
    <w:p w14:paraId="4CF1B45A">
      <w:pPr>
        <w:spacing w:line="360" w:lineRule="auto"/>
        <w:ind w:right="28" w:firstLine="420" w:firstLineChars="200"/>
        <w:rPr>
          <w:rFonts w:ascii="宋体" w:hAnsi="宋体"/>
          <w:szCs w:val="21"/>
        </w:rPr>
      </w:pPr>
      <w:r>
        <w:rPr>
          <w:rFonts w:hint="eastAsia" w:ascii="宋体" w:hAnsi="宋体"/>
          <w:szCs w:val="21"/>
        </w:rPr>
        <w:t>（2）因不可抗力致使基金管理人、基金托管人无法准确评估基金资产价值时；</w:t>
      </w:r>
    </w:p>
    <w:p w14:paraId="6FA0C253">
      <w:pPr>
        <w:spacing w:line="360" w:lineRule="auto"/>
        <w:ind w:right="28" w:firstLine="420" w:firstLineChars="200"/>
        <w:rPr>
          <w:rFonts w:ascii="宋体" w:hAnsi="宋体"/>
          <w:szCs w:val="21"/>
        </w:rPr>
      </w:pPr>
      <w:r>
        <w:rPr>
          <w:rFonts w:hint="eastAsia" w:ascii="宋体" w:hAnsi="宋体"/>
          <w:szCs w:val="21"/>
        </w:rPr>
        <w:t>（3）占基金相当比例的被投资基金暂停估值时；</w:t>
      </w:r>
    </w:p>
    <w:p w14:paraId="054BDDFF">
      <w:pPr>
        <w:spacing w:line="360" w:lineRule="auto"/>
        <w:ind w:right="28" w:firstLine="420" w:firstLineChars="200"/>
        <w:rPr>
          <w:rFonts w:ascii="宋体" w:hAnsi="宋体"/>
          <w:szCs w:val="21"/>
        </w:rPr>
      </w:pPr>
      <w:r>
        <w:rPr>
          <w:rFonts w:hint="eastAsia" w:ascii="宋体" w:hAnsi="宋体"/>
          <w:szCs w:val="21"/>
        </w:rPr>
        <w:t>（4）当特定资产占前一估值日基金资产净值50%以上的，经与基金托管人协商确认后，基金管理人应当暂停估值；</w:t>
      </w:r>
    </w:p>
    <w:p w14:paraId="4A902C38">
      <w:pPr>
        <w:spacing w:line="360" w:lineRule="auto"/>
        <w:ind w:right="28" w:firstLine="420" w:firstLineChars="200"/>
      </w:pPr>
      <w:r>
        <w:rPr>
          <w:rFonts w:hint="eastAsia" w:ascii="宋体" w:hAnsi="宋体"/>
          <w:szCs w:val="21"/>
        </w:rPr>
        <w:t>（5）法律法规规定、中国证监会或基金合同认定的其它情形。</w:t>
      </w:r>
    </w:p>
    <w:p w14:paraId="17FD3D1C">
      <w:pPr>
        <w:spacing w:line="500" w:lineRule="atLeast"/>
        <w:jc w:val="center"/>
        <w:outlineLvl w:val="0"/>
        <w:rPr>
          <w:rFonts w:ascii="宋体" w:hAnsi="宋体"/>
        </w:rPr>
      </w:pPr>
      <w:bookmarkStart w:id="51" w:name="_Toc382819125"/>
      <w:r>
        <w:rPr>
          <w:rFonts w:hint="eastAsia" w:ascii="宋体" w:hAnsi="宋体"/>
          <w:b/>
          <w:sz w:val="24"/>
        </w:rPr>
        <w:t>十、基金费用</w:t>
      </w:r>
      <w:bookmarkEnd w:id="51"/>
    </w:p>
    <w:p w14:paraId="691E09B3">
      <w:pPr>
        <w:spacing w:line="360" w:lineRule="auto"/>
        <w:ind w:right="28" w:firstLine="420" w:firstLineChars="200"/>
        <w:rPr>
          <w:rFonts w:ascii="宋体" w:hAnsi="宋体"/>
          <w:szCs w:val="21"/>
        </w:rPr>
      </w:pPr>
      <w:r>
        <w:rPr>
          <w:rFonts w:hint="eastAsia" w:ascii="宋体" w:hAnsi="宋体"/>
          <w:szCs w:val="21"/>
        </w:rPr>
        <w:t>基金费用按照《基金合同》的约定计提和支付。</w:t>
      </w:r>
      <w:bookmarkStart w:id="52" w:name="_Toc382819126"/>
    </w:p>
    <w:p w14:paraId="40671083">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（一）基金管理人的管理费</w:t>
      </w:r>
    </w:p>
    <w:p w14:paraId="4CF14E6D">
      <w:pPr>
        <w:spacing w:line="360" w:lineRule="auto"/>
        <w:ind w:right="28" w:firstLine="420" w:firstLineChars="200"/>
        <w:rPr>
          <w:rFonts w:ascii="宋体" w:hAnsi="宋体"/>
          <w:szCs w:val="21"/>
        </w:rPr>
      </w:pPr>
      <w:r>
        <w:rPr>
          <w:rFonts w:hint="eastAsia" w:ascii="宋体" w:hAnsi="宋体"/>
          <w:szCs w:val="21"/>
        </w:rPr>
        <w:t>本基金投资于本基金管理人所管理的基金的部分不收取管理费。本基金的管理费按前一日基金资产净值的</w:t>
      </w:r>
      <w:r>
        <w:rPr>
          <w:rFonts w:hint="eastAsia" w:ascii="宋体" w:hAnsi="宋体"/>
          <w:szCs w:val="21"/>
          <w:lang w:eastAsia="zh-CN"/>
        </w:rPr>
        <w:t>0.60</w:t>
      </w:r>
      <w:r>
        <w:rPr>
          <w:rFonts w:hint="eastAsia" w:ascii="宋体" w:hAnsi="宋体"/>
          <w:szCs w:val="21"/>
        </w:rPr>
        <w:t>%年费率计提。管理费的计算方法如下：</w:t>
      </w:r>
    </w:p>
    <w:p w14:paraId="605A8775">
      <w:pPr>
        <w:spacing w:line="360" w:lineRule="auto"/>
        <w:ind w:right="28" w:firstLine="420" w:firstLineChars="200"/>
        <w:rPr>
          <w:rFonts w:ascii="宋体" w:hAnsi="宋体"/>
          <w:szCs w:val="21"/>
        </w:rPr>
      </w:pPr>
      <w:r>
        <w:rPr>
          <w:rFonts w:hint="eastAsia" w:ascii="宋体" w:hAnsi="宋体"/>
          <w:szCs w:val="21"/>
        </w:rPr>
        <w:t>H＝E×</w:t>
      </w:r>
      <w:r>
        <w:rPr>
          <w:rFonts w:hint="eastAsia" w:ascii="宋体" w:hAnsi="宋体"/>
          <w:szCs w:val="21"/>
          <w:lang w:eastAsia="zh-CN"/>
        </w:rPr>
        <w:t>0.60</w:t>
      </w:r>
      <w:r>
        <w:rPr>
          <w:rFonts w:hint="eastAsia" w:ascii="宋体" w:hAnsi="宋体"/>
          <w:szCs w:val="21"/>
        </w:rPr>
        <w:t>%÷当年实际天数</w:t>
      </w:r>
    </w:p>
    <w:p w14:paraId="0C0B87DF">
      <w:pPr>
        <w:spacing w:line="360" w:lineRule="auto"/>
        <w:ind w:right="28" w:firstLine="420" w:firstLineChars="200"/>
        <w:rPr>
          <w:rFonts w:ascii="宋体" w:hAnsi="宋体"/>
          <w:szCs w:val="21"/>
        </w:rPr>
      </w:pPr>
      <w:r>
        <w:rPr>
          <w:rFonts w:hint="eastAsia" w:ascii="宋体" w:hAnsi="宋体"/>
          <w:szCs w:val="21"/>
        </w:rPr>
        <w:t>H为每日应计提的基金管理费</w:t>
      </w:r>
    </w:p>
    <w:p w14:paraId="31682CDC">
      <w:pPr>
        <w:spacing w:line="360" w:lineRule="auto"/>
        <w:ind w:right="28" w:firstLine="420" w:firstLineChars="200"/>
        <w:rPr>
          <w:rFonts w:ascii="宋体" w:hAnsi="宋体"/>
          <w:szCs w:val="21"/>
        </w:rPr>
      </w:pPr>
      <w:r>
        <w:rPr>
          <w:rFonts w:hint="eastAsia" w:ascii="宋体" w:hAnsi="宋体"/>
          <w:szCs w:val="21"/>
        </w:rPr>
        <w:t>E为前一日的基金资产净值（除去投资于本基金管理人所管理的基金的部分，若为负数，则E取0）</w:t>
      </w:r>
    </w:p>
    <w:p w14:paraId="048DCC44">
      <w:pPr>
        <w:spacing w:line="360" w:lineRule="auto"/>
        <w:ind w:right="28" w:firstLine="420" w:firstLineChars="200"/>
        <w:rPr>
          <w:rFonts w:ascii="宋体" w:hAnsi="宋体"/>
          <w:szCs w:val="21"/>
        </w:rPr>
      </w:pPr>
      <w:r>
        <w:rPr>
          <w:rFonts w:hint="eastAsia" w:ascii="宋体" w:hAnsi="宋体"/>
          <w:szCs w:val="21"/>
        </w:rPr>
        <w:t>基金管理费每日计算，逐日累计至每月月末，按月支付，由基金托管人根据与基金管理人核对一致的财务数据，自动在月初5个工作日内、按照指定的账户路径进行资金支付。若遇法定节假日、公休日等，支付日期顺延。</w:t>
      </w:r>
    </w:p>
    <w:p w14:paraId="4EE20619">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（二）基金托管人的托管费</w:t>
      </w:r>
    </w:p>
    <w:p w14:paraId="5010CC2A">
      <w:pPr>
        <w:spacing w:line="360" w:lineRule="auto"/>
        <w:ind w:right="28" w:firstLine="420" w:firstLineChars="200"/>
        <w:rPr>
          <w:rFonts w:ascii="宋体" w:hAnsi="宋体"/>
          <w:szCs w:val="21"/>
        </w:rPr>
      </w:pPr>
      <w:r>
        <w:rPr>
          <w:rFonts w:hint="eastAsia" w:ascii="宋体" w:hAnsi="宋体"/>
          <w:szCs w:val="21"/>
        </w:rPr>
        <w:t>本基金投资于本基金托管人所托管的基金的部分不收取托管费。本基金的托管费按前一日基金资产净值的</w:t>
      </w:r>
      <w:r>
        <w:rPr>
          <w:rFonts w:ascii="宋体" w:hAnsi="宋体"/>
          <w:szCs w:val="21"/>
        </w:rPr>
        <w:t>0.</w:t>
      </w:r>
      <w:r>
        <w:rPr>
          <w:rFonts w:hint="eastAsia" w:ascii="宋体" w:hAnsi="宋体"/>
          <w:szCs w:val="21"/>
        </w:rPr>
        <w:t>15</w:t>
      </w:r>
      <w:r>
        <w:rPr>
          <w:rFonts w:ascii="宋体" w:hAnsi="宋体"/>
          <w:szCs w:val="21"/>
        </w:rPr>
        <w:t>%</w:t>
      </w:r>
      <w:r>
        <w:rPr>
          <w:rFonts w:hint="eastAsia" w:ascii="宋体" w:hAnsi="宋体"/>
          <w:szCs w:val="21"/>
        </w:rPr>
        <w:t>的年费率计提。托管费的计算方法如下：</w:t>
      </w:r>
    </w:p>
    <w:p w14:paraId="2F75545B">
      <w:pPr>
        <w:spacing w:line="360" w:lineRule="auto"/>
        <w:ind w:right="28" w:firstLine="420" w:firstLineChars="200"/>
        <w:rPr>
          <w:rFonts w:ascii="宋体" w:hAnsi="宋体"/>
          <w:szCs w:val="21"/>
        </w:rPr>
      </w:pPr>
      <w:r>
        <w:rPr>
          <w:rFonts w:ascii="宋体" w:hAnsi="宋体"/>
          <w:szCs w:val="21"/>
        </w:rPr>
        <w:t>H</w:t>
      </w:r>
      <w:r>
        <w:rPr>
          <w:rFonts w:hint="eastAsia" w:ascii="宋体" w:hAnsi="宋体"/>
          <w:szCs w:val="21"/>
        </w:rPr>
        <w:t>＝</w:t>
      </w:r>
      <w:r>
        <w:rPr>
          <w:rFonts w:ascii="宋体" w:hAnsi="宋体"/>
          <w:szCs w:val="21"/>
        </w:rPr>
        <w:t>E</w:t>
      </w:r>
      <w:r>
        <w:rPr>
          <w:rFonts w:hint="eastAsia" w:ascii="宋体" w:hAnsi="宋体"/>
          <w:szCs w:val="21"/>
        </w:rPr>
        <w:t>×</w:t>
      </w:r>
      <w:r>
        <w:rPr>
          <w:rFonts w:ascii="宋体" w:hAnsi="宋体"/>
          <w:szCs w:val="21"/>
        </w:rPr>
        <w:t>0.</w:t>
      </w:r>
      <w:r>
        <w:rPr>
          <w:rFonts w:hint="eastAsia" w:ascii="宋体" w:hAnsi="宋体"/>
          <w:szCs w:val="21"/>
        </w:rPr>
        <w:t>15</w:t>
      </w:r>
      <w:r>
        <w:rPr>
          <w:rFonts w:ascii="宋体" w:hAnsi="宋体"/>
          <w:szCs w:val="21"/>
        </w:rPr>
        <w:t>%</w:t>
      </w:r>
      <w:r>
        <w:rPr>
          <w:rFonts w:hint="eastAsia" w:ascii="宋体" w:hAnsi="宋体"/>
          <w:szCs w:val="21"/>
        </w:rPr>
        <w:t>÷当年实际天数</w:t>
      </w:r>
    </w:p>
    <w:p w14:paraId="4331EC84">
      <w:pPr>
        <w:spacing w:line="360" w:lineRule="auto"/>
        <w:ind w:right="28" w:firstLine="420" w:firstLineChars="200"/>
        <w:rPr>
          <w:rFonts w:ascii="宋体" w:hAnsi="宋体"/>
          <w:szCs w:val="21"/>
        </w:rPr>
      </w:pPr>
      <w:r>
        <w:rPr>
          <w:rFonts w:ascii="宋体" w:hAnsi="宋体"/>
          <w:szCs w:val="21"/>
        </w:rPr>
        <w:t>H</w:t>
      </w:r>
      <w:r>
        <w:rPr>
          <w:rFonts w:hint="eastAsia" w:ascii="宋体" w:hAnsi="宋体"/>
          <w:szCs w:val="21"/>
        </w:rPr>
        <w:t>为每日应计提的基金托管费</w:t>
      </w:r>
    </w:p>
    <w:p w14:paraId="6D4B6C67">
      <w:pPr>
        <w:spacing w:line="360" w:lineRule="auto"/>
        <w:ind w:right="28" w:firstLine="420" w:firstLineChars="200"/>
        <w:rPr>
          <w:rFonts w:ascii="宋体" w:hAnsi="宋体"/>
          <w:szCs w:val="21"/>
        </w:rPr>
      </w:pPr>
      <w:r>
        <w:rPr>
          <w:rFonts w:ascii="宋体" w:hAnsi="宋体"/>
          <w:szCs w:val="21"/>
        </w:rPr>
        <w:t>E</w:t>
      </w:r>
      <w:r>
        <w:rPr>
          <w:rFonts w:hint="eastAsia" w:ascii="宋体" w:hAnsi="宋体"/>
          <w:szCs w:val="21"/>
        </w:rPr>
        <w:t>为前一日的基金资产净值（除投资于本基金托管人所托管的基金的部分，若为负数，则E取0）</w:t>
      </w:r>
    </w:p>
    <w:p w14:paraId="018A8D34">
      <w:pPr>
        <w:spacing w:line="360" w:lineRule="auto"/>
        <w:ind w:right="28" w:firstLine="420" w:firstLineChars="200"/>
        <w:rPr>
          <w:rFonts w:ascii="宋体" w:hAnsi="宋体"/>
          <w:szCs w:val="21"/>
        </w:rPr>
      </w:pPr>
      <w:r>
        <w:rPr>
          <w:rFonts w:hint="eastAsia" w:ascii="宋体" w:hAnsi="宋体"/>
          <w:szCs w:val="21"/>
        </w:rPr>
        <w:t>基金托管费每日计算，逐日累计至每月月末，按月支付，由基金托管人根据与基金管理人核对一致的财务数据，自动在月初5个工作日内、按照指定的账户路径进行资金支付。若遇法定节假日、公休日等，支付日期顺延。</w:t>
      </w:r>
    </w:p>
    <w:p w14:paraId="3B57B904">
      <w:pPr>
        <w:numPr>
          <w:ilvl w:val="0"/>
          <w:numId w:val="2"/>
        </w:numPr>
        <w:spacing w:line="360" w:lineRule="auto"/>
        <w:ind w:right="28" w:firstLine="420" w:firstLineChars="200"/>
        <w:rPr>
          <w:bCs/>
          <w:sz w:val="24"/>
        </w:rPr>
      </w:pPr>
      <w:r>
        <w:rPr>
          <w:rFonts w:hint="eastAsia" w:ascii="宋体" w:hAnsi="宋体"/>
          <w:szCs w:val="21"/>
        </w:rPr>
        <w:t>C类</w:t>
      </w:r>
      <w:r>
        <w:rPr>
          <w:rFonts w:hint="eastAsia"/>
          <w:bCs/>
          <w:sz w:val="21"/>
          <w:szCs w:val="21"/>
        </w:rPr>
        <w:t>基金份额的销售服务费</w:t>
      </w:r>
    </w:p>
    <w:p w14:paraId="2F619FFA">
      <w:pPr>
        <w:spacing w:line="360" w:lineRule="auto"/>
        <w:ind w:right="28" w:firstLine="420" w:firstLineChars="200"/>
        <w:rPr>
          <w:rFonts w:ascii="宋体" w:hAnsi="宋体"/>
          <w:szCs w:val="21"/>
        </w:rPr>
      </w:pPr>
      <w:r>
        <w:rPr>
          <w:rFonts w:hint="eastAsia" w:ascii="宋体" w:hAnsi="宋体"/>
          <w:szCs w:val="21"/>
        </w:rPr>
        <w:t>通过直销机构保有本基金C类基金份额不收取销售服务费，在直销机构以外的其他销售机构保有的且持续持有期限一年以内的C类基金份额的销售服务费按前一日C类基金份额的基金资产净值的0.40%年费率计提。对于在直销机构以外的其他销售机构保有的且持续持有期限超过一年的C类基金份额，不继续收取销售服务费。计算方法如下：</w:t>
      </w:r>
    </w:p>
    <w:p w14:paraId="4F4310BD">
      <w:pPr>
        <w:spacing w:line="360" w:lineRule="auto"/>
        <w:ind w:right="28" w:firstLine="420" w:firstLineChars="200"/>
        <w:rPr>
          <w:rFonts w:ascii="宋体" w:hAnsi="宋体"/>
          <w:szCs w:val="21"/>
        </w:rPr>
      </w:pPr>
      <w:r>
        <w:rPr>
          <w:rFonts w:hint="eastAsia" w:ascii="宋体" w:hAnsi="宋体"/>
          <w:szCs w:val="21"/>
        </w:rPr>
        <w:t>H＝E×0.40%÷当年实际天数</w:t>
      </w:r>
    </w:p>
    <w:p w14:paraId="5AE5F11C">
      <w:pPr>
        <w:spacing w:line="360" w:lineRule="auto"/>
        <w:ind w:right="28" w:firstLine="420" w:firstLineChars="200"/>
        <w:rPr>
          <w:rFonts w:ascii="宋体" w:hAnsi="宋体"/>
          <w:szCs w:val="21"/>
        </w:rPr>
      </w:pPr>
      <w:r>
        <w:rPr>
          <w:rFonts w:hint="eastAsia" w:ascii="宋体" w:hAnsi="宋体"/>
          <w:szCs w:val="21"/>
        </w:rPr>
        <w:t>H 为C类基金份额每日应计提的销售服务费</w:t>
      </w:r>
    </w:p>
    <w:p w14:paraId="425F9FD4">
      <w:pPr>
        <w:spacing w:line="360" w:lineRule="auto"/>
        <w:ind w:right="28" w:firstLine="420" w:firstLineChars="200"/>
        <w:rPr>
          <w:rFonts w:ascii="宋体" w:hAnsi="宋体"/>
          <w:szCs w:val="21"/>
        </w:rPr>
      </w:pPr>
      <w:r>
        <w:rPr>
          <w:rFonts w:hint="eastAsia" w:ascii="宋体" w:hAnsi="宋体"/>
          <w:szCs w:val="21"/>
        </w:rPr>
        <w:t>E 为C类基金份额前一日基金资产净值</w:t>
      </w:r>
    </w:p>
    <w:p w14:paraId="69836DFE">
      <w:pPr>
        <w:spacing w:line="360" w:lineRule="auto"/>
        <w:ind w:right="28" w:firstLine="420" w:firstLineChars="200"/>
        <w:rPr>
          <w:rFonts w:ascii="宋体" w:hAnsi="宋体"/>
          <w:szCs w:val="21"/>
        </w:rPr>
      </w:pPr>
      <w:r>
        <w:rPr>
          <w:rFonts w:hint="eastAsia" w:ascii="宋体" w:hAnsi="宋体"/>
          <w:szCs w:val="21"/>
        </w:rPr>
        <w:t>基金销售服务费每日计算。</w:t>
      </w:r>
    </w:p>
    <w:p w14:paraId="721F8B47">
      <w:pPr>
        <w:spacing w:line="360" w:lineRule="auto"/>
        <w:ind w:right="28" w:firstLine="420" w:firstLineChars="200"/>
        <w:rPr>
          <w:rFonts w:ascii="宋体" w:hAnsi="宋体"/>
          <w:szCs w:val="21"/>
        </w:rPr>
      </w:pPr>
      <w:r>
        <w:rPr>
          <w:rFonts w:ascii="宋体" w:hAnsi="宋体"/>
          <w:szCs w:val="21"/>
        </w:rPr>
        <w:t>（1）基金管理人直销渠道：</w:t>
      </w:r>
    </w:p>
    <w:p w14:paraId="3F2F131C">
      <w:pPr>
        <w:spacing w:line="360" w:lineRule="auto"/>
        <w:ind w:right="28" w:firstLine="420" w:firstLineChars="200"/>
        <w:rPr>
          <w:rFonts w:ascii="宋体" w:hAnsi="宋体"/>
          <w:szCs w:val="21"/>
        </w:rPr>
      </w:pPr>
      <w:r>
        <w:rPr>
          <w:rFonts w:ascii="宋体" w:hAnsi="宋体"/>
          <w:szCs w:val="21"/>
        </w:rPr>
        <w:t>对于基金份额计提的销售服务费，在投资者赎回基金份额或基金合同终止时，随赎回款或清算款一并返还给投资者；基金管理人的销售子公司销售本基金的，参照直销机构相关规则执行。</w:t>
      </w:r>
    </w:p>
    <w:p w14:paraId="0BFCFDCE">
      <w:pPr>
        <w:spacing w:line="360" w:lineRule="auto"/>
        <w:ind w:right="28" w:firstLine="420" w:firstLineChars="200"/>
        <w:rPr>
          <w:rFonts w:ascii="宋体" w:hAnsi="宋体"/>
          <w:szCs w:val="21"/>
        </w:rPr>
      </w:pPr>
      <w:r>
        <w:rPr>
          <w:rFonts w:ascii="宋体" w:hAnsi="宋体"/>
          <w:szCs w:val="21"/>
        </w:rPr>
        <w:t>（2）其他销售机构的销售渠道：</w:t>
      </w:r>
    </w:p>
    <w:p w14:paraId="03A17925">
      <w:pPr>
        <w:spacing w:line="360" w:lineRule="auto"/>
        <w:ind w:right="28" w:firstLine="420" w:firstLineChars="200"/>
        <w:rPr>
          <w:rFonts w:ascii="宋体" w:hAnsi="宋体"/>
          <w:szCs w:val="21"/>
        </w:rPr>
      </w:pPr>
      <w:r>
        <w:rPr>
          <w:rFonts w:ascii="宋体" w:hAnsi="宋体"/>
          <w:szCs w:val="21"/>
        </w:rPr>
        <w:t>对于投资者在其他销售机构保有的且持续持有期限未超过一年的C类基金份额收取的销售服务费，逐日累计至每月月末，按月支付，对于确认为基金财产支付的销售服务费，在月初5个工作日内、按照指定的账户路径进行资金支付。若遇法定节假日、公休日等，支付日期顺延。费用自动扣划后，基金管理人应进行核对，如发现数据不符，及时联系基金托管人协商解决。</w:t>
      </w:r>
    </w:p>
    <w:p w14:paraId="64B1217C">
      <w:pPr>
        <w:spacing w:line="360" w:lineRule="auto"/>
        <w:ind w:right="28" w:firstLine="420" w:firstLineChars="200"/>
        <w:rPr>
          <w:rFonts w:ascii="宋体" w:hAnsi="宋体"/>
          <w:szCs w:val="21"/>
        </w:rPr>
      </w:pPr>
      <w:r>
        <w:rPr>
          <w:rFonts w:ascii="宋体" w:hAnsi="宋体"/>
          <w:szCs w:val="21"/>
        </w:rPr>
        <w:t>对于投资者在其他销售机构保有的且持续持有期限超过一年的C类基金份额继续计提的销售服务费，在投资者赎回该笔基金份额（或基金合同终止）时，随赎回款（或清算款）一并返还给投资者。其中，持续持有期限为基金合同生效日（针对募集期内认购的基金份额）（含）或该笔基金份额申购确认日（含）至赎回确认日（不含）或基金最后运作日（含）间的天数。</w:t>
      </w:r>
    </w:p>
    <w:p w14:paraId="7A5E6FDB">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（四）实施侧袋机制期间的基金费用</w:t>
      </w:r>
    </w:p>
    <w:p w14:paraId="13F60E49">
      <w:pPr>
        <w:spacing w:line="360" w:lineRule="auto"/>
        <w:ind w:right="28" w:firstLine="420" w:firstLineChars="200"/>
        <w:rPr>
          <w:rFonts w:ascii="宋体" w:hAnsi="宋体"/>
          <w:szCs w:val="21"/>
        </w:rPr>
      </w:pPr>
      <w:r>
        <w:rPr>
          <w:rFonts w:hint="eastAsia" w:ascii="宋体" w:hAnsi="宋体"/>
          <w:szCs w:val="21"/>
        </w:rPr>
        <w:t>本基金实施侧袋机制的，与侧袋账户有关的费用可以从侧袋账户中列支，但应待侧袋账户资产变现后方可列支，有关费用可酌情收取或减免，但不得收取管理费，详见招募说明书的规定或相关公告。</w:t>
      </w:r>
    </w:p>
    <w:p w14:paraId="618EC562">
      <w:pPr>
        <w:spacing w:line="500" w:lineRule="atLeast"/>
        <w:jc w:val="center"/>
        <w:outlineLvl w:val="0"/>
        <w:rPr>
          <w:rFonts w:ascii="宋体" w:hAnsi="宋体"/>
        </w:rPr>
      </w:pPr>
      <w:r>
        <w:rPr>
          <w:rFonts w:hint="eastAsia" w:ascii="宋体" w:hAnsi="宋体"/>
          <w:b/>
          <w:sz w:val="24"/>
        </w:rPr>
        <w:t>十一、基金份额持有人名册的保管</w:t>
      </w:r>
      <w:bookmarkEnd w:id="52"/>
    </w:p>
    <w:p w14:paraId="3D3729A7">
      <w:pPr>
        <w:spacing w:line="360" w:lineRule="auto"/>
        <w:ind w:firstLine="420" w:firstLineChars="200"/>
        <w:rPr>
          <w:rFonts w:ascii="宋体" w:hAnsi="宋体"/>
          <w:szCs w:val="21"/>
        </w:rPr>
      </w:pPr>
      <w:r>
        <w:rPr>
          <w:rFonts w:hint="eastAsia" w:ascii="宋体" w:hAnsi="宋体"/>
          <w:szCs w:val="21"/>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14:paraId="0845B879">
      <w:pPr>
        <w:spacing w:line="360" w:lineRule="auto"/>
        <w:ind w:firstLine="420" w:firstLineChars="200"/>
        <w:rPr>
          <w:rFonts w:ascii="宋体" w:hAnsi="宋体"/>
          <w:szCs w:val="21"/>
        </w:rPr>
      </w:pPr>
      <w:r>
        <w:rPr>
          <w:rFonts w:hint="eastAsia" w:ascii="宋体" w:hAnsi="宋体"/>
          <w:szCs w:val="21"/>
        </w:rPr>
        <w:t>基金份额持有人名册由基金的</w:t>
      </w:r>
      <w:r>
        <w:rPr>
          <w:rFonts w:hint="eastAsia" w:ascii="宋体" w:hAnsi="宋体" w:cs="Arial"/>
          <w:szCs w:val="21"/>
        </w:rPr>
        <w:t>基金注册登记机构根据基金管理人的指令编制和保管</w:t>
      </w:r>
      <w:r>
        <w:rPr>
          <w:rFonts w:hint="eastAsia" w:ascii="宋体" w:hAnsi="宋体"/>
          <w:szCs w:val="21"/>
        </w:rPr>
        <w:t>，基金管理人应按照目前相关规则保管基金份额持有人名册。保管方式可以采用电子或文档的形式。保管期限不低于法律法规规定的最低年限。</w:t>
      </w:r>
    </w:p>
    <w:p w14:paraId="75C2B466">
      <w:pPr>
        <w:spacing w:line="360" w:lineRule="auto"/>
        <w:ind w:firstLine="420" w:firstLineChars="200"/>
        <w:rPr>
          <w:rFonts w:ascii="宋体" w:hAnsi="宋体" w:cs="Arial"/>
          <w:szCs w:val="21"/>
        </w:rPr>
      </w:pPr>
      <w:r>
        <w:rPr>
          <w:rFonts w:hint="eastAsia" w:ascii="宋体" w:hAnsi="宋体"/>
          <w:szCs w:val="21"/>
        </w:rPr>
        <w:t>在基金托管人编制中期报告和年报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14:paraId="498FA0F8">
      <w:pPr>
        <w:spacing w:line="500" w:lineRule="atLeast"/>
        <w:jc w:val="center"/>
        <w:outlineLvl w:val="0"/>
        <w:rPr>
          <w:rFonts w:ascii="宋体" w:hAnsi="宋体"/>
        </w:rPr>
      </w:pPr>
      <w:bookmarkStart w:id="53" w:name="_Toc382819127"/>
      <w:r>
        <w:rPr>
          <w:rFonts w:hint="eastAsia" w:ascii="宋体" w:hAnsi="宋体"/>
          <w:b/>
          <w:sz w:val="24"/>
        </w:rPr>
        <w:t>十二、基金有关文件和档案的保存</w:t>
      </w:r>
      <w:bookmarkEnd w:id="53"/>
    </w:p>
    <w:p w14:paraId="261F23EF">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（一）档案保存</w:t>
      </w:r>
    </w:p>
    <w:p w14:paraId="13B25980">
      <w:pPr>
        <w:spacing w:line="360" w:lineRule="auto"/>
        <w:ind w:firstLine="420" w:firstLineChars="200"/>
        <w:rPr>
          <w:rFonts w:ascii="宋体" w:hAnsi="宋体" w:cs="Arial"/>
          <w:szCs w:val="21"/>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14:paraId="3C203687">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（二）合同档案的建立</w:t>
      </w:r>
    </w:p>
    <w:p w14:paraId="3AD8A745">
      <w:pPr>
        <w:spacing w:line="360" w:lineRule="auto"/>
        <w:ind w:firstLine="420" w:firstLineChars="200"/>
        <w:rPr>
          <w:rFonts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14:paraId="2495CDD2">
      <w:pPr>
        <w:spacing w:line="360" w:lineRule="auto"/>
        <w:ind w:firstLine="420" w:firstLineChars="200"/>
        <w:rPr>
          <w:rFonts w:ascii="宋体" w:hAnsi="宋体" w:cs="Arial"/>
          <w:szCs w:val="21"/>
        </w:rPr>
      </w:pPr>
      <w:r>
        <w:rPr>
          <w:rFonts w:hint="eastAsia" w:ascii="宋体" w:hAnsi="宋体" w:cs="Arial"/>
          <w:szCs w:val="21"/>
        </w:rPr>
        <w:t>2、基金管理人和基金托管人应按各自职责保管就基金资产对外签署的全部合同的正本。</w:t>
      </w:r>
    </w:p>
    <w:p w14:paraId="2205BD45">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（三）变更与协助</w:t>
      </w:r>
    </w:p>
    <w:p w14:paraId="513ABA96">
      <w:pPr>
        <w:spacing w:line="360" w:lineRule="auto"/>
        <w:ind w:firstLine="420" w:firstLineChars="200"/>
        <w:rPr>
          <w:rFonts w:ascii="宋体" w:hAnsi="宋体"/>
          <w:szCs w:val="21"/>
        </w:rPr>
      </w:pPr>
      <w:r>
        <w:rPr>
          <w:rFonts w:hint="eastAsia" w:ascii="宋体" w:hAnsi="宋体" w:cs="Arial"/>
          <w:szCs w:val="21"/>
        </w:rPr>
        <w:t>若基金管理人和基金托管人发生变更，未变更的一方有义务协助变更后的接任人接收相应文件。</w:t>
      </w:r>
    </w:p>
    <w:p w14:paraId="5514E103">
      <w:pPr>
        <w:spacing w:line="500" w:lineRule="atLeast"/>
        <w:jc w:val="center"/>
        <w:outlineLvl w:val="0"/>
        <w:rPr>
          <w:rFonts w:ascii="宋体" w:hAnsi="宋体"/>
        </w:rPr>
      </w:pPr>
      <w:bookmarkStart w:id="54" w:name="_Toc382819128"/>
      <w:r>
        <w:rPr>
          <w:rFonts w:hint="eastAsia" w:ascii="宋体" w:hAnsi="宋体"/>
          <w:b/>
          <w:sz w:val="24"/>
        </w:rPr>
        <w:t>十三、基金管理人和基金托管人的更换</w:t>
      </w:r>
      <w:bookmarkEnd w:id="54"/>
    </w:p>
    <w:p w14:paraId="1D0905BC">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55" w:name="_Toc382819129"/>
      <w:r>
        <w:rPr>
          <w:rFonts w:hint="eastAsia" w:ascii="宋体" w:hAnsi="宋体" w:eastAsia="宋体"/>
          <w:b w:val="0"/>
          <w:sz w:val="21"/>
          <w:szCs w:val="21"/>
        </w:rPr>
        <w:t>（一）基金管理人的更换</w:t>
      </w:r>
      <w:bookmarkEnd w:id="55"/>
    </w:p>
    <w:p w14:paraId="7E2DC85F">
      <w:pPr>
        <w:spacing w:line="360" w:lineRule="auto"/>
        <w:ind w:firstLine="420" w:firstLineChars="200"/>
        <w:rPr>
          <w:rFonts w:ascii="宋体" w:hAnsi="宋体"/>
          <w:szCs w:val="21"/>
        </w:rPr>
      </w:pPr>
      <w:r>
        <w:rPr>
          <w:rFonts w:hint="eastAsia" w:ascii="宋体" w:hAnsi="宋体"/>
          <w:szCs w:val="21"/>
        </w:rPr>
        <w:t>1.基金管理人的更换条件</w:t>
      </w:r>
    </w:p>
    <w:p w14:paraId="3D6CE4DD">
      <w:pPr>
        <w:spacing w:line="360" w:lineRule="auto"/>
        <w:ind w:firstLine="420" w:firstLineChars="200"/>
        <w:rPr>
          <w:rFonts w:ascii="宋体" w:hAnsi="宋体"/>
          <w:szCs w:val="21"/>
        </w:rPr>
      </w:pPr>
      <w:r>
        <w:rPr>
          <w:rFonts w:hint="eastAsia" w:ascii="宋体" w:hAnsi="宋体"/>
          <w:szCs w:val="21"/>
        </w:rPr>
        <w:t>有下列情形之一的，基金管理人职责终止：</w:t>
      </w:r>
    </w:p>
    <w:p w14:paraId="1594D1F9">
      <w:pPr>
        <w:spacing w:line="360" w:lineRule="auto"/>
        <w:ind w:firstLine="420" w:firstLineChars="200"/>
        <w:rPr>
          <w:rFonts w:ascii="宋体" w:hAnsi="宋体"/>
          <w:szCs w:val="21"/>
        </w:rPr>
      </w:pPr>
      <w:r>
        <w:rPr>
          <w:rFonts w:hint="eastAsia" w:ascii="宋体" w:hAnsi="宋体"/>
          <w:szCs w:val="21"/>
        </w:rPr>
        <w:t>(1) 被依法取消基金管理资格；</w:t>
      </w:r>
    </w:p>
    <w:p w14:paraId="0947EF37">
      <w:pPr>
        <w:spacing w:line="360" w:lineRule="auto"/>
        <w:ind w:firstLine="420" w:firstLineChars="200"/>
        <w:rPr>
          <w:rFonts w:ascii="宋体" w:hAnsi="宋体"/>
          <w:szCs w:val="21"/>
        </w:rPr>
      </w:pPr>
      <w:r>
        <w:rPr>
          <w:rFonts w:hint="eastAsia" w:ascii="宋体" w:hAnsi="宋体"/>
          <w:szCs w:val="21"/>
        </w:rPr>
        <w:t>(2) 被基金份额持有人大会解任；</w:t>
      </w:r>
    </w:p>
    <w:p w14:paraId="27B0B579">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412EA80B">
      <w:pPr>
        <w:spacing w:line="360" w:lineRule="auto"/>
        <w:ind w:firstLine="420" w:firstLineChars="200"/>
        <w:rPr>
          <w:rFonts w:ascii="宋体" w:hAnsi="宋体"/>
          <w:szCs w:val="21"/>
        </w:rPr>
      </w:pPr>
      <w:r>
        <w:rPr>
          <w:rFonts w:hint="eastAsia" w:ascii="宋体" w:hAnsi="宋体"/>
          <w:szCs w:val="21"/>
        </w:rPr>
        <w:t>(4) 法律法规、中国证监会规定的和《基金合同》规定的其它情形。</w:t>
      </w:r>
    </w:p>
    <w:p w14:paraId="35F1739B">
      <w:pPr>
        <w:spacing w:line="360" w:lineRule="auto"/>
        <w:ind w:firstLine="420" w:firstLineChars="200"/>
        <w:rPr>
          <w:rFonts w:ascii="宋体" w:hAnsi="宋体"/>
          <w:szCs w:val="21"/>
        </w:rPr>
      </w:pPr>
      <w:r>
        <w:rPr>
          <w:rFonts w:hint="eastAsia" w:ascii="宋体" w:hAnsi="宋体"/>
          <w:szCs w:val="21"/>
        </w:rPr>
        <w:t>2.更换基金管理人的程序</w:t>
      </w:r>
    </w:p>
    <w:p w14:paraId="0AECD156">
      <w:pPr>
        <w:spacing w:line="360" w:lineRule="auto"/>
        <w:ind w:firstLine="420" w:firstLineChars="200"/>
        <w:rPr>
          <w:rFonts w:ascii="宋体" w:hAnsi="宋体"/>
          <w:szCs w:val="21"/>
        </w:rPr>
      </w:pPr>
      <w:r>
        <w:rPr>
          <w:rFonts w:hint="eastAsia" w:ascii="宋体" w:hAnsi="宋体"/>
          <w:szCs w:val="21"/>
        </w:rPr>
        <w:t>（1）提名：新任基金管理人由基金托管人或由单独或合计持有10%以上（含10%）基金份额的基金份额持有人提名；</w:t>
      </w:r>
    </w:p>
    <w:p w14:paraId="3A27836B">
      <w:pPr>
        <w:spacing w:line="360" w:lineRule="auto"/>
        <w:ind w:firstLine="420" w:firstLineChars="200"/>
        <w:rPr>
          <w:rFonts w:ascii="宋体" w:hAnsi="宋体"/>
          <w:szCs w:val="21"/>
        </w:rPr>
      </w:pPr>
      <w:r>
        <w:rPr>
          <w:rFonts w:hint="eastAsia" w:ascii="宋体" w:hAnsi="宋体"/>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8E97C09">
      <w:pPr>
        <w:spacing w:line="360" w:lineRule="auto"/>
        <w:ind w:firstLine="420" w:firstLineChars="200"/>
        <w:rPr>
          <w:rFonts w:ascii="宋体" w:hAnsi="宋体"/>
          <w:szCs w:val="21"/>
        </w:rPr>
      </w:pPr>
      <w:r>
        <w:rPr>
          <w:rFonts w:hint="eastAsia" w:ascii="宋体" w:hAnsi="宋体"/>
          <w:szCs w:val="21"/>
        </w:rPr>
        <w:t>（3）临时基金管理人：新任基金管理人产生之前，由中国证监会指定临时基金管理人；</w:t>
      </w:r>
    </w:p>
    <w:p w14:paraId="504828C7">
      <w:pPr>
        <w:spacing w:line="360" w:lineRule="auto"/>
        <w:ind w:firstLine="420" w:firstLineChars="200"/>
        <w:rPr>
          <w:rFonts w:ascii="宋体" w:hAnsi="宋体"/>
          <w:szCs w:val="21"/>
        </w:rPr>
      </w:pPr>
      <w:r>
        <w:rPr>
          <w:rFonts w:hint="eastAsia" w:ascii="宋体" w:hAnsi="宋体"/>
          <w:szCs w:val="21"/>
        </w:rPr>
        <w:t>（4）备案：基金份额持有人大会选任基金管理人的决议须报中国证监会备案；</w:t>
      </w:r>
    </w:p>
    <w:p w14:paraId="7B514D61">
      <w:pPr>
        <w:spacing w:line="360" w:lineRule="auto"/>
        <w:ind w:firstLine="420" w:firstLineChars="200"/>
        <w:rPr>
          <w:rFonts w:ascii="宋体" w:hAnsi="宋体"/>
          <w:szCs w:val="21"/>
        </w:rPr>
      </w:pPr>
      <w:r>
        <w:rPr>
          <w:rFonts w:hint="eastAsia" w:ascii="宋体" w:hAnsi="宋体"/>
          <w:szCs w:val="21"/>
        </w:rPr>
        <w:t>（5）公告：基金管理人更换后，由基金托管人在更换基金管理人的基金份额持有人大会决议生效后按规定在规定媒介公告；</w:t>
      </w:r>
    </w:p>
    <w:p w14:paraId="79128270">
      <w:pPr>
        <w:spacing w:line="360" w:lineRule="auto"/>
        <w:ind w:firstLine="420" w:firstLineChars="200"/>
        <w:rPr>
          <w:rFonts w:ascii="宋体" w:hAnsi="宋体"/>
          <w:szCs w:val="21"/>
        </w:rPr>
      </w:pPr>
      <w:r>
        <w:rPr>
          <w:rFonts w:hint="eastAsia"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5622FACC">
      <w:pPr>
        <w:spacing w:line="360" w:lineRule="auto"/>
        <w:ind w:firstLine="420" w:firstLineChars="200"/>
        <w:rPr>
          <w:rFonts w:ascii="宋体" w:hAnsi="宋体"/>
          <w:szCs w:val="21"/>
        </w:rPr>
      </w:pPr>
      <w:r>
        <w:rPr>
          <w:rFonts w:hint="eastAsia" w:ascii="宋体" w:hAnsi="宋体"/>
          <w:szCs w:val="21"/>
        </w:rPr>
        <w:t>（7）审计：基金管理人职责终止的，应当按照法律法规规定聘请符合《中华人民共和国证券法》规定的会计师事务所对基金财产进行审计，并将审计结果予以公告，同时报中国证监会备案，审计费由基金财产承担；</w:t>
      </w:r>
    </w:p>
    <w:p w14:paraId="16FC448B">
      <w:pPr>
        <w:spacing w:line="360" w:lineRule="auto"/>
        <w:ind w:firstLine="420" w:firstLineChars="200"/>
        <w:rPr>
          <w:rFonts w:ascii="宋体" w:hAnsi="宋体"/>
          <w:szCs w:val="21"/>
        </w:rPr>
      </w:pPr>
      <w:r>
        <w:rPr>
          <w:rFonts w:hint="eastAsia" w:ascii="宋体" w:hAnsi="宋体"/>
          <w:szCs w:val="21"/>
        </w:rPr>
        <w:t>（8）基金名称变更：基金管理人更换后，如果原任或新任基金管理人要求，应按其要求替换或删除基金名称中与原基金管理人有关的名称字样。</w:t>
      </w:r>
    </w:p>
    <w:p w14:paraId="66DE5991">
      <w:pPr>
        <w:spacing w:line="360" w:lineRule="auto"/>
        <w:ind w:firstLine="420" w:firstLineChars="200"/>
        <w:rPr>
          <w:rFonts w:ascii="宋体" w:hAnsi="宋体"/>
          <w:szCs w:val="21"/>
        </w:rPr>
      </w:pPr>
      <w:r>
        <w:rPr>
          <w:rFonts w:hint="eastAsia" w:ascii="宋体" w:hAnsi="宋体"/>
          <w:szCs w:val="21"/>
        </w:rPr>
        <w:t>3.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14:paraId="7B1EFE0B">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56" w:name="_Toc382819130"/>
      <w:r>
        <w:rPr>
          <w:rFonts w:hint="eastAsia" w:ascii="宋体" w:hAnsi="宋体" w:eastAsia="宋体"/>
          <w:b w:val="0"/>
          <w:sz w:val="21"/>
          <w:szCs w:val="21"/>
        </w:rPr>
        <w:t>（二）基金托管人的更换</w:t>
      </w:r>
      <w:bookmarkEnd w:id="56"/>
    </w:p>
    <w:p w14:paraId="6F04DB30">
      <w:pPr>
        <w:spacing w:line="360" w:lineRule="auto"/>
        <w:ind w:firstLine="420" w:firstLineChars="200"/>
        <w:rPr>
          <w:rFonts w:ascii="宋体" w:hAnsi="宋体"/>
          <w:szCs w:val="21"/>
        </w:rPr>
      </w:pPr>
      <w:r>
        <w:rPr>
          <w:rFonts w:hint="eastAsia" w:ascii="宋体" w:hAnsi="宋体"/>
          <w:szCs w:val="21"/>
        </w:rPr>
        <w:t>1.基金托管人的更换条件</w:t>
      </w:r>
    </w:p>
    <w:p w14:paraId="2859AF8F">
      <w:pPr>
        <w:spacing w:line="360" w:lineRule="auto"/>
        <w:ind w:firstLine="420" w:firstLineChars="200"/>
        <w:rPr>
          <w:rFonts w:ascii="宋体" w:hAnsi="宋体"/>
          <w:szCs w:val="21"/>
        </w:rPr>
      </w:pPr>
      <w:r>
        <w:rPr>
          <w:rFonts w:hint="eastAsia" w:ascii="宋体" w:hAnsi="宋体"/>
          <w:szCs w:val="21"/>
        </w:rPr>
        <w:t>有下列情形之一的，基金托管人职责终止：</w:t>
      </w:r>
    </w:p>
    <w:p w14:paraId="13B0C2D0">
      <w:pPr>
        <w:spacing w:line="360" w:lineRule="auto"/>
        <w:ind w:firstLine="420" w:firstLineChars="200"/>
        <w:rPr>
          <w:rFonts w:ascii="宋体" w:hAnsi="宋体"/>
          <w:szCs w:val="21"/>
        </w:rPr>
      </w:pPr>
      <w:r>
        <w:rPr>
          <w:rFonts w:hint="eastAsia" w:ascii="宋体" w:hAnsi="宋体"/>
          <w:szCs w:val="21"/>
        </w:rPr>
        <w:t>(1) 被依法取消基金托管人资格；</w:t>
      </w:r>
    </w:p>
    <w:p w14:paraId="7F2E726F">
      <w:pPr>
        <w:spacing w:line="360" w:lineRule="auto"/>
        <w:ind w:firstLine="420" w:firstLineChars="200"/>
        <w:rPr>
          <w:rFonts w:ascii="宋体" w:hAnsi="宋体"/>
          <w:szCs w:val="21"/>
        </w:rPr>
      </w:pPr>
      <w:r>
        <w:rPr>
          <w:rFonts w:hint="eastAsia" w:ascii="宋体" w:hAnsi="宋体"/>
          <w:szCs w:val="21"/>
        </w:rPr>
        <w:t>(2) 被基金份额持有人大会解任；</w:t>
      </w:r>
    </w:p>
    <w:p w14:paraId="33E91A77">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10A910BD">
      <w:pPr>
        <w:spacing w:line="360" w:lineRule="auto"/>
        <w:ind w:firstLine="420" w:firstLineChars="200"/>
        <w:rPr>
          <w:rFonts w:ascii="宋体" w:hAnsi="宋体"/>
          <w:szCs w:val="21"/>
        </w:rPr>
      </w:pPr>
      <w:r>
        <w:rPr>
          <w:rFonts w:hint="eastAsia" w:ascii="宋体" w:hAnsi="宋体"/>
          <w:szCs w:val="21"/>
        </w:rPr>
        <w:t>(4) 法律法规及中国证监会规定的和《基金合同》约定的其他情形。</w:t>
      </w:r>
    </w:p>
    <w:p w14:paraId="40F3DD67">
      <w:pPr>
        <w:spacing w:line="360" w:lineRule="auto"/>
        <w:ind w:firstLine="420" w:firstLineChars="200"/>
        <w:rPr>
          <w:rFonts w:ascii="宋体" w:hAnsi="宋体"/>
          <w:szCs w:val="21"/>
        </w:rPr>
      </w:pPr>
      <w:r>
        <w:rPr>
          <w:rFonts w:hint="eastAsia" w:ascii="宋体" w:hAnsi="宋体"/>
          <w:szCs w:val="21"/>
        </w:rPr>
        <w:t>2.更换基金托管人的程序</w:t>
      </w:r>
    </w:p>
    <w:p w14:paraId="6681A1D7">
      <w:pPr>
        <w:spacing w:line="360" w:lineRule="auto"/>
        <w:ind w:firstLine="472" w:firstLineChars="225"/>
        <w:rPr>
          <w:rFonts w:ascii="宋体" w:hAnsi="宋体"/>
          <w:szCs w:val="21"/>
        </w:rPr>
      </w:pPr>
      <w:r>
        <w:rPr>
          <w:rFonts w:hint="eastAsia" w:ascii="宋体" w:hAnsi="宋体"/>
          <w:szCs w:val="21"/>
        </w:rPr>
        <w:t>（1）提名：新任基金托管人由基金管理人或由单独或合计持有10%以上（含10%）基金份额的基金份额持有人提名；</w:t>
      </w:r>
    </w:p>
    <w:p w14:paraId="162AA4C0">
      <w:pPr>
        <w:spacing w:line="360" w:lineRule="auto"/>
        <w:ind w:firstLine="472" w:firstLineChars="225"/>
        <w:rPr>
          <w:rFonts w:ascii="宋体" w:hAnsi="宋体"/>
          <w:szCs w:val="21"/>
        </w:rPr>
      </w:pPr>
      <w:r>
        <w:rPr>
          <w:rFonts w:hint="eastAsia" w:ascii="宋体" w:hAnsi="宋体"/>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CFF25F3">
      <w:pPr>
        <w:spacing w:line="360" w:lineRule="auto"/>
        <w:ind w:firstLine="472" w:firstLineChars="225"/>
        <w:rPr>
          <w:rFonts w:ascii="宋体" w:hAnsi="宋体"/>
          <w:szCs w:val="21"/>
        </w:rPr>
      </w:pPr>
      <w:r>
        <w:rPr>
          <w:rFonts w:hint="eastAsia" w:ascii="宋体" w:hAnsi="宋体"/>
          <w:szCs w:val="21"/>
        </w:rPr>
        <w:t>（3）临时基金托管人：新任基金托管人产生之前，由中国证监会指定临时基金托管人；</w:t>
      </w:r>
    </w:p>
    <w:p w14:paraId="635FD110">
      <w:pPr>
        <w:spacing w:line="360" w:lineRule="auto"/>
        <w:ind w:firstLine="472" w:firstLineChars="225"/>
        <w:rPr>
          <w:rFonts w:ascii="宋体" w:hAnsi="宋体"/>
          <w:szCs w:val="21"/>
        </w:rPr>
      </w:pPr>
      <w:r>
        <w:rPr>
          <w:rFonts w:hint="eastAsia" w:ascii="宋体" w:hAnsi="宋体"/>
          <w:szCs w:val="21"/>
        </w:rPr>
        <w:t>（4）备案：基金份额持有人大会更换基金托管人的决议须报中国证监会备案；</w:t>
      </w:r>
    </w:p>
    <w:p w14:paraId="6DE44154">
      <w:pPr>
        <w:spacing w:line="360" w:lineRule="auto"/>
        <w:ind w:firstLine="472" w:firstLineChars="225"/>
        <w:rPr>
          <w:rFonts w:ascii="宋体" w:hAnsi="宋体"/>
          <w:szCs w:val="21"/>
        </w:rPr>
      </w:pPr>
      <w:r>
        <w:rPr>
          <w:rFonts w:hint="eastAsia" w:ascii="宋体" w:hAnsi="宋体"/>
          <w:szCs w:val="21"/>
        </w:rPr>
        <w:t>（5）公告：基金托管人更换后，由基金管理人在更换基金托管人的基金份额持有人大会决议生效后按规定在规定媒介公告；</w:t>
      </w:r>
    </w:p>
    <w:p w14:paraId="68AB30A5">
      <w:pPr>
        <w:spacing w:line="360" w:lineRule="auto"/>
        <w:ind w:firstLine="472" w:firstLineChars="225"/>
        <w:rPr>
          <w:rFonts w:ascii="宋体" w:hAnsi="宋体"/>
          <w:szCs w:val="21"/>
        </w:rPr>
      </w:pPr>
      <w:r>
        <w:rPr>
          <w:rFonts w:hint="eastAsia" w:ascii="宋体" w:hAnsi="宋体"/>
          <w:szCs w:val="21"/>
        </w:rPr>
        <w:t xml:space="preserve">（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 </w:t>
      </w:r>
    </w:p>
    <w:p w14:paraId="0A7610F9">
      <w:pPr>
        <w:spacing w:line="360" w:lineRule="auto"/>
        <w:ind w:firstLine="472" w:firstLineChars="225"/>
        <w:rPr>
          <w:rFonts w:ascii="宋体" w:hAnsi="宋体"/>
          <w:szCs w:val="21"/>
        </w:rPr>
      </w:pPr>
      <w:r>
        <w:rPr>
          <w:rFonts w:hint="eastAsia" w:ascii="宋体" w:hAnsi="宋体"/>
          <w:szCs w:val="21"/>
        </w:rPr>
        <w:t>（7）审计：基金托管人职责终止的，应当按照法律法规规定聘请符合《中华人民共和国证券法》规定的会计师事务所对基金财产进行审计，并将审计结果予以公告，同时报中国证监会备案。审计费由基金财产承担。</w:t>
      </w:r>
    </w:p>
    <w:p w14:paraId="6E75CA90">
      <w:pPr>
        <w:spacing w:line="360" w:lineRule="auto"/>
        <w:ind w:firstLine="472" w:firstLineChars="225"/>
        <w:rPr>
          <w:rFonts w:ascii="宋体" w:hAnsi="宋体"/>
          <w:szCs w:val="21"/>
        </w:rPr>
      </w:pPr>
      <w:r>
        <w:rPr>
          <w:rFonts w:hint="eastAsia" w:ascii="宋体" w:hAnsi="宋体"/>
          <w:szCs w:val="21"/>
        </w:rPr>
        <w:t>3.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p>
    <w:p w14:paraId="37E8F9AA">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w:t>
      </w:r>
      <w:r>
        <w:rPr>
          <w:rFonts w:ascii="宋体" w:hAnsi="宋体" w:eastAsia="宋体"/>
          <w:b w:val="0"/>
          <w:sz w:val="21"/>
          <w:szCs w:val="21"/>
        </w:rPr>
        <w:tab/>
      </w:r>
      <w:r>
        <w:rPr>
          <w:rFonts w:hint="eastAsia" w:ascii="宋体" w:hAnsi="宋体" w:eastAsia="宋体"/>
          <w:b w:val="0"/>
          <w:sz w:val="21"/>
          <w:szCs w:val="21"/>
        </w:rPr>
        <w:t>基金管理人和基金托管人的同时更换程序</w:t>
      </w:r>
    </w:p>
    <w:p w14:paraId="7FBEB244">
      <w:pPr>
        <w:spacing w:line="360" w:lineRule="auto"/>
        <w:ind w:firstLine="472" w:firstLineChars="225"/>
        <w:rPr>
          <w:rFonts w:ascii="宋体" w:hAnsi="宋体"/>
          <w:szCs w:val="21"/>
        </w:rPr>
      </w:pPr>
      <w:r>
        <w:rPr>
          <w:rFonts w:hint="eastAsia" w:ascii="宋体" w:hAnsi="宋体"/>
          <w:szCs w:val="21"/>
        </w:rPr>
        <w:t>同时更换</w:t>
      </w:r>
      <w:r>
        <w:rPr>
          <w:rFonts w:hint="eastAsia" w:ascii="宋体" w:hAnsi="宋体"/>
          <w:bCs/>
          <w:szCs w:val="21"/>
        </w:rPr>
        <w:t>基金管理人和基金托管人，分别按照上述基金管理人和基金托管人更换程序进行。</w:t>
      </w:r>
    </w:p>
    <w:p w14:paraId="51C9CDCB">
      <w:pPr>
        <w:spacing w:line="500" w:lineRule="atLeast"/>
        <w:jc w:val="center"/>
        <w:outlineLvl w:val="0"/>
        <w:rPr>
          <w:rFonts w:ascii="宋体" w:hAnsi="宋体"/>
        </w:rPr>
      </w:pPr>
      <w:bookmarkStart w:id="57" w:name="_Toc382819131"/>
      <w:r>
        <w:rPr>
          <w:rFonts w:hint="eastAsia" w:ascii="宋体" w:hAnsi="宋体"/>
          <w:b/>
          <w:sz w:val="24"/>
        </w:rPr>
        <w:t>十四、禁止行为</w:t>
      </w:r>
      <w:bookmarkEnd w:id="57"/>
    </w:p>
    <w:p w14:paraId="45E8BE96">
      <w:pPr>
        <w:spacing w:line="360" w:lineRule="auto"/>
        <w:ind w:firstLine="472" w:firstLineChars="225"/>
        <w:rPr>
          <w:rFonts w:ascii="宋体" w:hAnsi="宋体"/>
          <w:szCs w:val="21"/>
        </w:rPr>
      </w:pPr>
      <w:r>
        <w:rPr>
          <w:rFonts w:hint="eastAsia" w:ascii="宋体" w:hAnsi="宋体"/>
          <w:szCs w:val="21"/>
        </w:rPr>
        <w:t>托管协议当事人禁止从事的行为，包括但不限于：</w:t>
      </w:r>
    </w:p>
    <w:p w14:paraId="0CE4522B">
      <w:pPr>
        <w:spacing w:line="360" w:lineRule="auto"/>
        <w:ind w:firstLine="472" w:firstLineChars="225"/>
        <w:rPr>
          <w:rFonts w:ascii="宋体" w:hAnsi="宋体"/>
          <w:szCs w:val="21"/>
        </w:rPr>
      </w:pPr>
      <w:r>
        <w:rPr>
          <w:rFonts w:hint="eastAsia" w:ascii="宋体" w:hAnsi="宋体"/>
          <w:szCs w:val="21"/>
        </w:rPr>
        <w:t>（一）基金管理人、基金托管人将其固有财产或者他人财产混同于基金财产从事证券投资。</w:t>
      </w:r>
    </w:p>
    <w:p w14:paraId="2E30EEA6">
      <w:pPr>
        <w:spacing w:line="360" w:lineRule="auto"/>
        <w:ind w:firstLine="472" w:firstLineChars="225"/>
        <w:rPr>
          <w:rFonts w:ascii="宋体" w:hAnsi="宋体"/>
          <w:szCs w:val="21"/>
        </w:rPr>
      </w:pPr>
      <w:r>
        <w:rPr>
          <w:rFonts w:hint="eastAsia" w:ascii="宋体" w:hAnsi="宋体"/>
          <w:szCs w:val="21"/>
        </w:rPr>
        <w:t>（二）基金管理人、基金托管人不公平地对待其管理或托管的不同基金财产。</w:t>
      </w:r>
    </w:p>
    <w:p w14:paraId="26402488">
      <w:pPr>
        <w:spacing w:line="360" w:lineRule="auto"/>
        <w:ind w:firstLine="472" w:firstLineChars="225"/>
        <w:rPr>
          <w:rFonts w:ascii="宋体" w:hAnsi="宋体"/>
          <w:szCs w:val="21"/>
        </w:rPr>
      </w:pPr>
      <w:r>
        <w:rPr>
          <w:rFonts w:hint="eastAsia" w:ascii="宋体" w:hAnsi="宋体"/>
          <w:szCs w:val="21"/>
        </w:rPr>
        <w:t>（三）基金管理人、基金托管人利用基金财产为基金份额持有人以外的第三人牟取利益。</w:t>
      </w:r>
    </w:p>
    <w:p w14:paraId="05C6412A">
      <w:pPr>
        <w:spacing w:line="360" w:lineRule="auto"/>
        <w:ind w:firstLine="472" w:firstLineChars="225"/>
        <w:rPr>
          <w:rFonts w:ascii="宋体" w:hAnsi="宋体"/>
          <w:szCs w:val="21"/>
        </w:rPr>
      </w:pPr>
      <w:r>
        <w:rPr>
          <w:rFonts w:hint="eastAsia" w:ascii="宋体" w:hAnsi="宋体"/>
          <w:szCs w:val="21"/>
        </w:rPr>
        <w:t>（四）基金管理人、基金托管人向基金份额持有人违规承诺收益或者承担损失。</w:t>
      </w:r>
    </w:p>
    <w:p w14:paraId="21BE8DE0">
      <w:pPr>
        <w:spacing w:line="360" w:lineRule="auto"/>
        <w:ind w:firstLine="472" w:firstLineChars="225"/>
        <w:rPr>
          <w:rFonts w:ascii="宋体" w:hAnsi="宋体"/>
          <w:szCs w:val="21"/>
        </w:rPr>
      </w:pPr>
      <w:r>
        <w:rPr>
          <w:rFonts w:hint="eastAsia" w:ascii="宋体" w:hAnsi="宋体"/>
          <w:szCs w:val="21"/>
        </w:rPr>
        <w:t>（五）基金管理人、基金托管人对他人泄露基金经营过程中任何尚未按法律法规规定的方式公开披露的信息。</w:t>
      </w:r>
    </w:p>
    <w:p w14:paraId="265584E5">
      <w:pPr>
        <w:spacing w:line="360" w:lineRule="auto"/>
        <w:ind w:firstLine="472" w:firstLineChars="225"/>
        <w:rPr>
          <w:rFonts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14:paraId="39D819B6">
      <w:pPr>
        <w:spacing w:line="360" w:lineRule="auto"/>
        <w:ind w:firstLine="472" w:firstLineChars="225"/>
        <w:rPr>
          <w:rFonts w:ascii="宋体" w:hAnsi="宋体"/>
          <w:szCs w:val="21"/>
        </w:rPr>
      </w:pPr>
      <w:r>
        <w:rPr>
          <w:rFonts w:hint="eastAsia" w:ascii="宋体" w:hAnsi="宋体"/>
          <w:szCs w:val="21"/>
        </w:rPr>
        <w:t>（七）基金托管人对基金管理人的符合本协议约定的有效指令拖延或拒绝执行。</w:t>
      </w:r>
    </w:p>
    <w:p w14:paraId="325F30C3">
      <w:pPr>
        <w:spacing w:line="360" w:lineRule="auto"/>
        <w:ind w:firstLine="472" w:firstLineChars="225"/>
        <w:rPr>
          <w:rFonts w:ascii="宋体" w:hAnsi="宋体"/>
          <w:szCs w:val="21"/>
        </w:rPr>
      </w:pPr>
      <w:r>
        <w:rPr>
          <w:rFonts w:hint="eastAsia" w:ascii="宋体" w:hAnsi="宋体"/>
          <w:szCs w:val="21"/>
        </w:rPr>
        <w:t xml:space="preserve">（八）基金管理人、基金托管人在行政上、财务上不独立，其高级基金管理人员相互兼职。 </w:t>
      </w:r>
    </w:p>
    <w:p w14:paraId="08DE73EC">
      <w:pPr>
        <w:spacing w:line="360" w:lineRule="auto"/>
        <w:ind w:firstLine="472" w:firstLineChars="225"/>
        <w:rPr>
          <w:rFonts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14:paraId="5911D85C">
      <w:pPr>
        <w:spacing w:line="360" w:lineRule="auto"/>
        <w:ind w:firstLine="472" w:firstLineChars="225"/>
        <w:rPr>
          <w:rFonts w:ascii="宋体" w:hAnsi="宋体"/>
          <w:szCs w:val="21"/>
        </w:rPr>
      </w:pPr>
      <w:r>
        <w:rPr>
          <w:rFonts w:hint="eastAsia" w:ascii="宋体" w:hAnsi="宋体"/>
          <w:szCs w:val="21"/>
        </w:rPr>
        <w:t>（十）基金管理人、基金托管人不得利用基金财产用于下列投资或者活动：</w:t>
      </w:r>
    </w:p>
    <w:p w14:paraId="1CA62108">
      <w:pPr>
        <w:spacing w:line="360" w:lineRule="auto"/>
        <w:ind w:firstLine="682" w:firstLineChars="325"/>
        <w:rPr>
          <w:rFonts w:ascii="宋体" w:hAnsi="宋体"/>
          <w:szCs w:val="21"/>
        </w:rPr>
      </w:pPr>
      <w:r>
        <w:rPr>
          <w:rFonts w:hint="eastAsia" w:ascii="宋体" w:hAnsi="宋体"/>
          <w:szCs w:val="21"/>
        </w:rPr>
        <w:t>1. 承销证券；</w:t>
      </w:r>
    </w:p>
    <w:p w14:paraId="2C4E010E">
      <w:pPr>
        <w:spacing w:line="360" w:lineRule="auto"/>
        <w:ind w:firstLine="682" w:firstLineChars="325"/>
        <w:rPr>
          <w:rFonts w:ascii="宋体" w:hAnsi="宋体"/>
          <w:szCs w:val="21"/>
        </w:rPr>
      </w:pPr>
      <w:r>
        <w:rPr>
          <w:rFonts w:hint="eastAsia" w:ascii="宋体" w:hAnsi="宋体"/>
          <w:szCs w:val="21"/>
        </w:rPr>
        <w:t>2.违反规定向他人贷款或者提供担保；</w:t>
      </w:r>
    </w:p>
    <w:p w14:paraId="478B450F">
      <w:pPr>
        <w:spacing w:line="360" w:lineRule="auto"/>
        <w:ind w:firstLine="682" w:firstLineChars="325"/>
        <w:rPr>
          <w:rFonts w:ascii="宋体" w:hAnsi="宋体"/>
          <w:szCs w:val="21"/>
        </w:rPr>
      </w:pPr>
      <w:r>
        <w:rPr>
          <w:rFonts w:hint="eastAsia" w:ascii="宋体" w:hAnsi="宋体"/>
          <w:szCs w:val="21"/>
        </w:rPr>
        <w:t>3.从事承担无限责任的投资；</w:t>
      </w:r>
    </w:p>
    <w:p w14:paraId="44E53B86">
      <w:pPr>
        <w:spacing w:line="360" w:lineRule="auto"/>
        <w:ind w:firstLine="682" w:firstLineChars="325"/>
        <w:rPr>
          <w:rFonts w:ascii="宋体" w:hAnsi="宋体"/>
          <w:szCs w:val="21"/>
        </w:rPr>
      </w:pPr>
      <w:r>
        <w:rPr>
          <w:rFonts w:hint="eastAsia" w:ascii="宋体" w:hAnsi="宋体"/>
          <w:szCs w:val="21"/>
        </w:rPr>
        <w:t>4.向基金管理人、基金托管人出资；</w:t>
      </w:r>
    </w:p>
    <w:p w14:paraId="29294CD0">
      <w:pPr>
        <w:spacing w:line="360" w:lineRule="auto"/>
        <w:ind w:firstLine="682" w:firstLineChars="325"/>
        <w:rPr>
          <w:rFonts w:ascii="宋体" w:hAnsi="宋体"/>
          <w:szCs w:val="21"/>
        </w:rPr>
      </w:pPr>
      <w:r>
        <w:rPr>
          <w:rFonts w:hint="eastAsia" w:ascii="宋体" w:hAnsi="宋体"/>
          <w:szCs w:val="21"/>
        </w:rPr>
        <w:t>5.从事内幕交易、操纵证券交易价格及其他不正当的证券交易活动；</w:t>
      </w:r>
    </w:p>
    <w:p w14:paraId="307485D4">
      <w:pPr>
        <w:spacing w:line="360" w:lineRule="auto"/>
        <w:ind w:firstLine="682" w:firstLineChars="325"/>
        <w:rPr>
          <w:rFonts w:ascii="宋体" w:hAnsi="宋体"/>
          <w:szCs w:val="21"/>
        </w:rPr>
      </w:pPr>
      <w:r>
        <w:rPr>
          <w:rFonts w:hint="eastAsia" w:ascii="宋体" w:hAnsi="宋体"/>
          <w:szCs w:val="21"/>
        </w:rPr>
        <w:t>6.持有具有复杂、衍生品性质的基金份额，包括分级基金和中国证监会认定的其他基金份额，但中国证监会认可或批准的特殊基金中基金除外；</w:t>
      </w:r>
    </w:p>
    <w:p w14:paraId="013EEDB0">
      <w:pPr>
        <w:spacing w:line="360" w:lineRule="auto"/>
        <w:ind w:firstLine="682" w:firstLineChars="325"/>
        <w:rPr>
          <w:rFonts w:ascii="宋体" w:hAnsi="宋体"/>
          <w:szCs w:val="21"/>
        </w:rPr>
      </w:pPr>
      <w:r>
        <w:rPr>
          <w:rFonts w:hint="eastAsia" w:ascii="宋体" w:hAnsi="宋体"/>
          <w:szCs w:val="21"/>
        </w:rPr>
        <w:t>7.投资其他基金中基金；</w:t>
      </w:r>
    </w:p>
    <w:p w14:paraId="663119FB">
      <w:pPr>
        <w:spacing w:line="360" w:lineRule="auto"/>
        <w:ind w:firstLine="682" w:firstLineChars="325"/>
        <w:rPr>
          <w:rFonts w:ascii="宋体" w:hAnsi="宋体"/>
          <w:szCs w:val="21"/>
        </w:rPr>
      </w:pPr>
      <w:r>
        <w:rPr>
          <w:rFonts w:hint="eastAsia" w:ascii="宋体" w:hAnsi="宋体"/>
          <w:szCs w:val="21"/>
        </w:rPr>
        <w:t>8.法律、行政法规和中国证监会规定禁止的其他活动。</w:t>
      </w:r>
    </w:p>
    <w:p w14:paraId="04BE9000">
      <w:pPr>
        <w:spacing w:line="360" w:lineRule="auto"/>
        <w:ind w:firstLine="472" w:firstLineChars="225"/>
        <w:rPr>
          <w:rFonts w:ascii="宋体" w:hAnsi="宋体"/>
          <w:szCs w:val="21"/>
        </w:rPr>
      </w:pPr>
      <w:r>
        <w:rPr>
          <w:rFonts w:hint="eastAsia" w:ascii="宋体" w:hAnsi="宋体"/>
          <w:szCs w:val="21"/>
        </w:rPr>
        <w:t>（十一）根据《商业银行托管业务监督管理办法（试行）》，基金托管人不得承担以下职责，法律另有规定的除外：</w:t>
      </w:r>
    </w:p>
    <w:p w14:paraId="1DA6F877">
      <w:pPr>
        <w:pStyle w:val="40"/>
        <w:numPr>
          <w:ilvl w:val="0"/>
          <w:numId w:val="3"/>
        </w:numPr>
        <w:spacing w:line="360" w:lineRule="auto"/>
        <w:ind w:firstLineChars="0"/>
        <w:rPr>
          <w:rFonts w:ascii="宋体" w:hAnsi="宋体"/>
          <w:szCs w:val="21"/>
        </w:rPr>
      </w:pPr>
      <w:r>
        <w:rPr>
          <w:rFonts w:hint="eastAsia" w:ascii="宋体" w:hAnsi="宋体"/>
          <w:szCs w:val="21"/>
        </w:rPr>
        <w:t>承担基金财产的信用风险、市场风险等；</w:t>
      </w:r>
    </w:p>
    <w:p w14:paraId="2996A401">
      <w:pPr>
        <w:pStyle w:val="40"/>
        <w:numPr>
          <w:ilvl w:val="0"/>
          <w:numId w:val="3"/>
        </w:numPr>
        <w:spacing w:line="360" w:lineRule="auto"/>
        <w:ind w:firstLineChars="0"/>
        <w:rPr>
          <w:rFonts w:ascii="宋体" w:hAnsi="宋体"/>
          <w:szCs w:val="21"/>
        </w:rPr>
      </w:pPr>
      <w:r>
        <w:rPr>
          <w:rFonts w:hint="eastAsia" w:ascii="宋体" w:hAnsi="宋体"/>
          <w:szCs w:val="21"/>
        </w:rPr>
        <w:t>为基金财产提供直接或间接、显性或隐性担保，包括承诺本金或保证收益；</w:t>
      </w:r>
    </w:p>
    <w:p w14:paraId="131E8BBD"/>
    <w:p w14:paraId="15E38F2E">
      <w:pPr>
        <w:pStyle w:val="40"/>
        <w:numPr>
          <w:ilvl w:val="0"/>
          <w:numId w:val="3"/>
        </w:numPr>
        <w:spacing w:line="360" w:lineRule="auto"/>
        <w:ind w:firstLineChars="0"/>
        <w:rPr>
          <w:rFonts w:ascii="宋体" w:hAnsi="宋体"/>
          <w:szCs w:val="21"/>
        </w:rPr>
      </w:pPr>
      <w:r>
        <w:rPr>
          <w:rFonts w:hint="eastAsia" w:ascii="宋体" w:hAnsi="宋体"/>
          <w:b/>
          <w:bCs/>
          <w:szCs w:val="21"/>
        </w:rPr>
        <w:t>为基金财产垫付资金、提供流动性支持或融资承诺等；</w:t>
      </w:r>
    </w:p>
    <w:p w14:paraId="55F8900E">
      <w:pPr>
        <w:pStyle w:val="40"/>
        <w:numPr>
          <w:ilvl w:val="0"/>
          <w:numId w:val="3"/>
        </w:numPr>
        <w:spacing w:line="360" w:lineRule="auto"/>
        <w:ind w:firstLineChars="0"/>
        <w:rPr>
          <w:rFonts w:ascii="宋体" w:hAnsi="宋体"/>
          <w:szCs w:val="21"/>
        </w:rPr>
      </w:pPr>
      <w:r>
        <w:rPr>
          <w:rFonts w:hint="eastAsia" w:ascii="宋体" w:hAnsi="宋体"/>
          <w:szCs w:val="21"/>
        </w:rPr>
        <w:t>参与投资者适当性管理；</w:t>
      </w:r>
      <w:r>
        <w:rPr>
          <w:rFonts w:ascii="宋体" w:hAnsi="宋体"/>
          <w:szCs w:val="21"/>
        </w:rPr>
        <w:t xml:space="preserve"> </w:t>
      </w:r>
    </w:p>
    <w:p w14:paraId="3BBB59B4">
      <w:pPr>
        <w:pStyle w:val="40"/>
        <w:numPr>
          <w:ilvl w:val="0"/>
          <w:numId w:val="3"/>
        </w:numPr>
        <w:spacing w:line="360" w:lineRule="auto"/>
        <w:ind w:firstLineChars="0"/>
        <w:rPr>
          <w:rFonts w:ascii="宋体" w:hAnsi="宋体"/>
          <w:szCs w:val="21"/>
        </w:rPr>
      </w:pPr>
      <w:r>
        <w:rPr>
          <w:rFonts w:hint="eastAsia" w:ascii="宋体" w:hAnsi="宋体"/>
          <w:szCs w:val="21"/>
        </w:rPr>
        <w:t>保证投资项目及交易信息真实性；</w:t>
      </w:r>
      <w:r>
        <w:rPr>
          <w:rFonts w:ascii="宋体" w:hAnsi="宋体"/>
          <w:szCs w:val="21"/>
        </w:rPr>
        <w:t xml:space="preserve"> </w:t>
      </w:r>
    </w:p>
    <w:p w14:paraId="1D6D2875">
      <w:pPr>
        <w:pStyle w:val="40"/>
        <w:numPr>
          <w:ilvl w:val="0"/>
          <w:numId w:val="3"/>
        </w:numPr>
        <w:spacing w:line="360" w:lineRule="auto"/>
        <w:ind w:firstLineChars="0"/>
        <w:rPr>
          <w:rFonts w:ascii="宋体" w:hAnsi="宋体"/>
          <w:szCs w:val="21"/>
        </w:rPr>
      </w:pPr>
      <w:r>
        <w:rPr>
          <w:rFonts w:hint="eastAsia" w:ascii="宋体" w:hAnsi="宋体"/>
          <w:szCs w:val="21"/>
        </w:rPr>
        <w:t>保证基金财产资金来源的合法合规性；</w:t>
      </w:r>
    </w:p>
    <w:p w14:paraId="7FB5D0B7">
      <w:pPr>
        <w:pStyle w:val="40"/>
        <w:numPr>
          <w:ilvl w:val="0"/>
          <w:numId w:val="3"/>
        </w:numPr>
        <w:spacing w:line="360" w:lineRule="auto"/>
        <w:ind w:firstLineChars="0"/>
        <w:rPr>
          <w:rFonts w:ascii="宋体" w:hAnsi="宋体"/>
          <w:szCs w:val="21"/>
        </w:rPr>
      </w:pPr>
      <w:r>
        <w:rPr>
          <w:rFonts w:hint="eastAsia" w:ascii="宋体" w:hAnsi="宋体"/>
          <w:b/>
          <w:bCs/>
          <w:szCs w:val="21"/>
        </w:rPr>
        <w:t>对已划出托管账户以及处于基金托管人实际控制之外的资产承担保管责任；</w:t>
      </w:r>
    </w:p>
    <w:p w14:paraId="7D14EFDE">
      <w:pPr>
        <w:pStyle w:val="40"/>
        <w:numPr>
          <w:ilvl w:val="0"/>
          <w:numId w:val="3"/>
        </w:numPr>
        <w:spacing w:line="360" w:lineRule="auto"/>
        <w:ind w:firstLineChars="0"/>
        <w:rPr>
          <w:rFonts w:ascii="宋体" w:hAnsi="宋体"/>
          <w:szCs w:val="21"/>
        </w:rPr>
      </w:pPr>
      <w:r>
        <w:rPr>
          <w:rFonts w:hint="eastAsia" w:ascii="宋体" w:hAnsi="宋体"/>
          <w:szCs w:val="21"/>
        </w:rPr>
        <w:t>参与基金管理人对托管产品的投资决策；</w:t>
      </w:r>
    </w:p>
    <w:p w14:paraId="27430D5D">
      <w:pPr>
        <w:pStyle w:val="40"/>
        <w:numPr>
          <w:ilvl w:val="0"/>
          <w:numId w:val="3"/>
        </w:numPr>
        <w:spacing w:line="360" w:lineRule="auto"/>
        <w:ind w:firstLineChars="0"/>
        <w:rPr>
          <w:rFonts w:ascii="宋体" w:hAnsi="宋体"/>
          <w:szCs w:val="21"/>
        </w:rPr>
      </w:pPr>
      <w:r>
        <w:rPr>
          <w:rFonts w:hint="eastAsia" w:ascii="宋体" w:hAnsi="宋体"/>
          <w:b/>
          <w:bCs/>
          <w:szCs w:val="21"/>
        </w:rPr>
        <w:t>违规代替基金管理人向其他机构或者个人进行托管产品信息披露或提供相关数据信息；</w:t>
      </w:r>
      <w:r>
        <w:rPr>
          <w:rFonts w:ascii="宋体" w:hAnsi="宋体"/>
          <w:b/>
          <w:bCs/>
          <w:szCs w:val="21"/>
        </w:rPr>
        <w:t xml:space="preserve"> </w:t>
      </w:r>
    </w:p>
    <w:p w14:paraId="52646A0C">
      <w:pPr>
        <w:pStyle w:val="40"/>
        <w:numPr>
          <w:ilvl w:val="0"/>
          <w:numId w:val="3"/>
        </w:numPr>
        <w:spacing w:line="360" w:lineRule="auto"/>
        <w:ind w:firstLineChars="0"/>
        <w:rPr>
          <w:rFonts w:ascii="宋体" w:hAnsi="宋体"/>
          <w:szCs w:val="21"/>
        </w:rPr>
      </w:pPr>
      <w:r>
        <w:rPr>
          <w:rFonts w:hint="eastAsia" w:ascii="宋体" w:hAnsi="宋体"/>
          <w:szCs w:val="21"/>
        </w:rPr>
        <w:t>基金管理人未接受基金托管人的复核意见进行信息披露产生的相应责任；</w:t>
      </w:r>
    </w:p>
    <w:p w14:paraId="71453037">
      <w:pPr>
        <w:pStyle w:val="40"/>
        <w:numPr>
          <w:ilvl w:val="0"/>
          <w:numId w:val="3"/>
        </w:numPr>
        <w:spacing w:line="360" w:lineRule="auto"/>
        <w:ind w:firstLineChars="0"/>
        <w:rPr>
          <w:rFonts w:ascii="宋体" w:hAnsi="宋体"/>
          <w:szCs w:val="21"/>
        </w:rPr>
      </w:pPr>
      <w:r>
        <w:rPr>
          <w:rFonts w:hint="eastAsia" w:ascii="宋体" w:hAnsi="宋体"/>
          <w:szCs w:val="21"/>
        </w:rPr>
        <w:t>负责未兑付产品的资金追偿、财产保全、诉讼仲裁、债务重组和破产程序等，法律另有规定的除外；</w:t>
      </w:r>
    </w:p>
    <w:p w14:paraId="0657905D">
      <w:pPr>
        <w:pStyle w:val="40"/>
        <w:numPr>
          <w:ilvl w:val="0"/>
          <w:numId w:val="3"/>
        </w:numPr>
        <w:spacing w:line="360" w:lineRule="auto"/>
        <w:ind w:firstLineChars="0"/>
        <w:rPr>
          <w:rFonts w:ascii="宋体" w:hAnsi="宋体"/>
          <w:szCs w:val="21"/>
        </w:rPr>
      </w:pPr>
      <w:r>
        <w:rPr>
          <w:rFonts w:hint="eastAsia" w:ascii="宋体" w:hAnsi="宋体"/>
          <w:szCs w:val="21"/>
        </w:rPr>
        <w:t>因不可抗力，以及非本机构履职错误或过失造成的基金财产损失；</w:t>
      </w:r>
    </w:p>
    <w:p w14:paraId="684A064A">
      <w:pPr>
        <w:pStyle w:val="40"/>
        <w:numPr>
          <w:ilvl w:val="0"/>
          <w:numId w:val="3"/>
        </w:numPr>
        <w:spacing w:line="360" w:lineRule="auto"/>
        <w:ind w:firstLineChars="0"/>
        <w:rPr>
          <w:rFonts w:ascii="宋体" w:hAnsi="宋体"/>
          <w:szCs w:val="21"/>
        </w:rPr>
      </w:pPr>
      <w:r>
        <w:rPr>
          <w:rFonts w:hint="eastAsia" w:ascii="宋体" w:hAnsi="宋体"/>
          <w:szCs w:val="21"/>
        </w:rPr>
        <w:t>国务院金融监管部门规定的不属于基金托管人托管业务范围的其他职责。</w:t>
      </w:r>
    </w:p>
    <w:p w14:paraId="7AE04229">
      <w:pPr>
        <w:spacing w:line="360" w:lineRule="auto"/>
        <w:ind w:firstLine="472" w:firstLineChars="225"/>
        <w:rPr>
          <w:rFonts w:ascii="宋体" w:hAnsi="宋体"/>
          <w:szCs w:val="21"/>
        </w:rPr>
      </w:pPr>
      <w:r>
        <w:rPr>
          <w:rFonts w:hint="eastAsia" w:ascii="宋体" w:hAnsi="宋体"/>
          <w:szCs w:val="21"/>
        </w:rPr>
        <w:t>（十二）法律法规和基金合同禁止的其他行为，以及依照法律法规有关规定，由中国证监会规定禁止基金管理人、基金托管人从事的其他行为。法律、行政法规或监管部门取消或变更上述禁止性规定，如适用于本基金，基金管理人有权在履行适当程序后按照法律法规或监管部门调整或修改后的规定执行，并应向投资者履行信息披露义务。</w:t>
      </w:r>
    </w:p>
    <w:p w14:paraId="085713B6">
      <w:pPr>
        <w:spacing w:line="500" w:lineRule="atLeast"/>
        <w:jc w:val="center"/>
        <w:outlineLvl w:val="0"/>
        <w:rPr>
          <w:rFonts w:ascii="宋体" w:hAnsi="宋体"/>
        </w:rPr>
      </w:pPr>
      <w:bookmarkStart w:id="58" w:name="_Toc382819132"/>
      <w:r>
        <w:rPr>
          <w:rFonts w:hint="eastAsia" w:ascii="宋体" w:hAnsi="宋体"/>
          <w:b/>
          <w:sz w:val="24"/>
        </w:rPr>
        <w:t>十五、基金托管协议的变更、终止与基金财产的清算</w:t>
      </w:r>
      <w:bookmarkEnd w:id="58"/>
    </w:p>
    <w:p w14:paraId="0F9BE77D">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（一）托管协议的变更与终止</w:t>
      </w:r>
    </w:p>
    <w:p w14:paraId="6B0C6CFE">
      <w:pPr>
        <w:spacing w:line="360" w:lineRule="auto"/>
        <w:ind w:firstLine="420" w:firstLineChars="200"/>
        <w:rPr>
          <w:rFonts w:ascii="宋体" w:hAnsi="宋体"/>
          <w:szCs w:val="21"/>
        </w:rPr>
      </w:pPr>
      <w:r>
        <w:rPr>
          <w:rFonts w:hint="eastAsia" w:ascii="宋体" w:hAnsi="宋体"/>
          <w:szCs w:val="21"/>
        </w:rPr>
        <w:t>1.托管协议的变更程序</w:t>
      </w:r>
    </w:p>
    <w:p w14:paraId="56BE2A28">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本协议双方当事人经协商一致，可以对协议的内容进行变更。变更后的托管协议，其内容不得与《基金合同》的规定有任何冲突，并需</w:t>
      </w:r>
      <w:r>
        <w:rPr>
          <w:rFonts w:hint="eastAsia" w:ascii="宋体" w:hAnsi="宋体"/>
          <w:szCs w:val="21"/>
        </w:rPr>
        <w:t>经基金管理人、基金托管人加盖公章或合同专用章以及双方法定代表人或授权代理人签字（或盖章）确认</w:t>
      </w:r>
      <w:r>
        <w:rPr>
          <w:rFonts w:hint="eastAsia" w:ascii="宋体" w:hAnsi="宋体"/>
          <w:spacing w:val="6"/>
          <w:szCs w:val="21"/>
        </w:rPr>
        <w:t>。基金托管协议的变更报中国证监会备案。</w:t>
      </w:r>
    </w:p>
    <w:p w14:paraId="5864314C">
      <w:pPr>
        <w:spacing w:line="360" w:lineRule="auto"/>
        <w:ind w:firstLine="420" w:firstLineChars="200"/>
        <w:rPr>
          <w:rFonts w:ascii="宋体" w:hAnsi="宋体"/>
          <w:szCs w:val="21"/>
        </w:rPr>
      </w:pPr>
      <w:r>
        <w:rPr>
          <w:rFonts w:hint="eastAsia" w:ascii="宋体" w:hAnsi="宋体"/>
          <w:szCs w:val="21"/>
        </w:rPr>
        <w:t>2.基金托管协议终止的情形</w:t>
      </w:r>
    </w:p>
    <w:p w14:paraId="16C4189D">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发生以下情况，本托管协议终止：</w:t>
      </w:r>
    </w:p>
    <w:p w14:paraId="7BF0F701">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（1）《基金合同》终止；</w:t>
      </w:r>
    </w:p>
    <w:p w14:paraId="6640D580">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（2）基金托管人解散、依法被撤销、破产或有其他基金托管人接管基金资产；</w:t>
      </w:r>
    </w:p>
    <w:p w14:paraId="604B7E51">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（3）基金管理人解散、依法被撤销、破产或有其他基金管理人接管基金管理权，或基金管理人存在拒不履行托管协议的；</w:t>
      </w:r>
    </w:p>
    <w:p w14:paraId="4B39DC11">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（4）发生法律法规或《基金合同》规定的终止事项。</w:t>
      </w:r>
    </w:p>
    <w:p w14:paraId="05BC4E92">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（二）基金财产的清算</w:t>
      </w:r>
    </w:p>
    <w:p w14:paraId="241EFB13">
      <w:pPr>
        <w:adjustRightInd w:val="0"/>
        <w:snapToGrid w:val="0"/>
        <w:spacing w:line="360" w:lineRule="auto"/>
        <w:ind w:firstLine="420" w:firstLineChars="200"/>
        <w:rPr>
          <w:rFonts w:ascii="宋体" w:hAnsi="宋体"/>
          <w:szCs w:val="21"/>
        </w:rPr>
      </w:pPr>
      <w:r>
        <w:rPr>
          <w:rFonts w:hint="eastAsia" w:ascii="宋体" w:hAnsi="宋体"/>
          <w:szCs w:val="21"/>
        </w:rPr>
        <w:t>1、基金财产清算小组：自出现基金合同终止事由之日起30个工作日内成立清算小组，基金管理人组织基金财产清算小组并在中国证监会的监督下进行基金清算。</w:t>
      </w:r>
    </w:p>
    <w:p w14:paraId="5392DF0B">
      <w:pPr>
        <w:adjustRightInd w:val="0"/>
        <w:snapToGrid w:val="0"/>
        <w:spacing w:line="360" w:lineRule="auto"/>
        <w:ind w:firstLine="420" w:firstLineChars="200"/>
        <w:rPr>
          <w:rFonts w:ascii="宋体" w:hAnsi="宋体"/>
          <w:szCs w:val="21"/>
        </w:rPr>
      </w:pPr>
      <w:r>
        <w:rPr>
          <w:rFonts w:hint="eastAsia" w:ascii="宋体" w:hAnsi="宋体"/>
          <w:szCs w:val="21"/>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14:paraId="44838C5A">
      <w:pPr>
        <w:adjustRightInd w:val="0"/>
        <w:snapToGrid w:val="0"/>
        <w:spacing w:line="360" w:lineRule="auto"/>
        <w:ind w:firstLine="420" w:firstLineChars="200"/>
        <w:rPr>
          <w:rFonts w:ascii="宋体" w:hAnsi="宋体"/>
          <w:szCs w:val="21"/>
        </w:rPr>
      </w:pPr>
      <w:r>
        <w:rPr>
          <w:rFonts w:hint="eastAsia" w:ascii="宋体" w:hAnsi="宋体"/>
          <w:szCs w:val="21"/>
        </w:rPr>
        <w:t>3、基金财产清算小组职责：基金财产清算小组负责基金财产的保管、清理、估价、变现和分配。基金财产清算小组可以依法进行必要的民事活动。</w:t>
      </w:r>
    </w:p>
    <w:p w14:paraId="05AC2CFE">
      <w:pPr>
        <w:adjustRightInd w:val="0"/>
        <w:snapToGrid w:val="0"/>
        <w:spacing w:line="360" w:lineRule="auto"/>
        <w:ind w:firstLine="420" w:firstLineChars="200"/>
        <w:rPr>
          <w:rFonts w:ascii="宋体" w:hAnsi="宋体"/>
          <w:szCs w:val="21"/>
        </w:rPr>
      </w:pPr>
      <w:r>
        <w:rPr>
          <w:rFonts w:hint="eastAsia" w:ascii="宋体" w:hAnsi="宋体"/>
          <w:szCs w:val="21"/>
        </w:rPr>
        <w:t>4、基金财产清算程序：</w:t>
      </w:r>
    </w:p>
    <w:p w14:paraId="3946CD03">
      <w:pPr>
        <w:adjustRightInd w:val="0"/>
        <w:snapToGrid w:val="0"/>
        <w:spacing w:line="360" w:lineRule="auto"/>
        <w:ind w:firstLine="420" w:firstLineChars="200"/>
        <w:rPr>
          <w:rFonts w:ascii="宋体" w:hAnsi="宋体"/>
          <w:szCs w:val="21"/>
        </w:rPr>
      </w:pPr>
      <w:r>
        <w:rPr>
          <w:rFonts w:hint="eastAsia" w:ascii="宋体" w:hAnsi="宋体"/>
          <w:szCs w:val="21"/>
        </w:rPr>
        <w:t>（1）基金合同终止情形出现时，由基金财产清算小组统一接管基金财产；</w:t>
      </w:r>
    </w:p>
    <w:p w14:paraId="6C33C387">
      <w:pPr>
        <w:adjustRightInd w:val="0"/>
        <w:snapToGrid w:val="0"/>
        <w:spacing w:line="360" w:lineRule="auto"/>
        <w:ind w:firstLine="420" w:firstLineChars="200"/>
        <w:rPr>
          <w:rFonts w:ascii="宋体" w:hAnsi="宋体"/>
          <w:szCs w:val="21"/>
        </w:rPr>
      </w:pPr>
      <w:r>
        <w:rPr>
          <w:rFonts w:hint="eastAsia" w:ascii="宋体" w:hAnsi="宋体"/>
          <w:szCs w:val="21"/>
        </w:rPr>
        <w:t>（2）对基金财产和债权债务进行清理和确认；</w:t>
      </w:r>
    </w:p>
    <w:p w14:paraId="18E11146">
      <w:pPr>
        <w:adjustRightInd w:val="0"/>
        <w:snapToGrid w:val="0"/>
        <w:spacing w:line="360" w:lineRule="auto"/>
        <w:ind w:firstLine="420" w:firstLineChars="200"/>
        <w:rPr>
          <w:rFonts w:ascii="宋体" w:hAnsi="宋体"/>
          <w:szCs w:val="21"/>
        </w:rPr>
      </w:pPr>
      <w:r>
        <w:rPr>
          <w:rFonts w:hint="eastAsia" w:ascii="宋体" w:hAnsi="宋体"/>
          <w:szCs w:val="21"/>
        </w:rPr>
        <w:t>（3）对基金财产进行估值和变现；</w:t>
      </w:r>
    </w:p>
    <w:p w14:paraId="0D606E65">
      <w:pPr>
        <w:adjustRightInd w:val="0"/>
        <w:snapToGrid w:val="0"/>
        <w:spacing w:line="360" w:lineRule="auto"/>
        <w:ind w:firstLine="420" w:firstLineChars="200"/>
        <w:rPr>
          <w:rFonts w:ascii="宋体" w:hAnsi="宋体"/>
          <w:szCs w:val="21"/>
        </w:rPr>
      </w:pPr>
      <w:r>
        <w:rPr>
          <w:rFonts w:hint="eastAsia" w:ascii="宋体" w:hAnsi="宋体"/>
          <w:szCs w:val="21"/>
        </w:rPr>
        <w:t>（4）制作清算报告；</w:t>
      </w:r>
    </w:p>
    <w:p w14:paraId="4777C280">
      <w:pPr>
        <w:adjustRightInd w:val="0"/>
        <w:snapToGrid w:val="0"/>
        <w:spacing w:line="360" w:lineRule="auto"/>
        <w:ind w:firstLine="420" w:firstLineChars="200"/>
        <w:rPr>
          <w:rFonts w:ascii="宋体" w:hAnsi="宋体"/>
          <w:szCs w:val="21"/>
        </w:rPr>
      </w:pPr>
      <w:r>
        <w:rPr>
          <w:rFonts w:hint="eastAsia" w:ascii="宋体" w:hAnsi="宋体"/>
          <w:szCs w:val="21"/>
        </w:rPr>
        <w:t>（5）聘请会计师事务所对清算报告进行外部审计，聘请律师事务所对清算报告出具法律意见书；</w:t>
      </w:r>
    </w:p>
    <w:p w14:paraId="586D8FFA">
      <w:pPr>
        <w:adjustRightInd w:val="0"/>
        <w:snapToGrid w:val="0"/>
        <w:spacing w:line="360" w:lineRule="auto"/>
        <w:ind w:firstLine="420" w:firstLineChars="200"/>
        <w:rPr>
          <w:rFonts w:ascii="宋体" w:hAnsi="宋体"/>
          <w:szCs w:val="21"/>
        </w:rPr>
      </w:pPr>
      <w:r>
        <w:rPr>
          <w:rFonts w:hint="eastAsia" w:ascii="宋体" w:hAnsi="宋体"/>
          <w:szCs w:val="21"/>
        </w:rPr>
        <w:t>（6）将清算报告报中国证监会备案并公告；</w:t>
      </w:r>
    </w:p>
    <w:p w14:paraId="7E393DBD">
      <w:pPr>
        <w:adjustRightInd w:val="0"/>
        <w:snapToGrid w:val="0"/>
        <w:spacing w:line="360" w:lineRule="auto"/>
        <w:ind w:firstLine="420" w:firstLineChars="200"/>
        <w:rPr>
          <w:rFonts w:ascii="宋体" w:hAnsi="宋体"/>
          <w:szCs w:val="21"/>
        </w:rPr>
      </w:pPr>
      <w:r>
        <w:rPr>
          <w:rFonts w:hint="eastAsia" w:ascii="宋体" w:hAnsi="宋体"/>
          <w:szCs w:val="21"/>
        </w:rPr>
        <w:t>（7）对基金剩余财产进行分配。</w:t>
      </w:r>
    </w:p>
    <w:p w14:paraId="75026648">
      <w:pPr>
        <w:adjustRightInd w:val="0"/>
        <w:snapToGrid w:val="0"/>
        <w:spacing w:line="360" w:lineRule="auto"/>
        <w:ind w:firstLine="420" w:firstLineChars="200"/>
        <w:rPr>
          <w:rFonts w:ascii="宋体" w:hAnsi="宋体"/>
          <w:szCs w:val="21"/>
        </w:rPr>
      </w:pPr>
      <w:r>
        <w:rPr>
          <w:rFonts w:hint="eastAsia" w:ascii="宋体" w:hAnsi="宋体"/>
          <w:szCs w:val="21"/>
        </w:rPr>
        <w:t>5、基金财产清算的期限为6个月，但因本基金所持证券的流动性受到限制而不能及时变现的，清算期限可相应顺延。</w:t>
      </w:r>
    </w:p>
    <w:p w14:paraId="781AC446">
      <w:pPr>
        <w:adjustRightInd w:val="0"/>
        <w:snapToGrid w:val="0"/>
        <w:spacing w:line="360" w:lineRule="auto"/>
        <w:ind w:firstLine="420" w:firstLineChars="200"/>
        <w:rPr>
          <w:rFonts w:ascii="宋体" w:hAnsi="宋体" w:cs="Arial"/>
          <w:szCs w:val="21"/>
        </w:rPr>
      </w:pPr>
      <w:r>
        <w:rPr>
          <w:rFonts w:hint="eastAsia" w:ascii="宋体" w:hAnsi="宋体" w:cs="Arial"/>
          <w:szCs w:val="21"/>
        </w:rPr>
        <w:t>6.清算费用</w:t>
      </w:r>
    </w:p>
    <w:p w14:paraId="35E8B5D4">
      <w:pPr>
        <w:adjustRightInd w:val="0"/>
        <w:snapToGrid w:val="0"/>
        <w:spacing w:line="360" w:lineRule="auto"/>
        <w:ind w:firstLine="420" w:firstLineChars="200"/>
        <w:rPr>
          <w:rFonts w:ascii="宋体" w:hAnsi="宋体" w:cs="Arial"/>
          <w:szCs w:val="21"/>
        </w:rPr>
      </w:pPr>
      <w:r>
        <w:rPr>
          <w:rFonts w:hint="eastAsia" w:ascii="宋体" w:hAnsi="宋体" w:cs="Arial"/>
          <w:szCs w:val="21"/>
        </w:rPr>
        <w:t>清算费用是指基金财产清算小组在进行基金清算过程中发生的所有合理费用，清算费用由基金财产清算小组优先从基金剩余财产中支付。</w:t>
      </w:r>
    </w:p>
    <w:p w14:paraId="3B945E5B">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（三）基金财产清算的公告</w:t>
      </w:r>
    </w:p>
    <w:p w14:paraId="45F4A8D1">
      <w:pPr>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5FD3902">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（四）基金财产清算账册及文件的保存</w:t>
      </w:r>
    </w:p>
    <w:p w14:paraId="6E80EED2">
      <w:pPr>
        <w:spacing w:line="360" w:lineRule="auto"/>
        <w:ind w:firstLine="200"/>
        <w:rPr>
          <w:rFonts w:ascii="宋体" w:hAnsi="宋体"/>
          <w:szCs w:val="21"/>
        </w:rPr>
      </w:pPr>
      <w:r>
        <w:rPr>
          <w:rFonts w:hint="eastAsia" w:ascii="宋体" w:hAnsi="宋体"/>
          <w:szCs w:val="21"/>
        </w:rPr>
        <w:t>基金财产清算账册及有关文件由基金托管人保存不低于法律</w:t>
      </w:r>
      <w:r>
        <w:rPr>
          <w:rFonts w:ascii="宋体" w:hAnsi="宋体"/>
          <w:szCs w:val="21"/>
        </w:rPr>
        <w:t>法规规定的最低期限</w:t>
      </w:r>
      <w:r>
        <w:rPr>
          <w:rFonts w:hint="eastAsia" w:ascii="宋体" w:hAnsi="宋体"/>
          <w:szCs w:val="21"/>
        </w:rPr>
        <w:t>。</w:t>
      </w:r>
    </w:p>
    <w:p w14:paraId="6356DA1C">
      <w:pPr>
        <w:spacing w:line="500" w:lineRule="atLeast"/>
        <w:jc w:val="center"/>
        <w:outlineLvl w:val="0"/>
        <w:rPr>
          <w:rFonts w:ascii="宋体" w:hAnsi="宋体"/>
        </w:rPr>
      </w:pPr>
      <w:bookmarkStart w:id="59" w:name="_Toc382819133"/>
      <w:r>
        <w:rPr>
          <w:rFonts w:hint="eastAsia" w:ascii="宋体" w:hAnsi="宋体"/>
          <w:b/>
          <w:sz w:val="24"/>
        </w:rPr>
        <w:t>十六、违约责任</w:t>
      </w:r>
      <w:bookmarkEnd w:id="59"/>
    </w:p>
    <w:p w14:paraId="15FA4CB3">
      <w:pPr>
        <w:spacing w:line="360" w:lineRule="auto"/>
        <w:ind w:firstLine="420" w:firstLineChars="200"/>
        <w:rPr>
          <w:bCs/>
          <w:szCs w:val="21"/>
        </w:rPr>
      </w:pPr>
      <w:r>
        <w:rPr>
          <w:rFonts w:hint="eastAsia" w:ascii="宋体" w:hAnsi="宋体"/>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rPr>
        <w:t>但是发生下列情况，当事人免责：</w:t>
      </w:r>
    </w:p>
    <w:p w14:paraId="3E5D316A">
      <w:pPr>
        <w:spacing w:line="360" w:lineRule="auto"/>
        <w:ind w:firstLine="420" w:firstLineChars="200"/>
        <w:rPr>
          <w:rFonts w:ascii="宋体" w:hAnsi="宋体"/>
          <w:szCs w:val="21"/>
        </w:rPr>
      </w:pPr>
      <w:r>
        <w:rPr>
          <w:rFonts w:hint="eastAsia" w:ascii="宋体" w:hAnsi="宋体"/>
          <w:szCs w:val="21"/>
        </w:rPr>
        <w:t>1.基金管理人及基金托管人按照当时有效的法律法规或中国证监会的规定作为或不作为而造成的损失等；</w:t>
      </w:r>
    </w:p>
    <w:p w14:paraId="183D86CD">
      <w:pPr>
        <w:spacing w:line="360" w:lineRule="auto"/>
        <w:ind w:firstLine="420" w:firstLineChars="200"/>
        <w:rPr>
          <w:rFonts w:ascii="宋体" w:hAnsi="宋体"/>
          <w:szCs w:val="21"/>
        </w:rPr>
      </w:pPr>
      <w:r>
        <w:rPr>
          <w:rFonts w:hint="eastAsia" w:ascii="宋体" w:hAnsi="宋体"/>
          <w:szCs w:val="21"/>
        </w:rPr>
        <w:t>2.在没有欺诈或过失的情况下，基金管理人由于按照本《基金合同》规定的投资原则而行使或不行使其投资权而造成的损失等；</w:t>
      </w:r>
    </w:p>
    <w:p w14:paraId="0B693168">
      <w:pPr>
        <w:spacing w:line="360" w:lineRule="auto"/>
        <w:ind w:firstLine="420" w:firstLineChars="200"/>
        <w:rPr>
          <w:rFonts w:ascii="宋体" w:hAnsi="宋体"/>
          <w:szCs w:val="21"/>
        </w:rPr>
      </w:pPr>
      <w:r>
        <w:rPr>
          <w:rFonts w:hint="eastAsia" w:ascii="宋体" w:hAnsi="宋体"/>
          <w:szCs w:val="21"/>
        </w:rPr>
        <w:t>3. 发生自然灾害等不可抗力情形；</w:t>
      </w:r>
    </w:p>
    <w:p w14:paraId="5D990878">
      <w:pPr>
        <w:spacing w:line="360" w:lineRule="auto"/>
        <w:ind w:firstLine="420" w:firstLineChars="200"/>
        <w:rPr>
          <w:rFonts w:ascii="宋体" w:hAnsi="宋体"/>
          <w:szCs w:val="21"/>
        </w:rPr>
      </w:pPr>
      <w:r>
        <w:rPr>
          <w:rFonts w:hint="eastAsia" w:ascii="宋体" w:hAnsi="宋体"/>
          <w:szCs w:val="21"/>
        </w:rPr>
        <w:t>4.计算机系统故障、网络故障、通讯故障、电力故障、计算机病毒攻击、法律法规变化、注册与过户登记人非正常的暂停或终止业务、证券交易所非正常暂停或停止交易等、证券交易所及登记结算公司发送的数据错误及其它基金管理人及基金托管人不可控制的因素</w:t>
      </w:r>
      <w:r>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Pr>
          <w:rFonts w:hint="eastAsia" w:ascii="宋体" w:hAnsi="宋体"/>
          <w:szCs w:val="21"/>
        </w:rPr>
        <w:t>。</w:t>
      </w:r>
    </w:p>
    <w:p w14:paraId="52E6CB72">
      <w:pPr>
        <w:spacing w:line="360" w:lineRule="auto"/>
        <w:ind w:firstLine="420" w:firstLineChars="200"/>
        <w:rPr>
          <w:rFonts w:ascii="宋体" w:hAnsi="宋体"/>
          <w:szCs w:val="21"/>
        </w:rPr>
      </w:pPr>
      <w:r>
        <w:rPr>
          <w:rFonts w:hint="eastAsia" w:ascii="宋体" w:hAnsi="宋体"/>
          <w:szCs w:val="21"/>
        </w:rPr>
        <w:t>（二）基金托管人发现基金管理人借助托管银行的品牌、声誉开展不当营销宣传的，应当督促相关机构及时纠正。相关机构未及时采取有效纠正措施的，基金托管人有权按照托管协议约定终止业务合作，并进行通知。</w:t>
      </w:r>
    </w:p>
    <w:p w14:paraId="7B17A4CF">
      <w:pPr>
        <w:spacing w:line="360" w:lineRule="auto"/>
        <w:ind w:firstLine="420" w:firstLineChars="200"/>
        <w:rPr>
          <w:bCs/>
          <w:szCs w:val="21"/>
        </w:rPr>
      </w:pPr>
      <w:r>
        <w:rPr>
          <w:rFonts w:hint="eastAsia" w:ascii="宋体" w:hAnsi="宋体"/>
          <w:szCs w:val="21"/>
        </w:rPr>
        <w:t>（三）</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51A9594">
      <w:pPr>
        <w:spacing w:line="360" w:lineRule="auto"/>
        <w:ind w:firstLine="420" w:firstLineChars="200"/>
        <w:rPr>
          <w:rFonts w:ascii="宋体" w:hAnsi="宋体"/>
          <w:szCs w:val="21"/>
          <w:lang w:val="zh-CN"/>
        </w:rPr>
      </w:pPr>
      <w:r>
        <w:rPr>
          <w:rFonts w:hint="eastAsia" w:ascii="宋体" w:hAnsi="宋体"/>
          <w:szCs w:val="21"/>
          <w:lang w:val="zh-CN"/>
        </w:rPr>
        <w:t>（四）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7E93CAF">
      <w:pPr>
        <w:spacing w:line="500" w:lineRule="atLeast"/>
        <w:jc w:val="center"/>
        <w:outlineLvl w:val="0"/>
        <w:rPr>
          <w:rFonts w:ascii="宋体" w:hAnsi="宋体"/>
        </w:rPr>
      </w:pPr>
      <w:bookmarkStart w:id="60" w:name="_Toc382819134"/>
      <w:r>
        <w:rPr>
          <w:rFonts w:hint="eastAsia" w:ascii="宋体" w:hAnsi="宋体"/>
          <w:b/>
          <w:sz w:val="24"/>
        </w:rPr>
        <w:t>十七、适用法律及争议解决方式</w:t>
      </w:r>
      <w:bookmarkEnd w:id="60"/>
    </w:p>
    <w:p w14:paraId="49C9F152">
      <w:pPr>
        <w:spacing w:line="360" w:lineRule="auto"/>
        <w:ind w:firstLine="422" w:firstLineChars="200"/>
        <w:rPr>
          <w:rFonts w:ascii="宋体" w:hAnsi="宋体"/>
          <w:b/>
          <w:bCs/>
          <w:i/>
          <w:iCs/>
          <w:szCs w:val="21"/>
          <w:lang w:val="zh-CN"/>
        </w:rPr>
      </w:pPr>
      <w:r>
        <w:rPr>
          <w:rFonts w:hint="eastAsia" w:ascii="宋体" w:hAnsi="宋体"/>
          <w:b/>
          <w:bCs/>
          <w:i/>
          <w:iCs/>
          <w:szCs w:val="21"/>
          <w:lang w:val="zh-CN"/>
        </w:rPr>
        <w:t>（一）</w:t>
      </w:r>
      <w:r>
        <w:rPr>
          <w:rFonts w:hint="eastAsia" w:ascii="宋体" w:hAnsi="宋体"/>
          <w:b/>
          <w:bCs/>
          <w:i/>
          <w:iCs/>
          <w:szCs w:val="21"/>
        </w:rPr>
        <w:t>本协议适用中华人民共和国法律（为本协议之目的，在此不包括中国香港、澳门特别行政区法律和台湾地区有关规定），并从其解释。</w:t>
      </w:r>
    </w:p>
    <w:p w14:paraId="633BB86B">
      <w:pPr>
        <w:spacing w:line="360" w:lineRule="auto"/>
        <w:ind w:firstLine="422" w:firstLineChars="200"/>
        <w:rPr>
          <w:rFonts w:ascii="宋体" w:hAnsi="宋体"/>
          <w:b/>
          <w:bCs/>
          <w:i/>
          <w:iCs/>
          <w:szCs w:val="21"/>
        </w:rPr>
      </w:pPr>
      <w:r>
        <w:rPr>
          <w:rFonts w:hint="eastAsia" w:ascii="宋体" w:hAnsi="宋体"/>
          <w:b/>
          <w:bCs/>
          <w:i/>
          <w:iCs/>
          <w:szCs w:val="21"/>
        </w:rPr>
        <w:t>（二）双方当事人同意，因本协议而产生的或与本协议有关的一切争议，除经友好协商可以解决的，应提交深圳国际仲裁院（深圳仲裁委员会），根据该会届时有效的仲裁规则进行仲裁，仲裁的地点在深圳，仲裁裁决是终局性的并对相关各方均有约束力，仲裁费用由败诉方承担。</w:t>
      </w:r>
    </w:p>
    <w:p w14:paraId="051ED4B7">
      <w:pPr>
        <w:spacing w:line="360" w:lineRule="auto"/>
        <w:ind w:firstLine="422" w:firstLineChars="200"/>
        <w:rPr>
          <w:rFonts w:ascii="宋体" w:hAnsi="宋体"/>
          <w:b/>
          <w:bCs/>
          <w:i/>
          <w:iCs/>
          <w:szCs w:val="21"/>
        </w:rPr>
      </w:pPr>
      <w:r>
        <w:rPr>
          <w:rFonts w:hint="eastAsia" w:ascii="宋体" w:hAnsi="宋体"/>
          <w:b/>
          <w:bCs/>
          <w:i/>
          <w:iCs/>
          <w:szCs w:val="21"/>
        </w:rPr>
        <w:t>争议处理期间，双方当事人应恪守基金管理人和基金托管人职责，继续忠实、勤勉、尽责地履行《基金合同》和本托管协议规定的义务，维护基金份额持有人的合法权益。</w:t>
      </w:r>
    </w:p>
    <w:p w14:paraId="0AD31CEB">
      <w:pPr>
        <w:spacing w:line="500" w:lineRule="atLeast"/>
        <w:jc w:val="center"/>
        <w:outlineLvl w:val="0"/>
        <w:rPr>
          <w:rFonts w:ascii="宋体" w:hAnsi="宋体"/>
        </w:rPr>
      </w:pPr>
      <w:bookmarkStart w:id="61" w:name="_Toc382819135"/>
      <w:r>
        <w:rPr>
          <w:rFonts w:hint="eastAsia" w:ascii="宋体" w:hAnsi="宋体"/>
          <w:b/>
          <w:sz w:val="24"/>
        </w:rPr>
        <w:t>十八、基金托管协议的效力和文本</w:t>
      </w:r>
      <w:bookmarkEnd w:id="61"/>
    </w:p>
    <w:p w14:paraId="60090BD5">
      <w:pPr>
        <w:pStyle w:val="11"/>
        <w:rPr>
          <w:rFonts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本协议经基金管理人、基金托管人双方加盖公章或合同专用章以及双方法定代表人或授权代表签字或盖章后成立</w:t>
      </w:r>
      <w:r>
        <w:rPr>
          <w:rFonts w:hint="eastAsia" w:ascii="宋体" w:hAnsi="宋体"/>
          <w:szCs w:val="21"/>
        </w:rPr>
        <w:t>。本协议以中国证监会注册的文本为正式文本。基金管理人应确保报送证监会注册/备案的文本与双方签署的文本一致</w:t>
      </w:r>
    </w:p>
    <w:p w14:paraId="5617C784">
      <w:pPr>
        <w:pStyle w:val="11"/>
        <w:rPr>
          <w:rFonts w:ascii="宋体" w:hAnsi="宋体"/>
          <w:szCs w:val="21"/>
        </w:rPr>
      </w:pPr>
      <w:r>
        <w:rPr>
          <w:rFonts w:hint="eastAsia" w:ascii="宋体" w:hAnsi="宋体"/>
          <w:szCs w:val="21"/>
        </w:rPr>
        <w:t>（二）本协议自本协议成立且《基金合同》生效之日起生效，有效期自其生效之日起至该基金财产清算结果报中国证监会备案并公告之日止。如发生第十五条约定的其他情形的，则自相应情形发生时终止。本协议约定与《基金合同》不一致的，以本协议为准。</w:t>
      </w:r>
    </w:p>
    <w:p w14:paraId="694DE453">
      <w:pPr>
        <w:spacing w:line="360" w:lineRule="auto"/>
        <w:ind w:firstLine="420" w:firstLineChars="200"/>
        <w:rPr>
          <w:rFonts w:ascii="宋体" w:hAnsi="宋体"/>
          <w:szCs w:val="21"/>
        </w:rPr>
      </w:pPr>
      <w:r>
        <w:rPr>
          <w:rFonts w:hint="eastAsia" w:ascii="宋体" w:hAnsi="宋体"/>
          <w:szCs w:val="21"/>
        </w:rPr>
        <w:t>（三）本协议自生效之日起对各当事人具有同等的法律约束力。</w:t>
      </w:r>
    </w:p>
    <w:p w14:paraId="6C3D2808">
      <w:pPr>
        <w:spacing w:line="360" w:lineRule="auto"/>
        <w:ind w:firstLine="420" w:firstLineChars="200"/>
        <w:rPr>
          <w:rFonts w:ascii="宋体" w:hAnsi="宋体"/>
          <w:szCs w:val="21"/>
        </w:rPr>
      </w:pPr>
      <w:r>
        <w:rPr>
          <w:rFonts w:hint="eastAsia" w:ascii="宋体" w:hAnsi="宋体"/>
          <w:szCs w:val="21"/>
        </w:rPr>
        <w:t>（四）本协议正本一式三份，除上报有关监管机构一份外，基金管理人、基金托管人各持有一份，每份具有同等的法律效力。</w:t>
      </w:r>
    </w:p>
    <w:p w14:paraId="0135999F">
      <w:pPr>
        <w:spacing w:line="500" w:lineRule="atLeast"/>
        <w:jc w:val="center"/>
        <w:outlineLvl w:val="0"/>
        <w:rPr>
          <w:rFonts w:ascii="宋体" w:hAnsi="宋体"/>
        </w:rPr>
      </w:pPr>
      <w:r>
        <w:rPr>
          <w:rFonts w:ascii="宋体" w:hAnsi="宋体"/>
          <w:b/>
          <w:sz w:val="24"/>
        </w:rPr>
        <w:t xml:space="preserve"> </w:t>
      </w:r>
      <w:bookmarkStart w:id="62" w:name="_Toc382819136"/>
      <w:r>
        <w:rPr>
          <w:rFonts w:hint="eastAsia" w:ascii="宋体" w:hAnsi="宋体"/>
          <w:b/>
          <w:sz w:val="24"/>
        </w:rPr>
        <w:t>十九、其他事项</w:t>
      </w:r>
      <w:bookmarkEnd w:id="62"/>
    </w:p>
    <w:p w14:paraId="00530CA8">
      <w:pPr>
        <w:pStyle w:val="11"/>
        <w:rPr>
          <w:rFonts w:ascii="宋体" w:hAnsi="宋体"/>
          <w:szCs w:val="21"/>
        </w:rPr>
      </w:pPr>
      <w:r>
        <w:rPr>
          <w:rFonts w:hint="eastAsia" w:ascii="宋体" w:hAnsi="宋体"/>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0D193CBD">
      <w:pPr>
        <w:pStyle w:val="11"/>
        <w:rPr>
          <w:rFonts w:ascii="宋体" w:hAnsi="宋体"/>
          <w:szCs w:val="21"/>
        </w:rPr>
      </w:pPr>
      <w:r>
        <w:rPr>
          <w:rFonts w:hint="eastAsia" w:ascii="宋体" w:hAnsi="宋体"/>
          <w:szCs w:val="21"/>
        </w:rPr>
        <w:t>（二）反洗钱义务</w:t>
      </w:r>
    </w:p>
    <w:p w14:paraId="1C3BC403">
      <w:pPr>
        <w:pStyle w:val="11"/>
        <w:rPr>
          <w:rFonts w:ascii="宋体" w:hAnsi="宋体"/>
          <w:szCs w:val="21"/>
        </w:rPr>
      </w:pPr>
      <w:r>
        <w:rPr>
          <w:rFonts w:hint="eastAsia" w:ascii="宋体" w:hAnsi="宋体"/>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在法律法规及监管机构允许且遵循基金份额持有人利益优先原则的前提下单方面终止本合同本协议且不执行基金管理人的交易指令。</w:t>
      </w:r>
    </w:p>
    <w:p w14:paraId="3BDB6EA6">
      <w:pPr>
        <w:pStyle w:val="11"/>
        <w:rPr>
          <w:rFonts w:ascii="宋体" w:hAnsi="宋体"/>
          <w:szCs w:val="21"/>
        </w:rPr>
      </w:pPr>
      <w:r>
        <w:rPr>
          <w:rFonts w:hint="eastAsia" w:ascii="宋体" w:hAnsi="宋体"/>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及中国有权机构认可的国际组织或国家认定的洗钱、 制裁、恐怖融资或大规模杀伤性武器扩散融资活动、出口管制、或逃税等违法违规行为的，基金托管人有权按照中国人民银行反洗钱监管规定等规定及内部管理规定等采取必要的管控措施。同时，基金托管人有权在法律法规及监管机构允许且遵循基金份额持有人利益优先原则的前提下，不经通知基金管理人，直接限制、暂停本协议项下全部或部分业务，有权终止本协议，并有权要求基金管理人承担因此给基金托管人造成的所有损失。</w:t>
      </w:r>
    </w:p>
    <w:p w14:paraId="6C309BB0">
      <w:pPr>
        <w:pStyle w:val="11"/>
        <w:rPr>
          <w:rFonts w:ascii="宋体" w:hAnsi="宋体"/>
          <w:szCs w:val="21"/>
        </w:rPr>
      </w:pPr>
      <w:r>
        <w:rPr>
          <w:rFonts w:hint="eastAsia" w:ascii="宋体" w:hAnsi="宋体"/>
          <w:szCs w:val="21"/>
        </w:rPr>
        <w:t>（三）通知</w:t>
      </w:r>
    </w:p>
    <w:p w14:paraId="1FD1906C">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除本协议另有约定外，其他与本协议有关的通知应以书面形式作出，并送达至协议约定的地址，如果相关信息发生变动，变动的一方应当在变动发生之日起五（5）日书面通知其他各方。</w:t>
      </w:r>
    </w:p>
    <w:p w14:paraId="459E3ED9">
      <w:pPr>
        <w:spacing w:line="360" w:lineRule="auto"/>
        <w:ind w:firstLine="359" w:firstLineChars="171"/>
        <w:rPr>
          <w:rFonts w:ascii="宋体" w:hAnsi="宋体"/>
          <w:szCs w:val="21"/>
        </w:rPr>
      </w:pPr>
      <w:r>
        <w:rPr>
          <w:rFonts w:hint="eastAsia" w:ascii="宋体" w:hAnsi="宋体"/>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62DDECD6">
      <w:pPr>
        <w:spacing w:line="360" w:lineRule="auto"/>
        <w:ind w:firstLine="359" w:firstLineChars="171"/>
        <w:rPr>
          <w:rFonts w:ascii="宋体" w:hAnsi="宋体"/>
          <w:szCs w:val="21"/>
        </w:rPr>
      </w:pPr>
      <w:r>
        <w:rPr>
          <w:rFonts w:hint="eastAsia" w:ascii="宋体" w:hAnsi="宋体"/>
          <w:szCs w:val="21"/>
        </w:rPr>
        <w:t>3任何一方在任何时间改变接收通知所用的地址都应立即将该变更通过本协议约定或各方认可的方式通知另一方；如果该变更通知未能送达，递交给上述收件人或地址的通知或联络应视为被正常发送和接收。</w:t>
      </w:r>
    </w:p>
    <w:p w14:paraId="76D3BE0F">
      <w:pPr>
        <w:spacing w:line="360" w:lineRule="auto"/>
        <w:ind w:firstLine="359" w:firstLineChars="171"/>
        <w:rPr>
          <w:rFonts w:ascii="宋体" w:hAnsi="宋体"/>
          <w:szCs w:val="21"/>
        </w:rPr>
      </w:pPr>
      <w:r>
        <w:rPr>
          <w:rFonts w:hint="eastAsia" w:ascii="宋体" w:hAnsi="宋体"/>
          <w:szCs w:val="21"/>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变更非经提前通知另一方，不发生法律效力，本协议中确认的送达地址仍然视为有效的送达地址。</w:t>
      </w:r>
    </w:p>
    <w:p w14:paraId="342F2A01">
      <w:pPr>
        <w:pStyle w:val="11"/>
        <w:rPr>
          <w:rFonts w:ascii="宋体" w:hAnsi="宋体"/>
          <w:szCs w:val="21"/>
        </w:rPr>
      </w:pPr>
      <w:r>
        <w:rPr>
          <w:rFonts w:hint="eastAsia" w:ascii="宋体" w:hAnsi="宋体"/>
          <w:szCs w:val="21"/>
        </w:rPr>
        <w:t>（</w:t>
      </w:r>
      <w:r>
        <w:rPr>
          <w:rFonts w:hint="eastAsia" w:ascii="宋体" w:hAnsi="宋体"/>
          <w:szCs w:val="21"/>
          <w:lang w:val="en-US" w:eastAsia="zh-CN"/>
        </w:rPr>
        <w:t>四</w:t>
      </w:r>
      <w:r>
        <w:rPr>
          <w:rFonts w:hint="eastAsia" w:ascii="宋体" w:hAnsi="宋体"/>
          <w:szCs w:val="21"/>
        </w:rPr>
        <w:t>）本协议未尽事宜，当事人依据《基金合同》以及有关法律、法规和规定协商办理。</w:t>
      </w:r>
    </w:p>
    <w:p w14:paraId="106B3937">
      <w:pPr>
        <w:pStyle w:val="11"/>
        <w:rPr>
          <w:rFonts w:ascii="宋体" w:hAnsi="宋体"/>
          <w:szCs w:val="21"/>
        </w:rPr>
      </w:pPr>
      <w:r>
        <w:rPr>
          <w:rFonts w:hint="eastAsia" w:ascii="宋体" w:hAnsi="宋体"/>
          <w:szCs w:val="21"/>
        </w:rPr>
        <w:t>（</w:t>
      </w:r>
      <w:r>
        <w:rPr>
          <w:rFonts w:hint="eastAsia" w:ascii="宋体" w:hAnsi="宋体"/>
          <w:szCs w:val="21"/>
          <w:lang w:val="en-US" w:eastAsia="zh-CN"/>
        </w:rPr>
        <w:t>五</w:t>
      </w:r>
      <w:r>
        <w:rPr>
          <w:rFonts w:hint="eastAsia" w:ascii="宋体" w:hAnsi="宋体"/>
          <w:szCs w:val="21"/>
        </w:rPr>
        <w:t>）双方约定的其他事项（若有）</w:t>
      </w:r>
    </w:p>
    <w:p w14:paraId="3B52A99C">
      <w:pPr>
        <w:widowControl/>
        <w:jc w:val="left"/>
      </w:pPr>
      <w:r>
        <w:rPr>
          <w:rFonts w:hint="eastAsia" w:ascii="宋体" w:hAnsi="宋体"/>
          <w:szCs w:val="21"/>
        </w:rPr>
        <w:t>（本页以下无正文）</w:t>
      </w:r>
      <w:bookmarkStart w:id="63" w:name="_GoBack"/>
      <w:bookmarkEnd w:id="63"/>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D7D3">
    <w:pPr>
      <w:pStyle w:val="14"/>
      <w:jc w:val="center"/>
    </w:pPr>
  </w:p>
  <w:p w14:paraId="79F08D7E">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D49B3">
    <w:pPr>
      <w:pStyle w:val="14"/>
    </w:pPr>
    <w:r>
      <w:rPr>
        <w:rFonts w:hint="eastAsia"/>
      </w:rPr>
      <w:t>合同版本号：202601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F0D4">
    <w:pPr>
      <w:pStyle w:val="14"/>
      <w:jc w:val="center"/>
    </w:pPr>
    <w:r>
      <w:fldChar w:fldCharType="begin"/>
    </w:r>
    <w:r>
      <w:instrText xml:space="preserve">PAGE   \* MERGEFORMAT</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E27F">
    <w:pPr>
      <w:pStyle w:val="15"/>
      <w:ind w:right="106"/>
      <w:jc w:val="right"/>
    </w:pPr>
    <w:r>
      <w:rPr>
        <w:rFonts w:hint="eastAsia"/>
      </w:rPr>
      <w:t>博时汇益优选3个月持有期混合型基金中基金（FOF）托管协议</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37F54340"/>
    <w:multiLevelType w:val="multilevel"/>
    <w:tmpl w:val="37F54340"/>
    <w:lvl w:ilvl="0" w:tentative="0">
      <w:start w:val="1"/>
      <w:numFmt w:val="decimal"/>
      <w:lvlText w:val="%1."/>
      <w:lvlJc w:val="left"/>
      <w:pPr>
        <w:ind w:left="840" w:hanging="420"/>
      </w:p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abstractNum w:abstractNumId="2">
    <w:nsid w:val="7F0ECE36"/>
    <w:multiLevelType w:val="singleLevel"/>
    <w:tmpl w:val="7F0ECE36"/>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14998"/>
    <w:rsid w:val="00015AC5"/>
    <w:rsid w:val="000246AC"/>
    <w:rsid w:val="00024DDA"/>
    <w:rsid w:val="00050C79"/>
    <w:rsid w:val="00053197"/>
    <w:rsid w:val="0006509E"/>
    <w:rsid w:val="00067030"/>
    <w:rsid w:val="00070C46"/>
    <w:rsid w:val="00080622"/>
    <w:rsid w:val="0008166B"/>
    <w:rsid w:val="00086C61"/>
    <w:rsid w:val="00090B2E"/>
    <w:rsid w:val="0009788B"/>
    <w:rsid w:val="000A061E"/>
    <w:rsid w:val="000A2B8D"/>
    <w:rsid w:val="000C0815"/>
    <w:rsid w:val="000C0A65"/>
    <w:rsid w:val="000D1475"/>
    <w:rsid w:val="000D2DA7"/>
    <w:rsid w:val="000D4F33"/>
    <w:rsid w:val="000E7AE1"/>
    <w:rsid w:val="000F1EB1"/>
    <w:rsid w:val="000F581B"/>
    <w:rsid w:val="0010420A"/>
    <w:rsid w:val="00106548"/>
    <w:rsid w:val="00110AF4"/>
    <w:rsid w:val="001142CF"/>
    <w:rsid w:val="00115FB3"/>
    <w:rsid w:val="00116464"/>
    <w:rsid w:val="00126AE4"/>
    <w:rsid w:val="00127074"/>
    <w:rsid w:val="00135B9F"/>
    <w:rsid w:val="00137301"/>
    <w:rsid w:val="0014246D"/>
    <w:rsid w:val="0015565A"/>
    <w:rsid w:val="00162C4A"/>
    <w:rsid w:val="0016302A"/>
    <w:rsid w:val="00170D13"/>
    <w:rsid w:val="00177C69"/>
    <w:rsid w:val="00190962"/>
    <w:rsid w:val="00197C65"/>
    <w:rsid w:val="001A1969"/>
    <w:rsid w:val="001B5B01"/>
    <w:rsid w:val="001B6D9D"/>
    <w:rsid w:val="001B7DCA"/>
    <w:rsid w:val="001C483E"/>
    <w:rsid w:val="001C5433"/>
    <w:rsid w:val="001D2DDD"/>
    <w:rsid w:val="001E0A82"/>
    <w:rsid w:val="001E0B51"/>
    <w:rsid w:val="001F013E"/>
    <w:rsid w:val="001F01B5"/>
    <w:rsid w:val="001F1025"/>
    <w:rsid w:val="001F375A"/>
    <w:rsid w:val="001F5830"/>
    <w:rsid w:val="001F7684"/>
    <w:rsid w:val="00203F42"/>
    <w:rsid w:val="00221B2B"/>
    <w:rsid w:val="00230CA9"/>
    <w:rsid w:val="0023482D"/>
    <w:rsid w:val="002400B3"/>
    <w:rsid w:val="002567B7"/>
    <w:rsid w:val="002571C9"/>
    <w:rsid w:val="002618B2"/>
    <w:rsid w:val="002755B8"/>
    <w:rsid w:val="00276C95"/>
    <w:rsid w:val="002947E2"/>
    <w:rsid w:val="00296AF1"/>
    <w:rsid w:val="002A2EE0"/>
    <w:rsid w:val="002B38DA"/>
    <w:rsid w:val="002C1EAB"/>
    <w:rsid w:val="002C74FA"/>
    <w:rsid w:val="002C7C71"/>
    <w:rsid w:val="002D7783"/>
    <w:rsid w:val="002E1907"/>
    <w:rsid w:val="002E221B"/>
    <w:rsid w:val="002F42EB"/>
    <w:rsid w:val="003033B4"/>
    <w:rsid w:val="00314C0F"/>
    <w:rsid w:val="00325B47"/>
    <w:rsid w:val="00327DA9"/>
    <w:rsid w:val="0036635C"/>
    <w:rsid w:val="00382975"/>
    <w:rsid w:val="003854E5"/>
    <w:rsid w:val="003A2B06"/>
    <w:rsid w:val="003B73BF"/>
    <w:rsid w:val="003B7EFD"/>
    <w:rsid w:val="003C0A80"/>
    <w:rsid w:val="003C0C16"/>
    <w:rsid w:val="003C3043"/>
    <w:rsid w:val="003C79A0"/>
    <w:rsid w:val="003E1C92"/>
    <w:rsid w:val="00410E16"/>
    <w:rsid w:val="00411554"/>
    <w:rsid w:val="004130BA"/>
    <w:rsid w:val="00415CD5"/>
    <w:rsid w:val="00420F01"/>
    <w:rsid w:val="00425223"/>
    <w:rsid w:val="00425931"/>
    <w:rsid w:val="004315E0"/>
    <w:rsid w:val="0043386E"/>
    <w:rsid w:val="0044266C"/>
    <w:rsid w:val="00447CE4"/>
    <w:rsid w:val="0045217A"/>
    <w:rsid w:val="00461983"/>
    <w:rsid w:val="00471AA8"/>
    <w:rsid w:val="00485F0F"/>
    <w:rsid w:val="004863D2"/>
    <w:rsid w:val="004B443C"/>
    <w:rsid w:val="004B54F0"/>
    <w:rsid w:val="004B76A3"/>
    <w:rsid w:val="004C07A2"/>
    <w:rsid w:val="004C3AF6"/>
    <w:rsid w:val="004C5AC8"/>
    <w:rsid w:val="004E4CB4"/>
    <w:rsid w:val="004E6AE3"/>
    <w:rsid w:val="004F1E31"/>
    <w:rsid w:val="004F25BD"/>
    <w:rsid w:val="004F5CDF"/>
    <w:rsid w:val="004F755E"/>
    <w:rsid w:val="00505A18"/>
    <w:rsid w:val="00506788"/>
    <w:rsid w:val="005122E5"/>
    <w:rsid w:val="00512CAB"/>
    <w:rsid w:val="005134AB"/>
    <w:rsid w:val="00517827"/>
    <w:rsid w:val="00525E69"/>
    <w:rsid w:val="00526218"/>
    <w:rsid w:val="00530D94"/>
    <w:rsid w:val="00540ECB"/>
    <w:rsid w:val="00542EBE"/>
    <w:rsid w:val="00546A35"/>
    <w:rsid w:val="00550A2E"/>
    <w:rsid w:val="005541FA"/>
    <w:rsid w:val="0056355B"/>
    <w:rsid w:val="00567448"/>
    <w:rsid w:val="00567592"/>
    <w:rsid w:val="00574BF5"/>
    <w:rsid w:val="005771A4"/>
    <w:rsid w:val="00587012"/>
    <w:rsid w:val="00587F80"/>
    <w:rsid w:val="005903BE"/>
    <w:rsid w:val="00590CF1"/>
    <w:rsid w:val="005961DE"/>
    <w:rsid w:val="005A24B0"/>
    <w:rsid w:val="005A4382"/>
    <w:rsid w:val="005B5D51"/>
    <w:rsid w:val="005C249A"/>
    <w:rsid w:val="005D72AE"/>
    <w:rsid w:val="005E0FA7"/>
    <w:rsid w:val="005F0DF3"/>
    <w:rsid w:val="005F314E"/>
    <w:rsid w:val="005F3694"/>
    <w:rsid w:val="005F5C6E"/>
    <w:rsid w:val="00602BF8"/>
    <w:rsid w:val="00606F78"/>
    <w:rsid w:val="006106A5"/>
    <w:rsid w:val="00611313"/>
    <w:rsid w:val="00616AE9"/>
    <w:rsid w:val="006208B9"/>
    <w:rsid w:val="0062565D"/>
    <w:rsid w:val="00641021"/>
    <w:rsid w:val="006442DD"/>
    <w:rsid w:val="006473CF"/>
    <w:rsid w:val="00651247"/>
    <w:rsid w:val="00656926"/>
    <w:rsid w:val="00670AE4"/>
    <w:rsid w:val="006729A0"/>
    <w:rsid w:val="00674801"/>
    <w:rsid w:val="00674863"/>
    <w:rsid w:val="006835B2"/>
    <w:rsid w:val="0069592C"/>
    <w:rsid w:val="006B1820"/>
    <w:rsid w:val="006B59C8"/>
    <w:rsid w:val="006D1965"/>
    <w:rsid w:val="006D7D67"/>
    <w:rsid w:val="006E5EB7"/>
    <w:rsid w:val="006F3CA6"/>
    <w:rsid w:val="006F70AF"/>
    <w:rsid w:val="007005FB"/>
    <w:rsid w:val="0070298F"/>
    <w:rsid w:val="007034DC"/>
    <w:rsid w:val="0070524E"/>
    <w:rsid w:val="00714C2C"/>
    <w:rsid w:val="007362EE"/>
    <w:rsid w:val="00755471"/>
    <w:rsid w:val="00775D65"/>
    <w:rsid w:val="00777FFE"/>
    <w:rsid w:val="007827E9"/>
    <w:rsid w:val="007903A2"/>
    <w:rsid w:val="007926B2"/>
    <w:rsid w:val="00795941"/>
    <w:rsid w:val="00796B7F"/>
    <w:rsid w:val="007A362D"/>
    <w:rsid w:val="007A79B8"/>
    <w:rsid w:val="007B0332"/>
    <w:rsid w:val="007B5F56"/>
    <w:rsid w:val="007C07F9"/>
    <w:rsid w:val="007D14CF"/>
    <w:rsid w:val="007D5F9E"/>
    <w:rsid w:val="007E0FD9"/>
    <w:rsid w:val="007E28AE"/>
    <w:rsid w:val="0080253F"/>
    <w:rsid w:val="008050F2"/>
    <w:rsid w:val="00806E4F"/>
    <w:rsid w:val="00826455"/>
    <w:rsid w:val="0082736C"/>
    <w:rsid w:val="008329FC"/>
    <w:rsid w:val="00835B30"/>
    <w:rsid w:val="00835E80"/>
    <w:rsid w:val="00836247"/>
    <w:rsid w:val="008434C1"/>
    <w:rsid w:val="008450D5"/>
    <w:rsid w:val="0087186C"/>
    <w:rsid w:val="00873933"/>
    <w:rsid w:val="00877C40"/>
    <w:rsid w:val="008873C4"/>
    <w:rsid w:val="008923C7"/>
    <w:rsid w:val="00894054"/>
    <w:rsid w:val="008B49B5"/>
    <w:rsid w:val="008C1C0E"/>
    <w:rsid w:val="008D4C0E"/>
    <w:rsid w:val="008D5899"/>
    <w:rsid w:val="008E5DC6"/>
    <w:rsid w:val="008F0CBE"/>
    <w:rsid w:val="008F1D70"/>
    <w:rsid w:val="008F50CD"/>
    <w:rsid w:val="008F6BF4"/>
    <w:rsid w:val="00900C4A"/>
    <w:rsid w:val="00901704"/>
    <w:rsid w:val="00931D90"/>
    <w:rsid w:val="009342DB"/>
    <w:rsid w:val="009417A2"/>
    <w:rsid w:val="00956EA3"/>
    <w:rsid w:val="009656CC"/>
    <w:rsid w:val="0097139B"/>
    <w:rsid w:val="00972139"/>
    <w:rsid w:val="00977A77"/>
    <w:rsid w:val="00980631"/>
    <w:rsid w:val="0098487C"/>
    <w:rsid w:val="00987871"/>
    <w:rsid w:val="00990CB5"/>
    <w:rsid w:val="00994DED"/>
    <w:rsid w:val="0099659A"/>
    <w:rsid w:val="009A402C"/>
    <w:rsid w:val="009C08CC"/>
    <w:rsid w:val="009D2D46"/>
    <w:rsid w:val="009F6EAC"/>
    <w:rsid w:val="009F7A71"/>
    <w:rsid w:val="00A010AA"/>
    <w:rsid w:val="00A01962"/>
    <w:rsid w:val="00A040BD"/>
    <w:rsid w:val="00A04D17"/>
    <w:rsid w:val="00A131DE"/>
    <w:rsid w:val="00A16100"/>
    <w:rsid w:val="00A16F02"/>
    <w:rsid w:val="00A265EC"/>
    <w:rsid w:val="00A3622A"/>
    <w:rsid w:val="00A37439"/>
    <w:rsid w:val="00A404DA"/>
    <w:rsid w:val="00A436B5"/>
    <w:rsid w:val="00A44596"/>
    <w:rsid w:val="00A45E01"/>
    <w:rsid w:val="00A51111"/>
    <w:rsid w:val="00A53663"/>
    <w:rsid w:val="00A53930"/>
    <w:rsid w:val="00A53D3C"/>
    <w:rsid w:val="00A64890"/>
    <w:rsid w:val="00A653C7"/>
    <w:rsid w:val="00A72A03"/>
    <w:rsid w:val="00A84C96"/>
    <w:rsid w:val="00A85CB5"/>
    <w:rsid w:val="00A90925"/>
    <w:rsid w:val="00A916A3"/>
    <w:rsid w:val="00A92CBF"/>
    <w:rsid w:val="00A94424"/>
    <w:rsid w:val="00A96512"/>
    <w:rsid w:val="00AA13D2"/>
    <w:rsid w:val="00AA1FA7"/>
    <w:rsid w:val="00AA6186"/>
    <w:rsid w:val="00AA7AD5"/>
    <w:rsid w:val="00AB0AD2"/>
    <w:rsid w:val="00AB149E"/>
    <w:rsid w:val="00AB6852"/>
    <w:rsid w:val="00AC2C53"/>
    <w:rsid w:val="00AC3023"/>
    <w:rsid w:val="00AD6C2F"/>
    <w:rsid w:val="00AE0D8E"/>
    <w:rsid w:val="00AE14EA"/>
    <w:rsid w:val="00AF5BE0"/>
    <w:rsid w:val="00AF5CA9"/>
    <w:rsid w:val="00AF7082"/>
    <w:rsid w:val="00B03E07"/>
    <w:rsid w:val="00B05A74"/>
    <w:rsid w:val="00B1055E"/>
    <w:rsid w:val="00B126B9"/>
    <w:rsid w:val="00B16B89"/>
    <w:rsid w:val="00B16C4A"/>
    <w:rsid w:val="00B21B46"/>
    <w:rsid w:val="00B25D2E"/>
    <w:rsid w:val="00B37DEA"/>
    <w:rsid w:val="00B44094"/>
    <w:rsid w:val="00B513AA"/>
    <w:rsid w:val="00B6409C"/>
    <w:rsid w:val="00B91981"/>
    <w:rsid w:val="00B92303"/>
    <w:rsid w:val="00B935B0"/>
    <w:rsid w:val="00B972AD"/>
    <w:rsid w:val="00BA076E"/>
    <w:rsid w:val="00BA159F"/>
    <w:rsid w:val="00BA3DC5"/>
    <w:rsid w:val="00BB171D"/>
    <w:rsid w:val="00BC265C"/>
    <w:rsid w:val="00BC37EA"/>
    <w:rsid w:val="00BC4594"/>
    <w:rsid w:val="00BC67C8"/>
    <w:rsid w:val="00BD0108"/>
    <w:rsid w:val="00BD1528"/>
    <w:rsid w:val="00BD2902"/>
    <w:rsid w:val="00BD2ABE"/>
    <w:rsid w:val="00BD5982"/>
    <w:rsid w:val="00BE03C8"/>
    <w:rsid w:val="00BE2698"/>
    <w:rsid w:val="00BF1FD8"/>
    <w:rsid w:val="00C31127"/>
    <w:rsid w:val="00C36C35"/>
    <w:rsid w:val="00C41C25"/>
    <w:rsid w:val="00C45160"/>
    <w:rsid w:val="00C543EC"/>
    <w:rsid w:val="00C5461D"/>
    <w:rsid w:val="00C61BA6"/>
    <w:rsid w:val="00C62ACD"/>
    <w:rsid w:val="00C65231"/>
    <w:rsid w:val="00C65BB4"/>
    <w:rsid w:val="00C66FF3"/>
    <w:rsid w:val="00C70DAB"/>
    <w:rsid w:val="00C7684F"/>
    <w:rsid w:val="00C820A3"/>
    <w:rsid w:val="00C8335D"/>
    <w:rsid w:val="00C838D1"/>
    <w:rsid w:val="00C90946"/>
    <w:rsid w:val="00CA1B32"/>
    <w:rsid w:val="00CA22EF"/>
    <w:rsid w:val="00CA76AF"/>
    <w:rsid w:val="00CB50D4"/>
    <w:rsid w:val="00CB77FA"/>
    <w:rsid w:val="00CC179D"/>
    <w:rsid w:val="00CC1BDA"/>
    <w:rsid w:val="00CC2047"/>
    <w:rsid w:val="00CE00CB"/>
    <w:rsid w:val="00CE27A6"/>
    <w:rsid w:val="00CE6F27"/>
    <w:rsid w:val="00CF371D"/>
    <w:rsid w:val="00CF6712"/>
    <w:rsid w:val="00D01394"/>
    <w:rsid w:val="00D14F24"/>
    <w:rsid w:val="00D22095"/>
    <w:rsid w:val="00D2332F"/>
    <w:rsid w:val="00D30E3A"/>
    <w:rsid w:val="00D3236A"/>
    <w:rsid w:val="00D32C3A"/>
    <w:rsid w:val="00D3667B"/>
    <w:rsid w:val="00D43FDC"/>
    <w:rsid w:val="00D47104"/>
    <w:rsid w:val="00D50B05"/>
    <w:rsid w:val="00D5672D"/>
    <w:rsid w:val="00D57194"/>
    <w:rsid w:val="00D606A2"/>
    <w:rsid w:val="00D615D1"/>
    <w:rsid w:val="00D64C48"/>
    <w:rsid w:val="00D77370"/>
    <w:rsid w:val="00D83120"/>
    <w:rsid w:val="00D851ED"/>
    <w:rsid w:val="00D85EAE"/>
    <w:rsid w:val="00D8649A"/>
    <w:rsid w:val="00D91FC5"/>
    <w:rsid w:val="00D9262C"/>
    <w:rsid w:val="00DB17EC"/>
    <w:rsid w:val="00DB3442"/>
    <w:rsid w:val="00DB6B2E"/>
    <w:rsid w:val="00DD330D"/>
    <w:rsid w:val="00DD4084"/>
    <w:rsid w:val="00DD4D55"/>
    <w:rsid w:val="00DE1C3D"/>
    <w:rsid w:val="00DE7720"/>
    <w:rsid w:val="00E03D48"/>
    <w:rsid w:val="00E13468"/>
    <w:rsid w:val="00E13A3C"/>
    <w:rsid w:val="00E26635"/>
    <w:rsid w:val="00E3001C"/>
    <w:rsid w:val="00E44CB0"/>
    <w:rsid w:val="00E47959"/>
    <w:rsid w:val="00E64669"/>
    <w:rsid w:val="00E64FEC"/>
    <w:rsid w:val="00E65EC9"/>
    <w:rsid w:val="00E710CD"/>
    <w:rsid w:val="00E72BEB"/>
    <w:rsid w:val="00E76F03"/>
    <w:rsid w:val="00E777A4"/>
    <w:rsid w:val="00E83589"/>
    <w:rsid w:val="00E851A7"/>
    <w:rsid w:val="00E86DC0"/>
    <w:rsid w:val="00E91BE5"/>
    <w:rsid w:val="00EA2610"/>
    <w:rsid w:val="00EA3E3C"/>
    <w:rsid w:val="00ED47D6"/>
    <w:rsid w:val="00EE757F"/>
    <w:rsid w:val="00EF244B"/>
    <w:rsid w:val="00F03032"/>
    <w:rsid w:val="00F12D7B"/>
    <w:rsid w:val="00F17853"/>
    <w:rsid w:val="00F20269"/>
    <w:rsid w:val="00F27F0F"/>
    <w:rsid w:val="00F557EF"/>
    <w:rsid w:val="00F6276B"/>
    <w:rsid w:val="00F72603"/>
    <w:rsid w:val="00F74485"/>
    <w:rsid w:val="00F82176"/>
    <w:rsid w:val="00F97575"/>
    <w:rsid w:val="00FA55E5"/>
    <w:rsid w:val="00FA77A2"/>
    <w:rsid w:val="00FC0797"/>
    <w:rsid w:val="00FC708A"/>
    <w:rsid w:val="00FD22FF"/>
    <w:rsid w:val="00FD2383"/>
    <w:rsid w:val="00FD2BE1"/>
    <w:rsid w:val="00FD3C76"/>
    <w:rsid w:val="00FE3FE0"/>
    <w:rsid w:val="00FE557D"/>
    <w:rsid w:val="00FF0E73"/>
    <w:rsid w:val="00FF2F13"/>
    <w:rsid w:val="00FF4C78"/>
    <w:rsid w:val="0889727B"/>
    <w:rsid w:val="0984199B"/>
    <w:rsid w:val="09CD4974"/>
    <w:rsid w:val="0A8330D0"/>
    <w:rsid w:val="128373A8"/>
    <w:rsid w:val="13BA2040"/>
    <w:rsid w:val="148B1313"/>
    <w:rsid w:val="1A217544"/>
    <w:rsid w:val="1BFE7A36"/>
    <w:rsid w:val="24B34C48"/>
    <w:rsid w:val="259B6355"/>
    <w:rsid w:val="28831B1B"/>
    <w:rsid w:val="2F5D5054"/>
    <w:rsid w:val="2F60740D"/>
    <w:rsid w:val="33334829"/>
    <w:rsid w:val="34663025"/>
    <w:rsid w:val="37B31E53"/>
    <w:rsid w:val="39215024"/>
    <w:rsid w:val="39371120"/>
    <w:rsid w:val="398E6BAA"/>
    <w:rsid w:val="3A4D7D3B"/>
    <w:rsid w:val="3A892998"/>
    <w:rsid w:val="3C22327B"/>
    <w:rsid w:val="3C291907"/>
    <w:rsid w:val="3C45609A"/>
    <w:rsid w:val="3C4F7214"/>
    <w:rsid w:val="3CE04ED4"/>
    <w:rsid w:val="3E480867"/>
    <w:rsid w:val="45CF4517"/>
    <w:rsid w:val="46014536"/>
    <w:rsid w:val="4A040196"/>
    <w:rsid w:val="4B3E0902"/>
    <w:rsid w:val="4C5D21DA"/>
    <w:rsid w:val="4CA95593"/>
    <w:rsid w:val="55395E38"/>
    <w:rsid w:val="57250C96"/>
    <w:rsid w:val="58DC3623"/>
    <w:rsid w:val="5B8C4507"/>
    <w:rsid w:val="5E7C59C1"/>
    <w:rsid w:val="5FD66A73"/>
    <w:rsid w:val="623454F5"/>
    <w:rsid w:val="62B7379D"/>
    <w:rsid w:val="630C0456"/>
    <w:rsid w:val="690450C6"/>
    <w:rsid w:val="6C6201B6"/>
    <w:rsid w:val="6D5D6B0B"/>
    <w:rsid w:val="6FD48D53"/>
    <w:rsid w:val="70935BCD"/>
    <w:rsid w:val="72B072B1"/>
    <w:rsid w:val="76FC1207"/>
    <w:rsid w:val="77FFC5C3"/>
    <w:rsid w:val="7BCD0107"/>
    <w:rsid w:val="7C0235FA"/>
    <w:rsid w:val="7F411DDA"/>
    <w:rsid w:val="7F7EF73E"/>
    <w:rsid w:val="B695AF74"/>
    <w:rsid w:val="BBBE7E15"/>
    <w:rsid w:val="BD67162B"/>
    <w:rsid w:val="F57785AE"/>
    <w:rsid w:val="F5E60774"/>
    <w:rsid w:val="F5F5DA22"/>
    <w:rsid w:val="FBBD5D65"/>
    <w:rsid w:val="FEFF77FD"/>
    <w:rsid w:val="FFAFA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5">
    <w:name w:val="heading 4"/>
    <w:basedOn w:val="1"/>
    <w:next w:val="1"/>
    <w:link w:val="28"/>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29"/>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0"/>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1"/>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34"/>
    <w:qFormat/>
    <w:uiPriority w:val="99"/>
    <w:pPr>
      <w:ind w:firstLine="420" w:firstLineChars="200"/>
    </w:pPr>
    <w:rPr>
      <w:rFonts w:ascii="Calibri" w:hAnsi="Calibri"/>
    </w:rPr>
  </w:style>
  <w:style w:type="paragraph" w:styleId="10">
    <w:name w:val="annotation text"/>
    <w:basedOn w:val="1"/>
    <w:link w:val="37"/>
    <w:unhideWhenUsed/>
    <w:qFormat/>
    <w:uiPriority w:val="99"/>
    <w:pPr>
      <w:jc w:val="left"/>
    </w:pPr>
  </w:style>
  <w:style w:type="paragraph" w:styleId="11">
    <w:name w:val="Body Text Indent"/>
    <w:basedOn w:val="1"/>
    <w:link w:val="33"/>
    <w:qFormat/>
    <w:uiPriority w:val="0"/>
    <w:pPr>
      <w:spacing w:line="360" w:lineRule="auto"/>
      <w:ind w:firstLine="359" w:firstLineChars="171"/>
    </w:pPr>
    <w:rPr>
      <w:lang w:val="zh-CN"/>
    </w:rPr>
  </w:style>
  <w:style w:type="paragraph" w:styleId="12">
    <w:name w:val="Body Text Indent 2"/>
    <w:basedOn w:val="1"/>
    <w:link w:val="32"/>
    <w:qFormat/>
    <w:uiPriority w:val="0"/>
    <w:pPr>
      <w:spacing w:line="360" w:lineRule="auto"/>
      <w:ind w:firstLine="480"/>
      <w:outlineLvl w:val="0"/>
    </w:pPr>
    <w:rPr>
      <w:rFonts w:ascii="仿宋_GB2312" w:hAnsi="Calibri" w:eastAsia="仿宋_GB2312"/>
      <w:sz w:val="24"/>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8"/>
    <w:semiHidden/>
    <w:unhideWhenUsed/>
    <w:qFormat/>
    <w:uiPriority w:val="99"/>
    <w:rPr>
      <w:b/>
      <w:bCs/>
    </w:r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99"/>
    <w:rPr>
      <w:sz w:val="18"/>
      <w:szCs w:val="18"/>
    </w:rPr>
  </w:style>
  <w:style w:type="character" w:customStyle="1" w:styleId="24">
    <w:name w:val="页脚 字符"/>
    <w:basedOn w:val="20"/>
    <w:link w:val="14"/>
    <w:qFormat/>
    <w:uiPriority w:val="99"/>
    <w:rPr>
      <w:sz w:val="18"/>
      <w:szCs w:val="18"/>
    </w:rPr>
  </w:style>
  <w:style w:type="character" w:customStyle="1" w:styleId="25">
    <w:name w:val="标题 1 字符"/>
    <w:basedOn w:val="20"/>
    <w:link w:val="2"/>
    <w:qFormat/>
    <w:uiPriority w:val="0"/>
    <w:rPr>
      <w:rFonts w:ascii="黑体" w:hAnsi="Times New Roman" w:eastAsia="黑体" w:cs="Times New Roman"/>
      <w:b/>
      <w:kern w:val="44"/>
      <w:sz w:val="32"/>
      <w:szCs w:val="20"/>
      <w:lang w:val="zh-CN" w:eastAsia="zh-CN"/>
    </w:rPr>
  </w:style>
  <w:style w:type="character" w:customStyle="1" w:styleId="26">
    <w:name w:val="标题 2 字符"/>
    <w:basedOn w:val="20"/>
    <w:link w:val="3"/>
    <w:qFormat/>
    <w:uiPriority w:val="0"/>
    <w:rPr>
      <w:rFonts w:ascii="Arial" w:hAnsi="Arial" w:eastAsia="黑体" w:cs="Times New Roman"/>
      <w:b/>
      <w:bCs/>
      <w:sz w:val="32"/>
      <w:szCs w:val="32"/>
    </w:rPr>
  </w:style>
  <w:style w:type="character" w:customStyle="1" w:styleId="27">
    <w:name w:val="标题 3 字符"/>
    <w:basedOn w:val="20"/>
    <w:link w:val="4"/>
    <w:qFormat/>
    <w:uiPriority w:val="0"/>
    <w:rPr>
      <w:rFonts w:ascii="Arial" w:hAnsi="Arial" w:eastAsia="仿宋_GB2312" w:cs="Times New Roman"/>
      <w:b/>
      <w:sz w:val="24"/>
      <w:szCs w:val="20"/>
      <w:lang w:val="zh-CN" w:eastAsia="zh-CN"/>
    </w:rPr>
  </w:style>
  <w:style w:type="character" w:customStyle="1" w:styleId="28">
    <w:name w:val="标题 4 字符"/>
    <w:basedOn w:val="20"/>
    <w:link w:val="5"/>
    <w:qFormat/>
    <w:uiPriority w:val="0"/>
    <w:rPr>
      <w:rFonts w:ascii="Arial" w:hAnsi="Arial" w:eastAsia="仿宋_GB2312" w:cs="Times New Roman"/>
      <w:sz w:val="24"/>
      <w:szCs w:val="20"/>
      <w:lang w:val="zh-CN" w:eastAsia="zh-CN"/>
    </w:rPr>
  </w:style>
  <w:style w:type="character" w:customStyle="1" w:styleId="29">
    <w:name w:val="标题 5 字符"/>
    <w:basedOn w:val="20"/>
    <w:link w:val="6"/>
    <w:qFormat/>
    <w:uiPriority w:val="0"/>
    <w:rPr>
      <w:rFonts w:ascii="Arial" w:hAnsi="Arial" w:eastAsia="仿宋_GB2312" w:cs="Times New Roman"/>
      <w:sz w:val="24"/>
      <w:szCs w:val="20"/>
      <w:lang w:val="zh-CN" w:eastAsia="zh-CN"/>
    </w:rPr>
  </w:style>
  <w:style w:type="character" w:customStyle="1" w:styleId="30">
    <w:name w:val="标题 6 字符"/>
    <w:basedOn w:val="20"/>
    <w:link w:val="7"/>
    <w:qFormat/>
    <w:uiPriority w:val="0"/>
    <w:rPr>
      <w:rFonts w:ascii="Arial" w:hAnsi="Arial" w:eastAsia="仿宋_GB2312" w:cs="Times New Roman"/>
      <w:sz w:val="24"/>
      <w:szCs w:val="20"/>
      <w:lang w:val="zh-CN" w:eastAsia="zh-CN"/>
    </w:rPr>
  </w:style>
  <w:style w:type="character" w:customStyle="1" w:styleId="31">
    <w:name w:val="标题 7 字符"/>
    <w:basedOn w:val="20"/>
    <w:link w:val="8"/>
    <w:qFormat/>
    <w:uiPriority w:val="0"/>
    <w:rPr>
      <w:rFonts w:ascii="仿宋_GB2312" w:hAnsi="Times New Roman" w:eastAsia="仿宋_GB2312" w:cs="Times New Roman"/>
      <w:sz w:val="24"/>
      <w:szCs w:val="20"/>
      <w:lang w:val="zh-CN" w:eastAsia="zh-CN"/>
    </w:rPr>
  </w:style>
  <w:style w:type="character" w:customStyle="1" w:styleId="32">
    <w:name w:val="正文文本缩进 2 字符"/>
    <w:basedOn w:val="20"/>
    <w:link w:val="12"/>
    <w:qFormat/>
    <w:uiPriority w:val="0"/>
    <w:rPr>
      <w:rFonts w:ascii="仿宋_GB2312" w:hAnsi="Calibri" w:eastAsia="仿宋_GB2312" w:cs="Times New Roman"/>
      <w:sz w:val="24"/>
      <w:szCs w:val="20"/>
    </w:rPr>
  </w:style>
  <w:style w:type="character" w:customStyle="1" w:styleId="33">
    <w:name w:val="正文文本缩进 字符"/>
    <w:basedOn w:val="20"/>
    <w:link w:val="11"/>
    <w:qFormat/>
    <w:uiPriority w:val="0"/>
    <w:rPr>
      <w:rFonts w:ascii="Times New Roman" w:hAnsi="Times New Roman" w:eastAsia="宋体" w:cs="Times New Roman"/>
      <w:szCs w:val="24"/>
      <w:lang w:val="zh-CN" w:eastAsia="zh-CN"/>
    </w:rPr>
  </w:style>
  <w:style w:type="character" w:customStyle="1" w:styleId="34">
    <w:name w:val="正文缩进 字符"/>
    <w:link w:val="9"/>
    <w:qFormat/>
    <w:uiPriority w:val="99"/>
    <w:rPr>
      <w:rFonts w:ascii="Calibri" w:hAnsi="Calibri" w:eastAsia="宋体" w:cs="Times New Roman"/>
      <w:szCs w:val="24"/>
    </w:rPr>
  </w:style>
  <w:style w:type="paragraph" w:customStyle="1" w:styleId="35">
    <w:name w:val="正文正文"/>
    <w:basedOn w:val="1"/>
    <w:qFormat/>
    <w:uiPriority w:val="99"/>
    <w:pPr>
      <w:spacing w:after="25" w:afterLines="25" w:line="360" w:lineRule="auto"/>
      <w:ind w:firstLine="200" w:firstLineChars="200"/>
    </w:pPr>
    <w:rPr>
      <w:sz w:val="24"/>
    </w:rPr>
  </w:style>
  <w:style w:type="character" w:customStyle="1" w:styleId="36">
    <w:name w:val="批注框文本 字符"/>
    <w:basedOn w:val="20"/>
    <w:link w:val="13"/>
    <w:semiHidden/>
    <w:qFormat/>
    <w:uiPriority w:val="99"/>
    <w:rPr>
      <w:rFonts w:ascii="Times New Roman" w:hAnsi="Times New Roman" w:eastAsia="宋体" w:cs="Times New Roman"/>
      <w:sz w:val="18"/>
      <w:szCs w:val="18"/>
    </w:rPr>
  </w:style>
  <w:style w:type="character" w:customStyle="1" w:styleId="37">
    <w:name w:val="批注文字 字符"/>
    <w:basedOn w:val="20"/>
    <w:link w:val="10"/>
    <w:qFormat/>
    <w:uiPriority w:val="99"/>
    <w:rPr>
      <w:rFonts w:ascii="Times New Roman" w:hAnsi="Times New Roman" w:eastAsia="宋体" w:cs="Times New Roman"/>
      <w:szCs w:val="24"/>
    </w:rPr>
  </w:style>
  <w:style w:type="character" w:customStyle="1" w:styleId="38">
    <w:name w:val="批注主题 字符"/>
    <w:basedOn w:val="37"/>
    <w:link w:val="18"/>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ontentTypeVersion="0" _="" contentTypeName="Document" versionID="36a0b2e3b99e6066eb4e892e7046030a" contentTypeDescription="Create a new document." contentTypeScope="" contentTypeID="0x0101005CF892CA87AC3C449149E796A069584A">
  <xsd:schema xmlns:xsd="http://www.w3.org/2001/XMLSchema" xmlns:ma="http://schemas.microsoft.com/office/2006/metadata/properties/metaAttributes" ma:root="true" targetNamespace="http://schemas.microsoft.com/office/2006/metadata/properties" ma:fieldsID="4aeb20c0e3442673af7ee10786458764">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complexType>
          </xsd:element>
        </xsd:sequence>
      </xsd:complexType>
    </xsd:element>
  </xsd:schema>
  <xsd:schema xmlns:xsd="http://www.w3.org/2001/XMLSchema" targetNamespace="http://schemas.openxmlformats.org/package/2006/metadata/core-properties" blockDefault="#all" attributeFormDefault="unqualified" elementFormDefault="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ma:displayName="Content Type" type="xsd:string" ma:index="0" name="contentType" maxOccurs="1" ma:readOnly="true" minOccurs="0"/>
        <xsd:element xmlns:xsd="http://www.w3.org/2001/XMLSchema" xmlns:ma="http://schemas.microsoft.com/office/2006/metadata/properties/metaAttributes" ma:displayName="Title" ma:index="4" ref="dc:title" maxOccurs="1" minOccurs="0"/>
        <xsd:element xmlns:xsd="http://www.w3.org/2001/XMLSchema" ref="dc:subject" maxOccurs="1" minOccurs="0"/>
        <xsd:element xmlns:xsd="http://www.w3.org/2001/XMLSchema" ref="dc:description" maxOccurs="1" minOccurs="0"/>
        <xsd:element xmlns:xsd="http://www.w3.org/2001/XMLSchema" type="xsd:string" name="keywords" maxOccurs="1" minOccurs="0"/>
        <xsd:element xmlns:xsd="http://www.w3.org/2001/XMLSchema" ref="dc:language" maxOccurs="1"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ref="dcterms:modified" maxOccurs="1" minOccurs="0"/>
        <xsd:element xmlns:xsd="http://www.w3.org/2001/XMLSchema" type="xsd:dateTime" name="lastPrinted" maxOccurs="1" minOccurs="0"/>
        <xsd:element xmlns:xsd="http://www.w3.org/2001/XMLSchema" type="xsd:string" name="contentStatus" maxOccurs="1" minOccurs="0"/>
      </xsd:all>
    </xsd:complexType>
  </xsd:schema>
</ct:contentTypeSchem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5742A-0804-4EE7-82C3-FFA26765DCAB}">
  <ds:schemaRefs/>
</ds:datastoreItem>
</file>

<file path=customXml/itemProps3.xml><?xml version="1.0" encoding="utf-8"?>
<ds:datastoreItem xmlns:ds="http://schemas.openxmlformats.org/officeDocument/2006/customXml" ds:itemID="{E87D0168-16D8-4DAF-9108-2B5D74F65D52}">
  <ds:schemaRefs/>
</ds:datastoreItem>
</file>

<file path=customXml/itemProps4.xml><?xml version="1.0" encoding="utf-8"?>
<ds:datastoreItem xmlns:ds="http://schemas.openxmlformats.org/officeDocument/2006/customXml" ds:itemID="{7CBFDEE4-661F-471F-9485-ECA3FBAF7C47}">
  <ds:schemaRefs/>
</ds:datastoreItem>
</file>

<file path=customXml/itemProps5.xml><?xml version="1.0" encoding="utf-8"?>
<ds:datastoreItem xmlns:ds="http://schemas.openxmlformats.org/officeDocument/2006/customXml" ds:itemID="{EE20AAF7-5353-4172-B720-2C430B3A73E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17835</Words>
  <Characters>18015</Characters>
  <Lines>643</Lines>
  <Paragraphs>543</Paragraphs>
  <TotalTime>187</TotalTime>
  <ScaleCrop>false</ScaleCrop>
  <LinksUpToDate>false</LinksUpToDate>
  <CharactersWithSpaces>35307</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2025-12-30T09:50:00Z</dcterms:created>
  <dc:creator>Administrator</dc:creator>
  <cp:lastModifiedBy>fuxj</cp:lastModifiedBy>
  <dcterms:modified xsi:type="dcterms:W3CDTF">2026-06-25T05:09:15Z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2052-12.8.2.19795</vt:lpwstr>
  </property>
  <property fmtid="{D5CDD505-2E9C-101B-9397-08002B2CF9AE}" pid="4" name="ICV">
    <vt:lpwstr>19C1CC82D266416C3FC57069AB4C02C9</vt:lpwstr>
  </property>
</Properties>
</file>