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D5F18">
      <w:pPr>
        <w:adjustRightInd w:val="0"/>
        <w:snapToGrid w:val="0"/>
        <w:spacing w:line="360" w:lineRule="auto"/>
        <w:jc w:val="center"/>
        <w:rPr>
          <w:rFonts w:cs="Arial" w:asciiTheme="minorEastAsia" w:hAnsiTheme="minorEastAsia" w:eastAsiaTheme="minorEastAsia"/>
          <w:b/>
          <w:color w:val="0D0D0D" w:themeColor="text1" w:themeTint="F2"/>
          <w:sz w:val="24"/>
          <w:szCs w:val="24"/>
          <w14:textFill>
            <w14:solidFill>
              <w14:schemeClr w14:val="tx1">
                <w14:lumMod w14:val="95000"/>
                <w14:lumOff w14:val="5000"/>
              </w14:schemeClr>
            </w14:solidFill>
          </w14:textFill>
        </w:rPr>
      </w:pPr>
      <w:bookmarkStart w:id="0" w:name="TITLE_8ad66bbe17e94d1c9f15e64eec6d06ab"/>
      <w:r>
        <w:rPr>
          <w:rFonts w:asciiTheme="minorEastAsia" w:hAnsiTheme="minorEastAsia" w:eastAsiaTheme="minorEastAsia"/>
          <w:sz w:val="24"/>
          <w:szCs w:val="24"/>
        </w:rPr>
        <w:t xml:space="preserve"> </w:t>
      </w:r>
      <w:bookmarkEnd w:id="0"/>
      <w:bookmarkStart w:id="1" w:name="CTS_1e4cda9ef7d04a03af2d4d340c1d96cc"/>
      <w:bookmarkEnd w:id="1"/>
      <w:bookmarkStart w:id="2" w:name="CLAUSE_1e4cda9ef7d04a03af2d4d340c1d96cc"/>
    </w:p>
    <w:p w14:paraId="34D5F4E2">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0F2061CA">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68543422">
      <w:pPr>
        <w:adjustRightInd w:val="0"/>
        <w:snapToGrid w:val="0"/>
        <w:spacing w:line="360" w:lineRule="auto"/>
        <w:jc w:val="center"/>
        <w:rPr>
          <w:rFonts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pPr>
    </w:p>
    <w:p w14:paraId="0160ED93">
      <w:pPr>
        <w:adjustRightInd w:val="0"/>
        <w:snapToGrid w:val="0"/>
        <w:spacing w:line="360" w:lineRule="auto"/>
        <w:jc w:val="center"/>
        <w:rPr>
          <w:rFonts w:asciiTheme="minorEastAsia" w:hAnsiTheme="minorEastAsia"/>
          <w:b/>
          <w:color w:val="0D0D0D" w:themeColor="text1" w:themeTint="F2"/>
          <w:sz w:val="40"/>
          <w:szCs w:val="24"/>
          <w14:textFill>
            <w14:solidFill>
              <w14:schemeClr w14:val="tx1">
                <w14:lumMod w14:val="95000"/>
                <w14:lumOff w14:val="5000"/>
              </w14:schemeClr>
            </w14:solidFill>
          </w14:textFill>
        </w:rPr>
      </w:pPr>
      <w:r>
        <w:rPr>
          <w:rFonts w:hint="eastAsia"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t>博时中证光伏产业交易型开放式指数证券投资基金</w:t>
      </w:r>
      <w:r>
        <w:rPr>
          <w:rFonts w:hint="eastAsia" w:asciiTheme="minorEastAsia" w:hAnsiTheme="minorEastAsia"/>
          <w:b/>
          <w:color w:val="0D0D0D" w:themeColor="text1" w:themeTint="F2"/>
          <w:sz w:val="40"/>
          <w:szCs w:val="24"/>
          <w14:textFill>
            <w14:solidFill>
              <w14:schemeClr w14:val="tx1">
                <w14:lumMod w14:val="95000"/>
                <w14:lumOff w14:val="5000"/>
              </w14:schemeClr>
            </w14:solidFill>
          </w14:textFill>
        </w:rPr>
        <w:t>基金合同</w:t>
      </w:r>
    </w:p>
    <w:p w14:paraId="125EF43D">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5FCC7D6F">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42F4EAC8">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48DFE43B">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504382A6">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48F804A1">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6DD664A9">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54E08EDF">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45D5D502">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375978F5">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7E821090">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bookmarkStart w:id="3" w:name="_Toc139992301"/>
      <w:bookmarkStart w:id="4" w:name="_Toc123701383"/>
      <w:bookmarkStart w:id="5" w:name="_Toc139991726"/>
      <w:bookmarkStart w:id="6" w:name="_Toc123112263"/>
      <w:bookmarkStart w:id="7" w:name="_Toc123112224"/>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基金管理人：</w:t>
      </w:r>
      <w:bookmarkEnd w:id="3"/>
      <w:bookmarkEnd w:id="4"/>
      <w:bookmarkEnd w:id="5"/>
      <w:bookmarkEnd w:id="6"/>
      <w:bookmarkEnd w:id="7"/>
      <w: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博时基金管理有限公司</w:t>
      </w:r>
      <w:bookmarkStart w:id="8" w:name="_Toc123112264"/>
      <w:bookmarkStart w:id="9" w:name="_Toc123112225"/>
      <w:bookmarkStart w:id="10" w:name="_Toc139991727"/>
      <w:bookmarkStart w:id="11" w:name="_Toc139992302"/>
      <w:bookmarkStart w:id="12" w:name="_Toc123701384"/>
    </w:p>
    <w:p w14:paraId="5EC2620A">
      <w:pPr>
        <w:adjustRightInd w:val="0"/>
        <w:snapToGrid w:val="0"/>
        <w:spacing w:line="360" w:lineRule="auto"/>
        <w:jc w:val="cente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基金托管人：</w:t>
      </w:r>
      <w:bookmarkEnd w:id="8"/>
      <w:bookmarkEnd w:id="9"/>
      <w:bookmarkEnd w:id="10"/>
      <w:bookmarkEnd w:id="11"/>
      <w:bookmarkEnd w:id="12"/>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上海浦东发展银行股份有限公司</w:t>
      </w:r>
    </w:p>
    <w:p w14:paraId="6238120A">
      <w:pPr>
        <w:adjustRightInd w:val="0"/>
        <w:snapToGrid w:val="0"/>
        <w:spacing w:line="360" w:lineRule="auto"/>
        <w:ind w:firstLine="1687" w:firstLineChars="600"/>
        <w:rPr>
          <w:rFonts w:asciiTheme="minorEastAsia" w:hAnsi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p>
    <w:bookmarkEnd w:id="2"/>
    <w:p w14:paraId="39AC63B5">
      <w:pPr>
        <w:spacing w:line="360" w:lineRule="auto"/>
        <w:jc w:val="cente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sectPr>
          <w:headerReference r:id="rId3" w:type="first"/>
          <w:footerReference r:id="rId5" w:type="first"/>
          <w:footerReference r:id="rId4" w:type="default"/>
          <w:pgSz w:w="11906" w:h="16838"/>
          <w:pgMar w:top="1440" w:right="1800" w:bottom="1440" w:left="1800" w:header="851" w:footer="992" w:gutter="0"/>
          <w:cols w:space="425" w:num="1"/>
          <w:formProt w:val="0"/>
          <w:docGrid w:type="lines" w:linePitch="312" w:charSpace="0"/>
        </w:sectPr>
      </w:pPr>
      <w:bookmarkStart w:id="13" w:name="CTS_11606cca7f0c4bf7a5f87c9437b80dfa"/>
      <w:bookmarkEnd w:id="13"/>
      <w:bookmarkStart w:id="14" w:name="CLAUSE_11606cca7f0c4bf7a5f87c9437b80dfa"/>
      <w:bookmarkStart w:id="15" w:name="_Toc123701386"/>
      <w:bookmarkStart w:id="16" w:name="_Toc123112266"/>
      <w:bookmarkStart w:id="17" w:name="_Toc139991729"/>
      <w:bookmarkStart w:id="18" w:name="_Toc123112227"/>
      <w:r>
        <w:rPr>
          <w:rFonts w:hint="eastAsia" w:asciiTheme="minorEastAsia" w:hAnsiTheme="minorEastAsia" w:eastAsiaTheme="minorEastAsia"/>
          <w:b/>
          <w:bCs/>
          <w:color w:val="0D0D0D" w:themeColor="text1" w:themeTint="F2"/>
          <w:sz w:val="30"/>
          <w14:textFill>
            <w14:solidFill>
              <w14:schemeClr w14:val="tx1">
                <w14:lumMod w14:val="95000"/>
                <w14:lumOff w14:val="5000"/>
              </w14:schemeClr>
            </w14:solidFill>
          </w14:textFill>
        </w:rPr>
        <w:t>二〇二</w:t>
      </w:r>
      <w:r>
        <w:rPr>
          <w:rFonts w:hint="eastAsia" w:asciiTheme="minorEastAsia" w:hAnsiTheme="minorEastAsia" w:eastAsiaTheme="minorEastAsia"/>
          <w:b/>
          <w:bCs/>
          <w:color w:val="0D0D0D" w:themeColor="text1" w:themeTint="F2"/>
          <w:sz w:val="30"/>
          <w:lang w:val="en-US" w:eastAsia="zh-CN"/>
          <w14:textFill>
            <w14:solidFill>
              <w14:schemeClr w14:val="tx1">
                <w14:lumMod w14:val="95000"/>
                <w14:lumOff w14:val="5000"/>
              </w14:schemeClr>
            </w14:solidFill>
          </w14:textFill>
        </w:rPr>
        <w:t>六</w:t>
      </w:r>
      <w:r>
        <w:rPr>
          <w:rFonts w:hint="eastAsia"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年一月</w:t>
      </w:r>
      <w:bookmarkEnd w:id="14"/>
    </w:p>
    <w:p w14:paraId="0702CF46">
      <w:pPr>
        <w:adjustRightInd w:val="0"/>
        <w:snapToGrid w:val="0"/>
        <w:spacing w:line="360" w:lineRule="auto"/>
        <w:jc w:val="center"/>
        <w:rPr>
          <w:rFonts w:asciiTheme="minorEastAsia" w:hAnsiTheme="minorEastAsia"/>
          <w:b/>
          <w:sz w:val="24"/>
          <w:szCs w:val="24"/>
        </w:rPr>
      </w:pPr>
      <w:bookmarkStart w:id="19" w:name="CTS_7964f364388a444fbc5ed698e7f07ff5"/>
      <w:bookmarkEnd w:id="19"/>
      <w:bookmarkStart w:id="20" w:name="CLAUSE_7964f364388a444fbc5ed698e7f07ff5"/>
      <w:r>
        <w:rPr>
          <w:rFonts w:hint="eastAsia" w:asciiTheme="minorEastAsia" w:hAnsiTheme="minorEastAsia"/>
          <w:b/>
          <w:sz w:val="24"/>
          <w:szCs w:val="24"/>
        </w:rPr>
        <w:t>目</w:t>
      </w:r>
      <w:r>
        <w:rPr>
          <w:rFonts w:asciiTheme="minorEastAsia" w:hAnsiTheme="minorEastAsia"/>
          <w:b/>
          <w:sz w:val="24"/>
          <w:szCs w:val="24"/>
        </w:rPr>
        <w:t xml:space="preserve">  </w:t>
      </w:r>
      <w:r>
        <w:rPr>
          <w:rFonts w:hint="eastAsia" w:asciiTheme="minorEastAsia" w:hAnsiTheme="minorEastAsia"/>
          <w:b/>
          <w:sz w:val="24"/>
          <w:szCs w:val="24"/>
        </w:rPr>
        <w:t>录</w:t>
      </w:r>
      <w:bookmarkEnd w:id="15"/>
      <w:bookmarkEnd w:id="16"/>
      <w:bookmarkEnd w:id="17"/>
      <w:bookmarkEnd w:id="18"/>
    </w:p>
    <w:p w14:paraId="11D657B2">
      <w:pPr>
        <w:pStyle w:val="7"/>
        <w:tabs>
          <w:tab w:val="right" w:leader="dot" w:pos="8296"/>
        </w:tabs>
        <w:spacing w:line="360" w:lineRule="auto"/>
        <w:rPr>
          <w:rFonts w:asciiTheme="minorHAnsi" w:hAnsiTheme="minorHAnsi" w:eastAsiaTheme="minorEastAsia" w:cstheme="minorBidi"/>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begin"/>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TOC \o "1-</w:instrTex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3</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\h \z \u </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separate"/>
      </w:r>
      <w:r>
        <w:fldChar w:fldCharType="begin"/>
      </w:r>
      <w:r>
        <w:instrText xml:space="preserve"> HYPERLINK \l "_Toc64923765" </w:instrText>
      </w:r>
      <w:r>
        <w:fldChar w:fldCharType="separate"/>
      </w:r>
      <w:r>
        <w:rPr>
          <w:rStyle w:val="16"/>
          <w:sz w:val="24"/>
          <w:szCs w:val="24"/>
        </w:rPr>
        <w:t>第一部分 前言</w:t>
      </w:r>
      <w:r>
        <w:rPr>
          <w:sz w:val="24"/>
          <w:szCs w:val="24"/>
        </w:rPr>
        <w:tab/>
      </w:r>
      <w:r>
        <w:rPr>
          <w:rFonts w:hint="eastAsia"/>
          <w:sz w:val="24"/>
          <w:szCs w:val="24"/>
        </w:rPr>
        <w:t>1-</w:t>
      </w:r>
      <w:r>
        <w:rPr>
          <w:sz w:val="24"/>
          <w:szCs w:val="24"/>
        </w:rPr>
        <w:fldChar w:fldCharType="begin"/>
      </w:r>
      <w:r>
        <w:rPr>
          <w:sz w:val="24"/>
          <w:szCs w:val="24"/>
        </w:rPr>
        <w:instrText xml:space="preserve"> PAGEREF _Toc64923765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6EF020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"_Toc64923766" </w:instrText>
      </w:r>
      <w:r>
        <w:fldChar w:fldCharType="separate"/>
      </w:r>
      <w:r>
        <w:rPr>
          <w:rStyle w:val="16"/>
          <w:sz w:val="24"/>
          <w:szCs w:val="24"/>
        </w:rPr>
        <w:t>第二部分 释义</w:t>
      </w:r>
      <w:r>
        <w:rPr>
          <w:sz w:val="24"/>
          <w:szCs w:val="24"/>
        </w:rPr>
        <w:tab/>
      </w:r>
      <w:r>
        <w:rPr>
          <w:rFonts w:hint="eastAsia"/>
          <w:sz w:val="24"/>
          <w:szCs w:val="24"/>
        </w:rPr>
        <w:t>2-</w:t>
      </w:r>
      <w:r>
        <w:rPr>
          <w:sz w:val="24"/>
          <w:szCs w:val="24"/>
        </w:rPr>
        <w:fldChar w:fldCharType="begin"/>
      </w:r>
      <w:r>
        <w:rPr>
          <w:sz w:val="24"/>
          <w:szCs w:val="24"/>
        </w:rPr>
        <w:instrText xml:space="preserve"> PAGEREF _Toc64923766 \h </w:instrText>
      </w:r>
      <w:r>
        <w:rPr>
          <w:sz w:val="24"/>
          <w:szCs w:val="24"/>
        </w:rPr>
        <w:fldChar w:fldCharType="separate"/>
      </w:r>
      <w:r>
        <w:rPr>
          <w:sz w:val="24"/>
          <w:szCs w:val="24"/>
        </w:rPr>
        <w:t>1</w:t>
      </w:r>
      <w:r>
        <w:rPr>
          <w:sz w:val="24"/>
          <w:szCs w:val="24"/>
        </w:rPr>
        <w:fldChar w:fldCharType="end"/>
      </w:r>
      <w:r>
        <w:rPr>
          <w:sz w:val="24"/>
          <w:szCs w:val="24"/>
        </w:rPr>
        <w:fldChar w:fldCharType="end"/>
      </w:r>
    </w:p>
    <w:p w14:paraId="7A2DD9D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"_Toc64923767" </w:instrText>
      </w:r>
      <w:r>
        <w:fldChar w:fldCharType="separate"/>
      </w:r>
      <w:r>
        <w:rPr>
          <w:rStyle w:val="16"/>
          <w:sz w:val="24"/>
          <w:szCs w:val="24"/>
        </w:rPr>
        <w:t>第三部分 基金的基本情况</w:t>
      </w:r>
      <w:r>
        <w:rPr>
          <w:sz w:val="24"/>
          <w:szCs w:val="24"/>
        </w:rPr>
        <w:tab/>
      </w:r>
      <w:r>
        <w:rPr>
          <w:rFonts w:hint="eastAsia"/>
          <w:sz w:val="24"/>
          <w:szCs w:val="24"/>
        </w:rPr>
        <w:t>3-</w:t>
      </w:r>
      <w:r>
        <w:rPr>
          <w:sz w:val="24"/>
          <w:szCs w:val="24"/>
        </w:rPr>
        <w:fldChar w:fldCharType="begin"/>
      </w:r>
      <w:r>
        <w:rPr>
          <w:sz w:val="24"/>
          <w:szCs w:val="24"/>
        </w:rPr>
        <w:instrText xml:space="preserve"> PAGEREF _Toc64923767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C0B5E14">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"_Toc64923768" </w:instrText>
      </w:r>
      <w:r>
        <w:fldChar w:fldCharType="separate"/>
      </w:r>
      <w:r>
        <w:rPr>
          <w:rStyle w:val="16"/>
          <w:sz w:val="24"/>
          <w:szCs w:val="24"/>
        </w:rPr>
        <w:t>第四部分 基金份额的发售</w:t>
      </w:r>
      <w:r>
        <w:rPr>
          <w:sz w:val="24"/>
          <w:szCs w:val="24"/>
        </w:rPr>
        <w:tab/>
      </w:r>
      <w:r>
        <w:rPr>
          <w:rFonts w:hint="eastAsia"/>
          <w:sz w:val="24"/>
          <w:szCs w:val="24"/>
        </w:rPr>
        <w:t>4-</w:t>
      </w:r>
      <w:r>
        <w:rPr>
          <w:sz w:val="24"/>
          <w:szCs w:val="24"/>
        </w:rPr>
        <w:fldChar w:fldCharType="begin"/>
      </w:r>
      <w:r>
        <w:rPr>
          <w:sz w:val="24"/>
          <w:szCs w:val="24"/>
        </w:rPr>
        <w:instrText xml:space="preserve"> PAGEREF _Toc64923768 \h </w:instrText>
      </w:r>
      <w:r>
        <w:rPr>
          <w:sz w:val="24"/>
          <w:szCs w:val="24"/>
        </w:rPr>
        <w:fldChar w:fldCharType="separate"/>
      </w:r>
      <w:r>
        <w:rPr>
          <w:sz w:val="24"/>
          <w:szCs w:val="24"/>
        </w:rPr>
        <w:t>1</w:t>
      </w:r>
      <w:r>
        <w:rPr>
          <w:sz w:val="24"/>
          <w:szCs w:val="24"/>
        </w:rPr>
        <w:fldChar w:fldCharType="end"/>
      </w:r>
      <w:r>
        <w:rPr>
          <w:sz w:val="24"/>
          <w:szCs w:val="24"/>
        </w:rPr>
        <w:fldChar w:fldCharType="end"/>
      </w:r>
    </w:p>
    <w:p w14:paraId="6B25160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"_Toc64923769" </w:instrText>
      </w:r>
      <w:r>
        <w:fldChar w:fldCharType="separate"/>
      </w:r>
      <w:r>
        <w:rPr>
          <w:rStyle w:val="16"/>
          <w:sz w:val="24"/>
          <w:szCs w:val="24"/>
        </w:rPr>
        <w:t>第五部分 基金备案</w:t>
      </w:r>
      <w:r>
        <w:rPr>
          <w:sz w:val="24"/>
          <w:szCs w:val="24"/>
        </w:rPr>
        <w:tab/>
      </w:r>
      <w:r>
        <w:rPr>
          <w:rFonts w:hint="eastAsia"/>
          <w:sz w:val="24"/>
          <w:szCs w:val="24"/>
        </w:rPr>
        <w:t>5-</w:t>
      </w:r>
      <w:r>
        <w:rPr>
          <w:sz w:val="24"/>
          <w:szCs w:val="24"/>
        </w:rPr>
        <w:fldChar w:fldCharType="begin"/>
      </w:r>
      <w:r>
        <w:rPr>
          <w:sz w:val="24"/>
          <w:szCs w:val="24"/>
        </w:rPr>
        <w:instrText xml:space="preserve"> PAGEREF _Toc64923769 \h </w:instrText>
      </w:r>
      <w:r>
        <w:rPr>
          <w:sz w:val="24"/>
          <w:szCs w:val="24"/>
        </w:rPr>
        <w:fldChar w:fldCharType="separate"/>
      </w:r>
      <w:r>
        <w:rPr>
          <w:sz w:val="24"/>
          <w:szCs w:val="24"/>
        </w:rPr>
        <w:t>1</w:t>
      </w:r>
      <w:r>
        <w:rPr>
          <w:sz w:val="24"/>
          <w:szCs w:val="24"/>
        </w:rPr>
        <w:fldChar w:fldCharType="end"/>
      </w:r>
      <w:r>
        <w:rPr>
          <w:sz w:val="24"/>
          <w:szCs w:val="24"/>
        </w:rPr>
        <w:fldChar w:fldCharType="end"/>
      </w:r>
    </w:p>
    <w:p w14:paraId="08CB18E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"_Toc64923770" </w:instrText>
      </w:r>
      <w:r>
        <w:fldChar w:fldCharType="separate"/>
      </w:r>
      <w:r>
        <w:rPr>
          <w:rStyle w:val="16"/>
          <w:sz w:val="24"/>
          <w:szCs w:val="24"/>
        </w:rPr>
        <w:t>第六部分 基金份额折算与变更登记</w:t>
      </w:r>
      <w:r>
        <w:rPr>
          <w:sz w:val="24"/>
          <w:szCs w:val="24"/>
        </w:rPr>
        <w:tab/>
      </w:r>
      <w:r>
        <w:rPr>
          <w:rFonts w:hint="eastAsia"/>
          <w:sz w:val="24"/>
          <w:szCs w:val="24"/>
        </w:rPr>
        <w:t>6-</w:t>
      </w:r>
      <w:r>
        <w:rPr>
          <w:sz w:val="24"/>
          <w:szCs w:val="24"/>
        </w:rPr>
        <w:fldChar w:fldCharType="begin"/>
      </w:r>
      <w:r>
        <w:rPr>
          <w:sz w:val="24"/>
          <w:szCs w:val="24"/>
        </w:rPr>
        <w:instrText xml:space="preserve"> PAGEREF _Toc64923770 \h </w:instrText>
      </w:r>
      <w:r>
        <w:rPr>
          <w:sz w:val="24"/>
          <w:szCs w:val="24"/>
        </w:rPr>
        <w:fldChar w:fldCharType="separate"/>
      </w:r>
      <w:r>
        <w:rPr>
          <w:sz w:val="24"/>
          <w:szCs w:val="24"/>
        </w:rPr>
        <w:t>1</w:t>
      </w:r>
      <w:r>
        <w:rPr>
          <w:sz w:val="24"/>
          <w:szCs w:val="24"/>
        </w:rPr>
        <w:fldChar w:fldCharType="end"/>
      </w:r>
      <w:r>
        <w:rPr>
          <w:sz w:val="24"/>
          <w:szCs w:val="24"/>
        </w:rPr>
        <w:fldChar w:fldCharType="end"/>
      </w:r>
    </w:p>
    <w:p w14:paraId="72875A9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"_Toc64923771" </w:instrText>
      </w:r>
      <w:r>
        <w:fldChar w:fldCharType="separate"/>
      </w:r>
      <w:r>
        <w:rPr>
          <w:rStyle w:val="16"/>
          <w:sz w:val="24"/>
          <w:szCs w:val="24"/>
        </w:rPr>
        <w:t>第七部分 基金份额的上市交易</w:t>
      </w:r>
      <w:r>
        <w:rPr>
          <w:sz w:val="24"/>
          <w:szCs w:val="24"/>
        </w:rPr>
        <w:tab/>
      </w:r>
      <w:r>
        <w:rPr>
          <w:rFonts w:hint="eastAsia"/>
          <w:sz w:val="24"/>
          <w:szCs w:val="24"/>
        </w:rPr>
        <w:t>7-</w:t>
      </w:r>
      <w:r>
        <w:rPr>
          <w:sz w:val="24"/>
          <w:szCs w:val="24"/>
        </w:rPr>
        <w:fldChar w:fldCharType="begin"/>
      </w:r>
      <w:r>
        <w:rPr>
          <w:sz w:val="24"/>
          <w:szCs w:val="24"/>
        </w:rPr>
        <w:instrText xml:space="preserve"> PAGEREF _Toc64923771 \h </w:instrText>
      </w:r>
      <w:r>
        <w:rPr>
          <w:sz w:val="24"/>
          <w:szCs w:val="24"/>
        </w:rPr>
        <w:fldChar w:fldCharType="separate"/>
      </w:r>
      <w:r>
        <w:rPr>
          <w:sz w:val="24"/>
          <w:szCs w:val="24"/>
        </w:rPr>
        <w:t>1</w:t>
      </w:r>
      <w:r>
        <w:rPr>
          <w:sz w:val="24"/>
          <w:szCs w:val="24"/>
        </w:rPr>
        <w:fldChar w:fldCharType="end"/>
      </w:r>
      <w:r>
        <w:rPr>
          <w:sz w:val="24"/>
          <w:szCs w:val="24"/>
        </w:rPr>
        <w:fldChar w:fldCharType="end"/>
      </w:r>
    </w:p>
    <w:p w14:paraId="4DAC2D2C">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"_Toc64923772" </w:instrText>
      </w:r>
      <w:r>
        <w:fldChar w:fldCharType="separate"/>
      </w:r>
      <w:r>
        <w:rPr>
          <w:rStyle w:val="16"/>
          <w:rFonts w:cs="Arial"/>
          <w:sz w:val="24"/>
          <w:szCs w:val="24"/>
        </w:rPr>
        <w:t>第八部分</w:t>
      </w:r>
      <w:r>
        <w:rPr>
          <w:rStyle w:val="16"/>
          <w:sz w:val="24"/>
          <w:szCs w:val="24"/>
        </w:rPr>
        <w:t xml:space="preserve"> 基金份额的申购与赎回</w:t>
      </w:r>
      <w:r>
        <w:rPr>
          <w:sz w:val="24"/>
          <w:szCs w:val="24"/>
        </w:rPr>
        <w:tab/>
      </w:r>
      <w:r>
        <w:rPr>
          <w:rFonts w:hint="eastAsia"/>
          <w:sz w:val="24"/>
          <w:szCs w:val="24"/>
        </w:rPr>
        <w:t>8-</w:t>
      </w:r>
      <w:r>
        <w:rPr>
          <w:sz w:val="24"/>
          <w:szCs w:val="24"/>
        </w:rPr>
        <w:fldChar w:fldCharType="begin"/>
      </w:r>
      <w:r>
        <w:rPr>
          <w:sz w:val="24"/>
          <w:szCs w:val="24"/>
        </w:rPr>
        <w:instrText xml:space="preserve"> PAGEREF _Toc64923772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4DDFC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"_Toc64923773" </w:instrText>
      </w:r>
      <w:r>
        <w:fldChar w:fldCharType="separate"/>
      </w:r>
      <w:r>
        <w:rPr>
          <w:rStyle w:val="16"/>
          <w:rFonts w:cs="Arial"/>
          <w:sz w:val="24"/>
          <w:szCs w:val="24"/>
        </w:rPr>
        <w:t>第九</w:t>
      </w:r>
      <w:r>
        <w:rPr>
          <w:rStyle w:val="16"/>
          <w:sz w:val="24"/>
          <w:szCs w:val="24"/>
        </w:rPr>
        <w:t>部分 基金合同当事人及权利义务</w:t>
      </w:r>
      <w:r>
        <w:rPr>
          <w:sz w:val="24"/>
          <w:szCs w:val="24"/>
        </w:rPr>
        <w:tab/>
      </w:r>
      <w:r>
        <w:rPr>
          <w:rFonts w:hint="eastAsia"/>
          <w:sz w:val="24"/>
          <w:szCs w:val="24"/>
        </w:rPr>
        <w:t>9-</w:t>
      </w:r>
      <w:r>
        <w:rPr>
          <w:sz w:val="24"/>
          <w:szCs w:val="24"/>
        </w:rPr>
        <w:fldChar w:fldCharType="begin"/>
      </w:r>
      <w:r>
        <w:rPr>
          <w:sz w:val="24"/>
          <w:szCs w:val="24"/>
        </w:rPr>
        <w:instrText xml:space="preserve"> PAGEREF _Toc64923773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38FAE1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"_Toc64923774" </w:instrText>
      </w:r>
      <w:r>
        <w:fldChar w:fldCharType="separate"/>
      </w:r>
      <w:r>
        <w:rPr>
          <w:rStyle w:val="16"/>
          <w:rFonts w:cs="Arial"/>
          <w:sz w:val="24"/>
          <w:szCs w:val="24"/>
        </w:rPr>
        <w:t>第十部分</w:t>
      </w:r>
      <w:r>
        <w:rPr>
          <w:rStyle w:val="16"/>
          <w:sz w:val="24"/>
          <w:szCs w:val="24"/>
        </w:rPr>
        <w:t xml:space="preserve"> 基金份额持有人大会</w:t>
      </w:r>
      <w:r>
        <w:rPr>
          <w:sz w:val="24"/>
          <w:szCs w:val="24"/>
        </w:rPr>
        <w:tab/>
      </w:r>
      <w:r>
        <w:rPr>
          <w:rFonts w:hint="eastAsia"/>
          <w:sz w:val="24"/>
          <w:szCs w:val="24"/>
        </w:rPr>
        <w:t>10-</w:t>
      </w:r>
      <w:r>
        <w:rPr>
          <w:sz w:val="24"/>
          <w:szCs w:val="24"/>
        </w:rPr>
        <w:fldChar w:fldCharType="begin"/>
      </w:r>
      <w:r>
        <w:rPr>
          <w:sz w:val="24"/>
          <w:szCs w:val="24"/>
        </w:rPr>
        <w:instrText xml:space="preserve"> PAGEREF _Toc64923774 \h </w:instrText>
      </w:r>
      <w:r>
        <w:rPr>
          <w:sz w:val="24"/>
          <w:szCs w:val="24"/>
        </w:rPr>
        <w:fldChar w:fldCharType="separate"/>
      </w:r>
      <w:r>
        <w:rPr>
          <w:sz w:val="24"/>
          <w:szCs w:val="24"/>
        </w:rPr>
        <w:t>1</w:t>
      </w:r>
      <w:r>
        <w:rPr>
          <w:sz w:val="24"/>
          <w:szCs w:val="24"/>
        </w:rPr>
        <w:fldChar w:fldCharType="end"/>
      </w:r>
      <w:r>
        <w:rPr>
          <w:sz w:val="24"/>
          <w:szCs w:val="24"/>
        </w:rPr>
        <w:fldChar w:fldCharType="end"/>
      </w:r>
    </w:p>
    <w:p w14:paraId="3A1764E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"_Toc64923775" </w:instrText>
      </w:r>
      <w:r>
        <w:fldChar w:fldCharType="separate"/>
      </w:r>
      <w:r>
        <w:rPr>
          <w:rStyle w:val="16"/>
          <w:rFonts w:cs="Arial"/>
          <w:sz w:val="24"/>
          <w:szCs w:val="24"/>
        </w:rPr>
        <w:t>第十一部分</w:t>
      </w:r>
      <w:r>
        <w:rPr>
          <w:rStyle w:val="16"/>
          <w:sz w:val="24"/>
          <w:szCs w:val="24"/>
        </w:rPr>
        <w:t xml:space="preserve"> 基金管理人、基金托管人的更换条件和程序</w:t>
      </w:r>
      <w:r>
        <w:rPr>
          <w:sz w:val="24"/>
          <w:szCs w:val="24"/>
        </w:rPr>
        <w:tab/>
      </w:r>
      <w:r>
        <w:rPr>
          <w:rFonts w:hint="eastAsia"/>
          <w:sz w:val="24"/>
          <w:szCs w:val="24"/>
        </w:rPr>
        <w:t>11-</w:t>
      </w:r>
      <w:r>
        <w:rPr>
          <w:sz w:val="24"/>
          <w:szCs w:val="24"/>
        </w:rPr>
        <w:fldChar w:fldCharType="begin"/>
      </w:r>
      <w:r>
        <w:rPr>
          <w:sz w:val="24"/>
          <w:szCs w:val="24"/>
        </w:rPr>
        <w:instrText xml:space="preserve"> PAGEREF _Toc64923775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E87C27F">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"_Toc64923776" </w:instrText>
      </w:r>
      <w:r>
        <w:fldChar w:fldCharType="separate"/>
      </w:r>
      <w:r>
        <w:rPr>
          <w:rStyle w:val="16"/>
          <w:rFonts w:cs="Arial"/>
          <w:sz w:val="24"/>
          <w:szCs w:val="24"/>
        </w:rPr>
        <w:t>第十二部分</w:t>
      </w:r>
      <w:r>
        <w:rPr>
          <w:rStyle w:val="16"/>
          <w:sz w:val="24"/>
          <w:szCs w:val="24"/>
        </w:rPr>
        <w:t xml:space="preserve"> 基金的托管</w:t>
      </w:r>
      <w:r>
        <w:rPr>
          <w:sz w:val="24"/>
          <w:szCs w:val="24"/>
        </w:rPr>
        <w:tab/>
      </w:r>
      <w:r>
        <w:rPr>
          <w:rFonts w:hint="eastAsia"/>
          <w:sz w:val="24"/>
          <w:szCs w:val="24"/>
        </w:rPr>
        <w:t>12-</w:t>
      </w:r>
      <w:r>
        <w:rPr>
          <w:sz w:val="24"/>
          <w:szCs w:val="24"/>
        </w:rPr>
        <w:fldChar w:fldCharType="begin"/>
      </w:r>
      <w:r>
        <w:rPr>
          <w:sz w:val="24"/>
          <w:szCs w:val="24"/>
        </w:rPr>
        <w:instrText xml:space="preserve"> PAGEREF _Toc64923776 \h </w:instrText>
      </w:r>
      <w:r>
        <w:rPr>
          <w:sz w:val="24"/>
          <w:szCs w:val="24"/>
        </w:rPr>
        <w:fldChar w:fldCharType="separate"/>
      </w:r>
      <w:r>
        <w:rPr>
          <w:sz w:val="24"/>
          <w:szCs w:val="24"/>
        </w:rPr>
        <w:t>1</w:t>
      </w:r>
      <w:r>
        <w:rPr>
          <w:sz w:val="24"/>
          <w:szCs w:val="24"/>
        </w:rPr>
        <w:fldChar w:fldCharType="end"/>
      </w:r>
      <w:r>
        <w:rPr>
          <w:sz w:val="24"/>
          <w:szCs w:val="24"/>
        </w:rPr>
        <w:fldChar w:fldCharType="end"/>
      </w:r>
    </w:p>
    <w:p w14:paraId="293D594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"_Toc64923777" </w:instrText>
      </w:r>
      <w:r>
        <w:fldChar w:fldCharType="separate"/>
      </w:r>
      <w:r>
        <w:rPr>
          <w:rStyle w:val="16"/>
          <w:rFonts w:cs="Arial"/>
          <w:sz w:val="24"/>
          <w:szCs w:val="24"/>
        </w:rPr>
        <w:t>第十三部分</w:t>
      </w:r>
      <w:r>
        <w:rPr>
          <w:rStyle w:val="16"/>
          <w:sz w:val="24"/>
          <w:szCs w:val="24"/>
        </w:rPr>
        <w:t xml:space="preserve"> 基金份额的登记</w:t>
      </w:r>
      <w:r>
        <w:rPr>
          <w:sz w:val="24"/>
          <w:szCs w:val="24"/>
        </w:rPr>
        <w:tab/>
      </w:r>
      <w:r>
        <w:rPr>
          <w:rFonts w:hint="eastAsia"/>
          <w:sz w:val="24"/>
          <w:szCs w:val="24"/>
        </w:rPr>
        <w:t>13-</w:t>
      </w:r>
      <w:r>
        <w:rPr>
          <w:sz w:val="24"/>
          <w:szCs w:val="24"/>
        </w:rPr>
        <w:fldChar w:fldCharType="begin"/>
      </w:r>
      <w:r>
        <w:rPr>
          <w:sz w:val="24"/>
          <w:szCs w:val="24"/>
        </w:rPr>
        <w:instrText xml:space="preserve"> PAGEREF _Toc64923777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196DC26">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"_Toc64923778" </w:instrText>
      </w:r>
      <w:r>
        <w:fldChar w:fldCharType="separate"/>
      </w:r>
      <w:r>
        <w:rPr>
          <w:rStyle w:val="16"/>
          <w:rFonts w:cs="Arial"/>
          <w:sz w:val="24"/>
          <w:szCs w:val="24"/>
        </w:rPr>
        <w:t>第十四</w:t>
      </w:r>
      <w:r>
        <w:rPr>
          <w:rStyle w:val="16"/>
          <w:sz w:val="24"/>
          <w:szCs w:val="24"/>
        </w:rPr>
        <w:t>部分 基金的投资</w:t>
      </w:r>
      <w:r>
        <w:rPr>
          <w:sz w:val="24"/>
          <w:szCs w:val="24"/>
        </w:rPr>
        <w:tab/>
      </w:r>
      <w:r>
        <w:rPr>
          <w:rFonts w:hint="eastAsia"/>
          <w:sz w:val="24"/>
          <w:szCs w:val="24"/>
        </w:rPr>
        <w:t>14-</w:t>
      </w:r>
      <w:r>
        <w:rPr>
          <w:sz w:val="24"/>
          <w:szCs w:val="24"/>
        </w:rPr>
        <w:fldChar w:fldCharType="begin"/>
      </w:r>
      <w:r>
        <w:rPr>
          <w:sz w:val="24"/>
          <w:szCs w:val="24"/>
        </w:rPr>
        <w:instrText xml:space="preserve"> PAGEREF _Toc64923778 \h </w:instrText>
      </w:r>
      <w:r>
        <w:rPr>
          <w:sz w:val="24"/>
          <w:szCs w:val="24"/>
        </w:rPr>
        <w:fldChar w:fldCharType="separate"/>
      </w:r>
      <w:r>
        <w:rPr>
          <w:sz w:val="24"/>
          <w:szCs w:val="24"/>
        </w:rPr>
        <w:t>1</w:t>
      </w:r>
      <w:r>
        <w:rPr>
          <w:sz w:val="24"/>
          <w:szCs w:val="24"/>
        </w:rPr>
        <w:fldChar w:fldCharType="end"/>
      </w:r>
      <w:r>
        <w:rPr>
          <w:sz w:val="24"/>
          <w:szCs w:val="24"/>
        </w:rPr>
        <w:fldChar w:fldCharType="end"/>
      </w:r>
    </w:p>
    <w:p w14:paraId="0388721A">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"_Toc64923779" </w:instrText>
      </w:r>
      <w:r>
        <w:fldChar w:fldCharType="separate"/>
      </w:r>
      <w:r>
        <w:rPr>
          <w:rStyle w:val="16"/>
          <w:rFonts w:cs="Arial"/>
          <w:sz w:val="24"/>
          <w:szCs w:val="24"/>
        </w:rPr>
        <w:t>第十五部分</w:t>
      </w:r>
      <w:r>
        <w:rPr>
          <w:rStyle w:val="16"/>
          <w:sz w:val="24"/>
          <w:szCs w:val="24"/>
        </w:rPr>
        <w:t xml:space="preserve"> 基金的财产</w:t>
      </w:r>
      <w:r>
        <w:rPr>
          <w:sz w:val="24"/>
          <w:szCs w:val="24"/>
        </w:rPr>
        <w:tab/>
      </w:r>
      <w:r>
        <w:rPr>
          <w:rFonts w:hint="eastAsia"/>
          <w:sz w:val="24"/>
          <w:szCs w:val="24"/>
        </w:rPr>
        <w:t>15-</w:t>
      </w:r>
      <w:r>
        <w:rPr>
          <w:sz w:val="24"/>
          <w:szCs w:val="24"/>
        </w:rPr>
        <w:fldChar w:fldCharType="begin"/>
      </w:r>
      <w:r>
        <w:rPr>
          <w:sz w:val="24"/>
          <w:szCs w:val="24"/>
        </w:rPr>
        <w:instrText xml:space="preserve"> PAGEREF _Toc64923779 \h </w:instrText>
      </w:r>
      <w:r>
        <w:rPr>
          <w:sz w:val="24"/>
          <w:szCs w:val="24"/>
        </w:rPr>
        <w:fldChar w:fldCharType="separate"/>
      </w:r>
      <w:r>
        <w:rPr>
          <w:sz w:val="24"/>
          <w:szCs w:val="24"/>
        </w:rPr>
        <w:t>1</w:t>
      </w:r>
      <w:r>
        <w:rPr>
          <w:sz w:val="24"/>
          <w:szCs w:val="24"/>
        </w:rPr>
        <w:fldChar w:fldCharType="end"/>
      </w:r>
      <w:r>
        <w:rPr>
          <w:sz w:val="24"/>
          <w:szCs w:val="24"/>
        </w:rPr>
        <w:fldChar w:fldCharType="end"/>
      </w:r>
    </w:p>
    <w:p w14:paraId="248E102F">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"_Toc64923780" </w:instrText>
      </w:r>
      <w:r>
        <w:fldChar w:fldCharType="separate"/>
      </w:r>
      <w:r>
        <w:rPr>
          <w:rStyle w:val="16"/>
          <w:rFonts w:cs="Arial"/>
          <w:sz w:val="24"/>
          <w:szCs w:val="24"/>
        </w:rPr>
        <w:t>第十六</w:t>
      </w:r>
      <w:r>
        <w:rPr>
          <w:rStyle w:val="16"/>
          <w:sz w:val="24"/>
          <w:szCs w:val="24"/>
        </w:rPr>
        <w:t>部分 基金资产</w:t>
      </w:r>
      <w:r>
        <w:rPr>
          <w:rStyle w:val="16"/>
          <w:rFonts w:cs="Arial"/>
          <w:sz w:val="24"/>
          <w:szCs w:val="24"/>
        </w:rPr>
        <w:t>的</w:t>
      </w:r>
      <w:r>
        <w:rPr>
          <w:rStyle w:val="16"/>
          <w:sz w:val="24"/>
          <w:szCs w:val="24"/>
        </w:rPr>
        <w:t>估值</w:t>
      </w:r>
      <w:r>
        <w:rPr>
          <w:sz w:val="24"/>
          <w:szCs w:val="24"/>
        </w:rPr>
        <w:tab/>
      </w:r>
      <w:r>
        <w:rPr>
          <w:rFonts w:hint="eastAsia"/>
          <w:sz w:val="24"/>
          <w:szCs w:val="24"/>
        </w:rPr>
        <w:t>16-</w:t>
      </w:r>
      <w:r>
        <w:rPr>
          <w:sz w:val="24"/>
          <w:szCs w:val="24"/>
        </w:rPr>
        <w:fldChar w:fldCharType="begin"/>
      </w:r>
      <w:r>
        <w:rPr>
          <w:sz w:val="24"/>
          <w:szCs w:val="24"/>
        </w:rPr>
        <w:instrText xml:space="preserve"> PAGEREF _Toc64923780 \h </w:instrText>
      </w:r>
      <w:r>
        <w:rPr>
          <w:sz w:val="24"/>
          <w:szCs w:val="24"/>
        </w:rPr>
        <w:fldChar w:fldCharType="separate"/>
      </w:r>
      <w:r>
        <w:rPr>
          <w:sz w:val="24"/>
          <w:szCs w:val="24"/>
        </w:rPr>
        <w:t>1</w:t>
      </w:r>
      <w:r>
        <w:rPr>
          <w:sz w:val="24"/>
          <w:szCs w:val="24"/>
        </w:rPr>
        <w:fldChar w:fldCharType="end"/>
      </w:r>
      <w:r>
        <w:rPr>
          <w:sz w:val="24"/>
          <w:szCs w:val="24"/>
        </w:rPr>
        <w:fldChar w:fldCharType="end"/>
      </w:r>
    </w:p>
    <w:p w14:paraId="790FB28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"_Toc64923781" </w:instrText>
      </w:r>
      <w:r>
        <w:fldChar w:fldCharType="separate"/>
      </w:r>
      <w:r>
        <w:rPr>
          <w:rStyle w:val="16"/>
          <w:rFonts w:cs="Arial"/>
          <w:sz w:val="24"/>
          <w:szCs w:val="24"/>
        </w:rPr>
        <w:t>第十七</w:t>
      </w:r>
      <w:r>
        <w:rPr>
          <w:rStyle w:val="16"/>
          <w:sz w:val="24"/>
          <w:szCs w:val="24"/>
        </w:rPr>
        <w:t>部分 基金</w:t>
      </w:r>
      <w:r>
        <w:rPr>
          <w:rStyle w:val="16"/>
          <w:rFonts w:cs="Arial"/>
          <w:sz w:val="24"/>
          <w:szCs w:val="24"/>
        </w:rPr>
        <w:t>的</w:t>
      </w:r>
      <w:r>
        <w:rPr>
          <w:rStyle w:val="16"/>
          <w:sz w:val="24"/>
          <w:szCs w:val="24"/>
        </w:rPr>
        <w:t>费用与税收</w:t>
      </w:r>
      <w:r>
        <w:rPr>
          <w:sz w:val="24"/>
          <w:szCs w:val="24"/>
        </w:rPr>
        <w:tab/>
      </w:r>
      <w:r>
        <w:rPr>
          <w:rFonts w:hint="eastAsia"/>
          <w:sz w:val="24"/>
          <w:szCs w:val="24"/>
        </w:rPr>
        <w:t>17-</w:t>
      </w:r>
      <w:r>
        <w:rPr>
          <w:sz w:val="24"/>
          <w:szCs w:val="24"/>
        </w:rPr>
        <w:fldChar w:fldCharType="begin"/>
      </w:r>
      <w:r>
        <w:rPr>
          <w:sz w:val="24"/>
          <w:szCs w:val="24"/>
        </w:rPr>
        <w:instrText xml:space="preserve"> PAGEREF _Toc64923781 \h </w:instrText>
      </w:r>
      <w:r>
        <w:rPr>
          <w:sz w:val="24"/>
          <w:szCs w:val="24"/>
        </w:rPr>
        <w:fldChar w:fldCharType="separate"/>
      </w:r>
      <w:r>
        <w:rPr>
          <w:sz w:val="24"/>
          <w:szCs w:val="24"/>
        </w:rPr>
        <w:t>1</w:t>
      </w:r>
      <w:r>
        <w:rPr>
          <w:sz w:val="24"/>
          <w:szCs w:val="24"/>
        </w:rPr>
        <w:fldChar w:fldCharType="end"/>
      </w:r>
      <w:r>
        <w:rPr>
          <w:sz w:val="24"/>
          <w:szCs w:val="24"/>
        </w:rPr>
        <w:fldChar w:fldCharType="end"/>
      </w:r>
    </w:p>
    <w:p w14:paraId="6A404AD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"_Toc64923782" </w:instrText>
      </w:r>
      <w:r>
        <w:fldChar w:fldCharType="separate"/>
      </w:r>
      <w:r>
        <w:rPr>
          <w:rStyle w:val="16"/>
          <w:rFonts w:cs="Arial"/>
          <w:sz w:val="24"/>
          <w:szCs w:val="24"/>
        </w:rPr>
        <w:t>第十八部分</w:t>
      </w:r>
      <w:r>
        <w:rPr>
          <w:rStyle w:val="16"/>
          <w:sz w:val="24"/>
          <w:szCs w:val="24"/>
        </w:rPr>
        <w:t xml:space="preserve"> 基金的收益与分配</w:t>
      </w:r>
      <w:r>
        <w:rPr>
          <w:sz w:val="24"/>
          <w:szCs w:val="24"/>
        </w:rPr>
        <w:tab/>
      </w:r>
      <w:r>
        <w:rPr>
          <w:rFonts w:hint="eastAsia"/>
          <w:sz w:val="24"/>
          <w:szCs w:val="24"/>
        </w:rPr>
        <w:t>18-</w:t>
      </w:r>
      <w:r>
        <w:rPr>
          <w:sz w:val="24"/>
          <w:szCs w:val="24"/>
        </w:rPr>
        <w:fldChar w:fldCharType="begin"/>
      </w:r>
      <w:r>
        <w:rPr>
          <w:sz w:val="24"/>
          <w:szCs w:val="24"/>
        </w:rPr>
        <w:instrText xml:space="preserve"> PAGEREF _Toc64923782 \h </w:instrText>
      </w:r>
      <w:r>
        <w:rPr>
          <w:sz w:val="24"/>
          <w:szCs w:val="24"/>
        </w:rPr>
        <w:fldChar w:fldCharType="separate"/>
      </w:r>
      <w:r>
        <w:rPr>
          <w:sz w:val="24"/>
          <w:szCs w:val="24"/>
        </w:rPr>
        <w:t>1</w:t>
      </w:r>
      <w:r>
        <w:rPr>
          <w:sz w:val="24"/>
          <w:szCs w:val="24"/>
        </w:rPr>
        <w:fldChar w:fldCharType="end"/>
      </w:r>
      <w:r>
        <w:rPr>
          <w:sz w:val="24"/>
          <w:szCs w:val="24"/>
        </w:rPr>
        <w:fldChar w:fldCharType="end"/>
      </w:r>
    </w:p>
    <w:p w14:paraId="3F831E4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"_Toc64923783" </w:instrText>
      </w:r>
      <w:r>
        <w:fldChar w:fldCharType="separate"/>
      </w:r>
      <w:r>
        <w:rPr>
          <w:rStyle w:val="16"/>
          <w:rFonts w:cs="Arial"/>
          <w:sz w:val="24"/>
          <w:szCs w:val="24"/>
        </w:rPr>
        <w:t>第十九</w:t>
      </w:r>
      <w:r>
        <w:rPr>
          <w:rStyle w:val="16"/>
          <w:sz w:val="24"/>
          <w:szCs w:val="24"/>
        </w:rPr>
        <w:t>部分 基金的会计与审计</w:t>
      </w:r>
      <w:r>
        <w:rPr>
          <w:sz w:val="24"/>
          <w:szCs w:val="24"/>
        </w:rPr>
        <w:tab/>
      </w:r>
      <w:r>
        <w:rPr>
          <w:rFonts w:hint="eastAsia"/>
          <w:sz w:val="24"/>
          <w:szCs w:val="24"/>
        </w:rPr>
        <w:t>19-</w:t>
      </w:r>
      <w:r>
        <w:rPr>
          <w:sz w:val="24"/>
          <w:szCs w:val="24"/>
        </w:rPr>
        <w:fldChar w:fldCharType="begin"/>
      </w:r>
      <w:r>
        <w:rPr>
          <w:sz w:val="24"/>
          <w:szCs w:val="24"/>
        </w:rPr>
        <w:instrText xml:space="preserve"> PAGEREF _Toc64923783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42C4D6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"_Toc64923784" </w:instrText>
      </w:r>
      <w:r>
        <w:fldChar w:fldCharType="separate"/>
      </w:r>
      <w:r>
        <w:rPr>
          <w:rStyle w:val="16"/>
          <w:rFonts w:cs="Arial"/>
          <w:sz w:val="24"/>
          <w:szCs w:val="24"/>
        </w:rPr>
        <w:t>第二十部分</w:t>
      </w:r>
      <w:r>
        <w:rPr>
          <w:rStyle w:val="16"/>
          <w:sz w:val="24"/>
          <w:szCs w:val="24"/>
        </w:rPr>
        <w:t xml:space="preserve"> 基金的信息披露</w:t>
      </w:r>
      <w:r>
        <w:rPr>
          <w:sz w:val="24"/>
          <w:szCs w:val="24"/>
        </w:rPr>
        <w:tab/>
      </w:r>
      <w:r>
        <w:rPr>
          <w:rFonts w:hint="eastAsia"/>
          <w:sz w:val="24"/>
          <w:szCs w:val="24"/>
        </w:rPr>
        <w:t>20-</w:t>
      </w:r>
      <w:r>
        <w:rPr>
          <w:sz w:val="24"/>
          <w:szCs w:val="24"/>
        </w:rPr>
        <w:fldChar w:fldCharType="begin"/>
      </w:r>
      <w:r>
        <w:rPr>
          <w:sz w:val="24"/>
          <w:szCs w:val="24"/>
        </w:rPr>
        <w:instrText xml:space="preserve"> PAGEREF _Toc64923784 \h </w:instrText>
      </w:r>
      <w:r>
        <w:rPr>
          <w:sz w:val="24"/>
          <w:szCs w:val="24"/>
        </w:rPr>
        <w:fldChar w:fldCharType="separate"/>
      </w:r>
      <w:r>
        <w:rPr>
          <w:sz w:val="24"/>
          <w:szCs w:val="24"/>
        </w:rPr>
        <w:t>1</w:t>
      </w:r>
      <w:r>
        <w:rPr>
          <w:sz w:val="24"/>
          <w:szCs w:val="24"/>
        </w:rPr>
        <w:fldChar w:fldCharType="end"/>
      </w:r>
      <w:r>
        <w:rPr>
          <w:sz w:val="24"/>
          <w:szCs w:val="24"/>
        </w:rPr>
        <w:fldChar w:fldCharType="end"/>
      </w:r>
    </w:p>
    <w:p w14:paraId="52A30FB6">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"_Toc64923785" </w:instrText>
      </w:r>
      <w:r>
        <w:fldChar w:fldCharType="separate"/>
      </w:r>
      <w:r>
        <w:rPr>
          <w:rStyle w:val="16"/>
          <w:rFonts w:cs="Arial"/>
          <w:sz w:val="24"/>
          <w:szCs w:val="24"/>
        </w:rPr>
        <w:t>第二十一</w:t>
      </w:r>
      <w:r>
        <w:rPr>
          <w:rStyle w:val="16"/>
          <w:sz w:val="24"/>
          <w:szCs w:val="24"/>
        </w:rPr>
        <w:t>部分 基金合同的变更、终止与基金财产的清算</w:t>
      </w:r>
      <w:r>
        <w:rPr>
          <w:sz w:val="24"/>
          <w:szCs w:val="24"/>
        </w:rPr>
        <w:tab/>
      </w:r>
      <w:r>
        <w:rPr>
          <w:rFonts w:hint="eastAsia"/>
          <w:sz w:val="24"/>
          <w:szCs w:val="24"/>
        </w:rPr>
        <w:t>21-</w:t>
      </w:r>
      <w:r>
        <w:rPr>
          <w:sz w:val="24"/>
          <w:szCs w:val="24"/>
        </w:rPr>
        <w:fldChar w:fldCharType="begin"/>
      </w:r>
      <w:r>
        <w:rPr>
          <w:sz w:val="24"/>
          <w:szCs w:val="24"/>
        </w:rPr>
        <w:instrText xml:space="preserve"> PAGEREF _Toc64923785 \h </w:instrText>
      </w:r>
      <w:r>
        <w:rPr>
          <w:sz w:val="24"/>
          <w:szCs w:val="24"/>
        </w:rPr>
        <w:fldChar w:fldCharType="separate"/>
      </w:r>
      <w:r>
        <w:rPr>
          <w:sz w:val="24"/>
          <w:szCs w:val="24"/>
        </w:rPr>
        <w:t>1</w:t>
      </w:r>
      <w:r>
        <w:rPr>
          <w:sz w:val="24"/>
          <w:szCs w:val="24"/>
        </w:rPr>
        <w:fldChar w:fldCharType="end"/>
      </w:r>
      <w:r>
        <w:rPr>
          <w:sz w:val="24"/>
          <w:szCs w:val="24"/>
        </w:rPr>
        <w:fldChar w:fldCharType="end"/>
      </w:r>
    </w:p>
    <w:p w14:paraId="549E8D0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"_Toc64923786" </w:instrText>
      </w:r>
      <w:r>
        <w:fldChar w:fldCharType="separate"/>
      </w:r>
      <w:r>
        <w:rPr>
          <w:rStyle w:val="16"/>
          <w:rFonts w:cs="Arial"/>
          <w:sz w:val="24"/>
          <w:szCs w:val="24"/>
        </w:rPr>
        <w:t>第二十二</w:t>
      </w:r>
      <w:r>
        <w:rPr>
          <w:rStyle w:val="16"/>
          <w:sz w:val="24"/>
          <w:szCs w:val="24"/>
        </w:rPr>
        <w:t>部分 违约责任</w:t>
      </w:r>
      <w:r>
        <w:rPr>
          <w:sz w:val="24"/>
          <w:szCs w:val="24"/>
        </w:rPr>
        <w:tab/>
      </w:r>
      <w:r>
        <w:rPr>
          <w:rFonts w:hint="eastAsia"/>
          <w:sz w:val="24"/>
          <w:szCs w:val="24"/>
        </w:rPr>
        <w:t>22-</w:t>
      </w:r>
      <w:r>
        <w:rPr>
          <w:sz w:val="24"/>
          <w:szCs w:val="24"/>
        </w:rPr>
        <w:fldChar w:fldCharType="begin"/>
      </w:r>
      <w:r>
        <w:rPr>
          <w:sz w:val="24"/>
          <w:szCs w:val="24"/>
        </w:rPr>
        <w:instrText xml:space="preserve"> PAGEREF _Toc64923786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957CE4">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"_Toc64923787" </w:instrText>
      </w:r>
      <w:r>
        <w:fldChar w:fldCharType="separate"/>
      </w:r>
      <w:r>
        <w:rPr>
          <w:rStyle w:val="16"/>
          <w:rFonts w:cs="Arial"/>
          <w:sz w:val="24"/>
          <w:szCs w:val="24"/>
        </w:rPr>
        <w:t>第二十三部分</w:t>
      </w:r>
      <w:r>
        <w:rPr>
          <w:rStyle w:val="16"/>
          <w:sz w:val="24"/>
          <w:szCs w:val="24"/>
        </w:rPr>
        <w:t xml:space="preserve"> 争议的处理和适用的法律</w:t>
      </w:r>
      <w:r>
        <w:rPr>
          <w:sz w:val="24"/>
          <w:szCs w:val="24"/>
        </w:rPr>
        <w:tab/>
      </w:r>
      <w:r>
        <w:rPr>
          <w:rFonts w:hint="eastAsia"/>
          <w:sz w:val="24"/>
          <w:szCs w:val="24"/>
        </w:rPr>
        <w:t>23-</w:t>
      </w:r>
      <w:r>
        <w:rPr>
          <w:sz w:val="24"/>
          <w:szCs w:val="24"/>
        </w:rPr>
        <w:fldChar w:fldCharType="begin"/>
      </w:r>
      <w:r>
        <w:rPr>
          <w:sz w:val="24"/>
          <w:szCs w:val="24"/>
        </w:rPr>
        <w:instrText xml:space="preserve"> PAGEREF _Toc64923787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EE522E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"_Toc64923788" </w:instrText>
      </w:r>
      <w:r>
        <w:fldChar w:fldCharType="separate"/>
      </w:r>
      <w:r>
        <w:rPr>
          <w:rStyle w:val="16"/>
          <w:rFonts w:cs="Arial"/>
          <w:sz w:val="24"/>
          <w:szCs w:val="24"/>
        </w:rPr>
        <w:t>第二十四</w:t>
      </w:r>
      <w:r>
        <w:rPr>
          <w:rStyle w:val="16"/>
          <w:sz w:val="24"/>
          <w:szCs w:val="24"/>
        </w:rPr>
        <w:t>部分 基金合同的效力</w:t>
      </w:r>
      <w:r>
        <w:rPr>
          <w:sz w:val="24"/>
          <w:szCs w:val="24"/>
        </w:rPr>
        <w:tab/>
      </w:r>
      <w:r>
        <w:rPr>
          <w:rFonts w:hint="eastAsia"/>
          <w:sz w:val="24"/>
          <w:szCs w:val="24"/>
        </w:rPr>
        <w:t>24-</w:t>
      </w:r>
      <w:r>
        <w:rPr>
          <w:sz w:val="24"/>
          <w:szCs w:val="24"/>
        </w:rPr>
        <w:fldChar w:fldCharType="begin"/>
      </w:r>
      <w:r>
        <w:rPr>
          <w:sz w:val="24"/>
          <w:szCs w:val="24"/>
        </w:rPr>
        <w:instrText xml:space="preserve"> PAGEREF _Toc64923788 \h </w:instrText>
      </w:r>
      <w:r>
        <w:rPr>
          <w:sz w:val="24"/>
          <w:szCs w:val="24"/>
        </w:rPr>
        <w:fldChar w:fldCharType="separate"/>
      </w:r>
      <w:r>
        <w:rPr>
          <w:sz w:val="24"/>
          <w:szCs w:val="24"/>
        </w:rPr>
        <w:t>1</w:t>
      </w:r>
      <w:r>
        <w:rPr>
          <w:sz w:val="24"/>
          <w:szCs w:val="24"/>
        </w:rPr>
        <w:fldChar w:fldCharType="end"/>
      </w:r>
      <w:r>
        <w:rPr>
          <w:sz w:val="24"/>
          <w:szCs w:val="24"/>
        </w:rPr>
        <w:fldChar w:fldCharType="end"/>
      </w:r>
    </w:p>
    <w:p w14:paraId="7777C25D">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"_Toc64923789" </w:instrText>
      </w:r>
      <w:r>
        <w:fldChar w:fldCharType="separate"/>
      </w:r>
      <w:r>
        <w:rPr>
          <w:rStyle w:val="16"/>
          <w:rFonts w:cs="Arial"/>
          <w:sz w:val="24"/>
          <w:szCs w:val="24"/>
        </w:rPr>
        <w:t xml:space="preserve">第二十五部分 </w:t>
      </w:r>
      <w:r>
        <w:rPr>
          <w:rStyle w:val="16"/>
          <w:sz w:val="24"/>
          <w:szCs w:val="24"/>
        </w:rPr>
        <w:t>其他事项</w:t>
      </w:r>
      <w:r>
        <w:rPr>
          <w:sz w:val="24"/>
          <w:szCs w:val="24"/>
        </w:rPr>
        <w:tab/>
      </w:r>
      <w:r>
        <w:rPr>
          <w:rFonts w:hint="eastAsia"/>
          <w:sz w:val="24"/>
          <w:szCs w:val="24"/>
        </w:rPr>
        <w:t>25-</w:t>
      </w:r>
      <w:r>
        <w:rPr>
          <w:sz w:val="24"/>
          <w:szCs w:val="24"/>
        </w:rPr>
        <w:fldChar w:fldCharType="begin"/>
      </w:r>
      <w:r>
        <w:rPr>
          <w:sz w:val="24"/>
          <w:szCs w:val="24"/>
        </w:rPr>
        <w:instrText xml:space="preserve"> PAGEREF _Toc64923789 \h </w:instrText>
      </w:r>
      <w:r>
        <w:rPr>
          <w:sz w:val="24"/>
          <w:szCs w:val="24"/>
        </w:rPr>
        <w:fldChar w:fldCharType="separate"/>
      </w:r>
      <w:r>
        <w:rPr>
          <w:sz w:val="24"/>
          <w:szCs w:val="24"/>
        </w:rPr>
        <w:t>1</w:t>
      </w:r>
      <w:r>
        <w:rPr>
          <w:sz w:val="24"/>
          <w:szCs w:val="24"/>
        </w:rPr>
        <w:fldChar w:fldCharType="end"/>
      </w:r>
      <w:r>
        <w:rPr>
          <w:sz w:val="24"/>
          <w:szCs w:val="24"/>
        </w:rPr>
        <w:fldChar w:fldCharType="end"/>
      </w:r>
    </w:p>
    <w:p w14:paraId="4868659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"_Toc64923790" </w:instrText>
      </w:r>
      <w:r>
        <w:fldChar w:fldCharType="separate"/>
      </w:r>
      <w:r>
        <w:rPr>
          <w:rStyle w:val="16"/>
          <w:sz w:val="24"/>
          <w:szCs w:val="24"/>
        </w:rPr>
        <w:t>第二十六部分 基金合同摘要</w:t>
      </w:r>
      <w:r>
        <w:rPr>
          <w:sz w:val="24"/>
          <w:szCs w:val="24"/>
        </w:rPr>
        <w:tab/>
      </w:r>
      <w:r>
        <w:rPr>
          <w:rFonts w:hint="eastAsia"/>
          <w:sz w:val="24"/>
          <w:szCs w:val="24"/>
        </w:rPr>
        <w:t>26-</w:t>
      </w:r>
      <w:r>
        <w:rPr>
          <w:sz w:val="24"/>
          <w:szCs w:val="24"/>
        </w:rPr>
        <w:fldChar w:fldCharType="begin"/>
      </w:r>
      <w:r>
        <w:rPr>
          <w:sz w:val="24"/>
          <w:szCs w:val="24"/>
        </w:rPr>
        <w:instrText xml:space="preserve"> PAGEREF _Toc64923790 \h </w:instrText>
      </w:r>
      <w:r>
        <w:rPr>
          <w:sz w:val="24"/>
          <w:szCs w:val="24"/>
        </w:rPr>
        <w:fldChar w:fldCharType="separate"/>
      </w:r>
      <w:r>
        <w:rPr>
          <w:sz w:val="24"/>
          <w:szCs w:val="24"/>
        </w:rPr>
        <w:t>1</w:t>
      </w:r>
      <w:r>
        <w:rPr>
          <w:sz w:val="24"/>
          <w:szCs w:val="24"/>
        </w:rPr>
        <w:fldChar w:fldCharType="end"/>
      </w:r>
      <w:r>
        <w:rPr>
          <w:sz w:val="24"/>
          <w:szCs w:val="24"/>
        </w:rPr>
        <w:fldChar w:fldCharType="end"/>
      </w:r>
    </w:p>
    <w:p w14:paraId="366B0769">
      <w:pPr>
        <w:pStyle w:val="18"/>
        <w:spacing w:line="360" w:lineRule="auto"/>
        <w:rPr>
          <w:sz w:val="24"/>
          <w:szCs w:val="24"/>
        </w:rPr>
        <w:sectPr>
          <w:headerReference r:id="rId6" w:type="default"/>
          <w:pgSz w:w="11906" w:h="16838"/>
          <w:pgMar w:top="1440" w:right="1800" w:bottom="1440" w:left="1800" w:header="851" w:footer="992" w:gutter="0"/>
          <w:pgNumType w:start="1"/>
          <w:cols w:space="425" w:num="1"/>
          <w:formProt w:val="0"/>
          <w:docGrid w:type="lines" w:linePitch="312" w:charSpace="0"/>
        </w:sectPr>
      </w:pPr>
      <w:r>
        <w:rPr>
          <w:sz w:val="24"/>
          <w:szCs w:val="24"/>
        </w:rPr>
        <w:fldChar w:fldCharType="end"/>
      </w:r>
    </w:p>
    <w:bookmarkEnd w:id="20"/>
    <w:p w14:paraId="609825F8">
      <w:pPr>
        <w:pStyle w:val="2"/>
        <w:rPr>
          <w:szCs w:val="24"/>
        </w:rPr>
      </w:pPr>
      <w:bookmarkStart w:id="21" w:name="CTS_aab1dd75ce6642719ce7dff545bd31fc"/>
      <w:bookmarkEnd w:id="21"/>
      <w:bookmarkStart w:id="22" w:name="CTS_4f19456cd08f49bd8fd8446605e1288e"/>
      <w:bookmarkEnd w:id="22"/>
      <w:bookmarkStart w:id="23" w:name="_Toc11660"/>
      <w:bookmarkStart w:id="24" w:name="_Toc30935"/>
      <w:bookmarkStart w:id="25" w:name="_Toc73975078"/>
      <w:bookmarkStart w:id="26" w:name="_Toc6306"/>
      <w:bookmarkStart w:id="27" w:name="_Toc4966"/>
      <w:bookmarkStart w:id="28" w:name="_Toc90742318"/>
      <w:bookmarkStart w:id="29" w:name="_Toc90742685"/>
      <w:bookmarkStart w:id="30" w:name="_Toc32639"/>
      <w:bookmarkStart w:id="31" w:name="_Toc29629"/>
      <w:bookmarkStart w:id="32" w:name="_Toc141703880"/>
      <w:bookmarkStart w:id="33" w:name="_Toc23386"/>
      <w:bookmarkStart w:id="34" w:name="_Toc4867"/>
      <w:bookmarkStart w:id="35" w:name="_Toc139991730"/>
      <w:bookmarkStart w:id="36" w:name="_Toc64923765"/>
      <w:bookmarkStart w:id="37" w:name="_Toc90742387"/>
      <w:bookmarkStart w:id="38" w:name="_Toc26897"/>
      <w:bookmarkStart w:id="39" w:name="_Toc15517"/>
      <w:bookmarkStart w:id="40" w:name="_Toc8727"/>
      <w:bookmarkStart w:id="41" w:name="_Toc123112229"/>
      <w:bookmarkStart w:id="42" w:name="_Toc123112268"/>
      <w:bookmarkStart w:id="43" w:name="_Toc123701389"/>
      <w:bookmarkStart w:id="44" w:name="CLAUSE_aab1dd75ce6642719ce7dff545bd31fc"/>
      <w:bookmarkStart w:id="45" w:name="_Toc233456271"/>
      <w:r>
        <w:rPr>
          <w:rFonts w:hint="eastAsia"/>
          <w:szCs w:val="24"/>
        </w:rPr>
        <w:t>第一部分</w:t>
      </w:r>
      <w:r>
        <w:rPr>
          <w:szCs w:val="24"/>
        </w:rPr>
        <w:t xml:space="preserve"> </w:t>
      </w:r>
      <w:r>
        <w:rPr>
          <w:rFonts w:hint="eastAsia"/>
          <w:szCs w:val="24"/>
        </w:rPr>
        <w:t>前言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Start w:id="638" w:name="_GoBack"/>
      <w:bookmarkEnd w:id="638"/>
    </w:p>
    <w:bookmarkEnd w:id="41"/>
    <w:bookmarkEnd w:id="42"/>
    <w:bookmarkEnd w:id="43"/>
    <w:p w14:paraId="47F57994">
      <w:pPr>
        <w:rPr>
          <w:rFonts w:asciiTheme="minorEastAsia" w:hAnsiTheme="minorEastAsia"/>
          <w:sz w:val="24"/>
          <w:szCs w:val="24"/>
        </w:rPr>
      </w:pPr>
      <w:bookmarkStart w:id="46" w:name="_Toc139991731"/>
      <w:bookmarkStart w:id="47" w:name="_Toc258829399"/>
    </w:p>
    <w:bookmarkEnd w:id="46"/>
    <w:p w14:paraId="2F45FE7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一、订立本基金合同的目的、依据和原则</w:t>
      </w:r>
    </w:p>
    <w:p w14:paraId="2B4074C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、订立本基金合同的目的是保护投资人合法权益，明确基金合同当事人的权利义务，规范基金运作。</w:t>
      </w:r>
    </w:p>
    <w:p w14:paraId="62CBA8D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、订立本基金合同的依据是《中华人民共和国民法典》、</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《中华人民共和国证券投资基金法》(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、《公开募集证券投资基金运作管理办法》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《运作办法》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、《公开募集证券投资基金销售机构监督管理办法》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《销售办法》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、《公开募集证券投资基金信息披露管理办法》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《信息披露办法》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、《公开募集开放式证券投资基金流动性风险管理规定》（以下简称“《流动性风险管理规定》”）、《公开募集证券投资基金运作指引第</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3号——指数基金指引》（以下简称“《指数基金指引》”）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和其他有关法律法规。</w:t>
      </w:r>
    </w:p>
    <w:p w14:paraId="3A1917B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、订立本基金合同的原则是平等自愿、诚实信用、充分保护投资人合法权益。</w:t>
      </w:r>
    </w:p>
    <w:p w14:paraId="6FAEEE7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4FF2D2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C74675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w:t>
      </w: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博时中证光伏产业交易型开放式指数证券投资基金（以下简称“本基金”）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由基金管理人依照《基金法》、基金合同及其他有关规定募集，并经中国证券监督管理委员会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注册。</w:t>
      </w:r>
    </w:p>
    <w:p w14:paraId="48AC7E1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中国证监会对本基金募集的注册，并不表明其对本基金的投资价值</w:t>
      </w:r>
      <w:r>
        <w:rPr>
          <w:rFonts w:hint="eastAsia" w:asciiTheme="minorEastAsia" w:hAnsiTheme="minorEastAsia" w:eastAsiaTheme="minorEastAsia"/>
          <w:sz w:val="24"/>
          <w:szCs w:val="24"/>
        </w:rPr>
        <w:t>、</w:t>
      </w:r>
      <w:r>
        <w:rPr>
          <w:rFonts w:hint="eastAsia" w:asciiTheme="minorEastAsia" w:hAnsiTheme="minorEastAsia"/>
          <w:sz w:val="24"/>
          <w:szCs w:val="24"/>
        </w:rPr>
        <w:t>市场前景</w:t>
      </w:r>
      <w:r>
        <w:rPr>
          <w:rFonts w:hint="eastAsia" w:asciiTheme="minorEastAsia" w:hAnsiTheme="minorEastAsia" w:eastAsiaTheme="minorEastAsia"/>
          <w:sz w:val="24"/>
          <w:szCs w:val="24"/>
        </w:rPr>
        <w:t>和收益</w:t>
      </w:r>
      <w:r>
        <w:rPr>
          <w:rFonts w:hint="eastAsia" w:asciiTheme="minorEastAsia" w:hAnsiTheme="minorEastAsia"/>
          <w:sz w:val="24"/>
          <w:szCs w:val="24"/>
        </w:rPr>
        <w:t>做出实质性判断或保证，也不表明投资于本基金没有风险。</w:t>
      </w:r>
    </w:p>
    <w:p w14:paraId="1C6D44E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基金管理人依照恪尽职守、诚实信用、谨慎勤勉的原则管理和运用基金财产，但不保证投资于本基金一定盈利，也不保证最低收益。</w:t>
      </w:r>
    </w:p>
    <w:p w14:paraId="26F8BC3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投资者应当认真阅读基金招募说明书、基金合同、</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基金产品资料概要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等信息披露文件，自主判断基金的投资价值，自主做出投资决策，自行承担投资风险。</w:t>
      </w:r>
    </w:p>
    <w:p w14:paraId="2F5863B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基金管理人、基金托管人在本基金合同之外披露涉及本基金的信息，其内容涉及界定基金合同当事人之间权利义务关系的，如与基金合同有冲突，以基金合同为准。</w:t>
      </w:r>
    </w:p>
    <w:p w14:paraId="6CF63AFF">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五、本基金按照中国法律法规成立并运作，若基金合同的内容与届时有效的法律法规的强制性规定不一致，应当以届时有效的法律法规的规定为准。</w:t>
      </w:r>
    </w:p>
    <w:p w14:paraId="3D422878">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因特殊情况（比如流动性不足等）导致本基金无法有效复制和跟踪标的指数时，为更好地实现基金的投资目标，本基金可能会少量投资于依法发行上市的非成份股（包括创业板及其他经中国证监会核准或注册上市的股票和存托凭证）。</w:t>
      </w:r>
    </w:p>
    <w:p w14:paraId="2E1769B9">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 w:name="_Toc13020"/>
      <w:bookmarkStart w:id="49" w:name="_Toc21301"/>
      <w:bookmarkStart w:id="50" w:name="_Toc24860"/>
      <w:bookmarkStart w:id="51" w:name="_Toc31551"/>
      <w:bookmarkStart w:id="52" w:name="_Toc22864"/>
      <w:bookmarkStart w:id="53" w:name="_Toc2465"/>
      <w:bookmarkStart w:id="54" w:name="_Toc3224"/>
      <w:bookmarkStart w:id="55" w:name="_Toc6617"/>
      <w:bookmarkStart w:id="56" w:name="_Toc819"/>
      <w:bookmarkStart w:id="57" w:name="_Toc15067"/>
      <w:bookmarkStart w:id="58" w:name="_Toc19592"/>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本基金若投资于股票期权，可能会面临价格波动风险、市场流动性风险、强制平仓风险、合约到期风险、行权失败风险、交易违约风险等。此外，行权失败和交收违约也是股票期权交易可能出现的风险，失去交易机会可能会对本基金的投资收益造成损失。</w:t>
      </w:r>
    </w:p>
    <w:p w14:paraId="533FA7C9">
      <w:pPr>
        <w:adjustRightInd w:val="0"/>
        <w:snapToGrid w:val="0"/>
        <w:spacing w:line="360" w:lineRule="auto"/>
        <w:ind w:firstLine="480" w:firstLineChars="20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59" w:name="_Hlk55843966"/>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八、</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本基金的投资范围包括存托凭证，除与其他仅投资于</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境内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市场股票的基金所面临的共同风险外，本基金还将面临中国存托凭证价格大幅波动甚至出现较大亏损的风险，以及与中国存托凭证发行机制相关的风险。</w:t>
      </w:r>
    </w:p>
    <w:bookmarkEnd w:id="59"/>
    <w:p w14:paraId="4D6338FF">
      <w:pPr>
        <w:adjustRightInd w:val="0"/>
        <w:snapToGrid w:val="0"/>
        <w:spacing w:line="360" w:lineRule="auto"/>
        <w:ind w:firstLine="480" w:firstLineChars="200"/>
        <w:jc w:val="left"/>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sectPr>
          <w:footerReference r:id="rId7" w:type="default"/>
          <w:pgSz w:w="11906" w:h="16838"/>
          <w:pgMar w:top="1440" w:right="1800" w:bottom="1440" w:left="1800" w:header="851" w:footer="992" w:gutter="0"/>
          <w:pgNumType w:start="1"/>
          <w:cols w:space="425" w:num="1"/>
          <w:formProt w:val="0"/>
          <w:docGrid w:type="lines" w:linePitch="312" w:charSpace="0"/>
        </w:sect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本基金为指数基金，投资者投资于本基金面临跟踪误差控制未达约定目标、指数编制机构停止服务、成份股停牌或退市等潜在风险，具体风险详见本基金招募说明书。</w:t>
      </w:r>
      <w:bookmarkEnd w:id="44"/>
      <w:bookmarkStart w:id="60" w:name="CTS_eee538634e0f48d7bfcd1e419f7e5629"/>
      <w:bookmarkEnd w:id="60"/>
      <w:bookmarkStart w:id="61" w:name="CLAUSE_eee538634e0f48d7bfcd1e419f7e5629"/>
    </w:p>
    <w:p w14:paraId="51012805">
      <w:pPr>
        <w:pStyle w:val="2"/>
        <w:rPr>
          <w:szCs w:val="24"/>
        </w:rPr>
      </w:pPr>
      <w:bookmarkStart w:id="62" w:name="_Toc73975079"/>
      <w:bookmarkStart w:id="63" w:name="_Toc90742319"/>
      <w:bookmarkStart w:id="64" w:name="_Toc90742686"/>
      <w:bookmarkStart w:id="65" w:name="_Toc64923766"/>
      <w:bookmarkStart w:id="66" w:name="_Toc90742388"/>
      <w:r>
        <w:rPr>
          <w:rFonts w:hint="eastAsia"/>
          <w:szCs w:val="24"/>
        </w:rPr>
        <w:t>第二部分</w:t>
      </w:r>
      <w:r>
        <w:rPr>
          <w:szCs w:val="24"/>
        </w:rPr>
        <w:t xml:space="preserve"> </w:t>
      </w:r>
      <w:r>
        <w:rPr>
          <w:rFonts w:hint="eastAsia"/>
          <w:szCs w:val="24"/>
        </w:rPr>
        <w:t>释义</w:t>
      </w:r>
      <w:bookmarkEnd w:id="45"/>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p>
    <w:p w14:paraId="346937D6">
      <w:pPr>
        <w:autoSpaceDE w:val="0"/>
        <w:autoSpaceDN w:val="0"/>
        <w:adjustRightInd w:val="0"/>
        <w:spacing w:line="360" w:lineRule="auto"/>
        <w:ind w:firstLine="480" w:firstLineChars="200"/>
        <w:rPr>
          <w:rFonts w:asciiTheme="minorEastAsia" w:hAnsiTheme="minorEastAsia"/>
          <w:sz w:val="24"/>
          <w:szCs w:val="24"/>
        </w:rPr>
      </w:pPr>
    </w:p>
    <w:p w14:paraId="438FD56C">
      <w:pPr>
        <w:adjustRightInd w:val="0"/>
        <w:snapToGrid w:val="0"/>
        <w:spacing w:line="360" w:lineRule="auto"/>
        <w:ind w:firstLine="480" w:firstLineChars="200"/>
        <w:rPr>
          <w:rFonts w:asciiTheme="minorEastAsia" w:hAnsiTheme="minorEastAsia"/>
          <w:color w:val="0D0D0D" w:themeColor="text1" w:themeTint="F2"/>
          <w:spacing w:val="8"/>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在本基金合同中，除非文意另有所指，下列词语或简称具有如下含义：</w:t>
      </w:r>
    </w:p>
    <w:p w14:paraId="7FFB716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基金或本基金：指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w:t>
      </w:r>
    </w:p>
    <w:p w14:paraId="6C3ADFE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博时基金管理有限公司</w:t>
      </w:r>
    </w:p>
    <w:p w14:paraId="29AC661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上海浦东发展银行股份有限公司</w:t>
      </w:r>
    </w:p>
    <w:p w14:paraId="55D4D9E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基金合同或本基金合同：指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《博时中证光伏产业交易型开放式指数证券投资基金基金合同》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及对本基金合同的任何有效修订和补充</w:t>
      </w:r>
    </w:p>
    <w:p w14:paraId="61B8DF3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托管协议：指基金管理人与基金托管人就本基金签订之</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《博时中证光伏产业交易型开放式指数证券投资基金托管协议》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及对该托管协议的任何有效修订和补充</w:t>
      </w:r>
    </w:p>
    <w:p w14:paraId="0C59235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招募说明书：指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《博时中证光伏产业交易型开放式指数证券投资基金招募说明书》</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及其更新</w:t>
      </w:r>
    </w:p>
    <w:p w14:paraId="52ACB37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基金产品资料概要：指《博时中证光伏产业交易型开放式指数证券投资基金基金产品资料概要》及其更新</w:t>
      </w:r>
    </w:p>
    <w:p w14:paraId="466CC7C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基金份额发售公告：指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《博时中证光伏产业交易型开放式指数证券投资基金基金份额发售公告》</w:t>
      </w:r>
    </w:p>
    <w:p w14:paraId="5639BD7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上市交易公告书：指《博时中证光伏产业交易型开放式指数证券投资基金上市交易公告书》</w:t>
      </w:r>
    </w:p>
    <w:p w14:paraId="00266EB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法律法规：指中国现行有效并公布实施的法律、行政法规、规范性文件、司法解释、行政规章以及其他对基金合同当事人有约束力的决定、决议、通知等</w:t>
      </w:r>
    </w:p>
    <w:p w14:paraId="5D71952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《基金法》：指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2003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日经第十届全国人民代表大会常务委员会第五次会议通过，经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日第十一届全国人民代表大会常务委员会第三十次会议修订，自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日第十二届全国人民代表大会常务委员会第十四次会议《全国人民代表大会常务委员会关于修改</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&lt;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中华人民共和国港口法</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&gt;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等七部法律的决定》修正的《中华人民共和国证券投资基金法》及颁布机关对其不时做出的修订</w:t>
      </w:r>
    </w:p>
    <w:p w14:paraId="6973E7F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2020年8月28日颁布、同年10月1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日实施的《公开募集证券投资基金销售机构监督管理办法》及颁布机关对其不时做出的修订</w:t>
      </w:r>
    </w:p>
    <w:p w14:paraId="1E97AF9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《信息披露办法》：指中国证监会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2019年7月26日颁布、同年9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2020年3月20日中国证监会《关于修改部分证券期货规章的决定》修正的《公开募集证券投资基金信息披露管理办法》及颁布机关对其不时做出的修订</w:t>
      </w:r>
    </w:p>
    <w:p w14:paraId="3C376C0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《运作办法》：指中国证监会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日实施的《公开募集证券投资基金运作管理办法》及颁布机关对其不时做出的修订</w:t>
      </w:r>
    </w:p>
    <w:p w14:paraId="35370E6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《流动性风险管理规定》：指中国证监会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日实施的《公开募集开放式证券投资基金流动性风险管理规定》及颁布机关对其不时做出的修订</w:t>
      </w:r>
    </w:p>
    <w:p w14:paraId="1C31179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《指数基金指引》：指中国证监会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2021年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1月22日</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颁布、同年2月1日实施的《公开募集证券投资基金运作指引第3号——指数基金指引》及颁布机关对其不时做出的修订</w:t>
      </w:r>
    </w:p>
    <w:p w14:paraId="22627A8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业务规则：指上海证券交易所、登记机构、基金管理人及销售机构的相关业务规则及其不时做出的修订</w:t>
      </w:r>
    </w:p>
    <w:p w14:paraId="37029CB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中国证监会：指中国证券监督管理委员会</w:t>
      </w:r>
    </w:p>
    <w:p w14:paraId="7A435AB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银行业监督管理机构：指中国人民银行和/或国家金融监督管理总局</w:t>
      </w:r>
    </w:p>
    <w:p w14:paraId="04FB315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基金合同当事人：指受基金合同约束，根据基金合同享有权利并承担义务的法律主体，包括基金管理人、基金托管人和基金份额持有人</w:t>
      </w:r>
    </w:p>
    <w:p w14:paraId="339F8B0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个人投资者：指依据有关法律法规规定可投资于证券投资基金的自然人</w:t>
      </w:r>
    </w:p>
    <w:p w14:paraId="0AA55188">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机构投资者：指依法可以投资证券投资基金的、在中华人民共和国境内合法登记并存续或经有关政府部门批准设立并存续的企业法人、事业法人、社会团体或其他组织</w:t>
      </w:r>
    </w:p>
    <w:p w14:paraId="0335748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34C4E3C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投资人、投资者：指个人投资者、机构投资者、合格境外投资者以及法律法规或中国证监会允许购买证券投资基金的其他投资人的合称</w:t>
      </w:r>
    </w:p>
    <w:p w14:paraId="0063C0C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基金份额持有人：指依基金合同和招募说明书合法取得基金份额的投资人</w:t>
      </w:r>
    </w:p>
    <w:p w14:paraId="0DE7A7E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发售代理机构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符合《销售办法》和中国证监会规定的其他条件，由</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指定的代理本基金发售业务的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w:t>
      </w:r>
    </w:p>
    <w:p w14:paraId="0B21FED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申购、赎回代理券商：指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管理人指定的，在</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合同生效后代理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基金申购、赎回业务</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的证券公司，又称为代办证券公司</w:t>
      </w:r>
    </w:p>
    <w:p w14:paraId="3239B0B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直销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管理有限公司</w:t>
      </w:r>
    </w:p>
    <w:p w14:paraId="6A3C194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代销机构：指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符合《销售办法》和中国证监会规定的其他条件，取得基金销售业务资格并与基金管理人签订了基金销售服务协议，办理基金销售业务的机构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，包括发售代理机构和申购、赎回代理券商（即代办证券公司）</w:t>
      </w:r>
    </w:p>
    <w:p w14:paraId="1EA26D7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销售机构：指直销机构与代销机构</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584E62A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登记机构：指办理登记业务的机构。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本基金的登记机构为中国证券登记结算有限责任公司</w:t>
      </w:r>
    </w:p>
    <w:p w14:paraId="522C1E4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登记业务：指基金登记、存管、过户、清算和结算业务，具体内容包括</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投资者</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的确认、清算和结算、代理发放红利、建立并保管基金份额持有人名册和办理非交易过户等</w:t>
      </w:r>
    </w:p>
    <w:p w14:paraId="0193443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基金合同生效日：指基金募集达到法律法规规定及基金合同规定的条件，基金管理人向中国证监会办理基金备案手续完毕，并获得中国证监会书面确认的日期</w:t>
      </w:r>
    </w:p>
    <w:p w14:paraId="09ABEBF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基金合同终止日：指基金合同规定的基金合同终止事由出现后，基金财产清算完毕，清算结果报中国证监会备案并予以公告的日期</w:t>
      </w:r>
    </w:p>
    <w:p w14:paraId="23870B6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基金募集期：指自基金份额发售之日起至发售结束之日止的期间，最长不得超过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w:t>
      </w:r>
    </w:p>
    <w:p w14:paraId="0ECCB8F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存续期：指基金合同生效至终止之间的不定期期限</w:t>
      </w:r>
    </w:p>
    <w:p w14:paraId="5EE064F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工作日：指上海证券交易所、深圳证券交易所的正常交易日</w:t>
      </w:r>
    </w:p>
    <w:p w14:paraId="618EEEC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日：指销售机构在规定时间受理投资人申购、赎回或其他业务申请的开放日</w:t>
      </w:r>
    </w:p>
    <w:p w14:paraId="436C092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个工作日（不包含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w:t>
      </w:r>
    </w:p>
    <w:p w14:paraId="22A7555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开放日：</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指为投资人办理基金份额申购、赎回或其他业务的工作日</w:t>
      </w:r>
    </w:p>
    <w:p w14:paraId="0880B07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开放时间：指开放日基金接受申购、赎回或其他交易的时间段</w:t>
      </w:r>
    </w:p>
    <w:p w14:paraId="4BFF576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认购：指在基金募集期内，投资人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根据基金合同和招募说明书的规定</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1DC8891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申购：指基金合同生效后，投资人根据基金合同和招募说明书的规定</w:t>
      </w:r>
      <w:r>
        <w:rPr>
          <w:rFonts w:hint="eastAsia" w:asciiTheme="minorEastAsia" w:hAnsiTheme="minorEastAsia"/>
          <w:bCs/>
          <w:color w:val="0D0D0D" w:themeColor="text1" w:themeTint="F2"/>
          <w:sz w:val="24"/>
          <w:szCs w:val="24"/>
          <w14:textFill>
            <w14:solidFill>
              <w14:schemeClr w14:val="tx1">
                <w14:lumMod w14:val="95000"/>
                <w14:lumOff w14:val="5000"/>
              </w14:schemeClr>
            </w14:solidFill>
          </w14:textFill>
        </w:rPr>
        <w:t>，以申购赎回清单规定的申购对价向基金管理人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313F470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赎回：指基金合同生效后，基金份额持有人根据基金合同和招募说明书的规定，将基金份额兑换为申购赎回清单规定的赎回对价的行为</w:t>
      </w:r>
    </w:p>
    <w:p w14:paraId="639519C1">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由基金管理人编制的用以公告申购对价、赎回对价等信息的文件</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6A09FA1F">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申购对价：指投资人申购基金份额时，按基金合同和招募说明书规定应交付的组合证券、现金替代、现金差额和/或其他对价</w:t>
      </w:r>
    </w:p>
    <w:p w14:paraId="1BCD5E84">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赎回对价：指投资人赎回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时，基金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人按基金合同和招募说明书规定应交付给赎回人的组合证券、现金替代、现金差额和/或其他对价</w:t>
      </w:r>
    </w:p>
    <w:p w14:paraId="30AFACF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组合证券：指本基金标的指数所包含的全部或部分证券</w:t>
      </w:r>
    </w:p>
    <w:p w14:paraId="5E8B76B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标的指数：指中证指数有限公司编制并发布的中证光伏产业指数及其未来可能发生的变更</w:t>
      </w:r>
    </w:p>
    <w:p w14:paraId="2756356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完全复制法：指跟踪指数的方法。通过购买标的指数中的所有成份证券，并且按照每种成份证券在标的指数中的权重确定购买的比例以构建指数组合，达到复制指数的目的</w:t>
      </w:r>
    </w:p>
    <w:p w14:paraId="314B91FA">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现金替代：指申购、赎回过程中，投资人按基金合同和招募说明书的规定，用于替代组合证券中部分证券的一定数量的现金</w:t>
      </w:r>
    </w:p>
    <w:p w14:paraId="3B2BEA54">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p>
    <w:p w14:paraId="1EC96F6F">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差额：指最小申购、赎回单位的资产净值与按当日收盘价计算的最小申购、赎回单位中的组合证券市值和现金替代之差；投资人申购、赎回时应支付或应获得的现金差额根据最小申购、赎回单位对应的现金差额、申购或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数计算</w:t>
      </w:r>
    </w:p>
    <w:p w14:paraId="30C4C3C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最小申购、赎回单位：指本基金申购、赎回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的最低数量，投资人申购、赎回的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应</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最小申购、赎回单位的整数倍</w:t>
      </w:r>
    </w:p>
    <w:p w14:paraId="0797639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基金份额参考净值：指基金管理人或基金管理人委托其他机构在交易时间内根据申购、赎回清单和组合证券内各只证券的实时成交数据计算并</w:t>
      </w:r>
      <w:bookmarkStart w:id="67" w:name="_Hlk3643393"/>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由上海证券交易所在交易时间内</w:t>
      </w:r>
      <w:bookmarkEnd w:id="67"/>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发布的基金份额参考净值，简称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IOPV</w:t>
      </w:r>
    </w:p>
    <w:p w14:paraId="55D45778">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预估现金部分：指为便于计算基金份额参考净值及申购赎回代理券商预先冻结申请申购、赎回的投资人的相应资金，由基金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人计算并公布</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现金数额</w:t>
      </w:r>
    </w:p>
    <w:p w14:paraId="4E2C789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元：指人民币元</w:t>
      </w:r>
    </w:p>
    <w:p w14:paraId="1B1B75E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基金收益：指基金投资所得红利、股息、债券利息、买卖证券价差、银行存款利息、已实现的其他合法收入及因运用基金财产带来的成本和费用的节约</w:t>
      </w:r>
    </w:p>
    <w:p w14:paraId="0786DD1D">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份额折算</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管理人根据</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合同规定将投资人的基金份额进行变更登记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行为</w:t>
      </w:r>
    </w:p>
    <w:p w14:paraId="5BDD4BDE">
      <w:pPr>
        <w:numPr>
          <w:ilvl w:val="0"/>
          <w:numId w:val="2"/>
        </w:numPr>
        <w:snapToGrid w:val="0"/>
        <w:spacing w:line="360" w:lineRule="auto"/>
        <w:ind w:left="0" w:firstLine="360" w:firstLineChars="15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收益评价日：指基金管理人计算本基金份额净值增长率与标的指数同期增长率差额之日</w:t>
      </w:r>
    </w:p>
    <w:p w14:paraId="53B4758A">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基金份额净值增长率：指收益评价日基金份额净值与基金上市前一交易日基金份额净值之比减去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1乘以100%（期间发生基金份额折算、拆分或合并，则以基金份额折算日、经拆分或合并调整后的基金份额折算日为初始日重新计算）</w:t>
      </w:r>
    </w:p>
    <w:p w14:paraId="4D0E0C91">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标的指数同期增长率：指收益评价日标的指数收盘价与基金上市前一交易日标的指数收盘价之比减去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乘以</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100%</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（期间发生基金份额折算、拆分或合并，则以基金份额折算日、经拆分或合并调整后的基金份额折算日为初始日重新计算）</w:t>
      </w:r>
    </w:p>
    <w:p w14:paraId="2F0503E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基金资产总值：指基金拥有的各类有价证券、银行存款本息、基金应收款项及其他资产的价值总和</w:t>
      </w:r>
    </w:p>
    <w:p w14:paraId="6E74482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基金资产净值：指基金资产总值减去基金负债后的价值</w:t>
      </w:r>
    </w:p>
    <w:p w14:paraId="7DFFFA3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基金份额净值：指计算日基金资产净值除以计算日基金份额总数</w:t>
      </w:r>
    </w:p>
    <w:p w14:paraId="602E32B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基金资产估值：指计算评估基金资产和负债的价值，以确定基金资产净值和基金份额净值的过程</w:t>
      </w:r>
    </w:p>
    <w:p w14:paraId="675BAB1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规定媒介：指符合中国证监会规定条件的用以进行信息披露的全国性报刊及《信息披露办法》规定的互联网网站（包括基金管理人网站、基金托管人网站、中国证监会基金电子披露网站）等媒介</w:t>
      </w:r>
    </w:p>
    <w:p w14:paraId="42C01FD9">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68" w:name="_Toc13288"/>
      <w:bookmarkStart w:id="69" w:name="_Toc733"/>
      <w:bookmarkStart w:id="70" w:name="_Toc6683"/>
      <w:bookmarkStart w:id="71" w:name="_Toc20318"/>
      <w:bookmarkStart w:id="72" w:name="_Toc545"/>
      <w:bookmarkStart w:id="73" w:name="_Toc18631"/>
      <w:bookmarkStart w:id="74" w:name="_Toc5246"/>
      <w:bookmarkStart w:id="75" w:name="_Toc24571"/>
      <w:bookmarkStart w:id="76" w:name="_Toc6149"/>
      <w:bookmarkStart w:id="77" w:name="_Toc20627"/>
      <w:bookmarkStart w:id="78" w:name="_Toc22708"/>
      <w:bookmarkStart w:id="79" w:name="_Toc258829400"/>
      <w:bookmarkStart w:id="80" w:name="_Toc233456272"/>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交易型开放式指数证券投资基金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《上海证券交易所交易型开放式指数基金业务实施细则》定义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ETF” </w:t>
      </w:r>
    </w:p>
    <w:p w14:paraId="5F92970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联接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：指将绝大部分基金财产投资于博时中证光伏产业交易型开放式指数证券投资基金（目标</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），紧密跟踪标的指数表现，追求跟踪偏离度和跟踪误差最小化，获得与指数收益相似的回报，采用开放式运作方式的基金</w:t>
      </w:r>
    </w:p>
    <w:p w14:paraId="15B8E78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流动性受限资产：指由于法律法规、监管、合同或操作障碍等原因无法以合理价格予以变现的资产，包括但不限于到期日在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个交易日以上的逆回购与银行定期存款（含协议约定有条件提前支取的银行存款）、停牌股票、流通受限的新股及非公开发行股票、资产支持证券、因发行人债务违约无法进行转让或交易的债券等</w:t>
      </w:r>
    </w:p>
    <w:p w14:paraId="7196BC7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转融通证券出借</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业务：指基金以一定的费率通过证券交易所综合业务平台向中国证券金融股份有限公司（以下简称证券金融公司）出借证券，证券金融公司到期归还所借证券及相应权益补偿并支付费用的业务</w:t>
      </w:r>
    </w:p>
    <w:p w14:paraId="3EC8472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特定机构投资者：指根据上海证券交易所颁布的《</w:t>
      </w:r>
      <w:r>
        <w:rPr>
          <w:rStyle w:val="19"/>
          <w:rFonts w:hint="eastAsia"/>
          <w:sz w:val="24"/>
          <w:szCs w:val="24"/>
        </w:rPr>
        <w:t>特定机构投资者参与证券投资基金申购赎回业务指引</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》所定义的特定机构投资者</w:t>
      </w:r>
    </w:p>
    <w:p w14:paraId="245F09E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中国法律：指中华人民共和国法律，就本基金合同而言，不包括香港特别行政区、澳门特别行政区法律和台湾地区的有关规定</w:t>
      </w:r>
    </w:p>
    <w:p w14:paraId="6D0A944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不可抗力：指本基金合同当事人不能预见、不能避免且不能克服的客观事件</w:t>
      </w:r>
    </w:p>
    <w:p w14:paraId="49E6CFE4">
      <w:pPr>
        <w:pStyle w:val="20"/>
        <w:tabs>
          <w:tab w:val="left" w:pos="851"/>
        </w:tabs>
        <w:adjustRightInd w:val="0"/>
        <w:snapToGrid w:val="0"/>
        <w:spacing w:line="360" w:lineRule="auto"/>
        <w:ind w:left="900" w:firstLine="0" w:firstLineChars="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723094D1">
      <w:pPr>
        <w:pStyle w:val="2"/>
        <w:rPr>
          <w:szCs w:val="24"/>
        </w:rPr>
        <w:sectPr>
          <w:footerReference r:id="rId8" w:type="default"/>
          <w:pgSz w:w="11906" w:h="16838"/>
          <w:pgMar w:top="1440" w:right="1800" w:bottom="1440" w:left="1800" w:header="851" w:footer="992" w:gutter="0"/>
          <w:pgNumType w:start="1"/>
          <w:cols w:space="425" w:num="1"/>
          <w:formProt w:val="0"/>
          <w:docGrid w:type="lines" w:linePitch="312" w:charSpace="0"/>
        </w:sectPr>
      </w:pPr>
      <w:bookmarkStart w:id="81" w:name="_Toc90742389"/>
      <w:bookmarkStart w:id="82" w:name="_Toc90742687"/>
      <w:bookmarkStart w:id="83" w:name="_Toc90742320"/>
    </w:p>
    <w:bookmarkEnd w:id="61"/>
    <w:p w14:paraId="5434A8EA">
      <w:pPr>
        <w:pStyle w:val="2"/>
        <w:rPr>
          <w:szCs w:val="24"/>
        </w:rPr>
      </w:pPr>
      <w:bookmarkStart w:id="84" w:name="CTS_947a99ec03914ad29283f168953a9d59"/>
      <w:bookmarkEnd w:id="84"/>
      <w:bookmarkStart w:id="85" w:name="_Toc64923767"/>
      <w:bookmarkStart w:id="86" w:name="_Toc73975080"/>
      <w:bookmarkStart w:id="87" w:name="CLAUSE_947a99ec03914ad29283f168953a9d59"/>
      <w:r>
        <w:rPr>
          <w:rFonts w:hint="eastAsia"/>
          <w:szCs w:val="24"/>
        </w:rPr>
        <w:t>第三部分</w:t>
      </w:r>
      <w:r>
        <w:rPr>
          <w:szCs w:val="24"/>
        </w:rPr>
        <w:t xml:space="preserve"> </w:t>
      </w:r>
      <w:r>
        <w:rPr>
          <w:rFonts w:hint="eastAsia"/>
          <w:szCs w:val="24"/>
        </w:rPr>
        <w:t>基金的基本情况</w:t>
      </w:r>
      <w:bookmarkEnd w:id="68"/>
      <w:bookmarkEnd w:id="69"/>
      <w:bookmarkEnd w:id="70"/>
      <w:bookmarkEnd w:id="71"/>
      <w:bookmarkEnd w:id="72"/>
      <w:bookmarkEnd w:id="73"/>
      <w:bookmarkEnd w:id="74"/>
      <w:bookmarkEnd w:id="75"/>
      <w:bookmarkEnd w:id="76"/>
      <w:bookmarkEnd w:id="77"/>
      <w:bookmarkEnd w:id="78"/>
      <w:bookmarkEnd w:id="81"/>
      <w:bookmarkEnd w:id="82"/>
      <w:bookmarkEnd w:id="83"/>
      <w:bookmarkEnd w:id="85"/>
      <w:bookmarkEnd w:id="86"/>
      <w:bookmarkStart w:id="88" w:name="_Toc79392573"/>
    </w:p>
    <w:p w14:paraId="0340E9DC">
      <w:pPr>
        <w:spacing w:line="360" w:lineRule="auto"/>
        <w:ind w:firstLine="540"/>
        <w:rPr>
          <w:rFonts w:asciiTheme="minorEastAsia" w:hAnsiTheme="minorEastAsia"/>
          <w:sz w:val="24"/>
          <w:szCs w:val="24"/>
        </w:rPr>
      </w:pPr>
      <w:bookmarkStart w:id="89" w:name="_Hlt88031774"/>
      <w:bookmarkEnd w:id="89"/>
      <w:bookmarkStart w:id="90" w:name="_Hlt88031741"/>
    </w:p>
    <w:bookmarkEnd w:id="90"/>
    <w:p w14:paraId="6C5850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一、基金名称</w:t>
      </w:r>
      <w:bookmarkEnd w:id="88"/>
    </w:p>
    <w:p w14:paraId="1302CB6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博时中证光伏产业交易型开放式指数证券投资基金</w:t>
      </w:r>
    </w:p>
    <w:p w14:paraId="6D410082">
      <w:pPr>
        <w:spacing w:line="360" w:lineRule="auto"/>
        <w:ind w:firstLine="480" w:firstLineChars="200"/>
        <w:rPr>
          <w:rFonts w:asciiTheme="minorEastAsia" w:hAnsiTheme="minorEastAsia"/>
          <w:sz w:val="24"/>
          <w:szCs w:val="24"/>
        </w:rPr>
      </w:pPr>
      <w:bookmarkStart w:id="91" w:name="_Toc79392574"/>
    </w:p>
    <w:p w14:paraId="71BD64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二、基金的类别</w:t>
      </w:r>
      <w:bookmarkEnd w:id="91"/>
    </w:p>
    <w:p w14:paraId="09D3C3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股票型指数基金</w:t>
      </w:r>
    </w:p>
    <w:p w14:paraId="1C07EAF8">
      <w:pPr>
        <w:spacing w:line="360" w:lineRule="auto"/>
        <w:ind w:left="796" w:leftChars="257" w:hanging="256"/>
        <w:rPr>
          <w:rFonts w:asciiTheme="minorEastAsia" w:hAnsiTheme="minorEastAsia"/>
          <w:sz w:val="24"/>
          <w:szCs w:val="24"/>
        </w:rPr>
      </w:pPr>
      <w:bookmarkStart w:id="92" w:name="_Toc79392575"/>
    </w:p>
    <w:p w14:paraId="76CDFB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三、基金的运作方式</w:t>
      </w:r>
    </w:p>
    <w:p w14:paraId="573125B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交易型</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开放式</w:t>
      </w:r>
    </w:p>
    <w:p w14:paraId="13815605">
      <w:pPr>
        <w:spacing w:line="360" w:lineRule="auto"/>
        <w:ind w:left="796" w:leftChars="257" w:hanging="256"/>
        <w:rPr>
          <w:rFonts w:asciiTheme="minorEastAsia" w:hAnsiTheme="minorEastAsia"/>
          <w:sz w:val="24"/>
          <w:szCs w:val="24"/>
        </w:rPr>
      </w:pPr>
    </w:p>
    <w:p w14:paraId="63CDC4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四、基金的投资目标</w:t>
      </w:r>
      <w:bookmarkEnd w:id="92"/>
    </w:p>
    <w:p w14:paraId="67FA1AAE">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00DE6D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021CE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93" w:name="_Toc7939257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指数</w:t>
      </w:r>
    </w:p>
    <w:p w14:paraId="5BEF6FC3">
      <w:pPr>
        <w:adjustRightInd w:val="0"/>
        <w:snapToGrid w:val="0"/>
        <w:spacing w:line="360" w:lineRule="auto"/>
        <w:ind w:firstLine="422" w:firstLineChars="176"/>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中证光伏产业指数</w:t>
      </w:r>
    </w:p>
    <w:p w14:paraId="0B9F61F0">
      <w:pPr>
        <w:snapToGrid w:val="0"/>
        <w:spacing w:line="360" w:lineRule="auto"/>
        <w:ind w:firstLine="480" w:firstLineChars="200"/>
        <w:rPr>
          <w:rFonts w:asciiTheme="minorEastAsia" w:hAnsiTheme="minorEastAsia" w:eastAsiaTheme="minorEastAsia"/>
          <w:sz w:val="24"/>
          <w:szCs w:val="24"/>
        </w:rPr>
      </w:pPr>
      <w:bookmarkStart w:id="94" w:name="_Toc79392577"/>
    </w:p>
    <w:p w14:paraId="7C7CDC59">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六、基金</w:t>
      </w:r>
      <w:r>
        <w:rPr>
          <w:rFonts w:hint="eastAsia" w:asciiTheme="minorEastAsia" w:hAnsiTheme="minorEastAsia"/>
          <w:sz w:val="24"/>
          <w:szCs w:val="24"/>
        </w:rPr>
        <w:t>的最低募集份额总额</w:t>
      </w:r>
      <w:bookmarkEnd w:id="93"/>
    </w:p>
    <w:p w14:paraId="5D1E29F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本基金的最低募集份额总额为</w:t>
      </w:r>
      <w:r>
        <w:rPr>
          <w:rFonts w:asciiTheme="minorEastAsia" w:hAnsiTheme="minorEastAsia" w:eastAsiaTheme="minorEastAsia"/>
          <w:sz w:val="24"/>
          <w:szCs w:val="24"/>
        </w:rPr>
        <w:t>2</w:t>
      </w:r>
      <w:r>
        <w:rPr>
          <w:rFonts w:hint="eastAsia" w:asciiTheme="minorEastAsia" w:hAnsiTheme="minorEastAsia"/>
          <w:sz w:val="24"/>
          <w:szCs w:val="24"/>
        </w:rPr>
        <w:t>亿份。</w:t>
      </w:r>
    </w:p>
    <w:p w14:paraId="693C7DEF">
      <w:pPr>
        <w:spacing w:line="360" w:lineRule="auto"/>
        <w:ind w:firstLine="480" w:firstLineChars="200"/>
        <w:rPr>
          <w:rFonts w:asciiTheme="minorEastAsia" w:hAnsiTheme="minorEastAsia"/>
          <w:sz w:val="24"/>
          <w:szCs w:val="24"/>
        </w:rPr>
      </w:pPr>
    </w:p>
    <w:p w14:paraId="50B8232C">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七、基金</w:t>
      </w:r>
      <w:r>
        <w:rPr>
          <w:rFonts w:hint="eastAsia" w:asciiTheme="minorEastAsia" w:hAnsiTheme="minorEastAsia" w:eastAsiaTheme="minorEastAsia"/>
          <w:sz w:val="24"/>
          <w:szCs w:val="24"/>
        </w:rPr>
        <w:t>份额发售面值和认购费用</w:t>
      </w:r>
    </w:p>
    <w:p w14:paraId="432A37A9">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本基金基金份额发售面值为人民币</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元。</w:t>
      </w:r>
    </w:p>
    <w:p w14:paraId="45A61EB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本基金具体认购费率按招募说明书及基金产品资料概要的规定执行。</w:t>
      </w:r>
    </w:p>
    <w:p w14:paraId="10F547E5">
      <w:pPr>
        <w:autoSpaceDE w:val="0"/>
        <w:autoSpaceDN w:val="0"/>
        <w:adjustRightInd w:val="0"/>
        <w:spacing w:line="360" w:lineRule="auto"/>
        <w:ind w:firstLine="480" w:firstLineChars="200"/>
        <w:jc w:val="left"/>
        <w:rPr>
          <w:rFonts w:asciiTheme="minorEastAsia" w:hAnsiTheme="minorEastAsia" w:eastAsiaTheme="minorEastAsia"/>
          <w:bCs/>
          <w:sz w:val="24"/>
          <w:szCs w:val="24"/>
        </w:rPr>
      </w:pPr>
    </w:p>
    <w:p w14:paraId="2CD3E7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w:t>
      </w:r>
      <w:bookmarkEnd w:id="94"/>
      <w:bookmarkStart w:id="95" w:name="_Toc7939257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bookmarkEnd w:id="95"/>
    </w:p>
    <w:p w14:paraId="58731B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不定期</w:t>
      </w:r>
    </w:p>
    <w:p w14:paraId="52E073D2">
      <w:pPr>
        <w:spacing w:line="360" w:lineRule="auto"/>
        <w:ind w:left="199" w:firstLine="425"/>
        <w:rPr>
          <w:rFonts w:asciiTheme="minorEastAsia" w:hAnsiTheme="minorEastAsia"/>
          <w:sz w:val="24"/>
          <w:szCs w:val="24"/>
        </w:rPr>
      </w:pPr>
    </w:p>
    <w:p w14:paraId="07C81370">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九、增设新的份额类别或发行联接基金等相关业务</w:t>
      </w:r>
    </w:p>
    <w:p w14:paraId="219E627E">
      <w:pPr>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在不违反法律法规及对基金份额持有人利益无实质性不利影响的前提下，基金管理人可根据基金发展需要，经与基金托管人协商一致并履行相关程序后，</w:t>
      </w:r>
      <w:r>
        <w:rPr>
          <w:rFonts w:hint="eastAsia" w:ascii="宋体" w:hAnsi="宋体" w:cs="Arial"/>
          <w:bCs/>
          <w:sz w:val="24"/>
          <w:szCs w:val="24"/>
        </w:rPr>
        <w:t>为本基金增设新的份额类别</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或开通场外申购、赎回相关业务</w:t>
      </w:r>
      <w:r>
        <w:rPr>
          <w:rFonts w:hint="eastAsia" w:ascii="宋体" w:hAnsi="宋体" w:cs="Arial"/>
          <w:bCs/>
          <w:sz w:val="24"/>
          <w:szCs w:val="24"/>
        </w:rPr>
        <w:t>并制定相应的业务规则，或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募集并管理以本基金为目标</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的一只或多只联接基金，无需召开基金份额持有人大会审议。</w:t>
      </w:r>
    </w:p>
    <w:p w14:paraId="4AE92B64">
      <w:pPr>
        <w:pStyle w:val="2"/>
        <w:rPr>
          <w:szCs w:val="24"/>
        </w:rPr>
        <w:sectPr>
          <w:footerReference r:id="rId9" w:type="default"/>
          <w:pgSz w:w="11906" w:h="16838"/>
          <w:pgMar w:top="1440" w:right="1800" w:bottom="1440" w:left="1800" w:header="851" w:footer="992" w:gutter="0"/>
          <w:pgNumType w:start="1"/>
          <w:cols w:space="425" w:num="1"/>
          <w:formProt w:val="0"/>
          <w:docGrid w:type="lines" w:linePitch="312" w:charSpace="0"/>
        </w:sectPr>
      </w:pPr>
      <w:bookmarkStart w:id="96" w:name="_Toc90742391"/>
      <w:bookmarkStart w:id="97" w:name="_Toc90742689"/>
      <w:bookmarkStart w:id="98" w:name="_Toc90742322"/>
    </w:p>
    <w:bookmarkEnd w:id="87"/>
    <w:p w14:paraId="1842B1D6">
      <w:pPr>
        <w:pStyle w:val="2"/>
        <w:rPr>
          <w:szCs w:val="24"/>
        </w:rPr>
      </w:pPr>
      <w:bookmarkStart w:id="99" w:name="CTS_411678b0fc2f4e7e85ab796e80ab1926"/>
      <w:bookmarkEnd w:id="99"/>
      <w:bookmarkStart w:id="100" w:name="_Toc27226"/>
      <w:bookmarkStart w:id="101" w:name="_Toc64923768"/>
      <w:bookmarkStart w:id="102" w:name="_Toc24682"/>
      <w:bookmarkStart w:id="103" w:name="_Toc29948"/>
      <w:bookmarkStart w:id="104" w:name="_Toc3266"/>
      <w:bookmarkStart w:id="105" w:name="_Toc15203"/>
      <w:bookmarkStart w:id="106" w:name="_Toc90742688"/>
      <w:bookmarkStart w:id="107" w:name="_Toc90742390"/>
      <w:bookmarkStart w:id="108" w:name="_Toc29784"/>
      <w:bookmarkStart w:id="109" w:name="_Toc73975081"/>
      <w:bookmarkStart w:id="110" w:name="_Toc90742321"/>
      <w:bookmarkStart w:id="111" w:name="_Toc7151"/>
      <w:bookmarkStart w:id="112" w:name="_Toc16265"/>
      <w:bookmarkStart w:id="113" w:name="_Toc22074"/>
      <w:bookmarkStart w:id="114" w:name="_Toc6714"/>
      <w:bookmarkStart w:id="115" w:name="_Toc27189"/>
      <w:bookmarkStart w:id="116" w:name="CLAUSE_411678b0fc2f4e7e85ab796e80ab1926"/>
      <w:r>
        <w:rPr>
          <w:rFonts w:hint="eastAsia"/>
          <w:szCs w:val="24"/>
        </w:rPr>
        <w:t>第四部分</w:t>
      </w:r>
      <w:r>
        <w:rPr>
          <w:szCs w:val="24"/>
        </w:rPr>
        <w:t xml:space="preserve"> </w:t>
      </w:r>
      <w:r>
        <w:rPr>
          <w:rFonts w:hint="eastAsia"/>
          <w:szCs w:val="24"/>
        </w:rPr>
        <w:t>基金</w:t>
      </w:r>
      <w:bookmarkEnd w:id="96"/>
      <w:bookmarkEnd w:id="97"/>
      <w:bookmarkEnd w:id="98"/>
      <w:r>
        <w:rPr>
          <w:rFonts w:hint="eastAsia"/>
          <w:szCs w:val="24"/>
        </w:rPr>
        <w:t>份额的发售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1AD2998">
      <w:pPr>
        <w:spacing w:line="360" w:lineRule="auto"/>
        <w:ind w:firstLine="480" w:firstLineChars="200"/>
        <w:rPr>
          <w:rFonts w:asciiTheme="minorEastAsia" w:hAnsiTheme="minorEastAsia"/>
          <w:kern w:val="44"/>
          <w:sz w:val="24"/>
          <w:szCs w:val="24"/>
        </w:rPr>
      </w:pPr>
    </w:p>
    <w:p w14:paraId="7B2197A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一、基金份额的发售时间、发售方式、发售对象</w:t>
      </w:r>
    </w:p>
    <w:p w14:paraId="52C440B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、发售时间</w:t>
      </w:r>
    </w:p>
    <w:p w14:paraId="4DF4160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自基金份额发售之日起最长不得超过</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个月，具体发售时间见基金份额发售公告。</w:t>
      </w:r>
    </w:p>
    <w:p w14:paraId="27FE11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、发售方式</w:t>
      </w:r>
    </w:p>
    <w:p w14:paraId="58EEE78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投资人可选择网上现金认购、网下现金认购和网下股票认购三种方式认购本基金：</w:t>
      </w:r>
    </w:p>
    <w:p w14:paraId="6035D01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网上现金认购是指投资人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通过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基金管理人指定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的发售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代理机构通过上海证券交易所网上系统以现金进行的认购；</w:t>
      </w:r>
    </w:p>
    <w:p w14:paraId="0B7D8B6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网下现金认购是指投资人通过基金管理人及其指定的发售代理机构以现金进行的认购</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6A58CD7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网下股票认购是指投资人通过基金管理人及其指定的发售代理机构以股票进行的认购。</w:t>
      </w:r>
    </w:p>
    <w:p w14:paraId="6BCF6E8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应当在基金管理人及其指定发售代理机构办理基金发售业务的营业场所，或者按基金管理人或发售代理机构提供的方式办理基金份额的认购。基金管理人、发售代理机构办理基金发售业务的具体情况和联系方式，请参见基金份额发售公告</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以及基金管理人网站</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FCF12A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基金管理人可依据实际情况增减、变更发售代理机构，发售代理机构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的具体名单见基金份额发售公告以及基金管理人网站。</w:t>
      </w:r>
    </w:p>
    <w:p w14:paraId="160B1E6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若证券交易所、中国证券登记结算有限责任公司对发售方式、发售场所有所调整的，本基金将进行相应调整。</w:t>
      </w:r>
    </w:p>
    <w:p w14:paraId="4399524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6BF6E60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、发售对象</w:t>
      </w:r>
    </w:p>
    <w:p w14:paraId="79E3922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符合法律法规规定的可投资于证券投资基金的个人投资者、机构投资者、合格境外投资者以及法律法规或中国证监会允许购买证券投资基金的其他投资人。</w:t>
      </w:r>
    </w:p>
    <w:p w14:paraId="2A69D1EF">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17" w:name="_Hlt70495313"/>
      <w:bookmarkEnd w:id="117"/>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二、基金份额的认购</w:t>
      </w:r>
    </w:p>
    <w:p w14:paraId="38A77E7D">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1、认购费用</w:t>
      </w:r>
    </w:p>
    <w:p w14:paraId="0CAC51E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本基金的认购费率由基金管理人决定，并在招募说明书、基金产品资料概要和基金份额发售公告中列示。基金认购费用不列入基金财产。</w:t>
      </w:r>
    </w:p>
    <w:p w14:paraId="49CE2816">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2、募集期资金和股票的处理方式</w:t>
      </w:r>
    </w:p>
    <w:p w14:paraId="04E4BDCB">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基金募集期间募集的资金存入专门账户，在基金募集行为结束前，任何人不得动用。网下股票认购募集的股票，在基金募集行为结束前任何人不得动用。</w:t>
      </w:r>
    </w:p>
    <w:p w14:paraId="5651DA81">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3、募集资金利息与募集股票权益的处理方式</w:t>
      </w:r>
    </w:p>
    <w:p w14:paraId="1D3864D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募集的股票自认购日至登记机构进行股票过户日的期间所产生的权益归投资人所有。</w:t>
      </w:r>
    </w:p>
    <w:p w14:paraId="1780C3F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4、基金认购份额的计算</w:t>
      </w:r>
    </w:p>
    <w:p w14:paraId="41EA1E3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基金认购份额具体的计算方法在招募说明书中列示。</w:t>
      </w:r>
    </w:p>
    <w:p w14:paraId="4D94FA4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5、基金份额认购的限制</w:t>
      </w:r>
    </w:p>
    <w:p w14:paraId="6751F2F2">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基金管理人可以对投资者的认购数额进行限制，具体限制和处理方式请参看招募说明书或相关公告。</w:t>
      </w:r>
    </w:p>
    <w:p w14:paraId="4DE20B8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三、基金认购的其他具体规定</w:t>
      </w:r>
    </w:p>
    <w:p w14:paraId="73E00251">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投资人认购原则、认购时间安排、投资人认购应提交的文件和办理的手续等事项，由基金管理人根据相关法律法规以及本基金合同的规定，在招募说明书或基金份额发售公告中确定并披露。</w:t>
      </w:r>
    </w:p>
    <w:p w14:paraId="73C5CEF0">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四、本基金可设置首次募集规模上限，具体募集上限及规模控制的方案详见基金份额发售公告或其他公告。若本基金设置首次募集规模上限，基金合同生效后不受首次募集规模的限制。</w:t>
      </w:r>
    </w:p>
    <w:p w14:paraId="06A0D496">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bookmarkEnd w:id="116"/>
    <w:p w14:paraId="1E85A6F6">
      <w:pPr>
        <w:pStyle w:val="2"/>
        <w:rPr>
          <w:szCs w:val="24"/>
        </w:rPr>
        <w:sectPr>
          <w:footerReference r:id="rId10" w:type="default"/>
          <w:pgSz w:w="11906" w:h="16838"/>
          <w:pgMar w:top="1440" w:right="1800" w:bottom="1440" w:left="1800" w:header="851" w:footer="992" w:gutter="0"/>
          <w:pgNumType w:start="1"/>
          <w:cols w:space="425" w:num="1"/>
          <w:formProt w:val="0"/>
          <w:docGrid w:type="lines" w:linePitch="312" w:charSpace="0"/>
        </w:sectPr>
      </w:pPr>
    </w:p>
    <w:p w14:paraId="4DBF39C3">
      <w:pPr>
        <w:pStyle w:val="2"/>
        <w:rPr>
          <w:szCs w:val="24"/>
        </w:rPr>
      </w:pPr>
      <w:bookmarkStart w:id="118" w:name="CTS_82005793dce748a79111178f94002b78"/>
      <w:bookmarkEnd w:id="118"/>
      <w:bookmarkStart w:id="119" w:name="_Toc139991735"/>
      <w:bookmarkStart w:id="120" w:name="_Toc141703885"/>
      <w:bookmarkStart w:id="121" w:name="_Toc6559"/>
      <w:bookmarkStart w:id="122" w:name="_Toc18797"/>
      <w:bookmarkStart w:id="123" w:name="_Toc14893"/>
      <w:bookmarkStart w:id="124" w:name="_Toc73975082"/>
      <w:bookmarkStart w:id="125" w:name="_Toc21988"/>
      <w:bookmarkStart w:id="126" w:name="_Toc1823"/>
      <w:bookmarkStart w:id="127" w:name="_Toc7848"/>
      <w:bookmarkStart w:id="128" w:name="_Toc18526"/>
      <w:bookmarkStart w:id="129" w:name="_Toc26986"/>
      <w:bookmarkStart w:id="130" w:name="_Toc64923769"/>
      <w:bookmarkStart w:id="131" w:name="_Toc4741"/>
      <w:bookmarkStart w:id="132" w:name="_Toc17912"/>
      <w:bookmarkStart w:id="133" w:name="_Toc18329"/>
      <w:bookmarkStart w:id="134" w:name="CLAUSE_82005793dce748a79111178f94002b78"/>
      <w:r>
        <w:rPr>
          <w:rFonts w:hint="eastAsia"/>
          <w:szCs w:val="24"/>
        </w:rPr>
        <w:t>第五部分</w:t>
      </w:r>
      <w:r>
        <w:rPr>
          <w:szCs w:val="24"/>
        </w:rPr>
        <w:t xml:space="preserve"> </w:t>
      </w:r>
      <w:r>
        <w:rPr>
          <w:rFonts w:hint="eastAsia"/>
          <w:szCs w:val="24"/>
        </w:rPr>
        <w:t>基金备案</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C17DBE9">
      <w:pPr>
        <w:spacing w:line="360" w:lineRule="auto"/>
        <w:ind w:firstLine="540"/>
        <w:rPr>
          <w:rFonts w:asciiTheme="minorEastAsia" w:hAnsiTheme="minorEastAsia"/>
          <w:sz w:val="24"/>
          <w:szCs w:val="24"/>
        </w:rPr>
      </w:pPr>
    </w:p>
    <w:p w14:paraId="7A5C4C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一、基金备案的条件</w:t>
      </w:r>
    </w:p>
    <w:p w14:paraId="420178F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自基金份额发售之日起3个月内，在基金募集份额总额不少于2亿份，基金募集金额（含网下股票认购所募集的股票按基金合同约定的估值方法计算的价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4D8AA8D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5B7B5B4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基金管理人应将基金募集期间募集的资金存入专门账户，在基金募集行为结束前，任何人不得动用。网下股票认购募集的股票，在基金募集行为结束前任何人不得动用。</w:t>
      </w:r>
    </w:p>
    <w:p w14:paraId="266893B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二、基金合同不能生效时募集资金及股票的处理方式</w:t>
      </w:r>
    </w:p>
    <w:p w14:paraId="14F7E22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如果募集期限届满，未满足基金备案条件，基金管理人应当承担下列责任：</w:t>
      </w:r>
    </w:p>
    <w:p w14:paraId="04AB794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1、以其固有财产承担因募集行为而产生的债务和费用；</w:t>
      </w:r>
    </w:p>
    <w:p w14:paraId="4158C92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2、在基金募集期限届满后30日内返还投资者已</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纳的款项，并加计银行同期活期存款利息，同时将已冻结的股票解冻，基金管理人不承担相关股票冻结期间交易价格波动的责任；</w:t>
      </w:r>
    </w:p>
    <w:p w14:paraId="062A8D2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3、如基金募集失败，基金管理人、基金托管人及销售机构不得请求报酬。</w:t>
      </w:r>
    </w:p>
    <w:p w14:paraId="2975E7C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基金管理人、基金托管人和销售机构为基金募集支付之一切费用应由各方各自承担。</w:t>
      </w:r>
    </w:p>
    <w:p w14:paraId="2B49E2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三、基金存续期内的基金份额持有人数量和资产规模</w:t>
      </w:r>
    </w:p>
    <w:bookmarkEnd w:id="134"/>
    <w:p w14:paraId="4C94C22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六个月内召集基金份额持有人大会。</w:t>
      </w:r>
    </w:p>
    <w:p w14:paraId="01E8E9E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法律法规或中国证监会另有规定时，从其规定。</w:t>
      </w:r>
    </w:p>
    <w:p w14:paraId="44E5931F">
      <w:pPr>
        <w:tabs>
          <w:tab w:val="left" w:pos="3488"/>
        </w:tabs>
        <w:jc w:val="left"/>
        <w:sectPr>
          <w:footerReference r:id="rId11" w:type="default"/>
          <w:pgSz w:w="11906" w:h="16838"/>
          <w:pgMar w:top="1440" w:right="1800" w:bottom="1440" w:left="1800" w:header="851" w:footer="992" w:gutter="0"/>
          <w:pgNumType w:start="1"/>
          <w:cols w:space="425" w:num="1"/>
          <w:formProt w:val="0"/>
          <w:docGrid w:type="lines" w:linePitch="312" w:charSpace="0"/>
        </w:sectPr>
      </w:pPr>
      <w:r>
        <w:rPr>
          <w:rFonts w:hint="eastAsia"/>
        </w:rPr>
        <w:tab/>
      </w:r>
    </w:p>
    <w:p w14:paraId="6C4AC0E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0AD66BCE">
      <w:pPr>
        <w:pStyle w:val="2"/>
        <w:rPr>
          <w:szCs w:val="24"/>
        </w:rPr>
      </w:pPr>
      <w:bookmarkStart w:id="135" w:name="CTS_f8a2c7ea9115405eb5690619f2e812cd"/>
      <w:bookmarkEnd w:id="135"/>
      <w:bookmarkStart w:id="136" w:name="_Toc73975083"/>
      <w:bookmarkStart w:id="137" w:name="_Toc64923770"/>
      <w:bookmarkStart w:id="138" w:name="CLAUSE_f8a2c7ea9115405eb5690619f2e812cd"/>
      <w:bookmarkStart w:id="139" w:name="_Toc23822"/>
      <w:bookmarkStart w:id="140" w:name="_Toc98560352"/>
      <w:bookmarkStart w:id="141" w:name="_Toc79392606"/>
      <w:bookmarkStart w:id="142" w:name="_Toc123102453"/>
      <w:bookmarkStart w:id="143" w:name="_Toc141703886"/>
      <w:bookmarkStart w:id="144" w:name="_Toc10463"/>
      <w:bookmarkStart w:id="145" w:name="_Toc48649707"/>
      <w:bookmarkStart w:id="146" w:name="_Toc1270"/>
      <w:bookmarkStart w:id="147" w:name="_Toc610"/>
      <w:bookmarkStart w:id="148" w:name="_Toc123051452"/>
      <w:bookmarkStart w:id="149" w:name="_Toc20733"/>
      <w:bookmarkStart w:id="150" w:name="_Toc139991736"/>
      <w:bookmarkStart w:id="151" w:name="_Toc123112234"/>
      <w:bookmarkStart w:id="152" w:name="_Toc7920"/>
      <w:bookmarkStart w:id="153" w:name="_Toc1427"/>
      <w:bookmarkStart w:id="154" w:name="_Toc17244"/>
      <w:bookmarkStart w:id="155" w:name="_Toc11081"/>
      <w:bookmarkStart w:id="156" w:name="_Toc23261"/>
      <w:bookmarkStart w:id="157" w:name="_Toc4003"/>
      <w:r>
        <w:rPr>
          <w:rFonts w:hint="eastAsia"/>
          <w:szCs w:val="24"/>
        </w:rPr>
        <w:t>第六部分</w:t>
      </w:r>
      <w:r>
        <w:rPr>
          <w:szCs w:val="24"/>
        </w:rPr>
        <w:t xml:space="preserve"> 基金份额折算与变更登记</w:t>
      </w:r>
      <w:bookmarkEnd w:id="136"/>
      <w:bookmarkEnd w:id="137"/>
    </w:p>
    <w:p w14:paraId="5EF27F3F">
      <w:pPr>
        <w:adjustRightInd w:val="0"/>
        <w:snapToGrid w:val="0"/>
        <w:spacing w:line="360" w:lineRule="auto"/>
        <w:ind w:firstLine="482" w:firstLineChars="201"/>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p>
    <w:p w14:paraId="180883A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基金合同生效后，本基金可以进行份额折算。</w:t>
      </w:r>
    </w:p>
    <w:p w14:paraId="19B0845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一、基金份额折算的时间</w:t>
      </w:r>
    </w:p>
    <w:p w14:paraId="23D237E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基金管理人应事先确定基金份额折算日，并依照《信息披露办法》的有关规定进行公告。</w:t>
      </w:r>
    </w:p>
    <w:p w14:paraId="52B67BA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二、基金份额折算的原则</w:t>
      </w:r>
    </w:p>
    <w:p w14:paraId="3DB238A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基金份额折算由基金管理人向登记机构申请办理，并由登记机构进行基金份额的变更登记。基金份额折算的比例和具体安排见基金管理人届时发布的相关公告。</w:t>
      </w:r>
    </w:p>
    <w:p w14:paraId="7934B5C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w:t>
      </w:r>
    </w:p>
    <w:p w14:paraId="762ECCA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如果基金份额折算过程中发生不可抗力等特殊情形，基金管理人可延迟办理基金份额折算。</w:t>
      </w:r>
    </w:p>
    <w:p w14:paraId="7C6E7E4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三、基金份额折算的方法</w:t>
      </w:r>
    </w:p>
    <w:p w14:paraId="35EF78F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基金份额折算的具体方法在份额折算公告中列示。</w:t>
      </w:r>
    </w:p>
    <w:p w14:paraId="3F011385">
      <w:pPr>
        <w:pStyle w:val="8"/>
        <w:adjustRightInd w:val="0"/>
        <w:snapToGrid w:val="0"/>
        <w:rPr>
          <w:rFonts w:cs="Arial" w:asciiTheme="minorEastAsia" w:hAnsiTheme="minorEastAsia" w:eastAsiaTheme="minorEastAsia"/>
          <w:color w:val="0D0D0D" w:themeColor="text1" w:themeTint="F2"/>
          <w:sz w:val="24"/>
          <w14:textFill>
            <w14:solidFill>
              <w14:schemeClr w14:val="tx1">
                <w14:lumMod w14:val="95000"/>
                <w14:lumOff w14:val="5000"/>
              </w14:schemeClr>
            </w14:solidFill>
          </w14:textFill>
        </w:rPr>
      </w:pPr>
    </w:p>
    <w:bookmarkEnd w:id="138"/>
    <w:p w14:paraId="624B233F">
      <w:pPr>
        <w:pStyle w:val="2"/>
        <w:rPr>
          <w:szCs w:val="24"/>
        </w:rPr>
        <w:sectPr>
          <w:footerReference r:id="rId12" w:type="default"/>
          <w:pgSz w:w="11906" w:h="16838"/>
          <w:pgMar w:top="1440" w:right="1800" w:bottom="1440" w:left="1800" w:header="851" w:footer="992" w:gutter="0"/>
          <w:pgNumType w:start="1"/>
          <w:cols w:space="425" w:num="1"/>
          <w:formProt w:val="0"/>
          <w:docGrid w:type="lines" w:linePitch="312" w:charSpace="0"/>
        </w:sectPr>
      </w:pPr>
    </w:p>
    <w:p w14:paraId="41BB9806">
      <w:pPr>
        <w:pStyle w:val="2"/>
        <w:rPr>
          <w:szCs w:val="24"/>
        </w:rPr>
      </w:pPr>
      <w:bookmarkStart w:id="158" w:name="CTS_2602dfeb98664f4e9342b071e32d99ea"/>
      <w:bookmarkEnd w:id="158"/>
      <w:bookmarkStart w:id="159" w:name="_Toc64923771"/>
      <w:bookmarkStart w:id="160" w:name="_Toc73975084"/>
      <w:bookmarkStart w:id="161" w:name="CLAUSE_2602dfeb98664f4e9342b071e32d99ea"/>
      <w:r>
        <w:rPr>
          <w:rFonts w:hint="eastAsia"/>
          <w:szCs w:val="24"/>
        </w:rPr>
        <w:t>第七部分</w:t>
      </w:r>
      <w:r>
        <w:rPr>
          <w:szCs w:val="24"/>
        </w:rPr>
        <w:t xml:space="preserve"> 基金份额的</w:t>
      </w:r>
      <w:r>
        <w:rPr>
          <w:rFonts w:hint="eastAsia"/>
          <w:szCs w:val="24"/>
        </w:rPr>
        <w:t>上市</w:t>
      </w:r>
      <w:r>
        <w:rPr>
          <w:szCs w:val="24"/>
        </w:rPr>
        <w:t>交易</w:t>
      </w:r>
      <w:bookmarkEnd w:id="159"/>
      <w:bookmarkEnd w:id="160"/>
    </w:p>
    <w:p w14:paraId="54C402E2">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7EAF76B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一、基金上市</w:t>
      </w:r>
    </w:p>
    <w:p w14:paraId="2C6AF3F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基金合同生效后，如基金具备如下条件，在符合上海证券交易所相关规定的条件下，本基金可申请在上海证券交易所上市交易。</w:t>
      </w:r>
    </w:p>
    <w:p w14:paraId="1E1D694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1、本基金场内资产净值不少于2亿元；</w:t>
      </w:r>
    </w:p>
    <w:p w14:paraId="695B8A0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2、本基金场内份额持有人不少于1000人；</w:t>
      </w:r>
    </w:p>
    <w:p w14:paraId="77CAF6D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3、符合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法律法规或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上海证券交易所规定的其他条件。</w:t>
      </w:r>
    </w:p>
    <w:p w14:paraId="406CC78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基金上市前，基金管理人应与上海证券交易所签订上市协议书。基金获准在上海证券交易所上市的，基金管理人应按照相关规定发布基金上市交易公告书。</w:t>
      </w:r>
    </w:p>
    <w:p w14:paraId="282FB16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二、基金份额的上市交易</w:t>
      </w:r>
    </w:p>
    <w:p w14:paraId="48B5A61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基金份额在上海证券交易所的上市交易应遵照《上海证券交易所交易规则》、《上海证券交易所证券投资基金上市规则》、《上海证券交易所交易型开放式指数基金业务实施细则》等有关规定。</w:t>
      </w:r>
    </w:p>
    <w:p w14:paraId="7BB0B85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三、终止上市交易</w:t>
      </w:r>
    </w:p>
    <w:p w14:paraId="459D87A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基金份额上市交易后，有下列情形之一的，上海证券交易所可终止基金的上市交易：</w:t>
      </w:r>
    </w:p>
    <w:p w14:paraId="4768D5A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1、不再具备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部分第一条规定的上市条件；</w:t>
      </w:r>
    </w:p>
    <w:p w14:paraId="1BDA0B7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2、基金合同终止；</w:t>
      </w:r>
    </w:p>
    <w:p w14:paraId="16F5AD5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3、基金份额持有人大会决定终止上市；</w:t>
      </w:r>
    </w:p>
    <w:p w14:paraId="6A08B54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4、基金合同约定的终止上市的其他情形；</w:t>
      </w:r>
    </w:p>
    <w:p w14:paraId="6B1F659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5、上海证券交易所认为应当终止上市的其他情形。 </w:t>
      </w:r>
    </w:p>
    <w:p w14:paraId="2E895B4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基金管理人应当在收到上海证券交易所终止基金上市的决定之日起依照《信息披露办法》</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发布基金终止上市公告。 </w:t>
      </w:r>
    </w:p>
    <w:p w14:paraId="667F6B5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若因上述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1、4、5项等原因使本基金不再具备上市条件而被上海证券交易所终止上市的，本基金将由交易型开放式基金变更为跟踪标的指数的非上市的开放式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基金，而无需召开基金份额持有人大会。若届时本基金管理人已有以该指数作为标的指数的指数基金，则本基金将本着维护投资者合法权益的原则，履行适当的程序后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与该指数基金合并或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选取其他合适的指数作为标的指数。</w:t>
      </w:r>
    </w:p>
    <w:bookmarkEnd w:id="161"/>
    <w:p w14:paraId="4146ADF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四、基金份额参考净值的计算与公告</w:t>
      </w:r>
    </w:p>
    <w:p w14:paraId="4F8BEA9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每一个交易日开市前向上海证券交易所提供当日的申购、赎回清单，基金管理人或基金管理人委托的指数服务机构在开市后根据申购、赎回清单和组合证券内各只证券的实时成交数据，计算基金份额参考净值，并将计算结果向上海证券交易所发送，由上海证券交易所对外发布，仅供投资者交易、申购、赎回基金份额时参考。基金份额参考净值（</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IOPV）的具体计算方法参见招募说明书。</w:t>
      </w:r>
    </w:p>
    <w:p w14:paraId="45B470B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sz w:val="24"/>
          <w:szCs w:val="24"/>
        </w:rPr>
        <w:t>上海证券交易所和基金管理人可以调整基金份额参考净值的计算方法</w:t>
      </w:r>
      <w:r>
        <w:rPr>
          <w:rFonts w:hint="eastAsia"/>
          <w:sz w:val="24"/>
          <w:szCs w:val="24"/>
        </w:rPr>
        <w:t>及保留的小数点位数</w:t>
      </w:r>
      <w:r>
        <w:rPr>
          <w:sz w:val="24"/>
          <w:szCs w:val="24"/>
        </w:rPr>
        <w:t>，并予以公告。</w:t>
      </w:r>
    </w:p>
    <w:p w14:paraId="3655C51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五、</w:t>
      </w:r>
      <w:r>
        <w:rPr>
          <w:rFonts w:hint="eastAsia"/>
          <w:bCs/>
          <w:sz w:val="24"/>
        </w:rPr>
        <w:t>在不违反法律法规及不损害基金份额持有人利益的前提下，基金管理人在履行适当的程序后，本基金可以申请在其他证券交易所（含境外证券交易所）上市交易，而无需召开基金份额持有人大会审议。</w:t>
      </w:r>
    </w:p>
    <w:p w14:paraId="1378148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六、若上海证券交易所、中国证券登记结算有限责任公司增加了基金上市交易的新功能，基金管理人可以在履行适当的程序后增加相应功能。</w:t>
      </w:r>
    </w:p>
    <w:p w14:paraId="00B81F7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七、相关法律法规、中国证监会、登记机构及上海证券交易所对基金上市交易的规则等相关规定内容进行调整的，本基金按照新规定执行，若由此需要对基金合同及招募说明书相应予以修改的，此项修改无需召开基金份额持有人大会。</w:t>
      </w:r>
    </w:p>
    <w:p w14:paraId="3D132BB7">
      <w:pPr>
        <w:rPr>
          <w:sz w:val="24"/>
          <w:szCs w:val="24"/>
        </w:rPr>
        <w:sectPr>
          <w:footerReference r:id="rId13" w:type="default"/>
          <w:pgSz w:w="11906" w:h="16838"/>
          <w:pgMar w:top="1440" w:right="1800" w:bottom="1440" w:left="1800" w:header="851" w:footer="992" w:gutter="0"/>
          <w:pgNumType w:start="1"/>
          <w:cols w:space="425" w:num="1"/>
          <w:formProt w:val="0"/>
          <w:docGrid w:type="lines" w:linePitch="312" w:charSpace="0"/>
        </w:sectPr>
      </w:pPr>
    </w:p>
    <w:p w14:paraId="441E5813">
      <w:pPr>
        <w:pStyle w:val="2"/>
        <w:rPr>
          <w:szCs w:val="24"/>
        </w:rPr>
      </w:pPr>
      <w:bookmarkStart w:id="162" w:name="CTS_c783c198b8fc4169b5e9d8f09e6b46d3"/>
      <w:bookmarkEnd w:id="162"/>
      <w:bookmarkStart w:id="163" w:name="_Toc73975085"/>
      <w:bookmarkStart w:id="164" w:name="_Toc64923772"/>
      <w:bookmarkStart w:id="165" w:name="CLAUSE_c783c198b8fc4169b5e9d8f09e6b46d3"/>
      <w:r>
        <w:rPr>
          <w:rFonts w:hint="eastAsia" w:cs="Arial"/>
          <w:szCs w:val="24"/>
        </w:rPr>
        <w:t>第八部分</w:t>
      </w:r>
      <w:r>
        <w:rPr>
          <w:szCs w:val="24"/>
        </w:rPr>
        <w:t xml:space="preserve"> 基金份额的申购与赎回</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3"/>
      <w:bookmarkEnd w:id="164"/>
    </w:p>
    <w:p w14:paraId="5B25983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4C4C9CA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66" w:name="_Toc16859"/>
      <w:bookmarkStart w:id="167" w:name="_Toc14835"/>
      <w:bookmarkStart w:id="168" w:name="_Toc26207"/>
      <w:bookmarkStart w:id="169" w:name="_Toc123102454"/>
      <w:bookmarkStart w:id="170" w:name="_Toc12245"/>
      <w:bookmarkStart w:id="171" w:name="_Toc98560353"/>
      <w:bookmarkStart w:id="172" w:name="_Toc31644"/>
      <w:bookmarkStart w:id="173" w:name="_Toc15143"/>
      <w:bookmarkStart w:id="174" w:name="_Toc123051453"/>
      <w:bookmarkStart w:id="175" w:name="_Toc141703887"/>
      <w:bookmarkStart w:id="176" w:name="_Toc31653"/>
      <w:bookmarkStart w:id="177" w:name="_Toc31235"/>
      <w:bookmarkStart w:id="178" w:name="_Toc29251"/>
      <w:bookmarkStart w:id="179" w:name="_Toc123112235"/>
      <w:bookmarkStart w:id="180" w:name="_Toc6405"/>
      <w:bookmarkStart w:id="181" w:name="_Toc3601"/>
      <w:bookmarkStart w:id="182" w:name="_Toc139991737"/>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一、申购和赎回场所</w:t>
      </w:r>
    </w:p>
    <w:p w14:paraId="3223122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应当在</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办理基金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业务的营业场所或按</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提供的其他方式办理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w:t>
      </w:r>
    </w:p>
    <w:p w14:paraId="067D422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开始申购、赎回业务前公告申购赎回代理券商的名单，并可依据实际情况变更申购赎回代理券商，并在基金管理人网站公示。基金管理人在确定、变更申购赎回代理券商名单时，均应在公告之前报请上海证券交易所认可。</w:t>
      </w:r>
    </w:p>
    <w:p w14:paraId="0E60C5E4">
      <w:pPr>
        <w:tabs>
          <w:tab w:val="left" w:pos="3780"/>
        </w:tabs>
        <w:autoSpaceDE w:val="0"/>
        <w:autoSpaceDN w:val="0"/>
        <w:adjustRightInd w:val="0"/>
        <w:snapToGrid w:val="0"/>
        <w:spacing w:line="360" w:lineRule="auto"/>
        <w:ind w:firstLine="480" w:firstLineChars="200"/>
        <w:textAlignment w:val="bottom"/>
        <w:rPr>
          <w:rFonts w:ascii="宋体" w:hAnsi="宋体"/>
          <w:kern w:val="0"/>
          <w:sz w:val="24"/>
          <w:szCs w:val="24"/>
        </w:rPr>
      </w:pPr>
      <w:r>
        <w:rPr>
          <w:rFonts w:hint="eastAsia" w:ascii="宋体" w:hAnsi="宋体" w:cs="Arial"/>
          <w:kern w:val="0"/>
          <w:sz w:val="24"/>
          <w:szCs w:val="24"/>
        </w:rPr>
        <w:t>在法律法规、</w:t>
      </w:r>
      <w:r>
        <w:rPr>
          <w:rFonts w:hint="eastAsia" w:ascii="宋体" w:hAnsi="宋体"/>
          <w:kern w:val="0"/>
          <w:sz w:val="24"/>
          <w:szCs w:val="24"/>
        </w:rPr>
        <w:t>基金</w:t>
      </w:r>
      <w:r>
        <w:rPr>
          <w:rFonts w:hint="eastAsia" w:ascii="宋体" w:hAnsi="宋体" w:cs="Arial"/>
          <w:kern w:val="0"/>
          <w:sz w:val="24"/>
          <w:szCs w:val="24"/>
        </w:rPr>
        <w:t>合同及未来条件允许</w:t>
      </w:r>
      <w:r>
        <w:rPr>
          <w:rFonts w:hint="eastAsia" w:ascii="宋体" w:hAnsi="宋体"/>
          <w:kern w:val="0"/>
          <w:sz w:val="24"/>
          <w:szCs w:val="24"/>
        </w:rPr>
        <w:t>的</w:t>
      </w:r>
      <w:r>
        <w:rPr>
          <w:rFonts w:hint="eastAsia" w:ascii="宋体" w:hAnsi="宋体" w:cs="Arial"/>
          <w:kern w:val="0"/>
          <w:sz w:val="24"/>
          <w:szCs w:val="24"/>
        </w:rPr>
        <w:t>情况下，基金管理人直销机构可以开通申购赎回业务，具体业务的办理时间及办理方式基金管理人将另行公告</w:t>
      </w:r>
      <w:r>
        <w:rPr>
          <w:rFonts w:hint="eastAsia" w:ascii="宋体" w:hAnsi="宋体"/>
          <w:kern w:val="0"/>
          <w:sz w:val="24"/>
          <w:szCs w:val="24"/>
        </w:rPr>
        <w:t>。</w:t>
      </w:r>
    </w:p>
    <w:p w14:paraId="319473E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二、申购和赎回的开放日及时间</w:t>
      </w:r>
    </w:p>
    <w:p w14:paraId="272E2D1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、开放日及开放时间</w:t>
      </w:r>
    </w:p>
    <w:p w14:paraId="3185C27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投资人在开放日办理基金份额的申购和赎回，具体办理时间为上海证券交易所、深圳证券交易所的正常交易日的交易时间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但基金管理人根据法律法规、中国证监会的要求或本基金合同的规定公告暂停申购、赎回时除外。</w:t>
      </w:r>
    </w:p>
    <w:p w14:paraId="7381747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485EE0E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、申购、赎回开始日及业务办理时间</w:t>
      </w:r>
    </w:p>
    <w:p w14:paraId="7AE6398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基金管理人可根据实际情况依法决定本基金开始办理申购的具体日期，具体业务办理时间在申购开始公告中规定。</w:t>
      </w:r>
    </w:p>
    <w:p w14:paraId="6D39104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基金管理人自基金合同生效之日起不超过</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个月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开始办理赎回，具体业务办理时间在赎回开始公告中规定。</w:t>
      </w:r>
    </w:p>
    <w:p w14:paraId="4132954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在确定申购开始与赎回开始时间后，基金管理人应在申购、赎回开放日前依照《信息披露办法》的有关规定在规定媒介上公告申购与赎回的开始时间。</w:t>
      </w:r>
    </w:p>
    <w:p w14:paraId="4C9515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三、申购与赎回的原则</w:t>
      </w:r>
    </w:p>
    <w:p w14:paraId="0E786A6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申购、份额赎回”原则，即申购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均</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以份额申请；</w:t>
      </w:r>
    </w:p>
    <w:p w14:paraId="3C973B8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对价包括组合证券、现金替代、现金差额及其他对价；</w:t>
      </w:r>
    </w:p>
    <w:p w14:paraId="10D272E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申请</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提交后不得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撤销；</w:t>
      </w:r>
    </w:p>
    <w:p w14:paraId="748F7DE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、申购、赎回应遵守《业务规则》及其他相关规定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FDE13A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5、办理申购、赎回业务时，应当遵循基金份额持有人利益优先原则，确保投资者的合法权益不受损害并得到公平对待。</w:t>
      </w:r>
    </w:p>
    <w:p w14:paraId="45A40C7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基金管理人可在法律法规允许的情况下，对上述原则进行调整。基金管理人必须在新规则开始实施前依照《信息披露办法》的有关规定在规定媒介上公告。</w:t>
      </w:r>
    </w:p>
    <w:p w14:paraId="417FDAB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四、申购与赎回的程序</w:t>
      </w:r>
    </w:p>
    <w:p w14:paraId="60F5BCD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、申购和赎回的申请方式</w:t>
      </w:r>
    </w:p>
    <w:p w14:paraId="4E5AB70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投资人必须根据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申购、赎回代理券商或基金管理人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规定的程序，在开放日的具体业务办理时间内提出申购或赎回的申请。</w:t>
      </w:r>
    </w:p>
    <w:p w14:paraId="092CA4D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投资人交付申购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，申购成立；登记机构确认</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时，申购生效。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时有足够的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基金份额余额和现金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，则赎回申请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成立</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登记机构确认赎回时，赎回生效。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投资人在提交申购申请时须按申购赎回清单的规定备足申购对价，投资人在提交赎回申请时须持有足够的基金份额余额和现金，否则所提交的申购、赎回申请不成立</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10BBC9E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、申购和赎回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确认</w:t>
      </w:r>
    </w:p>
    <w:p w14:paraId="0F3CA26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投资人申购、赎回申请的确认根据登记机构的相关规定办理，具体在招募说明书中列示。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w:t>
      </w:r>
    </w:p>
    <w:p w14:paraId="242FA90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537365C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清算交收与登记</w:t>
      </w:r>
    </w:p>
    <w:p w14:paraId="0D154C8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本基金的申购和赎回的清算交收与登记规则详见招募说明书规定。</w:t>
      </w:r>
    </w:p>
    <w:p w14:paraId="0525B5D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者应按照本基金合同的约定和申购、赎回代理券商的规定按时足额支付应付的现金差额和现金替代退补款。因投资者原因导致现金差额或现金替代退补款未能按时足额交收的，基金管理人有权为基金的利益向该投资者追偿，并要求其承担由此导致的其他基金份额持有人或基金资产的损失。</w:t>
      </w:r>
    </w:p>
    <w:p w14:paraId="12BD573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基金管理人、登记机构可在法律法规允许的范围内，对清算交收和登记的办理时间、方式进行调整，并最迟于开始实施日前按照《信息披露办法》的有关规定在</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中国证监会规定媒介公告。</w:t>
      </w:r>
    </w:p>
    <w:p w14:paraId="04C8951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获批后，若上海证券交易所和中国证券登记结算有限责任公司针对跨市场交易型开放式指数证券投资基金推出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基金合同和招募说明书予以更新，无需召开基金份额持有人大会审议。</w:t>
      </w:r>
    </w:p>
    <w:p w14:paraId="1E0CED6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五、申购和赎回的数量限制</w:t>
      </w:r>
    </w:p>
    <w:p w14:paraId="70FC2B8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需为最小申购、赎回单位的整数倍。最小申购、赎回单位由基金管理人确定和调整，详见本基金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招募说明书或相关公告。</w:t>
      </w:r>
    </w:p>
    <w:p w14:paraId="151FEE0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bCs/>
          <w:color w:val="0D0D0D" w:themeColor="text1" w:themeTint="F2"/>
          <w:kern w:val="0"/>
          <w:sz w:val="24"/>
          <w:szCs w:val="24"/>
          <w14:textFill>
            <w14:solidFill>
              <w14:schemeClr w14:val="tx1">
                <w14:lumMod w14:val="95000"/>
                <w14:lumOff w14:val="5000"/>
              </w14:schemeClr>
            </w14:solidFill>
          </w14:textFill>
        </w:rPr>
        <w:t>基金管理人可根据基金运作情况、市场变化以及投资者需求等因素对基金的最小申购赎回单位进行调整，并在调整实施前依照《信息披露办法》的有关规定在规定媒介公告。</w:t>
      </w:r>
    </w:p>
    <w:p w14:paraId="04FC788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及当日赎回份额上限</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，具体规定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详见申购、赎回清单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64A802D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3、基金管理人可以规定</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投资人每个交易账户的最低基金份额余额，具体规定请参见招募说明书或相关公告。</w:t>
      </w:r>
    </w:p>
    <w:p w14:paraId="1C82F13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单个投资人累计持有的基金份额上限，具体规定请参见招募说明书或相关公告。</w:t>
      </w:r>
    </w:p>
    <w:p w14:paraId="666C9A6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、当接受申购申请对存量基金份额持有人利益构成潜在重大不利影响时，基金管理人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采取设定单一投资者申购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F6C4FE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根据市场情况，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在法律法规允许的情况下，调整上述规定数量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或比例等</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限制。基金管理人必须在调整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实施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前依照《信息披露办法》的有关规定在规定媒介上公告</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（其中上述第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条基金管理人须于前一交易日设定并在当日基金申购、赎回清单上公布，而不必在规定媒介上公告也无需报中国证监会备案）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294380F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、费用</w:t>
      </w:r>
    </w:p>
    <w:p w14:paraId="1DB6F7A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本基金份额净值的计算，保留到小数点后4位，小数点后第5位四舍五入，由此产生的收益或损失由基金财产承担。T日的基金份额净值在当天收市后计算，并按照基金合同的约定公告。遇特殊情况，经履行适当程序，可以适当延迟计算或公告。</w:t>
      </w:r>
    </w:p>
    <w:p w14:paraId="0F482B9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对价、赎回对价根据申购、赎回清单和投资者申购、赎回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份额数额确定。申购对价是指投资人申购基金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时应交付的组合证券、现金替代、现金差额和/或其他对价。赎回对价是指投资人赎回基金份额时，基金管理人应交付给投资人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组合证券、现金替代、现金差额和/或其他对价。</w:t>
      </w:r>
    </w:p>
    <w:p w14:paraId="5EBD433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、申购、赎回清单由基金管理人编制。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T日的申购、赎回清单在当日</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上海证券交易所开市前公告。如遇特殊情况，可以适当延迟计算或公告。申购赎回清单的内容与格式</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详见《招募说明书》。</w:t>
      </w:r>
    </w:p>
    <w:p w14:paraId="1DC80BB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4、投资者在申购或赎回本基金时，申购赎回代理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券商</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可按照一定标准收取佣金，其中包含证券交易所、登记机构等收取的相关费用，具体规定详见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w:t>
      </w:r>
    </w:p>
    <w:p w14:paraId="1E754B1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基金管理人可以在</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不</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违反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相关法律法规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的情况下对基金份额净值、申购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清单计算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公告时间进行</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调整</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并提前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14CD5C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七、拒绝或暂停申购的情形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255EF97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发生下列情况时，基金管理人可拒绝或暂停接受投资人的申购申请：</w:t>
      </w:r>
    </w:p>
    <w:p w14:paraId="479440F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83" w:name="_Hlt70481650"/>
      <w:bookmarkEnd w:id="183"/>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管理人无法受理或办理基金份额持有人的申购申请；</w:t>
      </w:r>
    </w:p>
    <w:p w14:paraId="1D8D003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期货交易所交易时间非正常停市，导致基金管理人无法计算当日基金资产净值或无法进行证券交易；</w:t>
      </w:r>
    </w:p>
    <w:p w14:paraId="454D6E6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4691695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开市前因异常情况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无法</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公布申购、赎回清单、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净值</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或者</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IOPV计算错误、申购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赎回清单编制错误；</w:t>
      </w:r>
    </w:p>
    <w:p w14:paraId="53840FF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、接受某笔或某些申购申请可能会影响或损害现有基金份额持有人利益时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C65684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6、相关</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证券/期货交易所</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、申购赎回代理券商、登记机构等因异常情况无法办理申购；或者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编制单位、相关证券/期货交易所等因异常情况使申购赎回清单无法编制或编制不当。上述异常情况指基金管理人无法预见并不可控制的情形，包括但不限于系统故障、网络故障、通讯故障、电力故障、数据错误等；</w:t>
      </w:r>
    </w:p>
    <w:p w14:paraId="295D19D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、申请超过基金管理人设定的基金总规模、单日净申购比例上限、单一投资者单日或单笔申购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上限的；</w:t>
      </w:r>
    </w:p>
    <w:p w14:paraId="73B54EF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、当前一估值日基金资产净值50%以上的资产出现无可参考的活跃市场价格且采用估值技术仍导致公允价值存在重大不确定性时，经与基金托管人协商确认后，基金管理人应当暂停接受基金申购申请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DA2DE8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3C3FAC7F">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发生上述第1、2、3、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4、6、8、9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项暂停申购情形之一且基金管理人决定暂停接受投资人申购申请时，基金管理人应当根据有关规定在规定媒介上刊登暂停申购公告。如果投资人的申购申请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全部或部分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被拒绝，被拒绝的申购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将退还给投资人。在暂停申购的情况消除时，基金管理人应及时恢复申购业务的办理。</w:t>
      </w:r>
    </w:p>
    <w:p w14:paraId="71C95A9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八、暂停赎回或延缓支付赎回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54A5B75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发生下列情形时，基金管理人可暂停接受投资人的赎回申请或延缓支付赎回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74764B2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无法受理或办理基金份额持有人的赎回申请；</w:t>
      </w:r>
    </w:p>
    <w:p w14:paraId="792E283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w:t>
      </w:r>
      <w:bookmarkStart w:id="184" w:name="_Hlt152500890"/>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净值或无法进行证券交易；</w:t>
      </w:r>
    </w:p>
    <w:p w14:paraId="7ACA2C1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90A1AF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、发生继续接受赎回申请将损害现有基金份额持有人利益的情形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bookmarkEnd w:id="184"/>
    <w:p w14:paraId="53B8460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当日总赎回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达到基金管理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所设定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w:t>
      </w:r>
    </w:p>
    <w:p w14:paraId="5F63300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或暂停接受基金赎回申请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7B36E3F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03D58AD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发生上述情形之一且基金管理人决定暂停赎回或延缓支付赎回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应按规定报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中国证监会备案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已</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接受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的赎回申请，基金管理人应足额支付</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基金份额持有人在申请赎回时可事先选择将当日可能未获受理部分予以撤销</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，如暂时不能足额支付，未支付部分可延期支付。</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在暂停赎回的情况消除时，基金管理人应及时恢复赎回业务的办理并公告。</w:t>
      </w:r>
    </w:p>
    <w:p w14:paraId="323C7F2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w:t>
      </w:r>
    </w:p>
    <w:p w14:paraId="55E79AB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为提高交易便利或根据需要，基金管理人可向登记机构申请办理基金份额折算与变更登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基金管理人应就其具体事宜进行必要公告，并提前通知基金托管人。 </w:t>
      </w:r>
    </w:p>
    <w:p w14:paraId="31284A1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十、基金份额拆分与合并 </w:t>
      </w:r>
    </w:p>
    <w:p w14:paraId="71AFDAE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基金成立后，在法律法规规定的范围内，在履行适当程序后，本基金可实施基金份额拆分或合并。 </w:t>
      </w:r>
    </w:p>
    <w:p w14:paraId="026DBBB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46C82A2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十一、基金份额的转让</w:t>
      </w:r>
    </w:p>
    <w:p w14:paraId="080735D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法律法规允许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7A8CDF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十二、基金份额的非交易过户、冻结、解冻等其他业务</w:t>
      </w:r>
    </w:p>
    <w:p w14:paraId="41F1A52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基金份额的登记机构可依据其业务规则，受理基金的非交易过户、冻结与解冻等业务，并收取一定的手续费用。</w:t>
      </w:r>
    </w:p>
    <w:p w14:paraId="6E5922F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基金份额被冻结的，被冻结部分产生的权益一并冻结，被冻结部分份额仍然参与收益分配。法律法规或监管机构另有规定的除外。</w:t>
      </w:r>
    </w:p>
    <w:p w14:paraId="6C9ED2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十三、联接基金的特殊申购</w:t>
      </w:r>
    </w:p>
    <w:p w14:paraId="23FB1C6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若基金管理人推出以本基金为目标ETF的联接基金，本基金可根据实际情况需要向本基金的联接基金开通特殊申购，不收取申购费用。具体见招募说明书。</w:t>
      </w:r>
    </w:p>
    <w:p w14:paraId="737C700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十四、</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其他</w:t>
      </w:r>
    </w:p>
    <w:p w14:paraId="07E3B97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1、在不违反法律法规且</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对基金份额持有人利益无实质性不利影响</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的情况下，经履行相关程序后，</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可开放集合申购。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有权制定集合申购业务的相关规则。</w:t>
      </w:r>
    </w:p>
    <w:p w14:paraId="464F68D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在条件允许</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也可采取其他合理的申购方式，并于新的申购方式开始执行前予以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6F75F30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2、基金管理人指定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的代理机构可依据法律法规和本基金合同的规定开展其他服务，双方需签订书面委托代理协议。</w:t>
      </w:r>
    </w:p>
    <w:p w14:paraId="1AF9DF4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、对于符合《特定机构投资者参与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证券投资基金</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申购赎回业务指引》要求的特定机构投资者，基金管理人可在不违反法律法规且对基金份额持有人利益无实质性不利影响的情况下，安排专门的申购方式，并于新的申购方式开始执行前另行公告。</w:t>
      </w:r>
    </w:p>
    <w:p w14:paraId="7EF6E753">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165"/>
    <w:p w14:paraId="7176EBE1">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4" w:type="default"/>
          <w:pgSz w:w="11906" w:h="16838"/>
          <w:pgMar w:top="1440" w:right="1800" w:bottom="1440" w:left="1800" w:header="851" w:footer="992" w:gutter="0"/>
          <w:pgNumType w:start="1"/>
          <w:cols w:space="425" w:num="1"/>
          <w:formProt w:val="0"/>
          <w:docGrid w:type="lines" w:linePitch="312" w:charSpace="0"/>
        </w:sectPr>
      </w:pPr>
    </w:p>
    <w:p w14:paraId="0C3BD9C7">
      <w:pPr>
        <w:pStyle w:val="2"/>
        <w:rPr>
          <w:szCs w:val="24"/>
        </w:rPr>
      </w:pPr>
      <w:bookmarkStart w:id="185" w:name="CTS_093627b63be94cfa9c14ce403e9127ec"/>
      <w:bookmarkEnd w:id="185"/>
      <w:bookmarkStart w:id="186" w:name="_Toc64923773"/>
      <w:bookmarkStart w:id="187" w:name="_Toc73975086"/>
      <w:bookmarkStart w:id="188" w:name="CLAUSE_093627b63be94cfa9c14ce403e9127ec"/>
      <w:r>
        <w:rPr>
          <w:rFonts w:hint="eastAsia" w:cs="Arial"/>
          <w:szCs w:val="24"/>
        </w:rPr>
        <w:t>第九</w:t>
      </w:r>
      <w:r>
        <w:rPr>
          <w:rFonts w:hint="eastAsia"/>
          <w:szCs w:val="24"/>
        </w:rPr>
        <w:t>部分</w:t>
      </w:r>
      <w:r>
        <w:rPr>
          <w:szCs w:val="24"/>
        </w:rPr>
        <w:t xml:space="preserve"> </w:t>
      </w:r>
      <w:r>
        <w:rPr>
          <w:rFonts w:hint="eastAsia"/>
          <w:szCs w:val="24"/>
        </w:rPr>
        <w:t>基金合同当事人及权利义务</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6"/>
      <w:bookmarkEnd w:id="187"/>
      <w:bookmarkStart w:id="189" w:name="_Hlt55355235"/>
      <w:bookmarkEnd w:id="189"/>
      <w:bookmarkStart w:id="190" w:name="_Toc523711668"/>
      <w:bookmarkStart w:id="191" w:name="_Toc79392580"/>
      <w:bookmarkStart w:id="192" w:name="_Toc57530239"/>
      <w:bookmarkStart w:id="193" w:name="_Toc15118234"/>
    </w:p>
    <w:p w14:paraId="6F1E4FE7">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8EC3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w:t>
      </w:r>
      <w:bookmarkEnd w:id="19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管理人</w:t>
      </w:r>
      <w:bookmarkEnd w:id="191"/>
      <w:bookmarkEnd w:id="192"/>
      <w:bookmarkEnd w:id="193"/>
    </w:p>
    <w:p w14:paraId="19C648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4" w:name="_Toc1511823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基金管理人简况</w:t>
      </w:r>
      <w:bookmarkEnd w:id="194"/>
    </w:p>
    <w:p w14:paraId="66D75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5" w:name="_Toc15118236"/>
      <w:bookmarkStart w:id="196" w:name="_Toc1511823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名称：</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博时基金管理有限公司</w:t>
      </w:r>
    </w:p>
    <w:p w14:paraId="6EF0F9C9">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住所：深圳市福田区莲花街道福新社区益田路</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5999号基金大厦21层</w:t>
      </w:r>
    </w:p>
    <w:p w14:paraId="2DAB7E0B">
      <w:pPr>
        <w:adjustRightInd w:val="0"/>
        <w:snapToGrid w:val="0"/>
        <w:spacing w:line="360" w:lineRule="auto"/>
        <w:ind w:firstLine="480" w:firstLineChars="200"/>
        <w:rPr>
          <w:rFonts w:hint="eastAsia" w:eastAsia="宋体" w:asciiTheme="minorEastAsia" w:hAnsiTheme="minorEastAsia"/>
          <w:color w:val="0D0D0D" w:themeColor="text1" w:themeTint="F2"/>
          <w:sz w:val="24"/>
          <w:szCs w:val="24"/>
          <w:lang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法定代表人：</w:t>
      </w:r>
      <w:r>
        <w:rPr>
          <w:rFonts w:hint="eastAsia" w:ascii="宋体" w:hAnsi="宋体"/>
          <w:kern w:val="0"/>
          <w:sz w:val="24"/>
          <w:szCs w:val="24"/>
          <w:lang w:eastAsia="zh-CN"/>
        </w:rPr>
        <w:t>张东</w:t>
      </w:r>
    </w:p>
    <w:p w14:paraId="270F46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设立日期：</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1998年7月13日</w:t>
      </w:r>
    </w:p>
    <w:p w14:paraId="101972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批准设立机关及批准设立文号：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中国证监会证监基字【</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1998】26号</w:t>
      </w:r>
    </w:p>
    <w:p w14:paraId="3B5856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组织形式：</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有限责任公司</w:t>
      </w:r>
    </w:p>
    <w:p w14:paraId="46FE8B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注册资本：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2.5亿元人民币</w:t>
      </w:r>
    </w:p>
    <w:p w14:paraId="2E2F84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持续经营</w:t>
      </w:r>
    </w:p>
    <w:p w14:paraId="7007E6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联系电话：</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0755-83169999</w:t>
      </w:r>
    </w:p>
    <w:bookmarkEnd w:id="195"/>
    <w:p w14:paraId="7A35BB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基金管理人的权利与义务</w:t>
      </w:r>
      <w:bookmarkEnd w:id="196"/>
    </w:p>
    <w:p w14:paraId="7A7A0D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3755E58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75535D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1A3ED7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77E3CE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7977C9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bookmarkStart w:id="197" w:name="_Hlt8889615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w:t>
      </w:r>
      <w:bookmarkEnd w:id="19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w:t>
      </w:r>
    </w:p>
    <w:p w14:paraId="0379D1B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736E7B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707CE0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01AD7EF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77EB9A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2480B4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7887EF1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11EB87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13A7798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1AECDD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0BEE9B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5BDA3E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5E8CBF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58943A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8" w:name="_Toc52371166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499243A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0B3B737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02CA06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1B6968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35E9083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bookmarkStart w:id="199" w:name="_Hlt88897298"/>
      <w:bookmarkEnd w:id="199"/>
    </w:p>
    <w:p w14:paraId="47ECB7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5F5769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37685B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399388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6BD704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32E41C3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741C0F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7390413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021ED8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30A186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3FA02A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E89F0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0CE0D1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27E4A2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09411F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226B502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09EFC93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4F07B21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bookmarkStart w:id="200" w:name="_Hlt88823209"/>
      <w:bookmarkEnd w:id="200"/>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754774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51472DF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32BAEFB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488A0B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1" w:name="_Toc79392581"/>
      <w:bookmarkStart w:id="202" w:name="_Toc15118238"/>
      <w:bookmarkStart w:id="203" w:name="_Toc5753024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二、基金托管人</w:t>
      </w:r>
      <w:bookmarkEnd w:id="198"/>
      <w:bookmarkEnd w:id="201"/>
      <w:bookmarkEnd w:id="202"/>
      <w:bookmarkEnd w:id="203"/>
    </w:p>
    <w:p w14:paraId="72D6E2F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4" w:name="_Toc1511823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基金托管人简况</w:t>
      </w:r>
      <w:bookmarkEnd w:id="204"/>
    </w:p>
    <w:p w14:paraId="38CCFCA3">
      <w:pPr>
        <w:autoSpaceDE w:val="0"/>
        <w:autoSpaceDN w:val="0"/>
        <w:adjustRightInd w:val="0"/>
        <w:spacing w:line="360" w:lineRule="auto"/>
        <w:ind w:firstLine="480" w:firstLineChars="200"/>
        <w:jc w:val="left"/>
        <w:rPr>
          <w:rFonts w:ascii="宋体" w:hAnsi="宋体"/>
          <w:sz w:val="24"/>
        </w:rPr>
      </w:pPr>
      <w:bookmarkStart w:id="205" w:name="_Toc15118240"/>
      <w:r>
        <w:rPr>
          <w:rFonts w:hint="eastAsia" w:ascii="宋体" w:hAnsi="宋体"/>
          <w:sz w:val="24"/>
        </w:rPr>
        <w:t>名称：上海浦东发展银行股份有限公司</w:t>
      </w:r>
    </w:p>
    <w:p w14:paraId="2B04BEF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住所：上海市黄浦区中山东一路12号</w:t>
      </w:r>
    </w:p>
    <w:p w14:paraId="701F346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法定代表人：张为忠</w:t>
      </w:r>
    </w:p>
    <w:p w14:paraId="782ABE2A">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成立时间：1992 年 10 月 19 日</w:t>
      </w:r>
    </w:p>
    <w:p w14:paraId="1ACE549C">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基金托管业务资格批准机关：中国证监会</w:t>
      </w:r>
    </w:p>
    <w:p w14:paraId="7890A82E">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基金托管业务资格文号：证监基字【2003】105 号</w:t>
      </w:r>
    </w:p>
    <w:p w14:paraId="6090DFCD">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组织形式：股份有限公司</w:t>
      </w:r>
    </w:p>
    <w:p w14:paraId="30E69550">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注册资本：293.52 亿元</w:t>
      </w:r>
    </w:p>
    <w:p w14:paraId="18FAEFBD">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存续期间：持续经营</w:t>
      </w:r>
    </w:p>
    <w:p w14:paraId="6DCBD8A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基金托管人的权利与义务</w:t>
      </w:r>
      <w:bookmarkEnd w:id="205"/>
    </w:p>
    <w:p w14:paraId="4044A62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24A7650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44DAF01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1E389D0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EE1CF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5DA2B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2DCCBCD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227458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6474C1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6E3BCD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6" w:name="_Toc52371167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07420DE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0C1B20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7CAA9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04CF63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23371FC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14C9FC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23E360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w:t>
      </w:r>
    </w:p>
    <w:p w14:paraId="64E83A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3C2566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1D273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（11）保存基金托管业务活动的记录、账册、报表和其他相关资料，保存期限不低于法定最低期限；</w:t>
      </w:r>
    </w:p>
    <w:p w14:paraId="01B586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2BFA0E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32FCD1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27F7C2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66DF6F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24D05F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68E387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（18）面临解散、依法被撤销或者被依法宣告破产时，及时报告中国证监会和银行业监督管理机构，并通知基金管理人；</w:t>
      </w:r>
    </w:p>
    <w:p w14:paraId="7BC2AA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760BBB6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3B21A5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14E850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bookmarkEnd w:id="206"/>
    <w:p w14:paraId="2F60E2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7" w:name="_Toc7939258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三、基金份额持有人</w:t>
      </w:r>
      <w:bookmarkEnd w:id="207"/>
    </w:p>
    <w:p w14:paraId="32DDF7A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基金投资者持有本基金</w:t>
      </w:r>
      <w:bookmarkStart w:id="208" w:name="_Hlt88899909"/>
      <w:bookmarkEnd w:id="208"/>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871BE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每份基金份额具有同等的合法权益。</w:t>
      </w:r>
    </w:p>
    <w:p w14:paraId="0EB8F88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、根据《基金法》、《运作办法》及其他有关规定，基金份额持有人的权利包括但不限于：</w:t>
      </w:r>
    </w:p>
    <w:p w14:paraId="69224B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）分享基金财产收益；</w:t>
      </w:r>
    </w:p>
    <w:p w14:paraId="63BFD0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）参与分配清算后的剩余基金财产；</w:t>
      </w:r>
      <w:bookmarkStart w:id="209" w:name="_Hlt88825574"/>
      <w:bookmarkEnd w:id="209"/>
    </w:p>
    <w:p w14:paraId="50AAAA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）依法转让或者申请赎回其持有的基金份额；</w:t>
      </w:r>
    </w:p>
    <w:p w14:paraId="3E6A3AB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）按照规定要求召开基金份额持有人大会或者召集基金份额持有人大会；</w:t>
      </w:r>
    </w:p>
    <w:p w14:paraId="0C5AD1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）出席或者委派代表出席基金份额持有人大会，对基金份额持有人大会审议事项行使表决权；</w:t>
      </w:r>
    </w:p>
    <w:p w14:paraId="131F1C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）查阅或者复制公开披露的基金信息资料；</w:t>
      </w:r>
    </w:p>
    <w:p w14:paraId="2B907A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）监督基金管理人的投资运作；</w:t>
      </w:r>
    </w:p>
    <w:p w14:paraId="60ABC8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）对基金管理人、基金托管人、基金服务机构损害其合法权益的行为依法提起诉讼或仲裁；</w:t>
      </w:r>
    </w:p>
    <w:p w14:paraId="392540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65183E6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、根据《基金法》、《运作办法》及其他有关规定，基金份额持有人的义务包括但不限于：</w:t>
      </w:r>
    </w:p>
    <w:p w14:paraId="6E1F72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）认真阅读并遵守《基金合同》</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招募说明书及基金产品资料概要等信息披露文件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7682F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）了解所投资基金产品，了解自身风险承受能力，自主判断基金的投资价值，自主做出投资决策，自行承担投资风险；</w:t>
      </w:r>
    </w:p>
    <w:p w14:paraId="02F7D62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）关注基金信息披露，及时行使权利和履行义务；</w:t>
      </w:r>
    </w:p>
    <w:p w14:paraId="78E0805E">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（4）交纳基金认购款项和/或认购股票、申购对价及法律法规和《基金合同》所规定的费用；</w:t>
      </w:r>
    </w:p>
    <w:p w14:paraId="57A998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）在其持有的基金份额范围内，承担基金亏损或者《基金合同》终止的有限责任；</w:t>
      </w:r>
    </w:p>
    <w:p w14:paraId="2044A00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）不从事任何有损基金及其他《基金合同》当事人合法权益的活动；</w:t>
      </w:r>
    </w:p>
    <w:p w14:paraId="03BB44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决议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2529D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）返还在基金交易过程中因任何原因获得的不当得利；</w:t>
      </w:r>
    </w:p>
    <w:p w14:paraId="766052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6837502C">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10" w:name="_Toc3771"/>
      <w:bookmarkStart w:id="211" w:name="_Toc6447"/>
      <w:bookmarkStart w:id="212" w:name="_Toc139991738"/>
      <w:bookmarkStart w:id="213" w:name="_Toc18567"/>
      <w:bookmarkStart w:id="214" w:name="_Toc10650"/>
      <w:bookmarkStart w:id="215" w:name="_Toc123051454"/>
      <w:bookmarkStart w:id="216" w:name="_Toc11030"/>
      <w:bookmarkStart w:id="217" w:name="_Toc123102455"/>
      <w:bookmarkStart w:id="218" w:name="_Toc98560354"/>
      <w:bookmarkStart w:id="219" w:name="_Toc3321"/>
      <w:bookmarkStart w:id="220" w:name="_Toc25783"/>
      <w:bookmarkStart w:id="221" w:name="_Toc9706"/>
      <w:bookmarkStart w:id="222" w:name="_Toc7058"/>
      <w:bookmarkStart w:id="223" w:name="_Toc20768"/>
      <w:bookmarkStart w:id="224" w:name="_Toc141703888"/>
      <w:bookmarkStart w:id="225" w:name="_Toc4559"/>
      <w:bookmarkStart w:id="226" w:name="_Toc123112236"/>
      <w:bookmarkStart w:id="227" w:name="_Toc79392583"/>
    </w:p>
    <w:p w14:paraId="7C089622">
      <w:pPr>
        <w:pStyle w:val="2"/>
        <w:rPr>
          <w:szCs w:val="24"/>
        </w:rPr>
        <w:sectPr>
          <w:footerReference r:id="rId15" w:type="default"/>
          <w:pgSz w:w="11906" w:h="16838"/>
          <w:pgMar w:top="1440" w:right="1800" w:bottom="1440" w:left="1800" w:header="851" w:footer="992" w:gutter="0"/>
          <w:pgNumType w:start="1"/>
          <w:cols w:space="425" w:num="1"/>
          <w:formProt w:val="0"/>
          <w:docGrid w:type="lines" w:linePitch="312" w:charSpace="0"/>
        </w:sectPr>
      </w:pPr>
      <w:bookmarkStart w:id="228" w:name="_Hlt130956763"/>
      <w:bookmarkStart w:id="229" w:name="_Toc90742394"/>
      <w:bookmarkStart w:id="230" w:name="_Toc90742325"/>
      <w:bookmarkStart w:id="231" w:name="_Toc90742692"/>
    </w:p>
    <w:bookmarkEnd w:id="188"/>
    <w:bookmarkEnd w:id="228"/>
    <w:p w14:paraId="30BC2814">
      <w:pPr>
        <w:pStyle w:val="2"/>
        <w:rPr>
          <w:szCs w:val="24"/>
        </w:rPr>
      </w:pPr>
      <w:bookmarkStart w:id="232" w:name="CTS_396dce3acb8e42dbb1f5b80666a7a5a0"/>
      <w:bookmarkEnd w:id="232"/>
      <w:bookmarkStart w:id="233" w:name="_Toc73975087"/>
      <w:bookmarkStart w:id="234" w:name="_Toc64923774"/>
      <w:bookmarkStart w:id="235" w:name="CLAUSE_396dce3acb8e42dbb1f5b80666a7a5a0"/>
      <w:r>
        <w:rPr>
          <w:rFonts w:hint="eastAsia" w:cs="Arial"/>
          <w:szCs w:val="24"/>
        </w:rPr>
        <w:t>第十部分</w:t>
      </w:r>
      <w:r>
        <w:rPr>
          <w:szCs w:val="24"/>
        </w:rPr>
        <w:t xml:space="preserve"> 基金份额持有人大会</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9"/>
      <w:bookmarkEnd w:id="230"/>
      <w:bookmarkEnd w:id="231"/>
      <w:bookmarkEnd w:id="233"/>
      <w:bookmarkEnd w:id="234"/>
    </w:p>
    <w:p w14:paraId="3D5A630E">
      <w:pPr>
        <w:tabs>
          <w:tab w:val="left" w:pos="1080"/>
        </w:tabs>
        <w:adjustRightInd w:val="0"/>
        <w:snapToGrid w:val="0"/>
        <w:spacing w:line="360" w:lineRule="auto"/>
        <w:ind w:left="1075" w:leftChars="199" w:hanging="657" w:hangingChars="274"/>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4F96D7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68C77B3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36" w:name="_Toc15641220"/>
      <w:bookmarkStart w:id="237" w:name="_Toc57530243"/>
      <w:bookmarkStart w:id="238" w:name="_Toc7939258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47CF5E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7965525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F147A9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0FAEF7E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466909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一、召开事由</w:t>
      </w:r>
      <w:bookmarkEnd w:id="236"/>
      <w:bookmarkEnd w:id="237"/>
      <w:bookmarkEnd w:id="238"/>
    </w:p>
    <w:p w14:paraId="46A2F5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74A38B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4120CA1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21F4EF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4C97CE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76E6F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14E9AEB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63E168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597E0F4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541E22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2312792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16BDE4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0DE819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1C2CB3B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79F77F7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26E11DF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254685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1D7045B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772FA8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7A5BEA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334133F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6772FB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412DBBC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128936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34FFA6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39" w:name="_Toc15641221"/>
      <w:bookmarkStart w:id="240" w:name="_Toc57530244"/>
      <w:bookmarkStart w:id="241" w:name="_Toc7939258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二、会议召集人及召集方式</w:t>
      </w:r>
      <w:bookmarkEnd w:id="239"/>
      <w:bookmarkEnd w:id="240"/>
      <w:bookmarkEnd w:id="241"/>
    </w:p>
    <w:p w14:paraId="4EA65B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2" w:name="_Toc15641222"/>
      <w:bookmarkStart w:id="243" w:name="_Toc57530245"/>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F0963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62DA2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1FB6CF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43317F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5CECE6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074F602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4" w:name="_Toc7939258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三、召开基金份额持有人大会的通知时间、通知内容、通知方式</w:t>
      </w:r>
      <w:bookmarkEnd w:id="242"/>
      <w:bookmarkEnd w:id="243"/>
      <w:bookmarkEnd w:id="244"/>
    </w:p>
    <w:p w14:paraId="0B275E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00589B8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6253DD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4664F4E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2A1336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E151F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4B5D9B1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6113B9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4CB92AD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6AD99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CDA45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5" w:name="_Toc15641223"/>
      <w:bookmarkStart w:id="246" w:name="_Toc79392587"/>
      <w:bookmarkStart w:id="247" w:name="_Toc5753024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四、基金份额持有人出席会议的方式</w:t>
      </w:r>
      <w:bookmarkEnd w:id="245"/>
      <w:bookmarkEnd w:id="246"/>
      <w:bookmarkEnd w:id="247"/>
    </w:p>
    <w:p w14:paraId="5C99530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01122A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0F541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BECEBE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5B2274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3CA7C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1A16FE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7F2705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1703245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E957DC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78067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2AA141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74B175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法律法规或监管机构允许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66CBA5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8" w:name="_Toc79392588"/>
      <w:bookmarkStart w:id="249" w:name="_Toc15641224"/>
      <w:bookmarkStart w:id="250" w:name="_Toc5753024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五、议事内容与程序</w:t>
      </w:r>
      <w:bookmarkEnd w:id="248"/>
      <w:bookmarkEnd w:id="249"/>
      <w:bookmarkEnd w:id="250"/>
    </w:p>
    <w:p w14:paraId="2D8C5BC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7CA9D67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9609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09038E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6887AD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380A3F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7C20E08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1452BE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455BD5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6F0B69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23C984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1" w:name="_Toc15641225"/>
      <w:bookmarkStart w:id="252" w:name="_Toc79392589"/>
      <w:bookmarkStart w:id="253" w:name="_Toc57530248"/>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六、表决</w:t>
      </w:r>
      <w:bookmarkEnd w:id="251"/>
      <w:bookmarkEnd w:id="252"/>
      <w:bookmarkEnd w:id="253"/>
    </w:p>
    <w:p w14:paraId="04F16F1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3D3FF9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5A5E56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70288AF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E672C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372B81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1B1BE8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18A218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1D9CA2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4" w:name="_Toc79392590"/>
      <w:bookmarkStart w:id="255" w:name="_Toc57530249"/>
      <w:bookmarkStart w:id="256" w:name="_Toc1564122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七、计票</w:t>
      </w:r>
      <w:bookmarkEnd w:id="254"/>
      <w:bookmarkEnd w:id="255"/>
      <w:bookmarkEnd w:id="256"/>
    </w:p>
    <w:p w14:paraId="1D1C2BD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5CC9AD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1C24E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12C161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FB612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270220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17B577A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7" w:name="_Toc57530250"/>
      <w:bookmarkStart w:id="258" w:name="_Toc79392591"/>
      <w:bookmarkStart w:id="259" w:name="_Toc1564122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。基金管理人或基金托管人拒派代表对表决意见的计票进行监督的，不影响计票和表决结果。</w:t>
      </w:r>
    </w:p>
    <w:p w14:paraId="27BC999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八、生效与公告</w:t>
      </w:r>
      <w:bookmarkEnd w:id="257"/>
      <w:bookmarkEnd w:id="258"/>
      <w:bookmarkEnd w:id="259"/>
    </w:p>
    <w:p w14:paraId="095DE2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71BD45E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05309A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w:t>
      </w:r>
      <w:bookmarkStart w:id="260" w:name="_Hlt88820702"/>
      <w:bookmarkEnd w:id="260"/>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如果采用通讯方式进行表决，在公告基金份额持有人大会决议时，必须将公证书全文、公证机构、公证员姓名等一同公告。</w:t>
      </w:r>
    </w:p>
    <w:p w14:paraId="349FF3E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7874E4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6" w:type="default"/>
          <w:pgSz w:w="11906" w:h="16838"/>
          <w:pgMar w:top="1440" w:right="1800" w:bottom="1440" w:left="1800" w:header="851" w:footer="992" w:gutter="0"/>
          <w:pgNumType w:start="1"/>
          <w:cols w:space="425" w:num="1"/>
          <w:formProt w:val="0"/>
          <w:docGrid w:type="lines" w:linePitch="312" w:charSpace="0"/>
        </w:sectPr>
      </w:pPr>
      <w:bookmarkStart w:id="261" w:name="_Toc725"/>
      <w:bookmarkStart w:id="262" w:name="_Toc123102456"/>
      <w:bookmarkStart w:id="263" w:name="_Toc31821"/>
      <w:bookmarkStart w:id="264" w:name="_Toc21735"/>
      <w:bookmarkStart w:id="265" w:name="_Toc3572"/>
      <w:bookmarkStart w:id="266" w:name="_Toc1745"/>
      <w:bookmarkStart w:id="267" w:name="_Toc3963"/>
      <w:bookmarkStart w:id="268" w:name="_Toc139991739"/>
      <w:bookmarkStart w:id="269" w:name="_Toc18206"/>
      <w:bookmarkStart w:id="270" w:name="_Toc141703889"/>
      <w:bookmarkStart w:id="271" w:name="_Toc123051455"/>
      <w:bookmarkStart w:id="272" w:name="_Toc123112237"/>
      <w:bookmarkStart w:id="273" w:name="_Toc16164"/>
      <w:bookmarkStart w:id="274" w:name="_Toc98560355"/>
      <w:bookmarkStart w:id="275" w:name="_Toc18769"/>
      <w:bookmarkStart w:id="276" w:name="_Toc3080"/>
      <w:bookmarkStart w:id="277" w:name="_Toc1039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bookmarkEnd w:id="235"/>
    <w:p w14:paraId="5DC705C8">
      <w:pPr>
        <w:pStyle w:val="2"/>
        <w:rPr>
          <w:szCs w:val="24"/>
        </w:rPr>
      </w:pPr>
      <w:bookmarkStart w:id="278" w:name="_Hlt70479195"/>
      <w:bookmarkEnd w:id="278"/>
      <w:bookmarkStart w:id="279" w:name="CTS_823dc9468bc849cbaecf69069b7a07df"/>
      <w:bookmarkEnd w:id="279"/>
      <w:bookmarkStart w:id="280" w:name="_Toc90742395"/>
      <w:bookmarkStart w:id="281" w:name="_Toc73975088"/>
      <w:bookmarkStart w:id="282" w:name="_Toc64923775"/>
      <w:bookmarkStart w:id="283" w:name="_Toc90742326"/>
      <w:bookmarkStart w:id="284" w:name="_Toc90742693"/>
      <w:bookmarkStart w:id="285" w:name="CLAUSE_823dc9468bc849cbaecf69069b7a07df"/>
      <w:r>
        <w:rPr>
          <w:rFonts w:hint="eastAsia" w:cs="Arial"/>
          <w:szCs w:val="24"/>
        </w:rPr>
        <w:t>第十一部分</w:t>
      </w:r>
      <w:r>
        <w:rPr>
          <w:szCs w:val="24"/>
        </w:rPr>
        <w:t xml:space="preserve"> 基金管理人、基金托管人的更换条件和程序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80"/>
      <w:bookmarkEnd w:id="281"/>
      <w:bookmarkEnd w:id="282"/>
      <w:bookmarkEnd w:id="283"/>
      <w:bookmarkEnd w:id="284"/>
    </w:p>
    <w:p w14:paraId="3735B2EE">
      <w:pPr>
        <w:autoSpaceDE w:val="0"/>
        <w:autoSpaceDN w:val="0"/>
        <w:spacing w:line="360" w:lineRule="auto"/>
        <w:textAlignment w:val="bottom"/>
        <w:rPr>
          <w:rFonts w:asciiTheme="minorEastAsia" w:hAnsiTheme="minorEastAsia"/>
          <w:sz w:val="24"/>
          <w:szCs w:val="24"/>
        </w:rPr>
      </w:pPr>
      <w:bookmarkStart w:id="286" w:name="_Toc79392593"/>
      <w:bookmarkStart w:id="287" w:name="_Toc15118245"/>
      <w:bookmarkStart w:id="288" w:name="_Toc57530252"/>
    </w:p>
    <w:p w14:paraId="221E36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一、基金管理人和基金托管人职责终止的情形</w:t>
      </w:r>
      <w:bookmarkEnd w:id="286"/>
      <w:bookmarkEnd w:id="287"/>
      <w:bookmarkEnd w:id="288"/>
    </w:p>
    <w:p w14:paraId="7C10E4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89" w:name="_Toc2200597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基金管理人职责终止的情形</w:t>
      </w:r>
      <w:bookmarkEnd w:id="289"/>
    </w:p>
    <w:p w14:paraId="2F0A2E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有下列情形之一的，基金管理人职责终止：</w:t>
      </w:r>
    </w:p>
    <w:p w14:paraId="34B430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、被依法取消基金管理资格；</w:t>
      </w:r>
    </w:p>
    <w:p w14:paraId="7FB72C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3121A3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72808E7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48E638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0" w:name="_Toc2200597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基金托管人职责终止的情形</w:t>
      </w:r>
      <w:bookmarkEnd w:id="290"/>
    </w:p>
    <w:p w14:paraId="43090B5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有下列情形之一的，基金托管人职责终止：</w:t>
      </w:r>
    </w:p>
    <w:p w14:paraId="4D0456B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、被依法取消基金托管资格；</w:t>
      </w:r>
    </w:p>
    <w:p w14:paraId="3A7F1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37ED14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1D306DA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65EC0C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1" w:name="_Toc79392594"/>
      <w:bookmarkStart w:id="292" w:name="_Toc57530253"/>
      <w:bookmarkStart w:id="293" w:name="_Toc1511824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二、基金管理人和基金托管人的更换程序</w:t>
      </w:r>
      <w:bookmarkEnd w:id="291"/>
      <w:bookmarkEnd w:id="292"/>
      <w:bookmarkEnd w:id="293"/>
    </w:p>
    <w:p w14:paraId="2BABE4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4" w:name="_Toc22005974"/>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基金管理人的更换程序</w:t>
      </w:r>
      <w:bookmarkEnd w:id="294"/>
    </w:p>
    <w:p w14:paraId="7C57E5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、提名：新任基金管理人由基金托管人或由单独或合计持有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5305292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、决议：基金份额持有人大会在基金管理人职责终止后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个月内对被提名的基金管理人形成决议，该决议需经参加大会的基金份额持有人所持表决权的三分之二以上（含三分之二）表决通过，决议自表决通过之日起生效；</w:t>
      </w:r>
    </w:p>
    <w:p w14:paraId="080941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、临时基金管理人：新任基金管理人产生之前，由中国证监会指定临时基金管理人；</w:t>
      </w:r>
    </w:p>
    <w:p w14:paraId="6618D3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、备案：基金份额持有人大会更换基金管理人的决议须报中国证监会备案；</w:t>
      </w:r>
    </w:p>
    <w:p w14:paraId="61795F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、公告：基金管理人更换后，由基金托管人在更换基金管理人的基金份额持有人大会决议生效后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83F8B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或临时基金管理人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应与基金托管人核对基金资产总值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8D0CB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、审计：基金管理人职责终止的，应当按照法律法规规定聘请符合《中华人民共和国证券法》规定的会计师事务所对基金财产进行审计，并将审计结果予以公告，同时报中国证监会备案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D2305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、基金名称变更：基金管理人更换后，如果原任或新任基金管理人要求，应按其要求替换或删除基金名称中与原基金管理人有关的名称字样。</w:t>
      </w:r>
    </w:p>
    <w:p w14:paraId="538EC6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5" w:name="_Toc2200597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基金托管人的更换程序</w:t>
      </w:r>
      <w:bookmarkEnd w:id="295"/>
    </w:p>
    <w:p w14:paraId="275CDF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、提名：新任基金托管人由基金管理人或由单独或合计持有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3104E15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、决议：基金份额持有人大会在基金托管人职责终止后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个月内对被提名的基金托管人形成决议，该决议需经参加大会的基金份额持有人所持表决权的三分之二以上（含三分之二）表决通过，决议自表决通过之日起生效；</w:t>
      </w:r>
    </w:p>
    <w:p w14:paraId="2345F8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、临时基金托管人：新任基金托管人产生之前，由中国证监会指定临时基金托管人；</w:t>
      </w:r>
    </w:p>
    <w:p w14:paraId="4E660E9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、备案：基金份额持有人大会更换基金托管人的决议须报中国证监会备案；</w:t>
      </w:r>
    </w:p>
    <w:p w14:paraId="3C4B5D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、公告：基金托管人更换后，由基金管理人在更换基金托管人的基金份额持有人大会决议生效后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24DCCE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或者临时基金托管人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与基金管理人核对基金资产总值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6DBA09D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、审计：基金托管人职责终止的，应当按照法律法规规定聘请符合《中华人民共和国证券法》规定的会计师事务所对基金财产进行审计，并将审计结果予以公告，同时报中国证监会备案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517593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6" w:name="_Toc135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（三）基金管理人与基金托管人同时更换的条件和程序</w:t>
      </w:r>
      <w:bookmarkEnd w:id="296"/>
    </w:p>
    <w:p w14:paraId="3BC749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、提名：如果基金管理人和基金托管人同时更换，由单独或合计持有基金总份额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）的基金份额持有人提名新的基金管理人和基金托管人；</w:t>
      </w:r>
    </w:p>
    <w:p w14:paraId="675DC8F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、基金管理人和基金托管人的更换分别按上述程序进行；</w:t>
      </w:r>
    </w:p>
    <w:p w14:paraId="13F399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、公告：新任基金管理人和新任基金托管人应在更换基金管理人和基金托管人的基金份额持有人大会决议生效后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在规定媒介上联合公告。</w:t>
      </w:r>
    </w:p>
    <w:p w14:paraId="035A61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3D4A113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5D82DDCB">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97" w:name="_Toc141703890"/>
      <w:bookmarkStart w:id="298" w:name="_Toc3329"/>
      <w:bookmarkStart w:id="299" w:name="_Toc21237"/>
      <w:bookmarkStart w:id="300" w:name="_Toc123051456"/>
      <w:bookmarkStart w:id="301" w:name="_Toc123102457"/>
      <w:bookmarkStart w:id="302" w:name="_Toc98560356"/>
      <w:bookmarkStart w:id="303" w:name="_Toc8791"/>
      <w:bookmarkStart w:id="304" w:name="_Toc17920"/>
      <w:bookmarkStart w:id="305" w:name="_Toc29408"/>
      <w:bookmarkStart w:id="306" w:name="_Toc139991740"/>
      <w:bookmarkStart w:id="307" w:name="_Toc123112238"/>
      <w:bookmarkStart w:id="308" w:name="_Toc32092"/>
      <w:bookmarkStart w:id="309" w:name="_Toc739"/>
      <w:bookmarkStart w:id="310" w:name="_Toc79392622"/>
      <w:bookmarkStart w:id="311" w:name="_Toc20976"/>
      <w:bookmarkStart w:id="312" w:name="_Toc5170"/>
      <w:bookmarkStart w:id="313" w:name="_Toc48649708"/>
      <w:bookmarkStart w:id="314" w:name="_Toc32584"/>
      <w:bookmarkStart w:id="315" w:name="_Toc17198"/>
    </w:p>
    <w:p w14:paraId="7B50A9D4">
      <w:pPr>
        <w:pStyle w:val="2"/>
        <w:rPr>
          <w:szCs w:val="24"/>
        </w:rPr>
        <w:sectPr>
          <w:footerReference r:id="rId17" w:type="default"/>
          <w:pgSz w:w="11906" w:h="16838"/>
          <w:pgMar w:top="1440" w:right="1800" w:bottom="1440" w:left="1800" w:header="851" w:footer="992" w:gutter="0"/>
          <w:pgNumType w:start="1"/>
          <w:cols w:space="425" w:num="1"/>
          <w:formProt w:val="0"/>
          <w:docGrid w:type="lines" w:linePitch="312" w:charSpace="0"/>
        </w:sectPr>
      </w:pPr>
      <w:bookmarkStart w:id="316" w:name="_Toc90742396"/>
      <w:bookmarkStart w:id="317" w:name="_Toc90742327"/>
      <w:bookmarkStart w:id="318" w:name="_Toc90742694"/>
    </w:p>
    <w:bookmarkEnd w:id="285"/>
    <w:p w14:paraId="522FE018">
      <w:pPr>
        <w:pStyle w:val="2"/>
        <w:rPr>
          <w:szCs w:val="24"/>
        </w:rPr>
      </w:pPr>
      <w:bookmarkStart w:id="319" w:name="CTS_cf06234a2fbe4900a7a3eadf36be3887"/>
      <w:bookmarkEnd w:id="319"/>
      <w:bookmarkStart w:id="320" w:name="_Toc64923776"/>
      <w:bookmarkStart w:id="321" w:name="_Toc73975089"/>
      <w:bookmarkStart w:id="322" w:name="CLAUSE_cf06234a2fbe4900a7a3eadf36be3887"/>
      <w:r>
        <w:rPr>
          <w:rFonts w:hint="eastAsia" w:cs="Arial"/>
          <w:szCs w:val="24"/>
        </w:rPr>
        <w:t>第十二部分</w:t>
      </w:r>
      <w:r>
        <w:rPr>
          <w:szCs w:val="24"/>
        </w:rPr>
        <w:t xml:space="preserve"> 基金的托管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20"/>
      <w:bookmarkEnd w:id="321"/>
    </w:p>
    <w:p w14:paraId="11B4DCE7">
      <w:pPr>
        <w:autoSpaceDE w:val="0"/>
        <w:autoSpaceDN w:val="0"/>
        <w:spacing w:line="360" w:lineRule="auto"/>
        <w:textAlignment w:val="bottom"/>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628B433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基金托管人和基金管理人按照《基金法》、《基金合同》及其他有关规定订立托管协议。</w:t>
      </w:r>
    </w:p>
    <w:p w14:paraId="139F534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24A95A5">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23" w:name="_Toc141703891"/>
      <w:bookmarkStart w:id="324" w:name="_Toc16789"/>
      <w:bookmarkStart w:id="325" w:name="_Toc26084"/>
      <w:bookmarkStart w:id="326" w:name="_Toc19520"/>
      <w:bookmarkStart w:id="327" w:name="_Toc21886"/>
      <w:bookmarkStart w:id="328" w:name="_Toc98560357"/>
      <w:bookmarkStart w:id="329" w:name="_Toc123051457"/>
      <w:bookmarkStart w:id="330" w:name="_Toc123112239"/>
      <w:bookmarkStart w:id="331" w:name="_Toc26152"/>
      <w:bookmarkStart w:id="332" w:name="_Toc31469"/>
      <w:bookmarkStart w:id="333" w:name="_Toc3244"/>
      <w:bookmarkStart w:id="334" w:name="_Toc48649710"/>
      <w:bookmarkStart w:id="335" w:name="_Toc26383"/>
      <w:bookmarkStart w:id="336" w:name="_Toc79392624"/>
      <w:bookmarkStart w:id="337" w:name="_Toc123102458"/>
      <w:bookmarkStart w:id="338" w:name="_Toc14725"/>
      <w:bookmarkStart w:id="339" w:name="_Toc139991741"/>
      <w:bookmarkStart w:id="340" w:name="_Toc2255"/>
      <w:bookmarkStart w:id="341" w:name="_Toc22674"/>
    </w:p>
    <w:bookmarkEnd w:id="322"/>
    <w:p w14:paraId="25B5F034">
      <w:pPr>
        <w:pStyle w:val="2"/>
        <w:rPr>
          <w:szCs w:val="24"/>
        </w:rPr>
        <w:sectPr>
          <w:footerReference r:id="rId18" w:type="default"/>
          <w:pgSz w:w="11906" w:h="16838"/>
          <w:pgMar w:top="1440" w:right="1800" w:bottom="1440" w:left="1800" w:header="851" w:footer="992" w:gutter="0"/>
          <w:pgNumType w:start="1"/>
          <w:cols w:space="425" w:num="1"/>
          <w:formProt w:val="0"/>
          <w:docGrid w:type="lines" w:linePitch="312" w:charSpace="0"/>
        </w:sectPr>
      </w:pPr>
    </w:p>
    <w:p w14:paraId="75D6AFEF">
      <w:pPr>
        <w:pStyle w:val="2"/>
        <w:rPr>
          <w:szCs w:val="24"/>
        </w:rPr>
      </w:pPr>
      <w:bookmarkStart w:id="342" w:name="CTS_bfa81950e3c644629507a2e36591d953"/>
      <w:bookmarkEnd w:id="342"/>
      <w:bookmarkStart w:id="343" w:name="_Toc73975090"/>
      <w:bookmarkStart w:id="344" w:name="_Toc64923777"/>
      <w:bookmarkStart w:id="345" w:name="CLAUSE_bfa81950e3c644629507a2e36591d953"/>
      <w:r>
        <w:rPr>
          <w:rFonts w:hint="eastAsia" w:cs="Arial"/>
          <w:szCs w:val="24"/>
        </w:rPr>
        <w:t>第十三部分</w:t>
      </w:r>
      <w:r>
        <w:rPr>
          <w:szCs w:val="24"/>
        </w:rPr>
        <w:t xml:space="preserve"> 基金份额的登记</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p>
    <w:p w14:paraId="48285A36">
      <w:pPr>
        <w:adjustRightInd w:val="0"/>
        <w:snapToGrid w:val="0"/>
        <w:spacing w:before="156" w:beforeLines="50"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一、基金份额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w:t>
      </w:r>
    </w:p>
    <w:p w14:paraId="4F19A3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本基金的登记业务指本基金登记、存管、过户、清算和结算业务，具体内容包括投资人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账户的建立和管理、基金份额登记、基金销售业务和基金交易的确认、清算和结算、代理发放红利、建立并保管基金份额持有人名册和办理非交易过户等。</w:t>
      </w:r>
    </w:p>
    <w:p w14:paraId="259511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二、基金登记业务办理机构</w:t>
      </w:r>
    </w:p>
    <w:p w14:paraId="62D49D2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本基金的登记业务由基金管理人或基金管理人委托的其他符合条件的机构办理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，但基金管理人依法应当承担的责任不因委托而免除。</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基金管理人委托其他机构办理本基金登记业务的，应与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有关机构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签订委托代理协议，以明确基金管理人和代理机构在登记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业务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中的权利和义务，保护基金份额持有人的合法权益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。本基金的登记业务由中国证券登记结算有限责任公司负责办理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19E941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三、基金登记机构的权利</w:t>
      </w:r>
      <w:bookmarkStart w:id="346" w:name="_Hlt88820748"/>
      <w:bookmarkEnd w:id="346"/>
    </w:p>
    <w:p w14:paraId="0BA376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基金登记机构享有以下权利：</w:t>
      </w:r>
    </w:p>
    <w:p w14:paraId="190F28B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、取得登记费；</w:t>
      </w:r>
    </w:p>
    <w:p w14:paraId="75990E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、建立和管理投资者</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w:t>
      </w:r>
    </w:p>
    <w:p w14:paraId="0BBCFD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、保管基金份额持有人开户资料、交易资料、基金份额持有人名册等；</w:t>
      </w:r>
    </w:p>
    <w:p w14:paraId="6C4EB1D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、在法律法规允许的范围内，对登记业务的办理时间进行调整，并依照有关规定于开始实施前在规定媒介上公告；</w:t>
      </w:r>
    </w:p>
    <w:p w14:paraId="22086A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37FA00F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四、基金登记机构的义务</w:t>
      </w:r>
    </w:p>
    <w:p w14:paraId="0D034C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基金登记机构承担以下义务：</w:t>
      </w:r>
    </w:p>
    <w:p w14:paraId="52A395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、配备足够的专业人员办理本基金份额的登记业务；</w:t>
      </w:r>
    </w:p>
    <w:p w14:paraId="68B2BF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、严格按照法律法规和《基金合同》规定的条件办理本基金份额的登记业务；</w:t>
      </w:r>
    </w:p>
    <w:p w14:paraId="2C7707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、妥善保存登记数据，并将基金份额持有人名称、身份信息及基金份额明细等数据备份至中国证监会认定的机构。其保存期限自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账户销户之日起不得少于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20年；</w:t>
      </w:r>
    </w:p>
    <w:p w14:paraId="6D67BC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、对基金份额持有人的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账户信息负有保密义务，因违反该保密义务对投资者或基金带来的损失，须承担相应的赔偿责任，但司法强制检查情形及法律法规及中国证监会规定的和《基金合同》约定的其他情形除外；</w:t>
      </w:r>
    </w:p>
    <w:p w14:paraId="3FBC1B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、按《基金合同》及招募说明书规定为投资者办理非交易过户业务、提供其他必要的服务；</w:t>
      </w:r>
    </w:p>
    <w:p w14:paraId="2E6561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、接受基金管理人的监督；</w:t>
      </w:r>
    </w:p>
    <w:p w14:paraId="024793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0F018FF0">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47" w:name="_Toc11395"/>
      <w:bookmarkStart w:id="348" w:name="_Toc5477"/>
      <w:bookmarkStart w:id="349" w:name="_Toc11351"/>
      <w:bookmarkStart w:id="350" w:name="_Toc2981"/>
      <w:bookmarkStart w:id="351" w:name="_Toc22538"/>
      <w:bookmarkStart w:id="352" w:name="_Toc16437"/>
      <w:bookmarkStart w:id="353" w:name="_Toc578"/>
      <w:bookmarkStart w:id="354" w:name="_Toc3872"/>
      <w:bookmarkStart w:id="355" w:name="_Toc21917"/>
      <w:bookmarkStart w:id="356" w:name="_Toc13343"/>
      <w:bookmarkStart w:id="357" w:name="_Toc801"/>
    </w:p>
    <w:p w14:paraId="14AA6D5E">
      <w:pPr>
        <w:pStyle w:val="2"/>
        <w:rPr>
          <w:szCs w:val="24"/>
        </w:rPr>
        <w:sectPr>
          <w:footerReference r:id="rId19" w:type="default"/>
          <w:pgSz w:w="11906" w:h="16838"/>
          <w:pgMar w:top="1440" w:right="1800" w:bottom="1440" w:left="1800" w:header="851" w:footer="992" w:gutter="0"/>
          <w:pgNumType w:start="1"/>
          <w:cols w:space="425" w:num="1"/>
          <w:formProt w:val="0"/>
          <w:docGrid w:type="lines" w:linePitch="312" w:charSpace="0"/>
        </w:sectPr>
      </w:pPr>
      <w:bookmarkStart w:id="358" w:name="_Toc90742398"/>
      <w:bookmarkStart w:id="359" w:name="_Toc90742329"/>
      <w:bookmarkStart w:id="360" w:name="_Toc90742696"/>
    </w:p>
    <w:bookmarkEnd w:id="345"/>
    <w:p w14:paraId="53249F38">
      <w:pPr>
        <w:pStyle w:val="2"/>
        <w:rPr>
          <w:szCs w:val="24"/>
        </w:rPr>
      </w:pPr>
      <w:bookmarkStart w:id="361" w:name="CTS_f31ad7d3cb5c4cbe853348e241930cf5"/>
      <w:bookmarkEnd w:id="361"/>
      <w:bookmarkStart w:id="362" w:name="_Toc73975091"/>
      <w:bookmarkStart w:id="363" w:name="_Toc64923778"/>
      <w:bookmarkStart w:id="364" w:name="CLAUSE_f31ad7d3cb5c4cbe853348e241930cf5"/>
      <w:r>
        <w:rPr>
          <w:rFonts w:hint="eastAsia" w:cs="Arial"/>
          <w:szCs w:val="24"/>
        </w:rPr>
        <w:t>第十四</w:t>
      </w:r>
      <w:r>
        <w:rPr>
          <w:rFonts w:hint="eastAsia"/>
          <w:szCs w:val="24"/>
        </w:rPr>
        <w:t>部分</w:t>
      </w:r>
      <w:r>
        <w:rPr>
          <w:szCs w:val="24"/>
        </w:rPr>
        <w:t xml:space="preserve"> </w:t>
      </w:r>
      <w:r>
        <w:rPr>
          <w:rFonts w:hint="eastAsia"/>
          <w:szCs w:val="24"/>
        </w:rPr>
        <w:t>基金的投资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2"/>
      <w:bookmarkEnd w:id="363"/>
    </w:p>
    <w:p w14:paraId="3EFD086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一、投资目标</w:t>
      </w:r>
    </w:p>
    <w:p w14:paraId="0C372D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3BD2E34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24660CF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二、投资范围</w:t>
      </w:r>
    </w:p>
    <w:p w14:paraId="7A0CF27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5DBFA88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1CB164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5C755F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1DE22B5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08A61E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67F3737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三、投资策略</w:t>
      </w:r>
    </w:p>
    <w:p w14:paraId="01A0906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1、组合复制策略</w:t>
      </w:r>
    </w:p>
    <w:p w14:paraId="07D10E9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采用完全复制法进行投资，即按照成份股在标的指数中的基准权重来构建指数化投资组合，并根据标的指数成份股及其权重的变化进行相应调整。但因特殊情况（比如流动性不足等）导致本基金无法有效复制和跟踪标的指数时，基金管理人可使用其他合理方法进行适当的替代。特殊情况包括但不限于以下情形：（1）法律法规的限制；（2）标的指数成份股流动性严重不足；（3）标的指数的成份股长期停牌；（4）其它合理原因导致本基金管理人对标的指数的跟踪构成严重制约等。</w:t>
      </w:r>
    </w:p>
    <w:p w14:paraId="7A29C01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正常情况下，本基金力争控制投资组合的净值增长率与业绩比较基准之间的预期日均跟踪偏离度的绝对值小于0.2%，预期年化跟踪误差不超过2%。如因标的指数编制规则调整等其他原因，导致基金日均跟踪偏离度和跟踪误差变大，基金管理人应采取合理措施，避免日均跟踪偏离度和跟踪误差的进一步扩大。</w:t>
      </w:r>
    </w:p>
    <w:p w14:paraId="2EBC67F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如果标的指数成份股发生明显负面事件面临退市或违约风险，且指数编制机构暂未作出调整的，基金管理人应当按照基金份额持有人利益优先原则，履行内部决策程序后及时对相关成份股进行调整。</w:t>
      </w:r>
    </w:p>
    <w:p w14:paraId="0CEDA3B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13AD3D7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2、债券（除可转换债券、可交换债券）投资策略</w:t>
      </w:r>
    </w:p>
    <w:p w14:paraId="781B4C8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本基金债券投资组合将着重考虑基金的流动性管理及策略性投资的需要进行配置。债券投资的目的是保证基金资产流动性，有效利用基金资产，提高基金资产的投资收益。</w:t>
      </w:r>
    </w:p>
    <w:p w14:paraId="4A54AD0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3、资产支持证券投资策略</w:t>
      </w:r>
    </w:p>
    <w:p w14:paraId="2D7E4C9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资产支持证券将综合运用战略资产配置和战术资产配置进行资产支持证券投资组合管理，并根据信用风险、利率风险和流动性风险变化积极调整投资策略，严格遵守法律法规和基金合同，在力争本金安全和基金资产流动性基础上获得长期稳定收益。</w:t>
      </w:r>
    </w:p>
    <w:p w14:paraId="614D2A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4、可转换债券、可交换债券投资策略</w:t>
      </w:r>
    </w:p>
    <w:p w14:paraId="68607A5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分析宏观经济运行特征并对各类市场大势做出判断的前提下，本基金着重对可转换债券所对应的基础股票进行分析和研究，从行业选择和个券选择两方面进行全方位的评估，对盈利能力或成长性较好的行业和上市公司的可转换债券进行重点关注，并结合基金管理人可转债评级系统对可转换债券投资价值进行有效的评估，选择投资价值较高的个券进行投资。</w:t>
      </w:r>
    </w:p>
    <w:p w14:paraId="584191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纯债价值和目标公司的股票价值进行研究分析,综合开展投资决策。</w:t>
      </w:r>
    </w:p>
    <w:p w14:paraId="6686226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5、金融衍生品投资策略</w:t>
      </w:r>
    </w:p>
    <w:p w14:paraId="42E2B6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（1）股指期货交易策略</w:t>
      </w:r>
    </w:p>
    <w:p w14:paraId="0E6F6C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风险可控的前提下，根据风险管理原则，以套期保值为目的，适度参与股指期货交易。本基金将根据对现货和期货市场的分析，充分考虑股指期货的风险收益特征进行股指期货交易，以改善投资组合的投资效果。</w:t>
      </w:r>
    </w:p>
    <w:p w14:paraId="6396484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（2）股票期权投资策略</w:t>
      </w:r>
    </w:p>
    <w:p w14:paraId="175E9E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23FE4F3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（3）国债期货交易策略</w:t>
      </w:r>
    </w:p>
    <w:p w14:paraId="6E312A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本基金参与国债期货交易，以套期保值为目的，将根据风险管理的原则，充分考虑国债期货的流动性和风险收益特征，在风险可控的前提下，适度参与国债期货交易。</w:t>
      </w:r>
    </w:p>
    <w:p w14:paraId="6F3D007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6、融资和转融通证券出借投资策略</w:t>
      </w:r>
    </w:p>
    <w:p w14:paraId="12477B8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充分考虑风险和收益特征的基础上，审慎参与融资和转融通证券出借业务。本基金将基于对市场行情和组合风险收益的分析，确定投资时机、标的证券以及投资比例。本基金将根据市场情况、投资者类型和结构、本基金的历史申赎情况、出借证券流动性情况等因素，合理确定出借证券的范围和品类。若相关融资及转融通证券出借业务法律法规发生变化，本基金将从其最新规定，以符合上述法律法规和监管要求的变化。</w:t>
      </w:r>
    </w:p>
    <w:p w14:paraId="5B5A704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7、存托凭证投资策略</w:t>
      </w:r>
    </w:p>
    <w:p w14:paraId="3791971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本基金将根据本基金的投资目标和股票投资策略，基于对基础证券投资价值的深入研究判断，进行存托凭证的投资。</w:t>
      </w:r>
    </w:p>
    <w:p w14:paraId="675E95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未来，随着投资工具的发展和丰富，本基金可在不改变投资目标的前提下，在履行适当程序后，相应调整和更新相关投资策略，并在招募说明书更新中公告。</w:t>
      </w:r>
    </w:p>
    <w:p w14:paraId="3293FCB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投资组合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限制</w:t>
      </w:r>
    </w:p>
    <w:p w14:paraId="7253486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000D99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24CC1D18">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w:t>
      </w:r>
    </w:p>
    <w:p w14:paraId="4584E681">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本基金每个交易日日终在扣除股指期货、股票期权和国债期货合约需缴纳的交易保证金后，应当保持不低于交易保证金一倍的现金，其中现金不包括结算备付金、存出保证金和应收申购款等；</w:t>
      </w:r>
    </w:p>
    <w:p w14:paraId="168BC09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0A6890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68761C8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1630D5A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6A8188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066B6E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6285BDD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3FD154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5C96FF1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27C5E1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6D60A0F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2F0CB9D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164336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2B96E5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56F88D0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184637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58BFB5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4D91AFA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690C842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203637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5AF00B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45FC9A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06B2ADC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0FC061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26C923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7A32B9F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0716604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00793CC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461D206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6670797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03F0A71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424613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155534A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00D1081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6E2F26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21D785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6439BF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67CE1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4FF2BED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2E8F53B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B8B23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bookmarkStart w:id="365" w:name="_Hlk9083816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bookmarkEnd w:id="365"/>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3D5B43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五、标的指数与业绩比较基准</w:t>
      </w:r>
    </w:p>
    <w:p w14:paraId="2870404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本基金的标的指数：中证光伏产业指数。</w:t>
      </w:r>
    </w:p>
    <w:p w14:paraId="755EE5D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本基金的业绩比较基准为标的指数收益率，即中证光伏产业指数收益率。</w:t>
      </w:r>
    </w:p>
    <w:p w14:paraId="54A55C1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6个月内召集基金份额持有人大会。</w:t>
      </w:r>
    </w:p>
    <w:p w14:paraId="66CA2A6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自指数编制机构停止标的指数的编制及发布至解决方案确定期间，基金管理人应按照指数编制机构提供的最近一个交易日的指数信息遵循基金份额持有人利益优先原则维持基金投资运作。</w:t>
      </w:r>
    </w:p>
    <w:p w14:paraId="74CA9C8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六、风险收益特征</w:t>
      </w:r>
    </w:p>
    <w:p w14:paraId="1BE37D0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本基金属于股票型基金，其预期收益及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预期</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风险水平高于混合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基金、债券</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基金与货币市场基金。</w:t>
      </w:r>
    </w:p>
    <w:p w14:paraId="013F250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本基金为被动式投资的股票型指数基金，跟踪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中证光伏产业指数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，其风险收益特征与标的指数所表征的市场组合的风险收益特征相似。</w:t>
      </w:r>
    </w:p>
    <w:p w14:paraId="6E7BF73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七、基金管理人代表基金行使股东或债权人权利的处理原则及方法</w:t>
      </w:r>
    </w:p>
    <w:p w14:paraId="24C9223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1、基金管理人按照国家有关规定代表基金独立行使股东或债权人权利，保护基金份额持有人的利益； </w:t>
      </w:r>
    </w:p>
    <w:p w14:paraId="5331DC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2、不谋求对上市公司的控股； </w:t>
      </w:r>
    </w:p>
    <w:p w14:paraId="3AED185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3、有利于基金财产的安全与增值； </w:t>
      </w:r>
    </w:p>
    <w:p w14:paraId="34CAD2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4、不通过关联交易为自身、雇员、授权代理人或任何存在利害关系的第三人牟取任何不当利益。</w:t>
      </w:r>
    </w:p>
    <w:p w14:paraId="36C35428">
      <w:pPr>
        <w:pStyle w:val="2"/>
        <w:numPr>
          <w:ilvl w:val="0"/>
          <w:numId w:val="0"/>
        </w:numPr>
        <w:jc w:val="both"/>
        <w:rPr>
          <w:szCs w:val="24"/>
        </w:rPr>
        <w:sectPr>
          <w:footerReference r:id="rId20" w:type="default"/>
          <w:pgSz w:w="11906" w:h="16838"/>
          <w:pgMar w:top="1440" w:right="1800" w:bottom="1440" w:left="1800" w:header="851" w:footer="992" w:gutter="0"/>
          <w:pgNumType w:start="1"/>
          <w:cols w:space="425" w:num="1"/>
          <w:formProt w:val="0"/>
          <w:docGrid w:type="lines" w:linePitch="312" w:charSpace="0"/>
        </w:sectPr>
      </w:pPr>
      <w:bookmarkStart w:id="366" w:name="_Hlt70058259"/>
      <w:bookmarkEnd w:id="366"/>
      <w:bookmarkStart w:id="367" w:name="_Toc92662704"/>
      <w:bookmarkStart w:id="368" w:name="_Toc93226145"/>
      <w:bookmarkStart w:id="369" w:name="_Toc90742330"/>
      <w:bookmarkStart w:id="370" w:name="_Toc31611"/>
      <w:bookmarkStart w:id="371" w:name="_Toc90742399"/>
      <w:bookmarkStart w:id="372" w:name="_Toc3054"/>
      <w:bookmarkStart w:id="373" w:name="_Toc21642"/>
      <w:bookmarkStart w:id="374" w:name="_Toc20102"/>
      <w:bookmarkStart w:id="375" w:name="_Toc90742697"/>
      <w:bookmarkStart w:id="376" w:name="_Toc13819"/>
      <w:bookmarkStart w:id="377" w:name="_Toc20782"/>
      <w:bookmarkStart w:id="378" w:name="_Toc26114"/>
      <w:bookmarkStart w:id="379" w:name="_Toc32030"/>
      <w:bookmarkStart w:id="380" w:name="_Toc18000"/>
      <w:bookmarkStart w:id="381" w:name="_Toc139991743"/>
      <w:bookmarkStart w:id="382" w:name="_Toc141703893"/>
      <w:bookmarkStart w:id="383" w:name="_Toc29561"/>
      <w:bookmarkStart w:id="384" w:name="_Toc128310496"/>
      <w:bookmarkStart w:id="385" w:name="_Toc24474"/>
    </w:p>
    <w:bookmarkEnd w:id="364"/>
    <w:p w14:paraId="254490D8">
      <w:pPr>
        <w:pStyle w:val="2"/>
        <w:rPr>
          <w:szCs w:val="24"/>
        </w:rPr>
      </w:pPr>
      <w:bookmarkStart w:id="386" w:name="CTS_cdb3939cfcec4330a25cfcb4ecc653e8"/>
      <w:bookmarkEnd w:id="386"/>
      <w:bookmarkStart w:id="387" w:name="_Toc64923779"/>
      <w:bookmarkStart w:id="388" w:name="_Toc73975092"/>
      <w:bookmarkStart w:id="389" w:name="CLAUSE_cdb3939cfcec4330a25cfcb4ecc653e8"/>
      <w:r>
        <w:rPr>
          <w:rFonts w:hint="eastAsia" w:cs="Arial"/>
          <w:szCs w:val="24"/>
        </w:rPr>
        <w:t>第十五部分</w:t>
      </w:r>
      <w:r>
        <w:rPr>
          <w:szCs w:val="24"/>
        </w:rPr>
        <w:t xml:space="preserve"> 基金</w:t>
      </w:r>
      <w:bookmarkEnd w:id="367"/>
      <w:bookmarkEnd w:id="368"/>
      <w:r>
        <w:rPr>
          <w:rFonts w:hint="eastAsia"/>
          <w:szCs w:val="24"/>
        </w:rPr>
        <w:t>的财产</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7"/>
      <w:bookmarkEnd w:id="388"/>
    </w:p>
    <w:p w14:paraId="5275749A">
      <w:pPr>
        <w:spacing w:line="360" w:lineRule="auto"/>
        <w:ind w:firstLine="480" w:firstLineChars="200"/>
        <w:rPr>
          <w:rFonts w:asciiTheme="minorEastAsia" w:hAnsiTheme="minorEastAsia"/>
          <w:sz w:val="24"/>
          <w:szCs w:val="24"/>
        </w:rPr>
      </w:pPr>
    </w:p>
    <w:p w14:paraId="7F0712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一、基金资产总值</w:t>
      </w:r>
    </w:p>
    <w:p w14:paraId="4D591CA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基金资产总值是指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基金拥有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的各类</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有价证券</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、银行存款本息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基金应收款项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及其他资产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的价值总和。</w:t>
      </w:r>
    </w:p>
    <w:p w14:paraId="6EAD37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二、基金资产净值</w:t>
      </w:r>
    </w:p>
    <w:p w14:paraId="0648DDE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347541A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三、基金财产的账户</w:t>
      </w:r>
    </w:p>
    <w:p w14:paraId="11657F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或基金管理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90" w:name="_Hlt88841837"/>
      <w:bookmarkEnd w:id="390"/>
    </w:p>
    <w:p w14:paraId="7DD898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四、基金财产的保管和处分</w:t>
      </w:r>
      <w:bookmarkStart w:id="391" w:name="_Hlt88900062"/>
      <w:bookmarkEnd w:id="391"/>
    </w:p>
    <w:p w14:paraId="796437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4B1E9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4E9F5D">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92" w:name="_Hlt70482237"/>
      <w:bookmarkEnd w:id="392"/>
      <w:bookmarkStart w:id="393" w:name="_Hlt70506067"/>
      <w:bookmarkEnd w:id="393"/>
      <w:bookmarkStart w:id="394" w:name="_Toc7802"/>
      <w:bookmarkStart w:id="395" w:name="_Toc31917"/>
      <w:bookmarkStart w:id="396" w:name="_Toc19714"/>
      <w:bookmarkStart w:id="397" w:name="_Toc2623"/>
      <w:bookmarkStart w:id="398" w:name="_Toc871"/>
      <w:bookmarkStart w:id="399" w:name="_Toc27832"/>
      <w:bookmarkStart w:id="400" w:name="_Toc17782"/>
      <w:bookmarkStart w:id="401" w:name="_Toc141703894"/>
      <w:bookmarkStart w:id="402" w:name="_Toc139991744"/>
    </w:p>
    <w:p w14:paraId="6E0D8AD3">
      <w:pPr>
        <w:pStyle w:val="2"/>
        <w:rPr>
          <w:szCs w:val="24"/>
        </w:rPr>
        <w:sectPr>
          <w:footerReference r:id="rId21" w:type="default"/>
          <w:pgSz w:w="11906" w:h="16838"/>
          <w:pgMar w:top="1440" w:right="1800" w:bottom="1440" w:left="1800" w:header="851" w:footer="992" w:gutter="0"/>
          <w:pgNumType w:start="1"/>
          <w:cols w:space="425" w:num="1"/>
          <w:formProt w:val="0"/>
          <w:docGrid w:type="lines" w:linePitch="312" w:charSpace="0"/>
        </w:sectPr>
      </w:pPr>
      <w:bookmarkStart w:id="403" w:name="_Toc90742698"/>
      <w:bookmarkStart w:id="404" w:name="_Toc90742331"/>
      <w:bookmarkStart w:id="405" w:name="_Toc90742400"/>
    </w:p>
    <w:bookmarkEnd w:id="389"/>
    <w:p w14:paraId="1781A7A1">
      <w:pPr>
        <w:pStyle w:val="2"/>
        <w:rPr>
          <w:szCs w:val="24"/>
        </w:rPr>
      </w:pPr>
      <w:bookmarkStart w:id="406" w:name="CTS_61fe40d983b44dbaab7c97b19094c415"/>
      <w:bookmarkEnd w:id="406"/>
      <w:bookmarkStart w:id="407" w:name="_Toc73975093"/>
      <w:bookmarkStart w:id="408" w:name="_Toc64923780"/>
      <w:bookmarkStart w:id="409" w:name="CLAUSE_61fe40d983b44dbaab7c97b19094c415"/>
      <w:r>
        <w:rPr>
          <w:rFonts w:hint="eastAsia" w:cs="Arial"/>
          <w:szCs w:val="24"/>
        </w:rPr>
        <w:t>第十六</w:t>
      </w:r>
      <w:r>
        <w:rPr>
          <w:rFonts w:hint="eastAsia"/>
          <w:szCs w:val="24"/>
        </w:rPr>
        <w:t>部分</w:t>
      </w:r>
      <w:r>
        <w:rPr>
          <w:szCs w:val="24"/>
        </w:rPr>
        <w:t xml:space="preserve"> </w:t>
      </w:r>
      <w:r>
        <w:rPr>
          <w:rFonts w:hint="eastAsia"/>
          <w:szCs w:val="24"/>
        </w:rPr>
        <w:t>基金资产</w:t>
      </w:r>
      <w:r>
        <w:rPr>
          <w:rFonts w:cs="Arial"/>
          <w:szCs w:val="24"/>
        </w:rPr>
        <w:t>的</w:t>
      </w:r>
      <w:r>
        <w:rPr>
          <w:rFonts w:hint="eastAsia"/>
          <w:szCs w:val="24"/>
        </w:rPr>
        <w:t>估值</w:t>
      </w:r>
      <w:bookmarkEnd w:id="394"/>
      <w:bookmarkEnd w:id="395"/>
      <w:bookmarkEnd w:id="396"/>
      <w:bookmarkEnd w:id="397"/>
      <w:bookmarkEnd w:id="398"/>
      <w:bookmarkEnd w:id="399"/>
      <w:bookmarkEnd w:id="400"/>
      <w:bookmarkEnd w:id="403"/>
      <w:bookmarkEnd w:id="404"/>
      <w:bookmarkEnd w:id="405"/>
      <w:bookmarkEnd w:id="407"/>
      <w:bookmarkEnd w:id="408"/>
    </w:p>
    <w:bookmarkEnd w:id="401"/>
    <w:bookmarkEnd w:id="402"/>
    <w:p w14:paraId="64089584">
      <w:pPr>
        <w:spacing w:line="360" w:lineRule="auto"/>
        <w:ind w:firstLine="480" w:firstLineChars="200"/>
        <w:rPr>
          <w:rFonts w:asciiTheme="minorEastAsia" w:hAnsiTheme="minorEastAsia"/>
          <w:sz w:val="24"/>
          <w:szCs w:val="24"/>
        </w:rPr>
      </w:pPr>
      <w:bookmarkStart w:id="410" w:name="_Toc141703895"/>
      <w:bookmarkStart w:id="411" w:name="_Toc32046"/>
      <w:bookmarkStart w:id="412" w:name="_Toc139991745"/>
    </w:p>
    <w:p w14:paraId="385CD4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13" w:name="_Hlk143269687"/>
      <w:bookmarkStart w:id="414" w:name="_Toc19706"/>
      <w:bookmarkStart w:id="415" w:name="_Toc32227"/>
      <w:bookmarkStart w:id="416" w:name="_Toc13987"/>
      <w:bookmarkStart w:id="417" w:name="_Toc19752"/>
      <w:bookmarkStart w:id="418" w:name="_Toc6493"/>
      <w:bookmarkStart w:id="419" w:name="_Toc15779"/>
      <w:bookmarkStart w:id="420" w:name="_Toc32041"/>
      <w:bookmarkStart w:id="421" w:name="_Toc24601"/>
      <w:bookmarkStart w:id="422" w:name="_Toc12105"/>
      <w:bookmarkStart w:id="423" w:name="_Toc3365"/>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一、估值日</w:t>
      </w:r>
    </w:p>
    <w:p w14:paraId="5C5018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本基金的估值日为本基金相关的证券、期货交易场所的交易日以及国家法律法规规定需要对外披露基金净值的非交易日。</w:t>
      </w:r>
    </w:p>
    <w:p w14:paraId="07D7FB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二、估值对象</w:t>
      </w:r>
    </w:p>
    <w:p w14:paraId="03D6916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4" w:name="_Hlk14326979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基金所拥有的股票（含存托凭证）、债券、股指期货合约、国债期货合约、股票期权合约、银行存款本息、应收款项、资产支持证券、其它投资等资产及负债</w:t>
      </w:r>
      <w:bookmarkEnd w:id="42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9958E8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三、估值原则</w:t>
      </w:r>
    </w:p>
    <w:p w14:paraId="59890CD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基金管理人在确定相关金融资产和金融负债的公允价值时，应符合《企业会计准则》、监管部门有关规定。</w:t>
      </w:r>
    </w:p>
    <w:p w14:paraId="79BF228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49C36E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7F3666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FAB79F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四、估值方法</w:t>
      </w:r>
    </w:p>
    <w:p w14:paraId="7073EE8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A9352A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70D639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655812B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ED228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67CD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2C361C5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32E956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3CB1B8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（2）首次公开发行未上市的股票，采用估值技术确定公允价值，在估值技术难以可靠计量公允价值的情况下，按成本估值；</w:t>
      </w:r>
    </w:p>
    <w:p w14:paraId="090E3AE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1F6550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622804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3435BD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0CA704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7E6A089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44D8F3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12、如有确凿证据表明按上述方法进行估值不能客观反映其公允价值的，基金管理人可根据具体情况与基金托管人商定后，按最能反映公允价值的方法估值。</w:t>
      </w:r>
    </w:p>
    <w:p w14:paraId="5211DDC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1275F49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5235CB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bookmarkEnd w:id="413"/>
    <w:p w14:paraId="74DD395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五、估值程序</w:t>
      </w:r>
    </w:p>
    <w:p w14:paraId="65ED63D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5F1C39F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基金管理人于每个工作日计算基金资产净值及基金份额净值，并按规定公告。</w:t>
      </w:r>
    </w:p>
    <w:p w14:paraId="58E7E90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约定对外公布。</w:t>
      </w:r>
    </w:p>
    <w:p w14:paraId="53E2C16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六、估值错误的处理</w:t>
      </w:r>
    </w:p>
    <w:p w14:paraId="3D215C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5" w:name="_Hlk1432697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基金管理人和基金托管人将采取必要、适当、合理的措施确保基金资产估值的准确性、及时性。当基金份额净值小数点后4位以内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含第4位</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发生估值错误时，视为基金份额净值错误。</w:t>
      </w:r>
    </w:p>
    <w:p w14:paraId="43F72D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本基金合同的当事人应按照以下约定处理：</w:t>
      </w:r>
    </w:p>
    <w:p w14:paraId="7C9CE1D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、估值错误类型</w:t>
      </w:r>
    </w:p>
    <w:p w14:paraId="29916C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的直接损失按下述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给予赔偿，承担赔偿责任。</w:t>
      </w:r>
    </w:p>
    <w:p w14:paraId="4B0B5B0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上述估值错误的主要类型包括但不限于：资料申报差错、数据传输差错、数据计算差错、系统故障差错、下达指令差错等。</w:t>
      </w:r>
    </w:p>
    <w:p w14:paraId="0DB0844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p>
    <w:p w14:paraId="47CF2BA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1CA5E5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）估值错误的责任方对有关当事人的直接损失负责，不对间接损失负责，并且仅对估值错误的有关直接当事人负责，不对第三方负责。</w:t>
      </w:r>
    </w:p>
    <w:p w14:paraId="7B91093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1A66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）估值错误调整采用尽量恢复至假设未发生估值错误的正确情形的方式。</w:t>
      </w:r>
    </w:p>
    <w:p w14:paraId="3DD95F4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、估值错误处理程序</w:t>
      </w:r>
    </w:p>
    <w:p w14:paraId="57284F2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估值错误被发现后，有关的当事人应当及时进行处理，处理的程序如下：</w:t>
      </w:r>
    </w:p>
    <w:p w14:paraId="40706AE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）查明估值错误发生的原因，列明所有的当事人，并根据估值错误发生的原因确定估值错误的责任方；</w:t>
      </w:r>
    </w:p>
    <w:p w14:paraId="33C1BF1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）根据估值错误处理原则或当事人协商的方法对因估值错误造成的损失进行评估；</w:t>
      </w:r>
    </w:p>
    <w:p w14:paraId="2ACC9E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）根据估值错误处理原则或当事人协商的方法由估值错误的责任方进行更正和赔偿损失；</w:t>
      </w:r>
    </w:p>
    <w:p w14:paraId="06E5FFC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）根据估值错误处理的方法，需要修改基金登记机构交易数据的，由基金登记机构进行更正，并就估值错误的更正向有关当事人进行确认。</w:t>
      </w:r>
    </w:p>
    <w:p w14:paraId="40935DA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、基金份额净值估值错误处理的方法如下：</w:t>
      </w:r>
    </w:p>
    <w:p w14:paraId="707B8A2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）基金份额净值计算出现错误时，基金管理人应当立即予以纠正，通报基金托管人，并采取合理的措施防止损失进一步扩大。</w:t>
      </w:r>
    </w:p>
    <w:p w14:paraId="4E7001D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0.25%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时，基金管理人应当通报基金托管人并报中国证监会备案；错误偏差达到基金份额净值的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时，基金管理人应当公告，并报中国证监会备案。</w:t>
      </w:r>
    </w:p>
    <w:p w14:paraId="3A045354">
      <w:pPr>
        <w:spacing w:line="360" w:lineRule="auto"/>
        <w:ind w:firstLine="480" w:firstLineChars="200"/>
        <w:rPr>
          <w:bCs/>
          <w:sz w:val="24"/>
        </w:rPr>
      </w:pPr>
      <w:r>
        <w:rPr>
          <w:rFonts w:hint="eastAsia"/>
          <w:bCs/>
          <w:sz w:val="24"/>
        </w:rPr>
        <w:t>（</w:t>
      </w:r>
      <w:r>
        <w:rPr>
          <w:bCs/>
          <w:sz w:val="24"/>
        </w:rPr>
        <w:t>3</w:t>
      </w:r>
      <w:r>
        <w:rPr>
          <w:rFonts w:hint="eastAsia"/>
          <w:bCs/>
          <w:sz w:val="24"/>
        </w:rPr>
        <w:t>）前述内容如法律法规或者监管部门另有规定的，从其规定。如果行业另有通行做法，基金管理人和基金托管人应本着平等和保护基金份额持有人利益的原则进行协商。</w:t>
      </w:r>
    </w:p>
    <w:bookmarkEnd w:id="425"/>
    <w:p w14:paraId="52FD816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七、暂停估值的情形</w:t>
      </w:r>
    </w:p>
    <w:p w14:paraId="625A15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6" w:name="_Hlk143270821"/>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、基金投资所涉及的证券/期货交易市场遇法定节假日或因其他原因暂停营业时；</w:t>
      </w:r>
    </w:p>
    <w:p w14:paraId="34FC605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2、因不可抗力或者其他情形致使基金管理人、基金托管人无法准确评估基金资产价值时；</w:t>
      </w:r>
    </w:p>
    <w:p w14:paraId="51097CF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、当前一估值日基金资产净值</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50%</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以上的资产出现无可参考的活跃市场价格且采用估值技术仍导致公允价值存在重大不确定性时，经与基金托管人协商确认后，基金管理人应当暂停估值；</w:t>
      </w:r>
    </w:p>
    <w:p w14:paraId="740BFDD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、法律法规、中国证监会和基金合同认定的其它情形。</w:t>
      </w:r>
    </w:p>
    <w:bookmarkEnd w:id="426"/>
    <w:p w14:paraId="0B1754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八、基金净值的确认</w:t>
      </w:r>
    </w:p>
    <w:p w14:paraId="1917D2F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基金资产净值和基金份额净值由基金管理人负责计算，基金托管人负责进行复核。基金管理人应于每个工作日交易结束后计算当日的</w:t>
      </w:r>
      <w:bookmarkStart w:id="427" w:name="_Hlk14326950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w:t>
      </w:r>
      <w:bookmarkEnd w:id="4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基金份额净值并发送给基金托管人。基金托管人对净值计算结果复核确认后发送给基金管理人，由基金管理人对基金净值按约定予以公布。</w:t>
      </w:r>
    </w:p>
    <w:p w14:paraId="4204A24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九、特殊情况的处理</w:t>
      </w:r>
    </w:p>
    <w:p w14:paraId="46D223C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8" w:name="_Hlk14326969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1、基金管理人或基金托管人按估值方法的第12项进行估值时，所造成的误差不作为基金资产估值错误处理。</w:t>
      </w:r>
    </w:p>
    <w:p w14:paraId="06B38D0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bookmarkStart w:id="429" w:name="_Hlk14327017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由于不可抗力原因，或证券/期货交易所、指数编制机构及登记结算公司、证券、期货经营机构等机构发送的数据错误、遗漏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bookmarkEnd w:id="429"/>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bookmarkEnd w:id="428"/>
    <w:p w14:paraId="3135B8BB">
      <w:pPr>
        <w:adjustRightInd w:val="0"/>
        <w:snapToGrid w:val="0"/>
        <w:spacing w:line="360" w:lineRule="auto"/>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37F3DC99">
      <w:pPr>
        <w:pStyle w:val="2"/>
        <w:rPr>
          <w:szCs w:val="24"/>
        </w:rPr>
        <w:sectPr>
          <w:footerReference r:id="rId22" w:type="default"/>
          <w:pgSz w:w="11906" w:h="16838"/>
          <w:pgMar w:top="1440" w:right="1800" w:bottom="1440" w:left="1800" w:header="851" w:footer="992" w:gutter="0"/>
          <w:pgNumType w:start="1"/>
          <w:cols w:space="425" w:num="1"/>
          <w:formProt w:val="0"/>
          <w:docGrid w:type="lines" w:linePitch="312" w:charSpace="0"/>
        </w:sectPr>
      </w:pPr>
      <w:bookmarkStart w:id="430" w:name="_Toc90742401"/>
      <w:bookmarkStart w:id="431" w:name="_Toc90742332"/>
      <w:bookmarkStart w:id="432" w:name="_Toc90742699"/>
    </w:p>
    <w:bookmarkEnd w:id="409"/>
    <w:p w14:paraId="1DC9DC9D">
      <w:pPr>
        <w:pStyle w:val="2"/>
        <w:rPr>
          <w:szCs w:val="24"/>
        </w:rPr>
      </w:pPr>
      <w:bookmarkStart w:id="433" w:name="CTS_5979ebcde86d427bbe68531bf1780126"/>
      <w:bookmarkEnd w:id="433"/>
      <w:bookmarkStart w:id="434" w:name="_Toc64923781"/>
      <w:bookmarkStart w:id="435" w:name="_Toc73975094"/>
      <w:bookmarkStart w:id="436" w:name="CLAUSE_5979ebcde86d427bbe68531bf1780126"/>
      <w:r>
        <w:rPr>
          <w:rFonts w:hint="eastAsia" w:cs="Arial"/>
          <w:szCs w:val="24"/>
        </w:rPr>
        <w:t>第十七</w:t>
      </w:r>
      <w:r>
        <w:rPr>
          <w:rFonts w:hint="eastAsia"/>
          <w:szCs w:val="24"/>
        </w:rPr>
        <w:t>部分</w:t>
      </w:r>
      <w:r>
        <w:rPr>
          <w:szCs w:val="24"/>
        </w:rPr>
        <w:t xml:space="preserve"> </w:t>
      </w:r>
      <w:r>
        <w:rPr>
          <w:rFonts w:hint="eastAsia"/>
          <w:szCs w:val="24"/>
        </w:rPr>
        <w:t>基金</w:t>
      </w:r>
      <w:r>
        <w:rPr>
          <w:rFonts w:cs="Arial"/>
          <w:szCs w:val="24"/>
        </w:rPr>
        <w:t>的</w:t>
      </w:r>
      <w:r>
        <w:rPr>
          <w:rFonts w:hint="eastAsia"/>
          <w:szCs w:val="24"/>
        </w:rPr>
        <w:t>费用与税收</w:t>
      </w:r>
      <w:bookmarkEnd w:id="410"/>
      <w:bookmarkEnd w:id="411"/>
      <w:bookmarkEnd w:id="412"/>
      <w:bookmarkEnd w:id="414"/>
      <w:bookmarkEnd w:id="415"/>
      <w:bookmarkEnd w:id="416"/>
      <w:bookmarkEnd w:id="417"/>
      <w:bookmarkEnd w:id="418"/>
      <w:bookmarkEnd w:id="419"/>
      <w:bookmarkEnd w:id="420"/>
      <w:bookmarkEnd w:id="421"/>
      <w:bookmarkEnd w:id="422"/>
      <w:bookmarkEnd w:id="423"/>
      <w:bookmarkEnd w:id="430"/>
      <w:bookmarkEnd w:id="431"/>
      <w:bookmarkEnd w:id="432"/>
      <w:bookmarkEnd w:id="434"/>
      <w:bookmarkEnd w:id="435"/>
    </w:p>
    <w:p w14:paraId="642132CC">
      <w:pPr>
        <w:spacing w:line="360" w:lineRule="auto"/>
        <w:ind w:firstLine="480" w:firstLineChars="200"/>
        <w:rPr>
          <w:rFonts w:asciiTheme="minorEastAsia" w:hAnsiTheme="minorEastAsia"/>
          <w:sz w:val="24"/>
          <w:szCs w:val="24"/>
        </w:rPr>
      </w:pPr>
    </w:p>
    <w:p w14:paraId="68A6AC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一、基金费用的种类</w:t>
      </w:r>
    </w:p>
    <w:p w14:paraId="5D2356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2FC5B5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4ECD6D2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39E1AC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21B454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5、《基金合同》生效后与基金相关的会计师费、律师费、审计费、公证费、仲裁费和诉讼费；</w:t>
      </w:r>
    </w:p>
    <w:p w14:paraId="1E158A8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3B70BB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w:t>
      </w:r>
      <w:bookmarkStart w:id="437" w:name="_Hlk14327104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场内注册登记费用、</w:t>
      </w:r>
      <w:bookmarkEnd w:id="43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IOPV计算与发布费用</w:t>
      </w:r>
      <w:bookmarkStart w:id="438" w:name="_Hlk14327105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、收益分配中发生的费用（银行转账或其他手续费用除外）</w:t>
      </w:r>
      <w:bookmarkEnd w:id="43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EDBE8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057774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52C005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二、基金费用计提方法、计提标准和支付方式</w:t>
      </w:r>
    </w:p>
    <w:p w14:paraId="2B9BACF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439" w:name="_Hlk143270968"/>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0E4644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38B866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153637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5BEADD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C356B9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440" w:name="_Hlk14327115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逐日累计至每月月末，按月支付，由基金管理人向基金托管人发送基金管理费划款指令，基金托管人复核后于次月前3个工作日内从基金财产中一次性支付给基金管理人。若遇法定节假日、公休假等，支付日期顺延至最近可支付日支付。</w:t>
      </w:r>
      <w:bookmarkEnd w:id="440"/>
    </w:p>
    <w:p w14:paraId="086E17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02822C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56DF4C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4F95FD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482288F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bookmarkEnd w:id="439"/>
    <w:p w14:paraId="6FECAB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逐日累计至每月月末，按月支付，由基金管理人向基金托管人发送基金托管费划款指令，基金托管人复核后于次月前3个工作日内从基金财产中一次性支取。若遇法定节假日、公休假等，支付日期顺延至最近可支付日支付。</w:t>
      </w:r>
    </w:p>
    <w:p w14:paraId="65742D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351549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三、不列入基金费用的项目</w:t>
      </w:r>
    </w:p>
    <w:p w14:paraId="0CB975D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41EA0E0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4B28C50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761ACCD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7D3162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AA133D1">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454DD2D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559E23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bookmarkStart w:id="441" w:name="_Hlt88827255"/>
      <w:bookmarkEnd w:id="441"/>
    </w:p>
    <w:p w14:paraId="2EC5A5F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四、基金税收</w:t>
      </w:r>
    </w:p>
    <w:p w14:paraId="1DA7F1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sectPr>
          <w:footerReference r:id="rId23" w:type="default"/>
          <w:pgSz w:w="11906" w:h="16838"/>
          <w:pgMar w:top="1440" w:right="1800" w:bottom="1440" w:left="1800" w:header="851" w:footer="992" w:gutter="0"/>
          <w:pgNumType w:start="1"/>
          <w:cols w:space="425" w:num="1"/>
          <w:formProt w:val="0"/>
          <w:docGrid w:type="lines" w:linePitch="312" w:charSpace="0"/>
        </w:sect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436"/>
      <w:bookmarkStart w:id="442" w:name="_Hlt70496289"/>
      <w:bookmarkEnd w:id="442"/>
      <w:bookmarkStart w:id="443" w:name="_Toc92662707"/>
      <w:bookmarkStart w:id="444" w:name="_Toc93226149"/>
      <w:bookmarkStart w:id="445" w:name="_Toc20052"/>
      <w:bookmarkStart w:id="446" w:name="_Toc15525"/>
      <w:bookmarkStart w:id="447" w:name="_Toc25883"/>
      <w:bookmarkStart w:id="448" w:name="_Toc128310499"/>
      <w:bookmarkStart w:id="449" w:name="_Toc21829"/>
      <w:bookmarkStart w:id="450" w:name="_Toc141703896"/>
      <w:bookmarkStart w:id="451" w:name="_Toc3656"/>
      <w:bookmarkStart w:id="452" w:name="_Toc178"/>
      <w:bookmarkStart w:id="453" w:name="_Toc12761"/>
      <w:bookmarkStart w:id="454" w:name="_Toc15351"/>
      <w:bookmarkStart w:id="455" w:name="_Toc139991746"/>
      <w:bookmarkStart w:id="456" w:name="_Toc22552"/>
      <w:bookmarkStart w:id="457" w:name="_Toc19558"/>
      <w:bookmarkStart w:id="458" w:name="_Toc1617"/>
    </w:p>
    <w:p w14:paraId="27182EA5">
      <w:pPr>
        <w:pStyle w:val="2"/>
        <w:rPr>
          <w:szCs w:val="24"/>
        </w:rPr>
      </w:pPr>
      <w:bookmarkStart w:id="459" w:name="CTS_4050b55c792c4bc9a6ceb5286a9a5258"/>
      <w:bookmarkEnd w:id="459"/>
      <w:bookmarkStart w:id="460" w:name="_Toc73975095"/>
      <w:bookmarkStart w:id="461" w:name="_Toc64923782"/>
      <w:bookmarkStart w:id="462" w:name="CLAUSE_4050b55c792c4bc9a6ceb5286a9a5258"/>
      <w:r>
        <w:rPr>
          <w:rFonts w:hint="eastAsia" w:cs="Arial"/>
          <w:szCs w:val="24"/>
        </w:rPr>
        <w:t>第十八部分</w:t>
      </w:r>
      <w:r>
        <w:rPr>
          <w:szCs w:val="24"/>
        </w:rPr>
        <w:t xml:space="preserve"> 基金</w:t>
      </w:r>
      <w:bookmarkEnd w:id="443"/>
      <w:bookmarkEnd w:id="444"/>
      <w:r>
        <w:rPr>
          <w:rFonts w:hint="eastAsia"/>
          <w:szCs w:val="24"/>
        </w:rPr>
        <w:t>的收益与分配</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60"/>
      <w:bookmarkEnd w:id="461"/>
    </w:p>
    <w:p w14:paraId="65C240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6830DF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一、基金收益分配原则</w:t>
      </w:r>
    </w:p>
    <w:p w14:paraId="35F5D8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1、本基金基金份额的收益分配方式采用现金分红；</w:t>
      </w:r>
    </w:p>
    <w:p w14:paraId="337E13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2、当收益评价日核定的基金份额净值增长率超过标的指数同期增长率达到0.01%以上时，可进行收益分配；</w:t>
      </w:r>
    </w:p>
    <w:p w14:paraId="06B9B1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本基金以使收益分配后基金份额净值增长率尽可能贴近标的指数同期增长率为原则进行收益分配。基于本基金的性质和特点，本基金收益分配不须以弥补亏损为前提，收益分配后有可能使除息后的基金份额净值低于面值；</w:t>
      </w:r>
    </w:p>
    <w:p w14:paraId="1CD0BA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4、若《基金合同》生效不满3个月可不进行收益分配；</w:t>
      </w:r>
    </w:p>
    <w:p w14:paraId="0E99A9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5、每一基金份额享有同等分配权；</w:t>
      </w:r>
    </w:p>
    <w:p w14:paraId="380D30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6、法律法规或监管机关、证券交易所、登记机构另有规定的，从其规定。</w:t>
      </w:r>
    </w:p>
    <w:p w14:paraId="6D049C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在不违反法律法规且对基金份额持有人利益无实质性不利影响的前提下，基金管理人经与基金托管人协商一致后可对基金收益分配原则进行调整，并及时公告。</w:t>
      </w:r>
    </w:p>
    <w:p w14:paraId="64EC10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二、基金收益分配比例及金额的确定原则</w:t>
      </w:r>
    </w:p>
    <w:p w14:paraId="4F3D49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1、在收益评价日，基金管理人计算基金份额净值增长率、标的指数同期增长率。</w:t>
      </w:r>
    </w:p>
    <w:p w14:paraId="7D3031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基金收益评价日本基金相对标的指数的超额收益率＝基金份额净值增长率－标的指数同期增长率。</w:t>
      </w:r>
    </w:p>
    <w:p w14:paraId="3CEDDB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0BFF971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期间如发生基金份额折算、拆分或合并，则以基金份额折算、经拆分或合并调整后的基金份额折算日为初始日重新计算上述指标。</w:t>
      </w:r>
    </w:p>
    <w:p w14:paraId="6753F3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收益评价日日期以本基金日后相关公告为准。</w:t>
      </w:r>
    </w:p>
    <w:p w14:paraId="1AA2B4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2、根据前述收益分配原则计算截至基金收益评价日本基金的份额可分配收益，并确定收益分配比例。</w:t>
      </w:r>
    </w:p>
    <w:p w14:paraId="6EFBC3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3、根据前述可分配利润及收益分配比例计算收益分配金额。</w:t>
      </w:r>
    </w:p>
    <w:p w14:paraId="4B7952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三、收益分配方案</w:t>
      </w:r>
    </w:p>
    <w:p w14:paraId="0864BB2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基金收益分配方案中应载明基金收益分配对象、分配时间、分配数额及比例、分配方式等内容。</w:t>
      </w:r>
    </w:p>
    <w:p w14:paraId="1B6C323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四、收益分配方案的确定、公告与实施</w:t>
      </w:r>
    </w:p>
    <w:p w14:paraId="20CE3AA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本基金收益分配方案由基金管理人拟定，并由基金托管人复核，依照《信息披露办法》的有关规定在规定媒介公告。</w:t>
      </w:r>
    </w:p>
    <w:p w14:paraId="22ADAD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五、基金收益分配中发生的费用</w:t>
      </w:r>
    </w:p>
    <w:p w14:paraId="7BD894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基金收益分配时所发生的银行转账或其他手续费用由投资者自行承担。</w:t>
      </w:r>
    </w:p>
    <w:p w14:paraId="3ECF4C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0CB2FD02">
      <w:pPr>
        <w:pStyle w:val="2"/>
        <w:rPr>
          <w:szCs w:val="24"/>
        </w:rPr>
        <w:sectPr>
          <w:footerReference r:id="rId24" w:type="default"/>
          <w:pgSz w:w="11906" w:h="16838"/>
          <w:pgMar w:top="1440" w:right="1800" w:bottom="1440" w:left="1800" w:header="851" w:footer="992" w:gutter="0"/>
          <w:pgNumType w:start="1"/>
          <w:cols w:space="425" w:num="1"/>
          <w:formProt w:val="0"/>
          <w:docGrid w:type="lines" w:linePitch="312" w:charSpace="0"/>
        </w:sectPr>
      </w:pPr>
      <w:bookmarkStart w:id="463" w:name="_Toc92662708"/>
      <w:bookmarkStart w:id="464" w:name="_Toc93226150"/>
      <w:bookmarkStart w:id="465" w:name="_Toc139991747"/>
      <w:bookmarkStart w:id="466" w:name="_Toc18007"/>
      <w:bookmarkStart w:id="467" w:name="_Toc10894"/>
      <w:bookmarkStart w:id="468" w:name="_Toc17499"/>
      <w:bookmarkStart w:id="469" w:name="_Toc13255"/>
      <w:bookmarkStart w:id="470" w:name="_Toc31736"/>
      <w:bookmarkStart w:id="471" w:name="_Toc141703897"/>
      <w:bookmarkStart w:id="472" w:name="_Toc28961"/>
      <w:bookmarkStart w:id="473" w:name="_Toc23859"/>
      <w:bookmarkStart w:id="474" w:name="_Toc90742701"/>
      <w:bookmarkStart w:id="475" w:name="_Toc90742403"/>
      <w:bookmarkStart w:id="476" w:name="_Toc1043"/>
      <w:bookmarkStart w:id="477" w:name="_Toc21206"/>
      <w:bookmarkStart w:id="478" w:name="_Toc128310500"/>
      <w:bookmarkStart w:id="479" w:name="_Toc18747"/>
      <w:bookmarkStart w:id="480" w:name="_Toc90742334"/>
      <w:bookmarkStart w:id="481" w:name="_Toc29695"/>
    </w:p>
    <w:bookmarkEnd w:id="462"/>
    <w:p w14:paraId="45683D00">
      <w:pPr>
        <w:pStyle w:val="2"/>
        <w:rPr>
          <w:szCs w:val="24"/>
        </w:rPr>
      </w:pPr>
      <w:bookmarkStart w:id="482" w:name="CTS_71c58533a21145f98d9d1bd34ae2666a"/>
      <w:bookmarkEnd w:id="482"/>
      <w:bookmarkStart w:id="483" w:name="_Toc73975096"/>
      <w:bookmarkStart w:id="484" w:name="_Toc64923783"/>
      <w:bookmarkStart w:id="485" w:name="CLAUSE_71c58533a21145f98d9d1bd34ae2666a"/>
      <w:r>
        <w:rPr>
          <w:rFonts w:hint="eastAsia" w:cs="Arial"/>
          <w:szCs w:val="24"/>
        </w:rPr>
        <w:t>第十九</w:t>
      </w:r>
      <w:r>
        <w:rPr>
          <w:rFonts w:hint="eastAsia"/>
          <w:szCs w:val="24"/>
        </w:rPr>
        <w:t>部分</w:t>
      </w:r>
      <w:r>
        <w:rPr>
          <w:szCs w:val="24"/>
        </w:rPr>
        <w:t xml:space="preserve"> </w:t>
      </w:r>
      <w:r>
        <w:rPr>
          <w:rFonts w:hint="eastAsia"/>
          <w:szCs w:val="24"/>
        </w:rPr>
        <w:t>基金</w:t>
      </w:r>
      <w:bookmarkEnd w:id="463"/>
      <w:bookmarkEnd w:id="464"/>
      <w:r>
        <w:rPr>
          <w:rFonts w:hint="eastAsia"/>
          <w:szCs w:val="24"/>
        </w:rPr>
        <w:t>的会计与审计</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3"/>
      <w:bookmarkEnd w:id="484"/>
    </w:p>
    <w:p w14:paraId="4AF8F74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一、基金会计政策</w:t>
      </w:r>
    </w:p>
    <w:p w14:paraId="4C3417B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、基金管理人为本基金的基金会计责任方；</w:t>
      </w:r>
    </w:p>
    <w:p w14:paraId="057DCF8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、基金的会计年度为公历年度的</w:t>
      </w:r>
      <w:r>
        <w:rPr>
          <w:rFonts w:asciiTheme="minorEastAsia" w:hAnsiTheme="minorEastAsia"/>
          <w:sz w:val="24"/>
          <w:szCs w:val="24"/>
        </w:rPr>
        <w:t>1</w:t>
      </w:r>
      <w:r>
        <w:rPr>
          <w:rFonts w:hint="eastAsia" w:asciiTheme="minorEastAsia" w:hAnsiTheme="minorEastAsia"/>
          <w:sz w:val="24"/>
          <w:szCs w:val="24"/>
        </w:rPr>
        <w:t>月</w:t>
      </w:r>
      <w:r>
        <w:rPr>
          <w:rFonts w:asciiTheme="minorEastAsia" w:hAnsiTheme="minorEastAsia"/>
          <w:sz w:val="24"/>
          <w:szCs w:val="24"/>
        </w:rPr>
        <w:t>1</w:t>
      </w:r>
      <w:r>
        <w:rPr>
          <w:rFonts w:hint="eastAsia" w:asciiTheme="minorEastAsia" w:hAnsiTheme="minorEastAsia"/>
          <w:sz w:val="24"/>
          <w:szCs w:val="24"/>
        </w:rPr>
        <w:t>日至</w:t>
      </w:r>
      <w:r>
        <w:rPr>
          <w:rFonts w:asciiTheme="minorEastAsia" w:hAnsiTheme="minorEastAsia"/>
          <w:sz w:val="24"/>
          <w:szCs w:val="24"/>
        </w:rPr>
        <w:t>12</w:t>
      </w:r>
      <w:r>
        <w:rPr>
          <w:rFonts w:hint="eastAsia" w:asciiTheme="minorEastAsia" w:hAnsiTheme="minorEastAsia"/>
          <w:sz w:val="24"/>
          <w:szCs w:val="24"/>
        </w:rPr>
        <w:t>月</w:t>
      </w:r>
      <w:r>
        <w:rPr>
          <w:rFonts w:asciiTheme="minorEastAsia" w:hAnsiTheme="minorEastAsia"/>
          <w:sz w:val="24"/>
          <w:szCs w:val="24"/>
        </w:rPr>
        <w:t>31</w:t>
      </w:r>
      <w:r>
        <w:rPr>
          <w:rFonts w:hint="eastAsia" w:asciiTheme="minorEastAsia" w:hAnsiTheme="minorEastAsia"/>
          <w:sz w:val="24"/>
          <w:szCs w:val="24"/>
        </w:rPr>
        <w:t>日；基金首次募集的会计年度按如下原则：如果《基金合同》生效少于</w:t>
      </w:r>
      <w:r>
        <w:rPr>
          <w:rFonts w:asciiTheme="minorEastAsia" w:hAnsiTheme="minorEastAsia"/>
          <w:sz w:val="24"/>
          <w:szCs w:val="24"/>
        </w:rPr>
        <w:t>2个月，可以并入下一个会计年度</w:t>
      </w:r>
      <w:r>
        <w:rPr>
          <w:rFonts w:hint="eastAsia" w:asciiTheme="minorEastAsia" w:hAnsiTheme="minorEastAsia" w:eastAsiaTheme="minorEastAsia"/>
          <w:sz w:val="24"/>
          <w:szCs w:val="24"/>
        </w:rPr>
        <w:t>披露</w:t>
      </w:r>
      <w:r>
        <w:rPr>
          <w:rFonts w:hint="eastAsia" w:asciiTheme="minorEastAsia" w:hAnsiTheme="minorEastAsia"/>
          <w:sz w:val="24"/>
          <w:szCs w:val="24"/>
        </w:rPr>
        <w:t>；</w:t>
      </w:r>
    </w:p>
    <w:p w14:paraId="468F029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、基金核算以人民币为记账本位币，以人民币元为记账单位；</w:t>
      </w:r>
    </w:p>
    <w:p w14:paraId="7762926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、会计制度执行国家有关会计制度；</w:t>
      </w:r>
    </w:p>
    <w:p w14:paraId="1B973A7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、本基金独立建账、独立核算；</w:t>
      </w:r>
    </w:p>
    <w:p w14:paraId="13AA677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、基金管理人及基金托管人各自保留完整的会计账目、凭证并进行日常的会计核算，按照有关规定编制基金会计报表；</w:t>
      </w:r>
    </w:p>
    <w:p w14:paraId="0B4FBBE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、基金托管人每月与基金管理人就基金的会计核算、报表编制等进行核对并以书面方式确认。</w:t>
      </w:r>
    </w:p>
    <w:p w14:paraId="0CE7B8C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二、基金的年度审计</w:t>
      </w:r>
    </w:p>
    <w:p w14:paraId="30A85E7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、基金管理人聘请与基金管理人、基金托管人相互独立且符合《证券法》规定的会计师事务所及其注册会计师对本基金的年度财务报表进行审计。</w:t>
      </w:r>
    </w:p>
    <w:p w14:paraId="463BFF1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、会计师事务所更换经办注册会计师，应事先征得基金管理人同意。</w:t>
      </w:r>
    </w:p>
    <w:p w14:paraId="06B5569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、基金管理人认为有充足理由更换会计师事务所，须通报基金托管人。更换会计师事务所需</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在规定媒介公告。</w:t>
      </w:r>
    </w:p>
    <w:p w14:paraId="75C6CA45">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6" w:name="_Toc92662709"/>
      <w:bookmarkStart w:id="487" w:name="_Toc93226151"/>
      <w:bookmarkStart w:id="488" w:name="_Toc12028"/>
      <w:bookmarkStart w:id="489" w:name="_Toc139991748"/>
      <w:bookmarkStart w:id="490" w:name="_Toc21351"/>
      <w:bookmarkStart w:id="491" w:name="_Toc11049"/>
      <w:bookmarkStart w:id="492" w:name="_Toc141703898"/>
      <w:bookmarkStart w:id="493" w:name="_Toc29289"/>
      <w:bookmarkStart w:id="494" w:name="_Toc1173"/>
      <w:bookmarkStart w:id="495" w:name="_Toc193"/>
      <w:bookmarkStart w:id="496" w:name="_Toc1421"/>
      <w:bookmarkStart w:id="497" w:name="_Toc8512"/>
      <w:bookmarkStart w:id="498" w:name="_Toc3056"/>
      <w:bookmarkStart w:id="499" w:name="_Toc11802"/>
      <w:bookmarkStart w:id="500" w:name="_Toc31866"/>
      <w:bookmarkStart w:id="501" w:name="_Toc128310501"/>
    </w:p>
    <w:p w14:paraId="237E96AD">
      <w:pPr>
        <w:pStyle w:val="2"/>
        <w:rPr>
          <w:szCs w:val="24"/>
        </w:rPr>
        <w:sectPr>
          <w:footerReference r:id="rId25" w:type="default"/>
          <w:pgSz w:w="11906" w:h="16838"/>
          <w:pgMar w:top="1440" w:right="1800" w:bottom="1440" w:left="1800" w:header="851" w:footer="992" w:gutter="0"/>
          <w:pgNumType w:start="1"/>
          <w:cols w:space="425" w:num="1"/>
          <w:formProt w:val="0"/>
          <w:docGrid w:type="lines" w:linePitch="312" w:charSpace="0"/>
        </w:sectPr>
      </w:pPr>
      <w:bookmarkStart w:id="502" w:name="_Hlt4221115"/>
      <w:bookmarkStart w:id="503" w:name="_Toc90742702"/>
      <w:bookmarkStart w:id="504" w:name="_Toc90742335"/>
      <w:bookmarkStart w:id="505" w:name="_Toc90742404"/>
    </w:p>
    <w:bookmarkEnd w:id="485"/>
    <w:bookmarkEnd w:id="502"/>
    <w:p w14:paraId="5A95CA8A">
      <w:pPr>
        <w:pStyle w:val="2"/>
        <w:rPr>
          <w:szCs w:val="24"/>
        </w:rPr>
      </w:pPr>
      <w:bookmarkStart w:id="506" w:name="CTS_b4bd628fc54940d596ac1d00d338db3a"/>
      <w:bookmarkEnd w:id="506"/>
      <w:bookmarkStart w:id="507" w:name="_Toc64923784"/>
      <w:bookmarkStart w:id="508" w:name="_Toc73975097"/>
      <w:bookmarkStart w:id="509" w:name="CLAUSE_b4bd628fc54940d596ac1d00d338db3a"/>
      <w:r>
        <w:rPr>
          <w:rFonts w:hint="eastAsia" w:cs="Arial"/>
          <w:szCs w:val="24"/>
        </w:rPr>
        <w:t>第二十部分</w:t>
      </w:r>
      <w:r>
        <w:rPr>
          <w:szCs w:val="24"/>
        </w:rPr>
        <w:t xml:space="preserve"> 基金</w:t>
      </w:r>
      <w:bookmarkEnd w:id="486"/>
      <w:bookmarkEnd w:id="487"/>
      <w:r>
        <w:rPr>
          <w:rFonts w:hint="eastAsia"/>
          <w:szCs w:val="24"/>
        </w:rPr>
        <w:t>的信息披露</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3"/>
      <w:bookmarkEnd w:id="504"/>
      <w:bookmarkEnd w:id="505"/>
      <w:bookmarkEnd w:id="507"/>
      <w:bookmarkEnd w:id="508"/>
    </w:p>
    <w:p w14:paraId="3F8801E0">
      <w:pPr>
        <w:spacing w:line="360" w:lineRule="auto"/>
        <w:ind w:firstLine="480" w:firstLineChars="200"/>
        <w:rPr>
          <w:rFonts w:asciiTheme="minorEastAsia" w:hAnsiTheme="minorEastAsia"/>
          <w:sz w:val="24"/>
          <w:szCs w:val="24"/>
        </w:rPr>
      </w:pPr>
    </w:p>
    <w:p w14:paraId="5FBCBDD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一、本基金的信息披露应符合《基金法》、《运作办法》、《信息披露办法》、《流动性风险管理规定》、《基金合同》及其他有关规定。</w:t>
      </w:r>
      <w:r>
        <w:rPr>
          <w:rFonts w:hint="eastAsia" w:asciiTheme="minorEastAsia" w:hAnsiTheme="minorEastAsia" w:eastAsiaTheme="minorEastAsia"/>
          <w:sz w:val="24"/>
          <w:szCs w:val="24"/>
        </w:rPr>
        <w:t>相关法律法规关于信息披露的披露方式、登载媒介、报备方式等规定发生变化时，本基金从其最新规定。</w:t>
      </w:r>
    </w:p>
    <w:p w14:paraId="66CD097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二、信息披露义务人</w:t>
      </w:r>
    </w:p>
    <w:p w14:paraId="62F2462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本基金信息披露义务人包括基金管理人、基金托管人、召集基金份额持有人大会的基金份额持有人等法律、行政法规和中国证监会规定的自然人、法人和非法人组织。</w:t>
      </w:r>
    </w:p>
    <w:p w14:paraId="0379E0B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75ADCBA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76BA2D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三、本基金信息披露义务人承诺公开披露的基金信息，不得有下列行为：</w:t>
      </w:r>
    </w:p>
    <w:p w14:paraId="6752B04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、虚假记载、误导性陈述或者重大遗漏；</w:t>
      </w:r>
    </w:p>
    <w:p w14:paraId="6A425B8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、对证券投资业绩进行预测；</w:t>
      </w:r>
    </w:p>
    <w:p w14:paraId="0EBE36EB">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、违规承诺收益或者承担损失；</w:t>
      </w:r>
    </w:p>
    <w:p w14:paraId="324D85E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、诋毁其他基金管理人、基金托管人或者基金销售机构；</w:t>
      </w:r>
    </w:p>
    <w:p w14:paraId="6317A38C">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、登载任何自然人、法人和非法人组织的祝贺性、恭维性或推荐性的文字；</w:t>
      </w:r>
    </w:p>
    <w:p w14:paraId="1CEA128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、中国证监会禁止的其他行为。</w:t>
      </w:r>
    </w:p>
    <w:p w14:paraId="5AD537E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四、本基金公开披露的信息应采用中文文本。如同时采用外文文本的，基金信息披露义务人应保证不同文本的内容一致。不同文本之间发生歧义的，以中文文本为准。</w:t>
      </w:r>
    </w:p>
    <w:p w14:paraId="40CF877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本基金公开披露的信息采用阿拉伯数字；除特别说明外，货币单位为人民币元。</w:t>
      </w:r>
    </w:p>
    <w:p w14:paraId="748CD08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五、公开披露的基金信息</w:t>
      </w:r>
    </w:p>
    <w:p w14:paraId="59296F6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公开披露的基金信息包括：</w:t>
      </w:r>
    </w:p>
    <w:p w14:paraId="25A4065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（一）基金招募说明书、基金产品资料概要、</w:t>
      </w:r>
      <w:r>
        <w:rPr>
          <w:rFonts w:hint="eastAsia" w:asciiTheme="minorEastAsia" w:hAnsiTheme="minorEastAsia" w:eastAsiaTheme="minorEastAsia"/>
          <w:sz w:val="24"/>
          <w:szCs w:val="24"/>
        </w:rPr>
        <w:t>基金</w:t>
      </w:r>
      <w:r>
        <w:rPr>
          <w:rFonts w:asciiTheme="minorEastAsia" w:hAnsiTheme="minorEastAsia" w:eastAsiaTheme="minorEastAsia"/>
          <w:sz w:val="24"/>
          <w:szCs w:val="24"/>
        </w:rPr>
        <w:t>合同</w:t>
      </w:r>
      <w:r>
        <w:rPr>
          <w:rFonts w:hint="eastAsia" w:asciiTheme="minorEastAsia" w:hAnsiTheme="minorEastAsia"/>
          <w:sz w:val="24"/>
          <w:szCs w:val="24"/>
        </w:rPr>
        <w:t>、基金托管协议</w:t>
      </w:r>
    </w:p>
    <w:p w14:paraId="2094AA86">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asciiTheme="minorEastAsia" w:hAnsiTheme="minorEastAsia" w:eastAsiaTheme="minorEastAsia"/>
          <w:sz w:val="24"/>
          <w:szCs w:val="24"/>
        </w:rPr>
        <w:t>基金合同</w:t>
      </w:r>
      <w:r>
        <w:rPr>
          <w:rFonts w:hint="eastAsia" w:asciiTheme="minorEastAsia" w:hAnsiTheme="minorEastAsia"/>
          <w:sz w:val="24"/>
          <w:szCs w:val="24"/>
        </w:rPr>
        <w:t>是界定</w:t>
      </w:r>
      <w:r>
        <w:rPr>
          <w:rFonts w:asciiTheme="minorEastAsia" w:hAnsiTheme="minorEastAsia" w:eastAsiaTheme="minorEastAsia"/>
          <w:sz w:val="24"/>
          <w:szCs w:val="24"/>
        </w:rPr>
        <w:t>基金合同</w:t>
      </w:r>
      <w:r>
        <w:rPr>
          <w:rFonts w:hint="eastAsia" w:asciiTheme="minorEastAsia" w:hAnsiTheme="minorEastAsia"/>
          <w:sz w:val="24"/>
          <w:szCs w:val="24"/>
        </w:rPr>
        <w:t>当事人的各项权利、义务关系，明确基金份额持有人大会召开的规则及具体程序，说明基金产品的特性等涉及基金投资者重大利益的事项的法律文件。</w:t>
      </w:r>
    </w:p>
    <w:p w14:paraId="025EABE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w:t>
      </w:r>
      <w:r>
        <w:rPr>
          <w:rFonts w:hint="eastAsia" w:asciiTheme="minorEastAsia" w:hAnsiTheme="minorEastAsia"/>
          <w:sz w:val="24"/>
          <w:szCs w:val="24"/>
        </w:rPr>
        <w:t>的，基金管理人至少每年更新一次。基金终止运作的，基金管理人不再更新基金招募说明书。</w:t>
      </w:r>
    </w:p>
    <w:p w14:paraId="04F4780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3、基金托管协议是界定基金托管人和基金管理人在基金财产保管及基金运作监督等活动中的权利、义务关系的法律文件。</w:t>
      </w:r>
    </w:p>
    <w:p w14:paraId="31ACB11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912409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基金募集申请经中国证监会注册后，基金管理人在基金份额发售的</w:t>
      </w:r>
      <w:r>
        <w:rPr>
          <w:rFonts w:asciiTheme="minorEastAsia" w:hAnsiTheme="minorEastAsia"/>
          <w:sz w:val="24"/>
          <w:szCs w:val="24"/>
        </w:rPr>
        <w:t>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C45E1B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（二）基金份额发售公告</w:t>
      </w:r>
    </w:p>
    <w:p w14:paraId="7FF1632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基金管理人应当就基金份额发售的具体事宜编制基金份额发售公告。</w:t>
      </w:r>
    </w:p>
    <w:p w14:paraId="6A75AD0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（三）《基金合同》生效公告</w:t>
      </w:r>
    </w:p>
    <w:p w14:paraId="3F7CBC7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基金管理人应当在收到中国证监会确认文件的次日在规定报刊和规定网站上登载《基金合同》生效公告。</w:t>
      </w:r>
    </w:p>
    <w:p w14:paraId="2F57EF6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四</w:t>
      </w:r>
      <w:r>
        <w:rPr>
          <w:rFonts w:hint="eastAsia" w:asciiTheme="minorEastAsia" w:hAnsiTheme="minorEastAsia"/>
          <w:sz w:val="24"/>
          <w:szCs w:val="24"/>
        </w:rPr>
        <w:t>）基金份额</w:t>
      </w:r>
      <w:r>
        <w:rPr>
          <w:rFonts w:asciiTheme="minorEastAsia" w:hAnsiTheme="minorEastAsia" w:eastAsiaTheme="minorEastAsia"/>
          <w:sz w:val="24"/>
          <w:szCs w:val="24"/>
        </w:rPr>
        <w:t>上市交易公告书</w:t>
      </w:r>
    </w:p>
    <w:p w14:paraId="5B886D7A">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基金份额获准在证券交易所上市交易的，基金管理人应当在基金份额上市交易</w:t>
      </w:r>
      <w:r>
        <w:rPr>
          <w:rFonts w:hint="eastAsia" w:asciiTheme="minorEastAsia" w:hAnsiTheme="minorEastAsia" w:eastAsiaTheme="minorEastAsia"/>
          <w:sz w:val="24"/>
          <w:szCs w:val="24"/>
        </w:rPr>
        <w:t>的</w:t>
      </w:r>
      <w:r>
        <w:rPr>
          <w:rFonts w:asciiTheme="minorEastAsia" w:hAnsiTheme="minorEastAsia" w:eastAsiaTheme="minorEastAsia"/>
          <w:sz w:val="24"/>
          <w:szCs w:val="24"/>
        </w:rPr>
        <w:t>3个工作日前，将基金份额上市交易公告书登载在规定网站</w:t>
      </w:r>
      <w:r>
        <w:rPr>
          <w:rFonts w:hint="eastAsia" w:asciiTheme="minorEastAsia" w:hAnsiTheme="minorEastAsia" w:eastAsiaTheme="minorEastAsia"/>
          <w:sz w:val="24"/>
          <w:szCs w:val="24"/>
        </w:rPr>
        <w:t>上，并将上市交易公告书提示性公告登载在规定报刊上</w:t>
      </w:r>
      <w:r>
        <w:rPr>
          <w:rFonts w:asciiTheme="minorEastAsia" w:hAnsiTheme="minorEastAsia" w:eastAsiaTheme="minorEastAsia"/>
          <w:sz w:val="24"/>
          <w:szCs w:val="24"/>
        </w:rPr>
        <w:t>。</w:t>
      </w:r>
    </w:p>
    <w:p w14:paraId="1BDCD576">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五</w:t>
      </w:r>
      <w:r>
        <w:rPr>
          <w:rFonts w:hint="eastAsia" w:asciiTheme="minorEastAsia" w:hAnsiTheme="minorEastAsia" w:eastAsiaTheme="minorEastAsia"/>
          <w:sz w:val="24"/>
          <w:szCs w:val="24"/>
        </w:rPr>
        <w:t>）基金份额折算日和折算结果公告</w:t>
      </w:r>
    </w:p>
    <w:p w14:paraId="01F5D82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基金管理人确定基金份额折算日，并依照《信息披露办法》的有关规定将基金份额折算日公告登载于规定媒介上。</w:t>
      </w:r>
      <w:r>
        <w:rPr>
          <w:rFonts w:asciiTheme="minorEastAsia" w:hAnsiTheme="minorEastAsia" w:eastAsiaTheme="minorEastAsia"/>
          <w:sz w:val="24"/>
          <w:szCs w:val="24"/>
        </w:rPr>
        <w:t xml:space="preserve"> </w:t>
      </w:r>
    </w:p>
    <w:p w14:paraId="4F72F4B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基金份额进行折算并由登记机构完成基金份额的变更登记后，基金管理人将基金份额折算结果公告登载于规定媒介上。</w:t>
      </w:r>
    </w:p>
    <w:p w14:paraId="0821E294">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（六）</w:t>
      </w:r>
      <w:r>
        <w:rPr>
          <w:rFonts w:hint="eastAsia" w:asciiTheme="minorEastAsia" w:hAnsiTheme="minorEastAsia" w:eastAsiaTheme="minorEastAsia"/>
          <w:sz w:val="24"/>
          <w:szCs w:val="24"/>
        </w:rPr>
        <w:t>基金净值信息</w:t>
      </w:r>
    </w:p>
    <w:p w14:paraId="16FDFBB2">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28AD8A6C">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24A411E6">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454F750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eastAsiaTheme="minorEastAsia"/>
          <w:sz w:val="24"/>
          <w:szCs w:val="24"/>
        </w:rPr>
        <w:t>七</w:t>
      </w:r>
      <w:r>
        <w:rPr>
          <w:rFonts w:hint="eastAsia" w:asciiTheme="minorEastAsia" w:hAnsiTheme="minorEastAsia"/>
          <w:sz w:val="24"/>
          <w:szCs w:val="24"/>
        </w:rPr>
        <w:t>）基金份额申购、赎回</w:t>
      </w:r>
      <w:r>
        <w:rPr>
          <w:rFonts w:asciiTheme="minorEastAsia" w:hAnsiTheme="minorEastAsia" w:eastAsiaTheme="minorEastAsia"/>
          <w:sz w:val="24"/>
          <w:szCs w:val="24"/>
        </w:rPr>
        <w:t>清单</w:t>
      </w:r>
    </w:p>
    <w:p w14:paraId="14496A88">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在开始办理</w:t>
      </w:r>
      <w:r>
        <w:rPr>
          <w:rFonts w:hint="eastAsia" w:asciiTheme="minorEastAsia" w:hAnsiTheme="minorEastAsia" w:eastAsiaTheme="minorEastAsia"/>
          <w:sz w:val="24"/>
          <w:szCs w:val="24"/>
        </w:rPr>
        <w:t>基金份额申购</w:t>
      </w:r>
      <w:r>
        <w:rPr>
          <w:rFonts w:asciiTheme="minorEastAsia" w:hAnsiTheme="minorEastAsia" w:eastAsiaTheme="minorEastAsia"/>
          <w:sz w:val="24"/>
          <w:szCs w:val="24"/>
        </w:rPr>
        <w:t>或者</w:t>
      </w:r>
      <w:r>
        <w:rPr>
          <w:rFonts w:hint="eastAsia" w:asciiTheme="minorEastAsia" w:hAnsiTheme="minorEastAsia" w:eastAsiaTheme="minorEastAsia"/>
          <w:sz w:val="24"/>
          <w:szCs w:val="24"/>
        </w:rPr>
        <w:t>赎回</w:t>
      </w:r>
      <w:r>
        <w:rPr>
          <w:rFonts w:asciiTheme="minorEastAsia" w:hAnsiTheme="minorEastAsia" w:eastAsiaTheme="minorEastAsia"/>
          <w:sz w:val="24"/>
          <w:szCs w:val="24"/>
        </w:rPr>
        <w:t>之后，</w:t>
      </w:r>
      <w:r>
        <w:rPr>
          <w:rFonts w:hint="eastAsia" w:asciiTheme="minorEastAsia" w:hAnsiTheme="minorEastAsia" w:eastAsiaTheme="minorEastAsia"/>
          <w:sz w:val="24"/>
          <w:szCs w:val="24"/>
        </w:rPr>
        <w:t>基金管理人应当在</w:t>
      </w:r>
      <w:r>
        <w:rPr>
          <w:rFonts w:asciiTheme="minorEastAsia" w:hAnsiTheme="minorEastAsia" w:eastAsiaTheme="minorEastAsia"/>
          <w:sz w:val="24"/>
          <w:szCs w:val="24"/>
        </w:rPr>
        <w:t>每个开放日，通过</w:t>
      </w:r>
      <w:r>
        <w:rPr>
          <w:rFonts w:hint="eastAsia" w:asciiTheme="minorEastAsia" w:hAnsiTheme="minorEastAsia" w:eastAsiaTheme="minorEastAsia"/>
          <w:sz w:val="24"/>
          <w:szCs w:val="24"/>
        </w:rPr>
        <w:t>规定网站</w:t>
      </w:r>
      <w:r>
        <w:rPr>
          <w:rFonts w:asciiTheme="minorEastAsia" w:hAnsiTheme="minorEastAsia" w:eastAsiaTheme="minorEastAsia"/>
          <w:sz w:val="24"/>
          <w:szCs w:val="24"/>
        </w:rPr>
        <w:t>、</w:t>
      </w:r>
      <w:r>
        <w:rPr>
          <w:rFonts w:hint="eastAsia" w:asciiTheme="minorEastAsia" w:hAnsiTheme="minorEastAsia" w:eastAsiaTheme="minorEastAsia"/>
          <w:sz w:val="24"/>
          <w:szCs w:val="24"/>
        </w:rPr>
        <w:t>申购赎回</w:t>
      </w:r>
      <w:r>
        <w:rPr>
          <w:rFonts w:asciiTheme="minorEastAsia" w:hAnsiTheme="minorEastAsia" w:eastAsiaTheme="minorEastAsia"/>
          <w:sz w:val="24"/>
          <w:szCs w:val="24"/>
        </w:rPr>
        <w:t>代理券商以及其他媒介公告当日</w:t>
      </w:r>
      <w:r>
        <w:rPr>
          <w:rFonts w:hint="eastAsia" w:asciiTheme="minorEastAsia" w:hAnsiTheme="minorEastAsia" w:eastAsiaTheme="minorEastAsia"/>
          <w:sz w:val="24"/>
          <w:szCs w:val="24"/>
        </w:rPr>
        <w:t>的申购、赎回</w:t>
      </w:r>
      <w:r>
        <w:rPr>
          <w:rFonts w:asciiTheme="minorEastAsia" w:hAnsiTheme="minorEastAsia" w:eastAsiaTheme="minorEastAsia"/>
          <w:sz w:val="24"/>
          <w:szCs w:val="24"/>
        </w:rPr>
        <w:t>清单</w:t>
      </w:r>
      <w:r>
        <w:rPr>
          <w:rFonts w:hint="eastAsia" w:asciiTheme="minorEastAsia" w:hAnsiTheme="minorEastAsia" w:eastAsiaTheme="minorEastAsia"/>
          <w:sz w:val="24"/>
          <w:szCs w:val="24"/>
        </w:rPr>
        <w:t>。</w:t>
      </w:r>
    </w:p>
    <w:p w14:paraId="5F88A6D7">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（八</w:t>
      </w:r>
      <w:r>
        <w:rPr>
          <w:rFonts w:hint="eastAsia" w:asciiTheme="minorEastAsia" w:hAnsiTheme="minorEastAsia"/>
          <w:sz w:val="24"/>
          <w:szCs w:val="24"/>
        </w:rPr>
        <w:t>）基金定期报告，包括基金年度报告、基金中期报告和基金季度报告（含资产组合季度报告）</w:t>
      </w:r>
    </w:p>
    <w:p w14:paraId="1875723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w:t>
      </w:r>
    </w:p>
    <w:p w14:paraId="6CABF90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基金管理人应当在上半年结束之日起两个月内，编制完成基金中期报告，将中期报告登载在规定网站上，并将中期报告</w:t>
      </w:r>
      <w:r>
        <w:rPr>
          <w:rFonts w:asciiTheme="minorEastAsia" w:hAnsiTheme="minorEastAsia"/>
          <w:sz w:val="24"/>
          <w:szCs w:val="24"/>
        </w:rPr>
        <w:t>提示性公告</w:t>
      </w:r>
      <w:r>
        <w:rPr>
          <w:rFonts w:hint="eastAsia" w:asciiTheme="minorEastAsia" w:hAnsiTheme="minorEastAsia"/>
          <w:sz w:val="24"/>
          <w:szCs w:val="24"/>
        </w:rPr>
        <w:t>登载在规定报刊上。</w:t>
      </w:r>
    </w:p>
    <w:p w14:paraId="1C7D793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基金管理人应当在季度结束之日起</w:t>
      </w:r>
      <w:r>
        <w:rPr>
          <w:rFonts w:asciiTheme="minorEastAsia" w:hAnsiTheme="minorEastAsia"/>
          <w:sz w:val="24"/>
          <w:szCs w:val="24"/>
        </w:rPr>
        <w:t>15个工作日内，编制完成基金季度报告，将季度报告登载在规定网站上，并将季度报告提示性公告登载在规定报刊上。</w:t>
      </w:r>
    </w:p>
    <w:p w14:paraId="149F9CE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基金合同生效不足</w:t>
      </w:r>
      <w:r>
        <w:rPr>
          <w:rFonts w:asciiTheme="minorEastAsia" w:hAnsiTheme="minorEastAsia"/>
          <w:sz w:val="24"/>
          <w:szCs w:val="24"/>
        </w:rPr>
        <w:t>2个月的，</w:t>
      </w:r>
      <w:r>
        <w:rPr>
          <w:rFonts w:hint="eastAsia" w:asciiTheme="minorEastAsia" w:hAnsiTheme="minorEastAsia"/>
          <w:sz w:val="24"/>
          <w:szCs w:val="24"/>
        </w:rPr>
        <w:t>本</w:t>
      </w:r>
      <w:r>
        <w:rPr>
          <w:rFonts w:asciiTheme="minorEastAsia" w:hAnsiTheme="minorEastAsia"/>
          <w:sz w:val="24"/>
          <w:szCs w:val="24"/>
        </w:rPr>
        <w:t>基金管理人可以不编制当期季度报告、中期报告或者年度报告。</w:t>
      </w:r>
    </w:p>
    <w:p w14:paraId="4A52272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如报告期内出现单一投资者持有基金份额达到或超过基金总份额</w:t>
      </w:r>
      <w:r>
        <w:rPr>
          <w:rFonts w:asciiTheme="minorEastAsia" w:hAnsiTheme="minorEastAsia"/>
          <w:sz w:val="24"/>
          <w:szCs w:val="24"/>
        </w:rPr>
        <w:t>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CB5AF1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基金管理人应当在基金年度报告和中期报告中披露基金组合资产情况及其流动性风险分析等。</w:t>
      </w:r>
    </w:p>
    <w:p w14:paraId="710B7CC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eastAsiaTheme="minorEastAsia"/>
          <w:sz w:val="24"/>
          <w:szCs w:val="24"/>
        </w:rPr>
        <w:t>九</w:t>
      </w:r>
      <w:r>
        <w:rPr>
          <w:rFonts w:hint="eastAsia" w:asciiTheme="minorEastAsia" w:hAnsiTheme="minorEastAsia"/>
          <w:sz w:val="24"/>
          <w:szCs w:val="24"/>
        </w:rPr>
        <w:t>）临时报告</w:t>
      </w:r>
    </w:p>
    <w:p w14:paraId="60BE62DD">
      <w:pPr>
        <w:snapToGrid w:val="0"/>
        <w:spacing w:line="360" w:lineRule="auto"/>
        <w:ind w:firstLine="480" w:firstLineChars="200"/>
        <w:rPr>
          <w:sz w:val="24"/>
          <w:szCs w:val="24"/>
        </w:rPr>
      </w:pPr>
      <w:r>
        <w:rPr>
          <w:rFonts w:hint="eastAsia" w:asciiTheme="minorEastAsia" w:hAnsiTheme="minorEastAsia"/>
          <w:sz w:val="24"/>
          <w:szCs w:val="24"/>
        </w:rPr>
        <w:t>本基金发生重大事件，有关信息披露义务人应当</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编制临时报告书，并登载在规定报刊和规定网站上。</w:t>
      </w:r>
    </w:p>
    <w:p w14:paraId="02E3954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前款所称重大事件，是指可能对基金份额持有人权益或者基金份额的价格产生重大影响的下列事件：</w:t>
      </w:r>
    </w:p>
    <w:p w14:paraId="6FE261D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、基金份额持有人大会的召开及决定的事项；</w:t>
      </w:r>
    </w:p>
    <w:p w14:paraId="5AD14768">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终止、基金清算</w:t>
      </w:r>
      <w:r>
        <w:rPr>
          <w:rFonts w:hint="eastAsia" w:asciiTheme="minorEastAsia" w:hAnsiTheme="minorEastAsia"/>
          <w:sz w:val="24"/>
          <w:szCs w:val="24"/>
        </w:rPr>
        <w:t>；</w:t>
      </w:r>
    </w:p>
    <w:p w14:paraId="29AD55BF">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、转换基金运作方式、基金合并；</w:t>
      </w:r>
    </w:p>
    <w:p w14:paraId="79BF489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、更换基金管理人、基金托管人、基金份额登记机构，基金改聘会计师事务所；</w:t>
      </w:r>
    </w:p>
    <w:p w14:paraId="3A51B32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5、基金管理人委托基金服务机构代为办理基金的份额登记、核算、估值等事项，基金托管人委托基金服务机构代为办理基金的核算、估值、复核等事项；</w:t>
      </w:r>
    </w:p>
    <w:p w14:paraId="6B52022E">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、基金管理人、基金托管人的法定名称、住所发生变更；</w:t>
      </w:r>
    </w:p>
    <w:p w14:paraId="442A8EF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7、基金管理人变更持有百分之五以上股权的股东、变更基金管理人的实际控制人；</w:t>
      </w:r>
    </w:p>
    <w:p w14:paraId="2FBB046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8、基金募集期延长或提前结束募集；</w:t>
      </w:r>
    </w:p>
    <w:p w14:paraId="34A3B9A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9、基金管理人的高级管理人员、基金经理和基金托管人专门基金托管部门负责人发生变动；</w:t>
      </w:r>
    </w:p>
    <w:p w14:paraId="08153EC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10、基金管理人的董事在最近12个月内变更超过百分之五十，基金管理人、基金托管人专门基金托管部门的主要业务人员在最近12个月内变动超过百分之三十；</w:t>
      </w:r>
    </w:p>
    <w:p w14:paraId="3215A08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11、涉及基金财产、基金管理业务、基金托管业务的诉讼或仲裁；</w:t>
      </w:r>
    </w:p>
    <w:p w14:paraId="02BCEF4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253552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9980C4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14、基金收益分配事项；</w:t>
      </w:r>
    </w:p>
    <w:p w14:paraId="291C638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15、管理费、托管费、申购费、赎回费等费用计提标准、计提方式和费率发生变更；</w:t>
      </w:r>
    </w:p>
    <w:p w14:paraId="4121FF9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16、基金份额净值计价错误达基金份额净值0.5%；</w:t>
      </w:r>
    </w:p>
    <w:p w14:paraId="50561DE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17、本基金开始办理申购、赎回；</w:t>
      </w:r>
    </w:p>
    <w:p w14:paraId="12C580D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18、本基金暂停接受申购、赎回申请或重新接受申购、赎回申请；</w:t>
      </w:r>
    </w:p>
    <w:p w14:paraId="3DED20E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19、基金份额停复牌、暂停上市、恢复上市或终止上市交易；</w:t>
      </w:r>
    </w:p>
    <w:p w14:paraId="4D144BD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20、调整最小申购赎回单位、申购赎回方式及申购对价、赎回对价组成</w:t>
      </w:r>
    </w:p>
    <w:p w14:paraId="1EAE054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21、调整基金份额类别的设置；</w:t>
      </w:r>
    </w:p>
    <w:p w14:paraId="150CE83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22、基金推出新业务或服务；</w:t>
      </w:r>
    </w:p>
    <w:p w14:paraId="2B34FF5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23、发生涉及本基金申购、赎回事项调整或潜在影响投资者赎回等重大事项时；</w:t>
      </w:r>
    </w:p>
    <w:p w14:paraId="2B33738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24、基金信息披露义务人认为可能对基金份额持有人权益或者基金份额的价格产生重大影响的其他事项、中国证监会或本基金合同规定的其他事项。</w:t>
      </w:r>
    </w:p>
    <w:p w14:paraId="6FE40F94">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（十</w:t>
      </w:r>
      <w:r>
        <w:rPr>
          <w:rFonts w:hint="eastAsia" w:asciiTheme="minorEastAsia" w:hAnsiTheme="minorEastAsia"/>
          <w:sz w:val="24"/>
          <w:szCs w:val="24"/>
        </w:rPr>
        <w:t>）澄清公告</w:t>
      </w:r>
    </w:p>
    <w:p w14:paraId="1B36A58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w:t>
      </w:r>
      <w:r>
        <w:rPr>
          <w:rFonts w:asciiTheme="minorEastAsia" w:hAnsiTheme="minorEastAsia" w:eastAsiaTheme="minorEastAsia"/>
          <w:sz w:val="24"/>
          <w:szCs w:val="24"/>
        </w:rPr>
        <w:t>本基金合同</w:t>
      </w:r>
      <w:r>
        <w:rPr>
          <w:rFonts w:hint="eastAsia" w:asciiTheme="minorEastAsia" w:hAnsiTheme="minorEastAsia"/>
          <w:sz w:val="24"/>
          <w:szCs w:val="24"/>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1A7973E1">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（十一）清算报告</w:t>
      </w:r>
    </w:p>
    <w:p w14:paraId="405F42EC">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基金终止运作的，基金管理人应当依法组织清算组对基金财产进行清算并作出清算报告。清算报告应当经过符合《证券法》规定的会计师事务所审计，并由律师事务所出具法律意见书。清算组应当将清算报告登载在规定网站上，并将清算报告提示性公告登载在规定报刊上。</w:t>
      </w:r>
    </w:p>
    <w:p w14:paraId="21973CD1">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（十二）基金份额持有人大会决议</w:t>
      </w:r>
    </w:p>
    <w:p w14:paraId="4204D2A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基金份额持有人大会决定的事项，应当依法报中国证监会备案，并予以公告。</w:t>
      </w:r>
    </w:p>
    <w:p w14:paraId="4E130BE4">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（十三）基金投资资产支持证券的信息披露</w:t>
      </w:r>
    </w:p>
    <w:p w14:paraId="4BBC09E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7D41E1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（十四）基金参与股指期货、国债期货交易的信息披露</w:t>
      </w:r>
    </w:p>
    <w:p w14:paraId="6F92020F">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指期货、国债期货交易情况，包括交易政策、持仓情况、损益情况、风险指标、估值方法等，并充分揭示股指期货、国债期货交易对基金总体风险的影响以及是否符合既定的交易政策和交易目标等。</w:t>
      </w:r>
    </w:p>
    <w:p w14:paraId="4F65E6C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（十五）基金投资股票期权的信息披露</w:t>
      </w:r>
    </w:p>
    <w:p w14:paraId="1352EE0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6F817F6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（十六）参与融资和转融通证券出借业务的信息披露</w:t>
      </w:r>
    </w:p>
    <w:p w14:paraId="56020AA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参与融资和转融通证券出借业务的，基金管理人应当在季度报告、中期报告、年度报告等定期报告和招募说明书（更新）等文件中披露参与融资和转融通证券出借交易情况，包括投资策略、业务开展情况、损益情况、风险及其管理情况等，并就转融通证券出借业务在报告期内发生的重大关联交易事项做详细说明。</w:t>
      </w:r>
    </w:p>
    <w:p w14:paraId="275FA05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（十七）基金投资非公开发行股票的信息披露</w:t>
      </w:r>
    </w:p>
    <w:p w14:paraId="1A96936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DA29F6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（十八）中国证监会规定的其他信息</w:t>
      </w:r>
    </w:p>
    <w:p w14:paraId="02CB08D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六、信息披露事务管理</w:t>
      </w:r>
    </w:p>
    <w:p w14:paraId="421EFDB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基金管理人、基金托管人应当建立健全信息披露管理制度，指定专门部门及高级管理人员负责管理信息披露事务。</w:t>
      </w:r>
    </w:p>
    <w:p w14:paraId="39F7441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基金信息披露义务人公开披露基金信息，应当符合中国证监会相关基金信息披露内容与格式准则等法规以及证券交易所的自律管理规则的规定。</w:t>
      </w:r>
    </w:p>
    <w:p w14:paraId="5DFD3B6B">
      <w:pPr>
        <w:snapToGrid w:val="0"/>
        <w:spacing w:line="360" w:lineRule="auto"/>
        <w:ind w:firstLine="480" w:firstLineChars="200"/>
        <w:rPr>
          <w:rFonts w:asciiTheme="minorEastAsia" w:hAnsiTheme="minorEastAsia"/>
          <w:sz w:val="24"/>
          <w:szCs w:val="24"/>
        </w:rPr>
      </w:pPr>
      <w:bookmarkStart w:id="510" w:name="_Hlk143270711"/>
      <w:r>
        <w:rPr>
          <w:rFonts w:hint="eastAsia" w:asciiTheme="minorEastAsia" w:hAnsiTheme="minorEastAsia"/>
          <w:sz w:val="24"/>
          <w:szCs w:val="24"/>
        </w:rPr>
        <w:t>基金托管人应当按照相关法律法规、中国证监会的规定和基金合同的约定，对基金管理人编制的基金资产净值、基金份额净值、申购对价、赎回对价、基金定期报告、更新的招募说明书、基金产品资料概要、基金清算报告等公开披露的相关基金信息进行复核、审查，并向基金管理人进行书面或电子确认。</w:t>
      </w:r>
    </w:p>
    <w:p w14:paraId="56DD4FC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基金管理人、基金托管人应当在规定报刊中选择一家披露信息的报刊。基金管理人、基金托管人应当向中国证监会基金电子披露网站报送拟披露的基金信息，并保证相关报送信息的真实、准确、完整、及时。</w:t>
      </w:r>
      <w:bookmarkEnd w:id="510"/>
    </w:p>
    <w:p w14:paraId="0349C82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为基金信息披露义务人公开披露的基金信息出具审计报告、法律意见书的专业机构，应当制作工作底稿，并将相关档案至少保存到《基金合同》终止后</w:t>
      </w:r>
      <w:r>
        <w:rPr>
          <w:rFonts w:asciiTheme="minorEastAsia" w:hAnsiTheme="minorEastAsia"/>
          <w:sz w:val="24"/>
          <w:szCs w:val="24"/>
        </w:rPr>
        <w:t>10年。</w:t>
      </w:r>
    </w:p>
    <w:p w14:paraId="4090519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七、信息披露文件的存放与查阅</w:t>
      </w:r>
    </w:p>
    <w:p w14:paraId="7B97DEE2">
      <w:pPr>
        <w:snapToGrid w:val="0"/>
        <w:spacing w:line="360" w:lineRule="auto"/>
        <w:ind w:firstLine="480" w:firstLineChars="200"/>
        <w:rPr>
          <w:rFonts w:asciiTheme="minorEastAsia" w:hAnsiTheme="minorEastAsia"/>
          <w:sz w:val="24"/>
          <w:szCs w:val="24"/>
        </w:rPr>
      </w:pPr>
      <w:bookmarkStart w:id="511" w:name="_Hlk143270775"/>
      <w:r>
        <w:rPr>
          <w:rFonts w:hint="eastAsia" w:asciiTheme="minorEastAsia" w:hAnsiTheme="minorEastAsia"/>
          <w:sz w:val="24"/>
          <w:szCs w:val="24"/>
        </w:rPr>
        <w:t>依法必须披露的信息发布后，基金管理人、基金托管人应当按照相关法律法规规定将信息置备于各自住所和基金上市交易的证券交易所，供社会公众查阅、复制。</w:t>
      </w:r>
      <w:bookmarkEnd w:id="511"/>
    </w:p>
    <w:p w14:paraId="0C4E75B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八、暂停或延迟披露基金相关信息的情形</w:t>
      </w:r>
    </w:p>
    <w:p w14:paraId="3905EF3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当出现下述情况时，基金管理人和基金托管人可暂停或延迟披露基金相关信息：</w:t>
      </w:r>
    </w:p>
    <w:p w14:paraId="33B75B7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512" w:name="_Toc8049"/>
      <w:bookmarkStart w:id="513" w:name="_Toc123051465"/>
      <w:bookmarkStart w:id="514" w:name="_Toc27464"/>
      <w:bookmarkStart w:id="515" w:name="_Toc98560364"/>
      <w:bookmarkStart w:id="516" w:name="_Toc25647"/>
      <w:bookmarkStart w:id="517" w:name="_Toc123112247"/>
      <w:bookmarkStart w:id="518" w:name="_Toc7170"/>
      <w:bookmarkStart w:id="519" w:name="_Toc90742405"/>
      <w:bookmarkStart w:id="520" w:name="_Toc90742336"/>
      <w:bookmarkStart w:id="521" w:name="_Toc22978"/>
      <w:bookmarkStart w:id="522" w:name="_Toc141703899"/>
      <w:bookmarkStart w:id="523" w:name="_Toc29891"/>
      <w:bookmarkStart w:id="524" w:name="_Toc11113"/>
      <w:bookmarkStart w:id="525" w:name="_Toc123102466"/>
      <w:bookmarkStart w:id="526" w:name="_Toc90742703"/>
      <w:bookmarkStart w:id="527" w:name="_Toc8059"/>
      <w:bookmarkStart w:id="528" w:name="_Toc10006"/>
      <w:bookmarkStart w:id="529" w:name="_Toc9005"/>
      <w:bookmarkStart w:id="530" w:name="_Toc139991749"/>
      <w:bookmarkStart w:id="531" w:name="_Toc6237"/>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、不可抗力；</w:t>
      </w:r>
    </w:p>
    <w:p w14:paraId="1C3BA9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bookmarkStart w:id="532" w:name="_Hlk143270271"/>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基金发生暂停估值的情形</w:t>
      </w:r>
      <w:bookmarkEnd w:id="532"/>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7E5A76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3、法律法规、</w:t>
      </w:r>
      <w:bookmarkStart w:id="533" w:name="_Hlk143270895"/>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中国证监会和基金合同认定的其它情形</w:t>
      </w:r>
      <w:bookmarkEnd w:id="53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6B9235A">
      <w:pPr>
        <w:pStyle w:val="2"/>
        <w:rPr>
          <w:szCs w:val="24"/>
        </w:rPr>
        <w:sectPr>
          <w:footerReference r:id="rId26" w:type="default"/>
          <w:pgSz w:w="11906" w:h="16838"/>
          <w:pgMar w:top="1440" w:right="1800" w:bottom="1440" w:left="1800" w:header="851" w:footer="992" w:gutter="0"/>
          <w:pgNumType w:start="1"/>
          <w:cols w:space="425" w:num="1"/>
          <w:formProt w:val="0"/>
          <w:docGrid w:type="lines" w:linePitch="312" w:charSpace="0"/>
        </w:sectPr>
      </w:pPr>
    </w:p>
    <w:bookmarkEnd w:id="509"/>
    <w:p w14:paraId="4EB4F5BE">
      <w:pPr>
        <w:pStyle w:val="2"/>
        <w:rPr>
          <w:szCs w:val="24"/>
        </w:rPr>
      </w:pPr>
      <w:bookmarkStart w:id="534" w:name="CTS_d8d3aba4060d44e09bfc607b026e1c17"/>
      <w:bookmarkEnd w:id="534"/>
      <w:bookmarkStart w:id="535" w:name="_Hlt88828593"/>
      <w:bookmarkStart w:id="536" w:name="_Toc64923785"/>
      <w:bookmarkStart w:id="537" w:name="_Toc73975098"/>
      <w:bookmarkStart w:id="538" w:name="CLAUSE_d8d3aba4060d44e09bfc607b026e1c17"/>
      <w:r>
        <w:rPr>
          <w:rFonts w:hint="eastAsia" w:cs="Arial"/>
          <w:szCs w:val="24"/>
        </w:rPr>
        <w:t>第二十一</w:t>
      </w:r>
      <w:r>
        <w:rPr>
          <w:rFonts w:hint="eastAsia"/>
          <w:szCs w:val="24"/>
        </w:rPr>
        <w:t>部分</w:t>
      </w:r>
      <w:r>
        <w:rPr>
          <w:szCs w:val="24"/>
        </w:rPr>
        <w:t xml:space="preserve"> </w:t>
      </w:r>
      <w:r>
        <w:rPr>
          <w:rFonts w:hint="eastAsia"/>
          <w:szCs w:val="24"/>
        </w:rPr>
        <w:t>基金合同</w:t>
      </w:r>
      <w:bookmarkEnd w:id="535"/>
      <w:r>
        <w:rPr>
          <w:rFonts w:hint="eastAsia"/>
          <w:szCs w:val="24"/>
        </w:rPr>
        <w:t>的变更、终止与基金财产的清算</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6"/>
      <w:bookmarkEnd w:id="537"/>
    </w:p>
    <w:p w14:paraId="0F4461CE">
      <w:pPr>
        <w:spacing w:line="360" w:lineRule="auto"/>
        <w:ind w:firstLine="480" w:firstLineChars="200"/>
        <w:rPr>
          <w:rFonts w:asciiTheme="minorEastAsia" w:hAnsiTheme="minorEastAsia"/>
          <w:sz w:val="24"/>
          <w:szCs w:val="24"/>
        </w:rPr>
      </w:pPr>
      <w:bookmarkStart w:id="539" w:name="_Toc79392639"/>
    </w:p>
    <w:p w14:paraId="4D68CD4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一、《基金合同》的变更</w:t>
      </w:r>
      <w:bookmarkEnd w:id="539"/>
    </w:p>
    <w:p w14:paraId="4898653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197037A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011352B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二、《基金合同》的终止事由</w:t>
      </w:r>
    </w:p>
    <w:p w14:paraId="5D58080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1539939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5CE00E5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1A936E4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24F9B27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4、相关法律法规和中国证监会规定的其他情况。</w:t>
      </w:r>
    </w:p>
    <w:p w14:paraId="1A406CE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三、基金财产的清算</w:t>
      </w:r>
    </w:p>
    <w:p w14:paraId="349F96F1">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696E6308">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4ADA0EAF">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2A72352E">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7A6EE4D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0B4F43F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7AEE0AA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191B98E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52C6006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11096BF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3180D88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3700549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22B9131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311F5AF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1AF0786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四、清算费用</w:t>
      </w:r>
    </w:p>
    <w:p w14:paraId="1647479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4791DBE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五、基金财产清算剩余资产的分配</w:t>
      </w:r>
    </w:p>
    <w:p w14:paraId="41ADC5F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428FA20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六、基金财产清算的公告</w:t>
      </w:r>
    </w:p>
    <w:p w14:paraId="1B4749C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18E5EE0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七、基金财产清算账册及文件的保存</w:t>
      </w:r>
    </w:p>
    <w:p w14:paraId="47E82AE6">
      <w:pPr>
        <w:adjustRightInd w:val="0"/>
        <w:snapToGrid w:val="0"/>
        <w:spacing w:line="360" w:lineRule="auto"/>
        <w:ind w:firstLine="42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sz w:val="24"/>
          <w:szCs w:val="24"/>
        </w:rPr>
        <w:t>基金财产清算账册及有关文件由基金托管人保存，保存期限不低于法定最低期限。</w:t>
      </w:r>
      <w:bookmarkStart w:id="540" w:name="_Hlt130184353"/>
      <w:bookmarkEnd w:id="540"/>
    </w:p>
    <w:p w14:paraId="1F2A3A87">
      <w:pPr>
        <w:pStyle w:val="2"/>
        <w:rPr>
          <w:szCs w:val="24"/>
        </w:rPr>
        <w:sectPr>
          <w:footerReference r:id="rId27" w:type="default"/>
          <w:pgSz w:w="11906" w:h="16838"/>
          <w:pgMar w:top="1440" w:right="1800" w:bottom="1440" w:left="1800" w:header="851" w:footer="992" w:gutter="0"/>
          <w:pgNumType w:start="1"/>
          <w:cols w:space="425" w:num="1"/>
          <w:formProt w:val="0"/>
          <w:docGrid w:type="lines" w:linePitch="312" w:charSpace="0"/>
        </w:sectPr>
      </w:pPr>
      <w:bookmarkStart w:id="541" w:name="_Toc141703901"/>
      <w:bookmarkStart w:id="542" w:name="_Toc90742406"/>
      <w:bookmarkStart w:id="543" w:name="_Toc90742337"/>
      <w:bookmarkStart w:id="544" w:name="_Toc123112248"/>
      <w:bookmarkStart w:id="545" w:name="_Toc90742704"/>
      <w:bookmarkStart w:id="546" w:name="_Toc48649720"/>
      <w:bookmarkStart w:id="547" w:name="_Toc123051466"/>
      <w:bookmarkStart w:id="548" w:name="_Toc79392641"/>
      <w:bookmarkStart w:id="549" w:name="_Toc9708"/>
      <w:bookmarkStart w:id="550" w:name="_Toc30645"/>
      <w:bookmarkStart w:id="551" w:name="_Toc7367"/>
      <w:bookmarkStart w:id="552" w:name="_Toc139991750"/>
      <w:bookmarkStart w:id="553" w:name="_Toc27058"/>
      <w:bookmarkStart w:id="554" w:name="_Toc98560365"/>
      <w:bookmarkStart w:id="555" w:name="_Toc12191"/>
      <w:bookmarkStart w:id="556" w:name="_Toc21240"/>
      <w:bookmarkStart w:id="557" w:name="_Toc8710"/>
      <w:bookmarkStart w:id="558" w:name="_Toc23022"/>
      <w:bookmarkStart w:id="559" w:name="_Toc28549"/>
      <w:bookmarkStart w:id="560" w:name="_Toc23166"/>
      <w:bookmarkStart w:id="561" w:name="_Toc123102467"/>
      <w:bookmarkStart w:id="562" w:name="_Toc13398"/>
    </w:p>
    <w:bookmarkEnd w:id="538"/>
    <w:p w14:paraId="34FC0B96">
      <w:pPr>
        <w:pStyle w:val="2"/>
        <w:rPr>
          <w:szCs w:val="24"/>
        </w:rPr>
      </w:pPr>
      <w:bookmarkStart w:id="563" w:name="CTS_b69c6869f1eb4e2db4b0286f2444be4e"/>
      <w:bookmarkEnd w:id="563"/>
      <w:bookmarkStart w:id="564" w:name="_Toc73975099"/>
      <w:bookmarkStart w:id="565" w:name="_Toc64923786"/>
      <w:bookmarkStart w:id="566" w:name="CLAUSE_b69c6869f1eb4e2db4b0286f2444be4e"/>
      <w:r>
        <w:rPr>
          <w:rFonts w:hint="eastAsia" w:cs="Arial"/>
          <w:szCs w:val="24"/>
        </w:rPr>
        <w:t>第二十二</w:t>
      </w:r>
      <w:r>
        <w:rPr>
          <w:rFonts w:hint="eastAsia"/>
          <w:szCs w:val="24"/>
        </w:rPr>
        <w:t>部分</w:t>
      </w:r>
      <w:r>
        <w:rPr>
          <w:szCs w:val="24"/>
        </w:rPr>
        <w:t xml:space="preserve"> </w:t>
      </w:r>
      <w:r>
        <w:rPr>
          <w:rFonts w:hint="eastAsia"/>
          <w:szCs w:val="24"/>
        </w:rPr>
        <w:t>违约责任</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4"/>
      <w:bookmarkEnd w:id="565"/>
    </w:p>
    <w:p w14:paraId="44554ED6">
      <w:pPr>
        <w:spacing w:line="360" w:lineRule="auto"/>
        <w:ind w:firstLine="480" w:firstLineChars="200"/>
        <w:rPr>
          <w:rFonts w:asciiTheme="minorEastAsia" w:hAnsiTheme="minorEastAsia"/>
          <w:sz w:val="24"/>
          <w:szCs w:val="24"/>
        </w:rPr>
      </w:pPr>
    </w:p>
    <w:p w14:paraId="17BE3D5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Theme="minorEastAsia" w:hAnsiTheme="minorEastAsia" w:eastAsiaTheme="minorEastAsia"/>
          <w:sz w:val="24"/>
          <w:szCs w:val="24"/>
        </w:rPr>
        <w:t>但是发生下列情况的，当事人免责：</w:t>
      </w:r>
    </w:p>
    <w:p w14:paraId="7842EA2B">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w:t>
      </w:r>
    </w:p>
    <w:p w14:paraId="3A1E781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2、基金管理人和/或基金托管人按照届时有效的法律法规或中国证监会的规定作为或不作为而造成的损失等；</w:t>
      </w:r>
    </w:p>
    <w:p w14:paraId="3DF20FF4">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、基金管理人由于按照基金合同规定行使或不行使其投资权而造成的损失等。</w:t>
      </w:r>
    </w:p>
    <w:p w14:paraId="0A5AD85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asciiTheme="minorEastAsia" w:hAnsiTheme="minorEastAsia"/>
          <w:sz w:val="24"/>
          <w:szCs w:val="24"/>
        </w:rPr>
        <w:t xml:space="preserve"> </w:t>
      </w:r>
    </w:p>
    <w:p w14:paraId="5A29324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bookmarkStart w:id="567" w:name="_Hlk64639934"/>
      <w:r>
        <w:rPr>
          <w:rFonts w:hint="eastAsia" w:asciiTheme="minorEastAsia" w:hAnsiTheme="minorEastAsia"/>
          <w:sz w:val="24"/>
          <w:szCs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asciiTheme="minorEastAsia" w:hAnsiTheme="minorEastAsia" w:eastAsiaTheme="minorEastAsia"/>
          <w:sz w:val="24"/>
          <w:szCs w:val="24"/>
        </w:rPr>
        <w:t>或减轻</w:t>
      </w:r>
      <w:r>
        <w:rPr>
          <w:rFonts w:hint="eastAsia" w:asciiTheme="minorEastAsia" w:hAnsiTheme="minorEastAsia"/>
          <w:sz w:val="24"/>
          <w:szCs w:val="24"/>
        </w:rPr>
        <w:t>由此造成的影响。</w:t>
      </w:r>
      <w:bookmarkEnd w:id="567"/>
    </w:p>
    <w:p w14:paraId="797AB6FD">
      <w:pPr>
        <w:spacing w:line="360" w:lineRule="auto"/>
        <w:ind w:firstLine="480" w:firstLineChars="200"/>
        <w:rPr>
          <w:rFonts w:asciiTheme="minorEastAsia" w:hAnsiTheme="minorEastAsia"/>
          <w:sz w:val="24"/>
          <w:szCs w:val="24"/>
        </w:rPr>
      </w:pPr>
      <w:bookmarkStart w:id="568" w:name="_Toc90742407"/>
      <w:bookmarkStart w:id="569" w:name="_Toc90742338"/>
      <w:bookmarkStart w:id="570" w:name="_Toc90742705"/>
      <w:bookmarkStart w:id="571" w:name="_Toc8636"/>
      <w:bookmarkStart w:id="572" w:name="_Toc123051467"/>
      <w:bookmarkStart w:id="573" w:name="_Toc25651"/>
      <w:bookmarkStart w:id="574" w:name="_Toc23999"/>
      <w:bookmarkStart w:id="575" w:name="_Toc141703902"/>
      <w:bookmarkStart w:id="576" w:name="_Toc7288"/>
      <w:bookmarkStart w:id="577" w:name="_Toc98560366"/>
      <w:bookmarkStart w:id="578" w:name="_Toc139991751"/>
      <w:bookmarkStart w:id="579" w:name="_Toc123102468"/>
      <w:bookmarkStart w:id="580" w:name="_Toc3319"/>
      <w:bookmarkStart w:id="581" w:name="_Toc6110"/>
      <w:bookmarkStart w:id="582" w:name="_Toc21983"/>
      <w:bookmarkStart w:id="583" w:name="_Toc30350"/>
      <w:bookmarkStart w:id="584" w:name="_Toc123112249"/>
      <w:bookmarkStart w:id="585" w:name="_Toc1790"/>
      <w:bookmarkStart w:id="586" w:name="_Toc6202"/>
      <w:bookmarkStart w:id="587" w:name="_Toc24923"/>
    </w:p>
    <w:bookmarkEnd w:id="566"/>
    <w:p w14:paraId="4901DE8C">
      <w:pPr>
        <w:pStyle w:val="2"/>
        <w:rPr>
          <w:szCs w:val="24"/>
        </w:rPr>
        <w:sectPr>
          <w:footerReference r:id="rId28" w:type="default"/>
          <w:pgSz w:w="11906" w:h="16838"/>
          <w:pgMar w:top="1440" w:right="1800" w:bottom="1440" w:left="1800" w:header="851" w:footer="992" w:gutter="0"/>
          <w:pgNumType w:start="1"/>
          <w:cols w:space="425" w:num="1"/>
          <w:formProt w:val="0"/>
          <w:docGrid w:type="lines" w:linePitch="312" w:charSpace="0"/>
        </w:sectPr>
      </w:pPr>
    </w:p>
    <w:p w14:paraId="4F2590BB">
      <w:pPr>
        <w:pStyle w:val="2"/>
        <w:rPr>
          <w:szCs w:val="24"/>
        </w:rPr>
      </w:pPr>
      <w:bookmarkStart w:id="588" w:name="CTS_ca48ed0358bf4882801c7e4af7e0c98a"/>
      <w:bookmarkEnd w:id="588"/>
      <w:bookmarkStart w:id="589" w:name="_Toc64923787"/>
      <w:bookmarkStart w:id="590" w:name="_Toc73975100"/>
      <w:bookmarkStart w:id="591" w:name="CLAUSE_ca48ed0358bf4882801c7e4af7e0c98a"/>
      <w:r>
        <w:rPr>
          <w:rFonts w:hint="eastAsia" w:cs="Arial"/>
          <w:szCs w:val="24"/>
        </w:rPr>
        <w:t>第二十三部分</w:t>
      </w:r>
      <w:r>
        <w:rPr>
          <w:szCs w:val="24"/>
        </w:rPr>
        <w:t xml:space="preserve"> 争议的处理</w:t>
      </w:r>
      <w:bookmarkEnd w:id="568"/>
      <w:bookmarkEnd w:id="569"/>
      <w:bookmarkEnd w:id="570"/>
      <w:r>
        <w:rPr>
          <w:rFonts w:hint="eastAsia"/>
          <w:szCs w:val="24"/>
        </w:rPr>
        <w:t>和适用的法律</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9"/>
      <w:bookmarkEnd w:id="590"/>
    </w:p>
    <w:p w14:paraId="6F2E2B46">
      <w:pPr>
        <w:spacing w:line="360" w:lineRule="auto"/>
        <w:ind w:firstLine="480" w:firstLineChars="200"/>
        <w:rPr>
          <w:rFonts w:asciiTheme="minorEastAsia" w:hAnsiTheme="minorEastAsia"/>
          <w:sz w:val="24"/>
          <w:szCs w:val="24"/>
        </w:rPr>
      </w:pPr>
    </w:p>
    <w:p w14:paraId="593F185C">
      <w:pPr>
        <w:snapToGrid w:val="0"/>
        <w:spacing w:line="360" w:lineRule="auto"/>
        <w:ind w:firstLine="482" w:firstLineChars="200"/>
        <w:rPr>
          <w:rFonts w:asciiTheme="minorEastAsia" w:hAnsiTheme="minorEastAsia" w:eastAsiaTheme="minorEastAsia"/>
          <w:b/>
          <w:bCs/>
          <w:i/>
          <w:iCs/>
          <w:sz w:val="24"/>
          <w:szCs w:val="24"/>
        </w:rPr>
      </w:pPr>
      <w:r>
        <w:rPr>
          <w:rFonts w:hint="eastAsia" w:asciiTheme="minorEastAsia" w:hAnsiTheme="minorEastAsia" w:eastAsiaTheme="minorEastAsia"/>
          <w:b/>
          <w:bCs/>
          <w:i/>
          <w:iCs/>
          <w:sz w:val="24"/>
          <w:szCs w:val="24"/>
        </w:rPr>
        <w:t>各方当事人同意，因《基金合同》而产生的或与《基金合同》有关的一切争议，如不愿或者不能通过协商、调解解决的，应将争议提交深圳国际仲裁院（深圳仲裁委员会），按照深圳国际仲裁院（深圳仲裁委员会）届时有效的仲裁规则进行仲裁。仲裁地点为深圳市。仲裁裁决是终局的，对各方当事人均有约束力</w:t>
      </w:r>
      <w:bookmarkStart w:id="592" w:name="_Hlk64639976"/>
      <w:r>
        <w:rPr>
          <w:rFonts w:hint="eastAsia" w:asciiTheme="minorEastAsia" w:hAnsiTheme="minorEastAsia" w:eastAsiaTheme="minorEastAsia"/>
          <w:b/>
          <w:bCs/>
          <w:i/>
          <w:iCs/>
          <w:sz w:val="24"/>
          <w:szCs w:val="24"/>
        </w:rPr>
        <w:t>。除非仲裁裁决另有规定</w:t>
      </w:r>
      <w:bookmarkEnd w:id="592"/>
      <w:r>
        <w:rPr>
          <w:rFonts w:hint="eastAsia" w:asciiTheme="minorEastAsia" w:hAnsiTheme="minorEastAsia" w:eastAsiaTheme="minorEastAsia"/>
          <w:b/>
          <w:bCs/>
          <w:i/>
          <w:iCs/>
          <w:sz w:val="24"/>
          <w:szCs w:val="24"/>
        </w:rPr>
        <w:t>，仲裁费由败诉方承担。</w:t>
      </w:r>
    </w:p>
    <w:bookmarkEnd w:id="591"/>
    <w:p w14:paraId="64966C0B">
      <w:pPr>
        <w:snapToGrid w:val="0"/>
        <w:spacing w:line="360" w:lineRule="auto"/>
        <w:ind w:firstLine="482" w:firstLineChars="200"/>
        <w:rPr>
          <w:rFonts w:asciiTheme="minorEastAsia" w:hAnsiTheme="minorEastAsia" w:eastAsiaTheme="minorEastAsia"/>
          <w:b/>
          <w:bCs/>
          <w:i/>
          <w:iCs/>
          <w:sz w:val="24"/>
          <w:szCs w:val="24"/>
        </w:rPr>
      </w:pPr>
      <w:bookmarkStart w:id="593" w:name="_Toc28690"/>
      <w:bookmarkStart w:id="594" w:name="_Toc123051468"/>
      <w:bookmarkStart w:id="595" w:name="_Toc11618"/>
      <w:bookmarkStart w:id="596" w:name="_Toc8454"/>
      <w:bookmarkStart w:id="597" w:name="_Toc139991752"/>
      <w:bookmarkStart w:id="598" w:name="_Toc8703"/>
      <w:bookmarkStart w:id="599" w:name="_Toc123112250"/>
      <w:bookmarkStart w:id="600" w:name="_Toc31966"/>
      <w:bookmarkStart w:id="601" w:name="_Toc141703903"/>
      <w:bookmarkStart w:id="602" w:name="_Toc123102469"/>
      <w:bookmarkStart w:id="603" w:name="_Toc23991"/>
      <w:bookmarkStart w:id="604" w:name="_Toc29505"/>
      <w:bookmarkStart w:id="605" w:name="_Toc26461"/>
      <w:bookmarkStart w:id="606" w:name="_Toc2532"/>
      <w:bookmarkStart w:id="607" w:name="_Toc484"/>
      <w:bookmarkStart w:id="608" w:name="_Toc20350"/>
      <w:r>
        <w:rPr>
          <w:rFonts w:hint="eastAsia" w:asciiTheme="minorEastAsia" w:hAnsiTheme="minorEastAsia" w:eastAsiaTheme="minorEastAsia"/>
          <w:b/>
          <w:bCs/>
          <w:i/>
          <w:iCs/>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79BBCE0A">
      <w:pPr>
        <w:adjustRightInd w:val="0"/>
        <w:snapToGrid w:val="0"/>
        <w:spacing w:line="360" w:lineRule="auto"/>
        <w:ind w:firstLine="420"/>
        <w:rPr>
          <w:rFonts w:asciiTheme="minorEastAsia" w:hAnsiTheme="minorEastAsia"/>
          <w:b/>
          <w:bCs/>
          <w:i/>
          <w:i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b/>
          <w:bCs/>
          <w:i/>
          <w:iCs/>
          <w:sz w:val="24"/>
          <w:szCs w:val="24"/>
        </w:rPr>
        <w:t>《基金合同》受中国法律（为本基金合同之目的，在此不包括香港、澳门特别行政区法律和台湾地区的有关规定）管辖并从其解释。</w:t>
      </w:r>
    </w:p>
    <w:p w14:paraId="03B496F5">
      <w:pPr>
        <w:pStyle w:val="2"/>
        <w:rPr>
          <w:szCs w:val="24"/>
        </w:rPr>
        <w:sectPr>
          <w:footerReference r:id="rId29" w:type="default"/>
          <w:pgSz w:w="11906" w:h="16838"/>
          <w:pgMar w:top="1440" w:right="1800" w:bottom="1440" w:left="1800" w:header="851" w:footer="992" w:gutter="0"/>
          <w:pgNumType w:start="1"/>
          <w:cols w:space="425" w:num="1"/>
          <w:formProt w:val="0"/>
          <w:docGrid w:type="lines" w:linePitch="312" w:charSpace="0"/>
        </w:sectPr>
      </w:pPr>
    </w:p>
    <w:p w14:paraId="03688968">
      <w:pPr>
        <w:pStyle w:val="2"/>
        <w:rPr>
          <w:szCs w:val="24"/>
        </w:rPr>
      </w:pPr>
      <w:bookmarkStart w:id="609" w:name="CTS_e0293bcfa4544bac8a39c99acec0c0b6"/>
      <w:bookmarkEnd w:id="609"/>
      <w:bookmarkStart w:id="610" w:name="_Toc64923788"/>
      <w:bookmarkStart w:id="611" w:name="_Toc73975101"/>
      <w:bookmarkStart w:id="612" w:name="CLAUSE_e0293bcfa4544bac8a39c99acec0c0b6"/>
      <w:r>
        <w:rPr>
          <w:rFonts w:hint="eastAsia" w:cs="Arial"/>
          <w:szCs w:val="24"/>
        </w:rPr>
        <w:t>第二十四</w:t>
      </w:r>
      <w:r>
        <w:rPr>
          <w:rFonts w:hint="eastAsia"/>
          <w:szCs w:val="24"/>
        </w:rPr>
        <w:t>部分</w:t>
      </w:r>
      <w:r>
        <w:rPr>
          <w:szCs w:val="24"/>
        </w:rPr>
        <w:t xml:space="preserve"> </w:t>
      </w:r>
      <w:r>
        <w:rPr>
          <w:rFonts w:hint="eastAsia"/>
          <w:szCs w:val="24"/>
        </w:rPr>
        <w:t>基金合同的效力</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10"/>
      <w:bookmarkEnd w:id="611"/>
    </w:p>
    <w:p w14:paraId="5C6C17EC">
      <w:pPr>
        <w:snapToGrid w:val="0"/>
        <w:spacing w:line="360" w:lineRule="auto"/>
        <w:ind w:firstLine="480" w:firstLineChars="200"/>
        <w:rPr>
          <w:rFonts w:asciiTheme="minorEastAsia" w:hAnsiTheme="minorEastAsia"/>
          <w:sz w:val="24"/>
          <w:szCs w:val="24"/>
        </w:rPr>
      </w:pPr>
    </w:p>
    <w:p w14:paraId="39DE9AF7">
      <w:pPr>
        <w:snapToGrid w:val="0"/>
        <w:spacing w:line="360" w:lineRule="auto"/>
        <w:ind w:firstLine="480" w:firstLineChars="200"/>
        <w:rPr>
          <w:rFonts w:asciiTheme="minorEastAsia" w:hAnsiTheme="minorEastAsia"/>
          <w:sz w:val="24"/>
          <w:szCs w:val="24"/>
        </w:rPr>
      </w:pPr>
      <w:r>
        <w:rPr>
          <w:rFonts w:asciiTheme="minorEastAsia" w:hAnsiTheme="minorEastAsia" w:eastAsiaTheme="minorEastAsia"/>
          <w:sz w:val="24"/>
          <w:szCs w:val="24"/>
        </w:rPr>
        <w:t>基金合同</w:t>
      </w:r>
      <w:r>
        <w:rPr>
          <w:rFonts w:hint="eastAsia" w:asciiTheme="minorEastAsia" w:hAnsiTheme="minorEastAsia"/>
          <w:sz w:val="24"/>
          <w:szCs w:val="24"/>
        </w:rPr>
        <w:t>是约定基金合同当事人之间权利义务关系的法律文件。</w:t>
      </w:r>
    </w:p>
    <w:p w14:paraId="2BEBD497">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sz w:val="24"/>
          <w:szCs w:val="24"/>
        </w:rPr>
        <w:t>《基金合同》经基金管理人、基金托管人双方盖章（公章或合同专用章）以及双方法定代表人或授权代表签字</w:t>
      </w:r>
      <w:bookmarkStart w:id="613" w:name="_Hlk64640016"/>
      <w:r>
        <w:rPr>
          <w:rFonts w:hint="eastAsia" w:asciiTheme="minorEastAsia" w:hAnsiTheme="minorEastAsia"/>
          <w:sz w:val="24"/>
          <w:szCs w:val="24"/>
        </w:rPr>
        <w:t>或</w:t>
      </w:r>
      <w:bookmarkEnd w:id="613"/>
      <w:r>
        <w:rPr>
          <w:rFonts w:hint="eastAsia" w:asciiTheme="minorEastAsia" w:hAnsiTheme="minorEastAsia"/>
          <w:sz w:val="24"/>
          <w:szCs w:val="24"/>
        </w:rPr>
        <w:t>盖</w:t>
      </w:r>
      <w:r>
        <w:rPr>
          <w:rFonts w:hint="eastAsia" w:asciiTheme="minorEastAsia" w:hAnsiTheme="minorEastAsia" w:eastAsiaTheme="minorEastAsia"/>
          <w:sz w:val="24"/>
          <w:szCs w:val="24"/>
        </w:rPr>
        <w:t>章</w:t>
      </w:r>
      <w:r>
        <w:rPr>
          <w:rFonts w:hint="eastAsia" w:asciiTheme="minorEastAsia" w:hAnsiTheme="minorEastAsia"/>
          <w:sz w:val="24"/>
          <w:szCs w:val="24"/>
        </w:rPr>
        <w:t>并在募集结束后经基金管理人向中国证监会办理基金备案手续，并经中国证监会书面确认后生效。</w:t>
      </w:r>
    </w:p>
    <w:p w14:paraId="11477D0D">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sz w:val="24"/>
          <w:szCs w:val="24"/>
        </w:rPr>
        <w:t>《基金合同》的有效期自其生效之日起至基金财产清算结果报中国证监会备案并公告之日止。</w:t>
      </w:r>
    </w:p>
    <w:p w14:paraId="7E95072D">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自生效之日起对包括基金管理人、基金托管人和基金份额持有人在内的</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各方当事人具有同等的法律约束力。</w:t>
      </w:r>
    </w:p>
    <w:p w14:paraId="3641570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四、《基金合同》</w:t>
      </w:r>
      <w:bookmarkStart w:id="614" w:name="_Hlk143272068"/>
      <w:r>
        <w:rPr>
          <w:rFonts w:hint="eastAsia" w:asciiTheme="minorEastAsia" w:hAnsiTheme="minorEastAsia" w:eastAsiaTheme="minorEastAsia"/>
          <w:sz w:val="24"/>
          <w:szCs w:val="24"/>
        </w:rPr>
        <w:t>正本一式三份</w:t>
      </w:r>
      <w:bookmarkEnd w:id="614"/>
      <w:r>
        <w:rPr>
          <w:rFonts w:hint="eastAsia" w:asciiTheme="minorEastAsia" w:hAnsiTheme="minorEastAsia" w:eastAsiaTheme="minorEastAsia"/>
          <w:sz w:val="24"/>
          <w:szCs w:val="24"/>
        </w:rPr>
        <w:t>，除上报有关监管机构一份外，基金管理人、基金托管人各持有一份，每份具有同等的法律效力。</w:t>
      </w:r>
    </w:p>
    <w:p w14:paraId="03B4E0B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可印制成册，供</w:t>
      </w:r>
      <w:r>
        <w:rPr>
          <w:rFonts w:asciiTheme="minorEastAsia" w:hAnsiTheme="minorEastAsia" w:eastAsiaTheme="minorEastAsia"/>
          <w:sz w:val="24"/>
          <w:szCs w:val="24"/>
        </w:rPr>
        <w:t>投资人</w:t>
      </w:r>
      <w:r>
        <w:rPr>
          <w:rFonts w:hint="eastAsia" w:asciiTheme="minorEastAsia" w:hAnsiTheme="minorEastAsia" w:eastAsiaTheme="minorEastAsia"/>
          <w:sz w:val="24"/>
          <w:szCs w:val="24"/>
        </w:rPr>
        <w:t>在基金管理人、基金托管人、</w:t>
      </w:r>
      <w:r>
        <w:rPr>
          <w:rFonts w:asciiTheme="minorEastAsia" w:hAnsiTheme="minorEastAsia" w:eastAsiaTheme="minorEastAsia"/>
          <w:sz w:val="24"/>
          <w:szCs w:val="24"/>
        </w:rPr>
        <w:t>代销</w:t>
      </w:r>
      <w:r>
        <w:rPr>
          <w:rFonts w:hint="eastAsia" w:asciiTheme="minorEastAsia" w:hAnsiTheme="minorEastAsia" w:eastAsiaTheme="minorEastAsia"/>
          <w:sz w:val="24"/>
          <w:szCs w:val="24"/>
        </w:rPr>
        <w:t>机构</w:t>
      </w:r>
      <w:r>
        <w:rPr>
          <w:rFonts w:asciiTheme="minorEastAsia" w:hAnsiTheme="minorEastAsia" w:eastAsiaTheme="minorEastAsia"/>
          <w:sz w:val="24"/>
          <w:szCs w:val="24"/>
        </w:rPr>
        <w:t>和登记机构</w:t>
      </w:r>
      <w:r>
        <w:rPr>
          <w:rFonts w:hint="eastAsia" w:asciiTheme="minorEastAsia" w:hAnsiTheme="minorEastAsia" w:eastAsiaTheme="minorEastAsia"/>
          <w:sz w:val="24"/>
          <w:szCs w:val="24"/>
        </w:rPr>
        <w:t>办公场所查阅。</w:t>
      </w:r>
    </w:p>
    <w:p w14:paraId="4D1CB9C5">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612"/>
    <w:p w14:paraId="2E78416B">
      <w:pPr>
        <w:pStyle w:val="2"/>
        <w:rPr>
          <w:szCs w:val="24"/>
        </w:rPr>
        <w:sectPr>
          <w:footerReference r:id="rId30" w:type="default"/>
          <w:pgSz w:w="11906" w:h="16838"/>
          <w:pgMar w:top="1440" w:right="1800" w:bottom="1440" w:left="1800" w:header="851" w:footer="992" w:gutter="0"/>
          <w:pgNumType w:start="1"/>
          <w:cols w:space="425" w:num="1"/>
          <w:formProt w:val="0"/>
          <w:docGrid w:type="lines" w:linePitch="312" w:charSpace="0"/>
        </w:sectPr>
      </w:pPr>
    </w:p>
    <w:p w14:paraId="0CBCD470">
      <w:pPr>
        <w:pStyle w:val="2"/>
        <w:rPr>
          <w:szCs w:val="24"/>
        </w:rPr>
      </w:pPr>
      <w:bookmarkStart w:id="615" w:name="CTS_0467a38cd9ce462381256d127af2578b"/>
      <w:bookmarkEnd w:id="615"/>
      <w:bookmarkStart w:id="616" w:name="_Toc73975102"/>
      <w:bookmarkStart w:id="617" w:name="_Toc64923789"/>
      <w:bookmarkStart w:id="618" w:name="CLAUSE_0467a38cd9ce462381256d127af2578b"/>
      <w:r>
        <w:rPr>
          <w:rFonts w:hint="eastAsia" w:cs="Arial"/>
          <w:szCs w:val="24"/>
        </w:rPr>
        <w:t>第二十五部分</w:t>
      </w:r>
      <w:r>
        <w:rPr>
          <w:rFonts w:cs="Arial"/>
          <w:szCs w:val="24"/>
        </w:rPr>
        <w:t xml:space="preserve"> </w:t>
      </w:r>
      <w:r>
        <w:rPr>
          <w:szCs w:val="24"/>
        </w:rPr>
        <w:t>其他事项</w:t>
      </w:r>
      <w:bookmarkEnd w:id="616"/>
      <w:bookmarkEnd w:id="617"/>
    </w:p>
    <w:p w14:paraId="432E7B11">
      <w:pPr>
        <w:snapToGrid w:val="0"/>
        <w:spacing w:line="360" w:lineRule="auto"/>
        <w:ind w:firstLine="480" w:firstLineChars="200"/>
        <w:rPr>
          <w:rFonts w:asciiTheme="minorEastAsia" w:hAnsiTheme="minorEastAsia" w:eastAsiaTheme="minorEastAsia"/>
          <w:sz w:val="24"/>
          <w:szCs w:val="24"/>
        </w:rPr>
      </w:pPr>
    </w:p>
    <w:p w14:paraId="693425B9">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本基金合同如有未尽事宜，由本基金合同当事人各方按有关法律法规和规定协商解决。</w:t>
      </w:r>
    </w:p>
    <w:p w14:paraId="10980F4A">
      <w:pPr>
        <w:widowControl/>
        <w:adjustRightInd w:val="0"/>
        <w:snapToGrid w:val="0"/>
        <w:spacing w:line="360" w:lineRule="auto"/>
        <w:ind w:firstLine="420"/>
        <w:jc w:val="left"/>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619" w:name="_Hlt70506133"/>
      <w:bookmarkEnd w:id="619"/>
    </w:p>
    <w:p w14:paraId="06BD424A">
      <w:pPr>
        <w:pStyle w:val="2"/>
        <w:numPr>
          <w:ilvl w:val="0"/>
          <w:numId w:val="0"/>
        </w:numPr>
        <w:rPr>
          <w:szCs w:val="24"/>
        </w:rPr>
        <w:sectPr>
          <w:footerReference r:id="rId31" w:type="default"/>
          <w:pgSz w:w="11906" w:h="16838"/>
          <w:pgMar w:top="1440" w:right="1800" w:bottom="1440" w:left="1800" w:header="851" w:footer="992" w:gutter="0"/>
          <w:pgNumType w:start="1"/>
          <w:cols w:space="425" w:num="1"/>
          <w:formProt w:val="0"/>
          <w:docGrid w:type="lines" w:linePitch="312" w:charSpace="0"/>
        </w:sectPr>
      </w:pPr>
      <w:bookmarkStart w:id="620" w:name="_Toc20098"/>
      <w:bookmarkStart w:id="621" w:name="_Toc12499"/>
      <w:bookmarkStart w:id="622" w:name="_Toc141703905"/>
      <w:bookmarkStart w:id="623" w:name="_Toc15045"/>
      <w:bookmarkStart w:id="624" w:name="_Toc21122"/>
      <w:bookmarkStart w:id="625" w:name="_Toc5108"/>
      <w:bookmarkStart w:id="626" w:name="_Toc32355"/>
      <w:bookmarkStart w:id="627" w:name="_Toc7437"/>
      <w:bookmarkStart w:id="628" w:name="_Toc1360"/>
      <w:bookmarkStart w:id="629" w:name="_Toc9054"/>
      <w:bookmarkStart w:id="630" w:name="_Toc17263"/>
      <w:bookmarkStart w:id="631" w:name="_Toc15664"/>
    </w:p>
    <w:bookmarkEnd w:id="79"/>
    <w:bookmarkEnd w:id="80"/>
    <w:bookmarkEnd w:id="618"/>
    <w:bookmarkEnd w:id="620"/>
    <w:bookmarkEnd w:id="621"/>
    <w:bookmarkEnd w:id="622"/>
    <w:bookmarkEnd w:id="623"/>
    <w:bookmarkEnd w:id="624"/>
    <w:bookmarkEnd w:id="625"/>
    <w:bookmarkEnd w:id="626"/>
    <w:bookmarkEnd w:id="627"/>
    <w:bookmarkEnd w:id="628"/>
    <w:bookmarkEnd w:id="629"/>
    <w:bookmarkEnd w:id="630"/>
    <w:bookmarkEnd w:id="631"/>
    <w:p w14:paraId="7662A1E4">
      <w:pPr>
        <w:pStyle w:val="2"/>
        <w:rPr>
          <w:szCs w:val="24"/>
        </w:rPr>
      </w:pPr>
      <w:bookmarkStart w:id="632" w:name="CTS_29082ad408584f21b84b12a25e49a578"/>
      <w:bookmarkEnd w:id="632"/>
      <w:bookmarkStart w:id="633" w:name="CTS_b2b4391577a34bfdb54a83ce825656c0"/>
      <w:bookmarkEnd w:id="633"/>
      <w:bookmarkStart w:id="634" w:name="_Toc73975103"/>
      <w:bookmarkStart w:id="635" w:name="_Toc64923790"/>
      <w:bookmarkStart w:id="636" w:name="CLAUSE_29082ad408584f21b84b12a25e49a578"/>
      <w:bookmarkStart w:id="637" w:name="CLAUSE_8b26ebca218f4e8e8ab8bd3117d3e0c1"/>
      <w:r>
        <w:rPr>
          <w:rFonts w:hint="eastAsia"/>
          <w:szCs w:val="24"/>
        </w:rPr>
        <w:t>第二十六部分</w:t>
      </w:r>
      <w:r>
        <w:rPr>
          <w:szCs w:val="24"/>
        </w:rPr>
        <w:t xml:space="preserve"> </w:t>
      </w:r>
      <w:r>
        <w:rPr>
          <w:rFonts w:hint="eastAsia"/>
          <w:szCs w:val="24"/>
        </w:rPr>
        <w:t>基金合同摘要</w:t>
      </w:r>
      <w:bookmarkEnd w:id="634"/>
      <w:bookmarkEnd w:id="635"/>
    </w:p>
    <w:p w14:paraId="40E9AE40">
      <w:pPr>
        <w:snapToGrid w:val="0"/>
        <w:spacing w:line="360" w:lineRule="auto"/>
        <w:ind w:firstLine="480" w:firstLineChars="200"/>
        <w:rPr>
          <w:rFonts w:ascii="宋体" w:hAnsi="宋体"/>
          <w:sz w:val="24"/>
          <w:szCs w:val="24"/>
        </w:rPr>
      </w:pPr>
    </w:p>
    <w:p w14:paraId="5FCEA1FE">
      <w:pPr>
        <w:snapToGrid w:val="0"/>
        <w:spacing w:line="360" w:lineRule="auto"/>
        <w:ind w:firstLine="480" w:firstLineChars="200"/>
        <w:rPr>
          <w:rFonts w:ascii="宋体" w:hAnsi="宋体"/>
          <w:sz w:val="24"/>
          <w:szCs w:val="24"/>
        </w:rPr>
      </w:pPr>
      <w:r>
        <w:rPr>
          <w:rFonts w:hint="eastAsia" w:ascii="宋体" w:hAnsi="宋体"/>
          <w:sz w:val="24"/>
          <w:szCs w:val="24"/>
        </w:rPr>
        <w:t>一、基金份额持有人、基金管理人和基金托管人的权利、义务</w:t>
      </w:r>
    </w:p>
    <w:p w14:paraId="152977D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（一）基金份额持有人的权利与义务</w:t>
      </w:r>
    </w:p>
    <w:p w14:paraId="72E6985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370294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每份基金份额具有同等的合法权益。</w:t>
      </w:r>
    </w:p>
    <w:p w14:paraId="50EBC46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1、根据《基金法》、《运作办法》及其他有关规定，基金份额持有人的权利包括但不限于：</w:t>
      </w:r>
    </w:p>
    <w:p w14:paraId="7FD9C3A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（1）分享基金财产收益；</w:t>
      </w:r>
    </w:p>
    <w:p w14:paraId="6033FEF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（2）参与分配清算后的剩余基金财产；</w:t>
      </w:r>
    </w:p>
    <w:p w14:paraId="45CA0C9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（3）依法转让或者申请赎回其持有的基金份额；</w:t>
      </w:r>
    </w:p>
    <w:p w14:paraId="7352178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（4）按照规定要求召开基金份额持有人大会或者召集基金份额持有人大会；</w:t>
      </w:r>
    </w:p>
    <w:p w14:paraId="2F5CAC7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（5）出席或者委派代表出席基金份额持有人大会，对基金份额持有人大会审议事项行使表决权；</w:t>
      </w:r>
    </w:p>
    <w:p w14:paraId="1151542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（6）查阅或者复制公开披露的基金信息资料；</w:t>
      </w:r>
    </w:p>
    <w:p w14:paraId="78155C5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（7）监督基金管理人的投资运作；</w:t>
      </w:r>
    </w:p>
    <w:p w14:paraId="6684541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（8）对基金管理人、基金托管人、基金服务机构损害其合法权益的行为依法提起诉讼或仲裁；</w:t>
      </w:r>
    </w:p>
    <w:p w14:paraId="7D9AD22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（9）法律法规及中国证监会规定的和《基金合同》约定的其他权利。</w:t>
      </w:r>
    </w:p>
    <w:p w14:paraId="377C9C7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2、根据《基金法》、《运作办法》及其他有关规定，基金份额持有人的义务包括但不限于：</w:t>
      </w:r>
    </w:p>
    <w:p w14:paraId="428BAF4A">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（1）认真阅读并遵守《基金合同》、招募说明书及基金产品资料概要等信息披露文件；</w:t>
      </w:r>
    </w:p>
    <w:p w14:paraId="03D081DA">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（2）了解所投资基金产品，了解自身风险承受能力，自主判断基金的投资价值，自主做出投资决策，自行承担投资风险；</w:t>
      </w:r>
    </w:p>
    <w:p w14:paraId="7112451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（3）关注基金信息披露，及时行使权利和履行义务；</w:t>
      </w:r>
    </w:p>
    <w:p w14:paraId="64F236D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（4）交纳基金认购款项和/或认购股票、申购对价及法律法规和《基金合同》所规定的费用；</w:t>
      </w:r>
    </w:p>
    <w:p w14:paraId="3B2F812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（5）在其持有的基金份额范围内，承担基金亏损或者《基金合同》终止的有限责任；</w:t>
      </w:r>
    </w:p>
    <w:p w14:paraId="287A3F8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（6）不从事任何有损基金及其他《基金合同》当事人合法权益的活动；</w:t>
      </w:r>
    </w:p>
    <w:p w14:paraId="74E33A9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（7）执行生效的基金份额持有人大会的决议；</w:t>
      </w:r>
    </w:p>
    <w:p w14:paraId="4C4C717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（8）返还在基金交易过程中因任何原因获得的不当得利；</w:t>
      </w:r>
    </w:p>
    <w:p w14:paraId="2BA92F8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（9）法律法规及中国证监会规定的和《基金合同》约定的其他义务。</w:t>
      </w:r>
    </w:p>
    <w:p w14:paraId="149042D4">
      <w:pPr>
        <w:snapToGrid w:val="0"/>
        <w:spacing w:line="360" w:lineRule="auto"/>
        <w:ind w:firstLine="480" w:firstLineChars="200"/>
        <w:rPr>
          <w:rFonts w:ascii="宋体" w:hAnsi="宋体"/>
          <w:sz w:val="24"/>
          <w:szCs w:val="24"/>
        </w:rPr>
      </w:pPr>
      <w:r>
        <w:rPr>
          <w:rFonts w:hint="eastAsia" w:ascii="宋体" w:hAnsi="宋体"/>
          <w:sz w:val="24"/>
          <w:szCs w:val="24"/>
        </w:rPr>
        <w:t>（二）基金管理人的权利与义务</w:t>
      </w:r>
    </w:p>
    <w:p w14:paraId="7D60861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7B063B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3927D7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4875FD4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7181C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1A4D5F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）按照规定召集基金份额持有人大会；</w:t>
      </w:r>
    </w:p>
    <w:p w14:paraId="25438F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2BDD24D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5DDAF1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336F61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52ED766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7AE4BB6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33F5C0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75F8DB9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670DD0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18098C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415187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6FB81A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04D214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0A5A3A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4274FA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1CBBCE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6BE0A8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24AB2E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561FEB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p>
    <w:p w14:paraId="218DFB4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5EEED6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0BBAD18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1905CA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0E3DB22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6FE96C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68EC74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523B6B1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C8918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427D754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62085CD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DF55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13E90A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6E365F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36ECC9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34E939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725F58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4EDC343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70CCB9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78E572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155E2693">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57FA96F7">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ascii="宋体" w:hAnsi="宋体"/>
          <w:sz w:val="24"/>
          <w:szCs w:val="24"/>
        </w:rPr>
        <w:tab/>
      </w:r>
      <w:r>
        <w:rPr>
          <w:rFonts w:ascii="宋体" w:hAnsi="宋体"/>
          <w:sz w:val="24"/>
          <w:szCs w:val="24"/>
        </w:rPr>
        <w:t>基金托管人的权利与义务</w:t>
      </w:r>
    </w:p>
    <w:p w14:paraId="437E591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612CE5F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127F96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43AEBE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D90B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EA353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7ABDD4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5F8A73E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5D8DEB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28A33F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19BA606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1E115A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ABDA63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789DC6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57CD2E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7575E79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474328E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w:t>
      </w:r>
    </w:p>
    <w:p w14:paraId="76843E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4A5C54C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32E686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（11）保存基金托管业务活动的记录、账册、报表和其他相关资料，保存期限不低于法定最低期限；</w:t>
      </w:r>
    </w:p>
    <w:p w14:paraId="36693E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7EA279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3A2989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6688C2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2797CE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05DADF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38B705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w:t>
      </w:r>
      <w:r>
        <w:rPr>
          <w:rFonts w:hint="eastAsia" w:ascii="宋体" w:hAnsi="宋体"/>
          <w:color w:val="0C0C0C"/>
          <w:sz w:val="24"/>
          <w:szCs w:val="24"/>
        </w:rPr>
        <w:t>和银行业监督管理机构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，并通知基金管理人；</w:t>
      </w:r>
    </w:p>
    <w:p w14:paraId="60621F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2F5222C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7D0D706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079D20A5">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p w14:paraId="31FA0088">
      <w:pPr>
        <w:snapToGrid w:val="0"/>
        <w:spacing w:line="360" w:lineRule="auto"/>
        <w:ind w:firstLine="480" w:firstLineChars="200"/>
        <w:rPr>
          <w:rFonts w:ascii="宋体" w:hAnsi="宋体"/>
          <w:sz w:val="24"/>
          <w:szCs w:val="24"/>
        </w:rPr>
      </w:pPr>
      <w:r>
        <w:rPr>
          <w:rFonts w:hint="eastAsia" w:ascii="宋体" w:hAnsi="宋体"/>
          <w:sz w:val="24"/>
          <w:szCs w:val="24"/>
        </w:rPr>
        <w:t>二、基金份额持有人大会召集、议事及表决的程序和规则</w:t>
      </w:r>
    </w:p>
    <w:p w14:paraId="5EF329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3196EFB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067633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7FAE9C9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8BA012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42CB2D47">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0794DD2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（一）召开事由</w:t>
      </w:r>
    </w:p>
    <w:p w14:paraId="74F4EB4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72F2A88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62393E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491BE82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4EA53D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343D55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3001DB3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524360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7DCA12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4C2318F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7981CE5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03D6B1B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5E6B4F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55DAB1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41CADA9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1E30C0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4F4C38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3A23841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7F8F6FF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3CC87D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727CC4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37866DF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3B34931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6AFB9958">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5136A37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（二）会议召集人及召集方式</w:t>
      </w:r>
    </w:p>
    <w:p w14:paraId="382974E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97795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BAEE41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2F71B7C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38A40A5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082E46B0">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725A8A8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（三）召开基金份额持有人大会的通知时间、通知内容、通知方式</w:t>
      </w:r>
    </w:p>
    <w:p w14:paraId="168241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1E13E1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7BC8CB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61303F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12F77E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BC83E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0C0B539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29936BA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1794BEC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068AAF8">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A73C68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（四）基金份额持有人出席会议的方式</w:t>
      </w:r>
    </w:p>
    <w:p w14:paraId="169432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4E60B7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F7252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E2CAC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0A89CE9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3C76D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74C7FC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3726665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57301D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BEA61D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19B786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30B305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EE6031E">
      <w:pPr>
        <w:adjustRightInd w:val="0"/>
        <w:snapToGrid w:val="0"/>
        <w:spacing w:line="360" w:lineRule="auto"/>
        <w:ind w:firstLine="480" w:firstLineChars="200"/>
        <w:rPr>
          <w:rFonts w:ascii="宋体" w:hAnsi="宋体"/>
          <w:color w:val="0C0C0C"/>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法律法规或监管机构允许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3912820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（五）议事内容与程序</w:t>
      </w:r>
    </w:p>
    <w:p w14:paraId="1612D7C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6BECBE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5883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02C3D9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2E69F8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326487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55A5FD0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5BE951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20E6D3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5256CD02">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6703B88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（六）表决</w:t>
      </w:r>
    </w:p>
    <w:p w14:paraId="14CA84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3841A0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48AFF4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215510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77832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392660D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105DF2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7F34614A">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178550C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（七）计票</w:t>
      </w:r>
    </w:p>
    <w:p w14:paraId="707927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72EA7CD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8C3B1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766FDA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C1C00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194C64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22C9A36F">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C8F950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（八）生效与公告</w:t>
      </w:r>
    </w:p>
    <w:p w14:paraId="1B5597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3DB1F2C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6EBC99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基金份额持有人大会决议自生效之日起依照《信息披露办法》在规定媒介上公告。如果采用通讯方式进行表决，在公告基金份额持有人大会决议时，必须将公证书全文、公证机构、公证员姓名等一同公告。</w:t>
      </w:r>
    </w:p>
    <w:p w14:paraId="546947A6">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65EE9A9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p w14:paraId="0DACC921">
      <w:pPr>
        <w:snapToGrid w:val="0"/>
        <w:spacing w:line="360" w:lineRule="auto"/>
        <w:ind w:firstLine="480" w:firstLineChars="200"/>
        <w:rPr>
          <w:rFonts w:ascii="宋体" w:hAnsi="宋体"/>
          <w:sz w:val="24"/>
          <w:szCs w:val="24"/>
        </w:rPr>
      </w:pPr>
      <w:r>
        <w:rPr>
          <w:rFonts w:hint="eastAsia" w:ascii="宋体" w:hAnsi="宋体"/>
          <w:sz w:val="24"/>
          <w:szCs w:val="24"/>
        </w:rPr>
        <w:t>三、基金收益分配原则、执行方式</w:t>
      </w:r>
    </w:p>
    <w:p w14:paraId="38ACB4A8">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（一）基金收益分配原则</w:t>
      </w:r>
    </w:p>
    <w:p w14:paraId="549B57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1、本基金基金份额的收益分配方式采用现金分红；</w:t>
      </w:r>
    </w:p>
    <w:p w14:paraId="667180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2、当收益评价日核定的基金份额净值增长率超过标的指数同期增长率达到0.01%以上时，可进行收益分配；</w:t>
      </w:r>
    </w:p>
    <w:p w14:paraId="2B5923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本基金以使收益分配后基金份额净值增长率尽可能贴近标的指数同期增长率为原则进行收益分配。基于本基金的性质和特点，本基金收益分配不须以弥补亏损为前提，收益分配后有可能使除息后的基金份额净值低于面值；</w:t>
      </w:r>
    </w:p>
    <w:p w14:paraId="15B3C5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4、若《基金合同》生效不满3个月可不进行收益分配；</w:t>
      </w:r>
    </w:p>
    <w:p w14:paraId="2C9AB4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5、每一基金份额享有同等分配权；</w:t>
      </w:r>
    </w:p>
    <w:p w14:paraId="460972D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6、法律法规或监管机关、证券交易所、登记机构另有规定的，从其规定。</w:t>
      </w:r>
    </w:p>
    <w:p w14:paraId="7388BFB5">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在不违反法律法规且对基金份额持有人利益无实质性不利影响的前提下，基金管理人经与基金托管人协商一致后可对基金收益分配原则进行调整，并及时公告。</w:t>
      </w:r>
    </w:p>
    <w:p w14:paraId="602F75C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（二）基金收益分配比例及金额的确定原则</w:t>
      </w:r>
    </w:p>
    <w:p w14:paraId="17C5D98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1、在收益评价日，基金管理人计算基金份额净值增长率、标的指数同期增长率。</w:t>
      </w:r>
    </w:p>
    <w:p w14:paraId="1C3653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基金收益评价日本基金相对标的指数的超额收益率＝基金份额净值增长率－标的指数同期增长率。</w:t>
      </w:r>
    </w:p>
    <w:p w14:paraId="6B2878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0AA70AF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期间如发生基金份额折算、拆分或合并，则以基金份额折算、经拆分或合并调整后的基金份额折算日为初始日重新计算上述指标。</w:t>
      </w:r>
    </w:p>
    <w:p w14:paraId="455CF5A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收益评价日日期以本基金日后相关公告为准。</w:t>
      </w:r>
    </w:p>
    <w:p w14:paraId="1A4909E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2、根据前述收益分配原则计算截至基金收益评价日本基金的份额可分配收益，并确定收益分配比例。</w:t>
      </w:r>
    </w:p>
    <w:p w14:paraId="7F0D6430">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3、根据前述可分配利润及收益分配比例计算收益分配金额。</w:t>
      </w:r>
    </w:p>
    <w:p w14:paraId="3FC9890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（三）收益分配方案</w:t>
      </w:r>
    </w:p>
    <w:p w14:paraId="319A106E">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基金收益分配方案中应载明基金收益分配对象、分配时间、分配数额及比例、分配方式等内容。</w:t>
      </w:r>
    </w:p>
    <w:p w14:paraId="7E752BB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（四）收益分配方案的确定、公告与实施</w:t>
      </w:r>
    </w:p>
    <w:p w14:paraId="701B10ED">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本基金收益分配方案由基金管理人拟定，并由基金托管人复核，依照《信息披露办法》的有关规定在规定媒介公告。</w:t>
      </w:r>
    </w:p>
    <w:p w14:paraId="5965414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（五）基金收益分配中发生的费用</w:t>
      </w:r>
    </w:p>
    <w:p w14:paraId="1C85C092">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基金收益分配时所发生的银行转账或其他手续费用由投资者自行承担。</w:t>
      </w:r>
    </w:p>
    <w:p w14:paraId="523965F9">
      <w:pPr>
        <w:snapToGrid w:val="0"/>
        <w:spacing w:line="360" w:lineRule="auto"/>
        <w:ind w:firstLine="480" w:firstLineChars="200"/>
        <w:rPr>
          <w:rFonts w:ascii="宋体" w:hAnsi="宋体"/>
          <w:sz w:val="24"/>
          <w:szCs w:val="24"/>
        </w:rPr>
      </w:pPr>
      <w:r>
        <w:rPr>
          <w:rFonts w:hint="eastAsia" w:ascii="宋体" w:hAnsi="宋体"/>
          <w:sz w:val="24"/>
          <w:szCs w:val="24"/>
        </w:rPr>
        <w:t>四、与基金财产管理、运作有关费用的提取、支付方式与比例</w:t>
      </w:r>
    </w:p>
    <w:p w14:paraId="7F09DF7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（一）基金费用的种类</w:t>
      </w:r>
    </w:p>
    <w:p w14:paraId="38CFBD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1494019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0D0D2F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4DD7DC3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6D270D8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5、《基金合同》生效后与基金相关的会计师费、律师费、审计费、公证费、仲裁费和诉讼费；</w:t>
      </w:r>
    </w:p>
    <w:p w14:paraId="0E3EEA0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1EA5F83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7、基金银行汇划费用、账户开户及维护费用、场内注册登记费用、IOPV计算与发布费用、收益分配中发生的费用（银行转账或其他手续费用除外）；</w:t>
      </w:r>
    </w:p>
    <w:p w14:paraId="6030741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3DE20725">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2338F52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（二）基金费用计提方法、计提标准和支付方式</w:t>
      </w:r>
    </w:p>
    <w:p w14:paraId="5B21A36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348740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43BA8A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6654207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446E44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549C9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逐日累计至每月月末，按月支付，由基金管理人向基金托管人发送基金管理费划款指令，基金托管人复核后于次月前3个工作日内从基金财产中一次性支付给基金管理人。若遇法定节假日、公休假等，支付日期顺延至最近可支付日支付。</w:t>
      </w:r>
    </w:p>
    <w:p w14:paraId="0ABD03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1034FA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5B7D52B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71DBC9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17D84B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FD0A6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逐日累计至每月月末，按月支付，由基金管理人向基金托管人发送基金托管费划款指令，基金托管人复核后于次月前3个工作日内从基金财产中一次性支取。若遇法定节假日、公休假等，支付日期顺延至最近可支付日支付。</w:t>
      </w:r>
    </w:p>
    <w:p w14:paraId="6298E2EB">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1E4637C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（三）不列入基金费用的项目</w:t>
      </w:r>
    </w:p>
    <w:p w14:paraId="06D772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1252D5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0EE4E5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7E4DA5C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03DD86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4753A9E">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0569DA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15EB2334">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p>
    <w:p w14:paraId="78B24E5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（四）基金税收</w:t>
      </w:r>
    </w:p>
    <w:p w14:paraId="6B736C1F">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607C67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五、基金资产的投资范围和投资限制</w:t>
      </w:r>
    </w:p>
    <w:p w14:paraId="3356928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（一）投资范围</w:t>
      </w:r>
    </w:p>
    <w:p w14:paraId="1B40658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10843B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3BF7B53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28EFD53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13D3C8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3EB2F901">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73077DF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（二）投资限制</w:t>
      </w:r>
    </w:p>
    <w:p w14:paraId="01786E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04315BF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74A2AD35">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（1）本基金投资于标的指数成份股和备选成份股（含存托凭证）的资产比例不低于基金资产净值的90%，且不低于非现金基金资产的80%；</w:t>
      </w:r>
    </w:p>
    <w:p w14:paraId="1FDBCDB7">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（2）本基金每个交易日日终在扣除股指期货、股票期权和国债期货合约需缴纳的交易保证金后，应当保持不低于交易保证金一倍的现金，其中现金不包括结算备付金、存出保证金和应收申购款等；</w:t>
      </w:r>
    </w:p>
    <w:p w14:paraId="4E6F98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2A40413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7E11DE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0E985F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0697643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78ED70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47F6078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448CA0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6204F7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738BB4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519082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2FEB600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73CF221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6C5AAAE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6D5A8F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46467EC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197B0C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209509D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10A886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2C3EC7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7F7A87D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1ABA73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7DFE8B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29382BF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AFA97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2AA1C9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1BB8BB5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18F84F5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0908F9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38587A1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3551A9D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18ED67E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66B72D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1C5C76D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2248A59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5804AF1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46BE42D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C1766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78D0D7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7EF0554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038D6E">
      <w:pPr>
        <w:snapToGrid w:val="0"/>
        <w:spacing w:line="360" w:lineRule="auto"/>
        <w:ind w:firstLine="480" w:firstLineChars="200"/>
        <w:rPr>
          <w:rFonts w:ascii="宋体" w:hAnsi="宋体"/>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455A7AD">
      <w:pPr>
        <w:snapToGrid w:val="0"/>
        <w:spacing w:line="360" w:lineRule="auto"/>
        <w:ind w:firstLine="480" w:firstLineChars="200"/>
        <w:rPr>
          <w:rFonts w:ascii="宋体" w:hAnsi="宋体"/>
          <w:sz w:val="24"/>
          <w:szCs w:val="24"/>
        </w:rPr>
      </w:pPr>
      <w:r>
        <w:rPr>
          <w:rFonts w:hint="eastAsia" w:ascii="宋体" w:hAnsi="宋体"/>
          <w:sz w:val="24"/>
          <w:szCs w:val="24"/>
        </w:rPr>
        <w:t>六、基金资产净值的计算方法和公告方式</w:t>
      </w:r>
    </w:p>
    <w:p w14:paraId="750E7535">
      <w:pPr>
        <w:snapToGrid w:val="0"/>
        <w:spacing w:line="360" w:lineRule="auto"/>
        <w:ind w:firstLine="480" w:firstLineChars="200"/>
        <w:rPr>
          <w:rFonts w:ascii="宋体" w:hAnsi="宋体"/>
          <w:sz w:val="24"/>
          <w:szCs w:val="24"/>
        </w:rPr>
      </w:pPr>
      <w:r>
        <w:rPr>
          <w:rFonts w:hint="eastAsia" w:ascii="宋体" w:hAnsi="宋体"/>
          <w:sz w:val="24"/>
          <w:szCs w:val="24"/>
        </w:rPr>
        <w:t>（一）基金资产净值的计算方式</w:t>
      </w:r>
    </w:p>
    <w:p w14:paraId="46B35888">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695830FF">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w:t>
      </w:r>
      <w:r>
        <w:rPr>
          <w:rFonts w:hint="eastAsia" w:ascii="宋体" w:hAnsi="宋体"/>
          <w:sz w:val="24"/>
          <w:szCs w:val="24"/>
        </w:rPr>
        <w:t>估值方法</w:t>
      </w:r>
    </w:p>
    <w:p w14:paraId="775C8D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AAE3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1AEB0D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467E20E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FC23D0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9AC04F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2747664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792A7C0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6DE48C5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（2）首次公开发行未上市的股票，采用估值技术确定公允价值，在估值技术难以可靠计量公允价值的情况下，按成本估值；</w:t>
      </w:r>
    </w:p>
    <w:p w14:paraId="73E85B7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40AB6A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1A0F1D2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50DF641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250FECA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6EF56BE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583A26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12、如有确凿证据表明按上述方法进行估值不能客观反映其公允价值的，基金管理人可根据具体情况与基金托管人商定后，按最能反映公允价值的方法估值。</w:t>
      </w:r>
    </w:p>
    <w:p w14:paraId="49E7FB7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63A731C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202CF9C2">
      <w:pPr>
        <w:snapToGrid w:val="0"/>
        <w:spacing w:line="360" w:lineRule="auto"/>
        <w:ind w:firstLine="480" w:firstLineChars="200"/>
        <w:rPr>
          <w:rFonts w:ascii="宋体" w:hAnsi="宋体"/>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78763AE0">
      <w:pPr>
        <w:snapToGrid w:val="0"/>
        <w:spacing w:line="360" w:lineRule="auto"/>
        <w:ind w:firstLine="480" w:firstLineChars="200"/>
        <w:rPr>
          <w:rFonts w:ascii="宋体" w:hAnsi="宋体"/>
          <w:sz w:val="24"/>
          <w:szCs w:val="24"/>
        </w:rPr>
      </w:pPr>
      <w:r>
        <w:rPr>
          <w:rFonts w:hint="eastAsia" w:ascii="宋体" w:hAnsi="宋体"/>
          <w:sz w:val="24"/>
          <w:szCs w:val="24"/>
        </w:rPr>
        <w:t>（三）基金净值信息</w:t>
      </w:r>
    </w:p>
    <w:p w14:paraId="6ABD9471">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05F490A4">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125D9209">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2AB82E6D">
      <w:pPr>
        <w:snapToGrid w:val="0"/>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基金合同的变更、终止与基金财产的清算</w:t>
      </w:r>
    </w:p>
    <w:p w14:paraId="76D9C630">
      <w:pPr>
        <w:snapToGrid w:val="0"/>
        <w:spacing w:line="360" w:lineRule="auto"/>
        <w:ind w:firstLine="480" w:firstLineChars="200"/>
        <w:rPr>
          <w:rFonts w:ascii="宋体" w:hAnsi="宋体"/>
          <w:sz w:val="24"/>
          <w:szCs w:val="24"/>
        </w:rPr>
      </w:pPr>
      <w:r>
        <w:rPr>
          <w:rFonts w:hint="eastAsia" w:ascii="宋体" w:hAnsi="宋体"/>
          <w:sz w:val="24"/>
          <w:szCs w:val="24"/>
        </w:rPr>
        <w:t>（一）《基金合同》的变更</w:t>
      </w:r>
    </w:p>
    <w:p w14:paraId="1B95214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432AE57B">
      <w:pPr>
        <w:snapToGrid w:val="0"/>
        <w:spacing w:line="360" w:lineRule="auto"/>
        <w:ind w:firstLine="480" w:firstLineChars="200"/>
        <w:rPr>
          <w:rFonts w:ascii="宋体" w:hAnsi="宋体"/>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5FB2721A">
      <w:pPr>
        <w:snapToGrid w:val="0"/>
        <w:spacing w:line="360" w:lineRule="auto"/>
        <w:ind w:firstLine="480" w:firstLineChars="200"/>
        <w:rPr>
          <w:rFonts w:ascii="宋体" w:hAnsi="宋体"/>
          <w:sz w:val="24"/>
          <w:szCs w:val="24"/>
        </w:rPr>
      </w:pPr>
      <w:r>
        <w:rPr>
          <w:rFonts w:hint="eastAsia" w:ascii="宋体" w:hAnsi="宋体"/>
          <w:sz w:val="24"/>
          <w:szCs w:val="24"/>
        </w:rPr>
        <w:t>（二）《基金合同》的终止事由</w:t>
      </w:r>
    </w:p>
    <w:p w14:paraId="5BD0482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606CF1E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4E89472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037B259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265CFE53">
      <w:pPr>
        <w:snapToGrid w:val="0"/>
        <w:spacing w:line="360" w:lineRule="auto"/>
        <w:ind w:firstLine="480" w:firstLineChars="200"/>
        <w:rPr>
          <w:rFonts w:ascii="宋体" w:hAnsi="宋体"/>
          <w:sz w:val="24"/>
          <w:szCs w:val="24"/>
        </w:rPr>
      </w:pPr>
      <w:r>
        <w:rPr>
          <w:rFonts w:hint="eastAsia" w:asciiTheme="minorEastAsia" w:hAnsiTheme="minorEastAsia"/>
          <w:sz w:val="24"/>
          <w:szCs w:val="24"/>
        </w:rPr>
        <w:t>4、相关法律法规和中国证监会规定的其他情况。</w:t>
      </w:r>
    </w:p>
    <w:p w14:paraId="5895770A">
      <w:pPr>
        <w:snapToGrid w:val="0"/>
        <w:spacing w:line="360" w:lineRule="auto"/>
        <w:ind w:firstLine="480" w:firstLineChars="200"/>
        <w:rPr>
          <w:rFonts w:ascii="宋体" w:hAnsi="宋体"/>
          <w:sz w:val="24"/>
          <w:szCs w:val="24"/>
        </w:rPr>
      </w:pPr>
      <w:r>
        <w:rPr>
          <w:rFonts w:hint="eastAsia" w:ascii="宋体" w:hAnsi="宋体"/>
          <w:sz w:val="24"/>
          <w:szCs w:val="24"/>
        </w:rPr>
        <w:t>（三）基金财产的清算</w:t>
      </w:r>
    </w:p>
    <w:p w14:paraId="7904A00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417B63B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35AD280A">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4EE5E930">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652FC34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7464849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4F406FD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760FB89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5428594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2AF517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1780A65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3D7AC9D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2A9E6D0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1AC9DEFE">
      <w:pPr>
        <w:snapToGrid w:val="0"/>
        <w:spacing w:line="360" w:lineRule="auto"/>
        <w:ind w:firstLine="480" w:firstLineChars="200"/>
        <w:rPr>
          <w:rFonts w:ascii="宋体" w:hAnsi="宋体"/>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4D7C7F41">
      <w:pPr>
        <w:snapToGrid w:val="0"/>
        <w:spacing w:line="360" w:lineRule="auto"/>
        <w:ind w:firstLine="480" w:firstLineChars="200"/>
        <w:rPr>
          <w:rFonts w:ascii="宋体" w:hAnsi="宋体"/>
          <w:sz w:val="24"/>
          <w:szCs w:val="24"/>
        </w:rPr>
      </w:pPr>
      <w:r>
        <w:rPr>
          <w:rFonts w:hint="eastAsia" w:ascii="宋体" w:hAnsi="宋体"/>
          <w:sz w:val="24"/>
          <w:szCs w:val="24"/>
        </w:rPr>
        <w:t>（四）清算费用</w:t>
      </w:r>
    </w:p>
    <w:p w14:paraId="3C2AB74E">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4DC70B3E">
      <w:pPr>
        <w:snapToGrid w:val="0"/>
        <w:spacing w:line="360" w:lineRule="auto"/>
        <w:ind w:firstLine="480" w:firstLineChars="200"/>
        <w:rPr>
          <w:rFonts w:ascii="宋体" w:hAnsi="宋体"/>
          <w:sz w:val="24"/>
          <w:szCs w:val="24"/>
        </w:rPr>
      </w:pPr>
      <w:r>
        <w:rPr>
          <w:rFonts w:hint="eastAsia" w:ascii="宋体" w:hAnsi="宋体"/>
          <w:sz w:val="24"/>
          <w:szCs w:val="24"/>
        </w:rPr>
        <w:t>（五）基金财产清算剩余资产的分配</w:t>
      </w:r>
    </w:p>
    <w:p w14:paraId="6807368B">
      <w:pPr>
        <w:snapToGrid w:val="0"/>
        <w:spacing w:line="360" w:lineRule="auto"/>
        <w:ind w:firstLine="480" w:firstLineChars="200"/>
        <w:rPr>
          <w:rFonts w:ascii="宋体" w:hAnsi="宋体"/>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C45759">
      <w:pPr>
        <w:snapToGrid w:val="0"/>
        <w:spacing w:line="360" w:lineRule="auto"/>
        <w:ind w:firstLine="480" w:firstLineChars="200"/>
        <w:rPr>
          <w:rFonts w:ascii="宋体" w:hAnsi="宋体"/>
          <w:sz w:val="24"/>
          <w:szCs w:val="24"/>
        </w:rPr>
      </w:pPr>
      <w:r>
        <w:rPr>
          <w:rFonts w:hint="eastAsia" w:ascii="宋体" w:hAnsi="宋体"/>
          <w:sz w:val="24"/>
          <w:szCs w:val="24"/>
        </w:rPr>
        <w:t>（六）基金财产清算的公告</w:t>
      </w:r>
    </w:p>
    <w:p w14:paraId="4257DDE7">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3FE8C866">
      <w:pPr>
        <w:snapToGrid w:val="0"/>
        <w:spacing w:line="360" w:lineRule="auto"/>
        <w:ind w:firstLine="480" w:firstLineChars="200"/>
        <w:rPr>
          <w:rFonts w:ascii="宋体" w:hAnsi="宋体"/>
          <w:sz w:val="24"/>
          <w:szCs w:val="24"/>
        </w:rPr>
      </w:pPr>
      <w:r>
        <w:rPr>
          <w:rFonts w:hint="eastAsia" w:ascii="宋体" w:hAnsi="宋体"/>
          <w:sz w:val="24"/>
          <w:szCs w:val="24"/>
        </w:rPr>
        <w:t>（七）基金财产清算账册及文件的保存</w:t>
      </w:r>
    </w:p>
    <w:p w14:paraId="605CD6F5">
      <w:pPr>
        <w:snapToGrid w:val="0"/>
        <w:spacing w:line="360" w:lineRule="auto"/>
        <w:ind w:firstLine="480" w:firstLineChars="200"/>
        <w:rPr>
          <w:rFonts w:ascii="宋体" w:hAnsi="宋体"/>
          <w:sz w:val="24"/>
          <w:szCs w:val="24"/>
        </w:rPr>
      </w:pPr>
      <w:r>
        <w:rPr>
          <w:rFonts w:hint="eastAsia" w:asciiTheme="minorEastAsia" w:hAnsiTheme="minorEastAsia"/>
          <w:sz w:val="24"/>
          <w:szCs w:val="24"/>
        </w:rPr>
        <w:t>基金财产清算账册及有关文件由基金托管人保存，保存期限不低于法定最低期限。</w:t>
      </w:r>
    </w:p>
    <w:p w14:paraId="64AF500A">
      <w:pPr>
        <w:snapToGrid w:val="0"/>
        <w:spacing w:line="360" w:lineRule="auto"/>
        <w:ind w:firstLine="480" w:firstLineChars="200"/>
        <w:rPr>
          <w:rFonts w:ascii="宋体" w:hAnsi="宋体"/>
          <w:sz w:val="24"/>
          <w:szCs w:val="24"/>
        </w:rPr>
      </w:pPr>
      <w:r>
        <w:rPr>
          <w:rFonts w:hint="eastAsia" w:ascii="宋体" w:hAnsi="宋体"/>
          <w:sz w:val="24"/>
          <w:szCs w:val="24"/>
        </w:rPr>
        <w:t>八、争议的处理</w:t>
      </w:r>
    </w:p>
    <w:p w14:paraId="349E8413">
      <w:pPr>
        <w:snapToGrid w:val="0"/>
        <w:spacing w:line="360" w:lineRule="auto"/>
        <w:ind w:firstLine="480" w:firstLineChars="200"/>
        <w:rPr>
          <w:rFonts w:ascii="宋体" w:hAnsi="宋体"/>
          <w:sz w:val="24"/>
          <w:szCs w:val="24"/>
        </w:rPr>
      </w:pPr>
      <w:r>
        <w:rPr>
          <w:rFonts w:hint="eastAsia" w:ascii="宋体" w:hAnsi="宋体"/>
          <w:sz w:val="24"/>
          <w:szCs w:val="24"/>
        </w:rPr>
        <w:t>各方当事人同意，因《基金合同》而产生的或与《基金合同》有关的一切争议，如不愿或者不能通过协商、调解解决的，应将争议提交深圳国际仲裁院（深圳仲裁委员会），按照深圳国际仲裁院（深圳仲裁委员会）届时有效的仲裁规则进行仲裁。仲裁地点为深圳市。仲裁裁决是终局的，对各方当事人均有约束力。除非仲裁裁决另有规定，仲裁费由败诉方承担。</w:t>
      </w:r>
    </w:p>
    <w:p w14:paraId="403D8AB8">
      <w:pPr>
        <w:snapToGrid w:val="0"/>
        <w:spacing w:line="360" w:lineRule="auto"/>
        <w:ind w:firstLine="480" w:firstLineChars="200"/>
        <w:rPr>
          <w:rFonts w:ascii="宋体" w:hAnsi="宋体"/>
          <w:sz w:val="24"/>
          <w:szCs w:val="24"/>
        </w:rPr>
      </w:pPr>
      <w:r>
        <w:rPr>
          <w:rFonts w:hint="eastAsia" w:ascii="宋体" w:hAnsi="宋体"/>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13FF8911">
      <w:pPr>
        <w:snapToGrid w:val="0"/>
        <w:spacing w:line="360" w:lineRule="auto"/>
        <w:ind w:firstLine="480" w:firstLineChars="200"/>
        <w:rPr>
          <w:rFonts w:ascii="宋体" w:hAnsi="宋体"/>
          <w:sz w:val="24"/>
          <w:szCs w:val="24"/>
        </w:rPr>
      </w:pPr>
      <w:r>
        <w:rPr>
          <w:rFonts w:hint="eastAsia" w:ascii="宋体" w:hAnsi="宋体"/>
          <w:sz w:val="24"/>
          <w:szCs w:val="24"/>
        </w:rPr>
        <w:t>《基金合同》受中国法律（为本基金合同之目的，在此不包括香港、澳门特别行政区法律和台湾地区的有关规定）管辖并从其解释。</w:t>
      </w:r>
    </w:p>
    <w:p w14:paraId="4D3A0AF2">
      <w:pPr>
        <w:snapToGrid w:val="0"/>
        <w:spacing w:line="360" w:lineRule="auto"/>
        <w:ind w:firstLine="480" w:firstLineChars="200"/>
        <w:rPr>
          <w:rFonts w:ascii="宋体" w:hAnsi="宋体"/>
          <w:sz w:val="24"/>
          <w:szCs w:val="24"/>
        </w:rPr>
      </w:pPr>
      <w:r>
        <w:rPr>
          <w:rFonts w:hint="eastAsia" w:ascii="宋体" w:hAnsi="宋体"/>
          <w:sz w:val="24"/>
          <w:szCs w:val="24"/>
        </w:rPr>
        <w:t>九、基金合同存放地和投资者取得合同的方式</w:t>
      </w:r>
    </w:p>
    <w:bookmarkEnd w:id="636"/>
    <w:p w14:paraId="0C16908B">
      <w:pPr>
        <w:snapToGrid w:val="0"/>
        <w:spacing w:line="360" w:lineRule="auto"/>
        <w:ind w:firstLine="480" w:firstLineChars="200"/>
        <w:rPr>
          <w:rFonts w:ascii="宋体" w:hAnsi="宋体"/>
          <w:sz w:val="24"/>
          <w:szCs w:val="24"/>
        </w:rPr>
        <w:sectPr>
          <w:footerReference r:id="rId32" w:type="default"/>
          <w:pgSz w:w="11906" w:h="16838"/>
          <w:pgMar w:top="1418" w:right="1701" w:bottom="1418" w:left="1701" w:header="851" w:footer="992" w:gutter="0"/>
          <w:pgNumType w:start="1"/>
          <w:cols w:space="425" w:num="1"/>
          <w:docGrid w:type="lines" w:linePitch="312" w:charSpace="0"/>
        </w:sectPr>
      </w:pPr>
      <w:r>
        <w:rPr>
          <w:rFonts w:ascii="宋体" w:hAnsi="宋体"/>
          <w:sz w:val="24"/>
          <w:szCs w:val="24"/>
        </w:rPr>
        <w:t>本基金合同</w:t>
      </w:r>
      <w:r>
        <w:rPr>
          <w:rFonts w:hint="eastAsia" w:ascii="宋体" w:hAnsi="宋体"/>
          <w:sz w:val="24"/>
          <w:szCs w:val="24"/>
        </w:rPr>
        <w:t>可印制成册，供</w:t>
      </w:r>
      <w:r>
        <w:rPr>
          <w:rFonts w:ascii="宋体" w:hAnsi="宋体"/>
          <w:sz w:val="24"/>
          <w:szCs w:val="24"/>
        </w:rPr>
        <w:t>投资人</w:t>
      </w:r>
      <w:r>
        <w:rPr>
          <w:rFonts w:hint="eastAsia" w:ascii="宋体" w:hAnsi="宋体"/>
          <w:sz w:val="24"/>
          <w:szCs w:val="24"/>
        </w:rPr>
        <w:t>在基金管理人、基金托管人、</w:t>
      </w:r>
      <w:r>
        <w:rPr>
          <w:rFonts w:ascii="宋体" w:hAnsi="宋体"/>
          <w:sz w:val="24"/>
          <w:szCs w:val="24"/>
        </w:rPr>
        <w:t>代销</w:t>
      </w:r>
      <w:r>
        <w:rPr>
          <w:rFonts w:hint="eastAsia" w:ascii="宋体" w:hAnsi="宋体"/>
          <w:sz w:val="24"/>
          <w:szCs w:val="24"/>
        </w:rPr>
        <w:t>机构</w:t>
      </w:r>
      <w:r>
        <w:rPr>
          <w:rFonts w:ascii="宋体" w:hAnsi="宋体"/>
          <w:sz w:val="24"/>
          <w:szCs w:val="24"/>
        </w:rPr>
        <w:t>和登记机构</w:t>
      </w:r>
      <w:r>
        <w:rPr>
          <w:rFonts w:hint="eastAsia" w:ascii="宋体" w:hAnsi="宋体"/>
          <w:sz w:val="24"/>
          <w:szCs w:val="24"/>
        </w:rPr>
        <w:t>办公场所查阅。</w:t>
      </w:r>
      <w:bookmarkEnd w:id="637"/>
    </w:p>
    <w:p w14:paraId="38853DD0">
      <w:pPr>
        <w:spacing w:line="360" w:lineRule="auto"/>
        <w:rPr>
          <w:bCs/>
          <w:sz w:val="24"/>
          <w:szCs w:val="24"/>
        </w:rPr>
      </w:pPr>
      <w:r>
        <w:rPr>
          <w:rFonts w:hint="eastAsia"/>
          <w:bCs/>
          <w:sz w:val="24"/>
          <w:szCs w:val="24"/>
        </w:rPr>
        <w:t>（本页为《博时中证光伏产业交易型开放式指数证券投资基金基金合同》签署页，无正文）</w:t>
      </w:r>
    </w:p>
    <w:p w14:paraId="6AA11BE4">
      <w:pPr>
        <w:spacing w:line="360" w:lineRule="auto"/>
        <w:ind w:firstLine="480" w:firstLineChars="200"/>
        <w:rPr>
          <w:bCs/>
          <w:sz w:val="24"/>
          <w:szCs w:val="24"/>
        </w:rPr>
      </w:pPr>
    </w:p>
    <w:p w14:paraId="41B7F709">
      <w:pPr>
        <w:spacing w:line="360" w:lineRule="auto"/>
        <w:ind w:firstLine="480" w:firstLineChars="200"/>
        <w:rPr>
          <w:bCs/>
          <w:sz w:val="24"/>
          <w:szCs w:val="24"/>
        </w:rPr>
      </w:pPr>
    </w:p>
    <w:p w14:paraId="498CDBC0">
      <w:pPr>
        <w:spacing w:line="360" w:lineRule="auto"/>
        <w:ind w:firstLine="480" w:firstLineChars="200"/>
        <w:rPr>
          <w:bCs/>
          <w:sz w:val="24"/>
          <w:szCs w:val="24"/>
        </w:rPr>
      </w:pPr>
    </w:p>
    <w:p w14:paraId="3BD73987">
      <w:pPr>
        <w:spacing w:line="360" w:lineRule="auto"/>
        <w:ind w:firstLine="480" w:firstLineChars="200"/>
        <w:rPr>
          <w:bCs/>
          <w:sz w:val="24"/>
          <w:szCs w:val="24"/>
        </w:rPr>
      </w:pPr>
      <w:r>
        <w:rPr>
          <w:rFonts w:hint="eastAsia"/>
          <w:bCs/>
          <w:sz w:val="24"/>
          <w:szCs w:val="24"/>
        </w:rPr>
        <w:t>基金管理人：博时基金管理有限公司（公章或合同专用章）</w:t>
      </w:r>
    </w:p>
    <w:p w14:paraId="4AC6D5A5">
      <w:pPr>
        <w:spacing w:line="360" w:lineRule="auto"/>
        <w:ind w:firstLine="480" w:firstLineChars="200"/>
        <w:rPr>
          <w:bCs/>
          <w:sz w:val="24"/>
          <w:szCs w:val="24"/>
        </w:rPr>
      </w:pPr>
      <w:r>
        <w:rPr>
          <w:rFonts w:hint="eastAsia"/>
          <w:bCs/>
          <w:sz w:val="24"/>
          <w:szCs w:val="24"/>
        </w:rPr>
        <w:t>法定代表人或授权代表：</w:t>
      </w:r>
    </w:p>
    <w:p w14:paraId="48FF0078">
      <w:pPr>
        <w:spacing w:line="360" w:lineRule="auto"/>
        <w:ind w:firstLine="480" w:firstLineChars="200"/>
        <w:rPr>
          <w:bCs/>
          <w:sz w:val="24"/>
          <w:szCs w:val="24"/>
        </w:rPr>
      </w:pPr>
    </w:p>
    <w:p w14:paraId="79C1DA26">
      <w:pPr>
        <w:spacing w:line="360" w:lineRule="auto"/>
        <w:ind w:firstLine="480" w:firstLineChars="200"/>
        <w:rPr>
          <w:bCs/>
          <w:sz w:val="24"/>
          <w:szCs w:val="24"/>
        </w:rPr>
      </w:pPr>
    </w:p>
    <w:p w14:paraId="1CDAECDA">
      <w:pPr>
        <w:spacing w:line="360" w:lineRule="auto"/>
        <w:ind w:firstLine="480" w:firstLineChars="200"/>
        <w:rPr>
          <w:bCs/>
          <w:sz w:val="24"/>
          <w:szCs w:val="24"/>
        </w:rPr>
      </w:pPr>
    </w:p>
    <w:p w14:paraId="15BD2337">
      <w:pPr>
        <w:spacing w:line="360" w:lineRule="auto"/>
        <w:ind w:firstLine="480" w:firstLineChars="200"/>
        <w:rPr>
          <w:bCs/>
          <w:sz w:val="24"/>
          <w:szCs w:val="24"/>
        </w:rPr>
      </w:pPr>
    </w:p>
    <w:p w14:paraId="13FCBB6B">
      <w:pPr>
        <w:spacing w:line="360" w:lineRule="auto"/>
        <w:ind w:firstLine="480" w:firstLineChars="200"/>
        <w:rPr>
          <w:bCs/>
          <w:sz w:val="24"/>
          <w:szCs w:val="24"/>
        </w:rPr>
      </w:pPr>
      <w:r>
        <w:rPr>
          <w:rFonts w:hint="eastAsia"/>
          <w:bCs/>
          <w:sz w:val="24"/>
          <w:szCs w:val="24"/>
        </w:rPr>
        <w:t>签订日：202</w:t>
      </w:r>
      <w:r>
        <w:rPr>
          <w:rFonts w:hint="eastAsia"/>
          <w:bCs/>
          <w:sz w:val="24"/>
          <w:szCs w:val="24"/>
          <w:lang w:val="en-US" w:eastAsia="zh-CN"/>
        </w:rPr>
        <w:t>6</w:t>
      </w:r>
      <w:r>
        <w:rPr>
          <w:rFonts w:hint="eastAsia"/>
          <w:bCs/>
          <w:sz w:val="24"/>
          <w:szCs w:val="24"/>
        </w:rPr>
        <w:t>年   月   日</w:t>
      </w:r>
    </w:p>
    <w:p w14:paraId="61AEA174">
      <w:pPr>
        <w:spacing w:line="360" w:lineRule="auto"/>
        <w:ind w:firstLine="480" w:firstLineChars="200"/>
        <w:rPr>
          <w:bCs/>
          <w:sz w:val="24"/>
          <w:szCs w:val="24"/>
        </w:rPr>
      </w:pPr>
      <w:r>
        <w:rPr>
          <w:rFonts w:hint="eastAsia"/>
          <w:bCs/>
          <w:sz w:val="24"/>
          <w:szCs w:val="24"/>
        </w:rPr>
        <w:t>签订地：深圳</w:t>
      </w:r>
    </w:p>
    <w:p w14:paraId="0374D814">
      <w:pPr>
        <w:spacing w:line="360" w:lineRule="auto"/>
        <w:ind w:firstLine="480" w:firstLineChars="200"/>
        <w:rPr>
          <w:bCs/>
          <w:sz w:val="24"/>
          <w:szCs w:val="24"/>
        </w:rPr>
      </w:pPr>
    </w:p>
    <w:p w14:paraId="34923130">
      <w:pPr>
        <w:spacing w:line="360" w:lineRule="auto"/>
        <w:ind w:firstLine="480" w:firstLineChars="200"/>
        <w:rPr>
          <w:bCs/>
          <w:sz w:val="24"/>
          <w:szCs w:val="24"/>
        </w:rPr>
      </w:pPr>
    </w:p>
    <w:p w14:paraId="6775C192">
      <w:pPr>
        <w:spacing w:line="360" w:lineRule="auto"/>
        <w:ind w:firstLine="480" w:firstLineChars="200"/>
        <w:rPr>
          <w:bCs/>
          <w:sz w:val="24"/>
          <w:szCs w:val="24"/>
        </w:rPr>
      </w:pPr>
    </w:p>
    <w:p w14:paraId="2B8FF4A7">
      <w:pPr>
        <w:spacing w:line="360" w:lineRule="auto"/>
        <w:ind w:firstLine="480" w:firstLineChars="200"/>
        <w:rPr>
          <w:bCs/>
          <w:sz w:val="24"/>
          <w:szCs w:val="24"/>
        </w:rPr>
      </w:pPr>
    </w:p>
    <w:p w14:paraId="4CA972C0">
      <w:pPr>
        <w:spacing w:line="360" w:lineRule="auto"/>
        <w:ind w:firstLine="480" w:firstLineChars="200"/>
        <w:rPr>
          <w:bCs/>
          <w:sz w:val="24"/>
          <w:szCs w:val="24"/>
        </w:rPr>
      </w:pPr>
    </w:p>
    <w:p w14:paraId="1BA3FF8D">
      <w:pPr>
        <w:spacing w:line="360" w:lineRule="auto"/>
        <w:ind w:firstLine="480" w:firstLineChars="200"/>
        <w:rPr>
          <w:bCs/>
          <w:sz w:val="24"/>
          <w:szCs w:val="24"/>
        </w:rPr>
      </w:pPr>
      <w:r>
        <w:rPr>
          <w:rFonts w:hint="eastAsia"/>
          <w:bCs/>
          <w:sz w:val="24"/>
          <w:szCs w:val="24"/>
        </w:rPr>
        <w:t>基金托管人：上海浦东发展银行股份有限公司（公章或合同专用章）</w:t>
      </w:r>
    </w:p>
    <w:p w14:paraId="7D8F88DB">
      <w:pPr>
        <w:spacing w:line="360" w:lineRule="auto"/>
        <w:ind w:firstLine="480" w:firstLineChars="200"/>
        <w:rPr>
          <w:bCs/>
          <w:sz w:val="24"/>
          <w:szCs w:val="24"/>
        </w:rPr>
      </w:pPr>
      <w:r>
        <w:rPr>
          <w:rFonts w:hint="eastAsia"/>
          <w:bCs/>
          <w:sz w:val="24"/>
          <w:szCs w:val="24"/>
        </w:rPr>
        <w:t>法定代表人或授权代表：</w:t>
      </w:r>
    </w:p>
    <w:p w14:paraId="06822216">
      <w:pPr>
        <w:spacing w:line="360" w:lineRule="auto"/>
        <w:ind w:firstLine="480" w:firstLineChars="200"/>
        <w:rPr>
          <w:bCs/>
          <w:sz w:val="24"/>
          <w:szCs w:val="24"/>
        </w:rPr>
      </w:pPr>
    </w:p>
    <w:p w14:paraId="49626874">
      <w:pPr>
        <w:spacing w:line="360" w:lineRule="auto"/>
        <w:ind w:firstLine="480" w:firstLineChars="200"/>
        <w:rPr>
          <w:bCs/>
          <w:sz w:val="24"/>
          <w:szCs w:val="24"/>
        </w:rPr>
      </w:pPr>
    </w:p>
    <w:p w14:paraId="5F4E0866">
      <w:pPr>
        <w:spacing w:line="360" w:lineRule="auto"/>
        <w:ind w:firstLine="480" w:firstLineChars="200"/>
        <w:rPr>
          <w:bCs/>
          <w:sz w:val="24"/>
          <w:szCs w:val="24"/>
        </w:rPr>
      </w:pPr>
    </w:p>
    <w:p w14:paraId="4FA51E39">
      <w:pPr>
        <w:spacing w:line="360" w:lineRule="auto"/>
        <w:ind w:firstLine="480" w:firstLineChars="200"/>
        <w:rPr>
          <w:bCs/>
          <w:sz w:val="24"/>
          <w:szCs w:val="24"/>
        </w:rPr>
      </w:pPr>
    </w:p>
    <w:p w14:paraId="0C856380">
      <w:pPr>
        <w:spacing w:line="360" w:lineRule="auto"/>
        <w:ind w:firstLine="480" w:firstLineChars="200"/>
        <w:rPr>
          <w:bCs/>
          <w:sz w:val="24"/>
          <w:szCs w:val="24"/>
        </w:rPr>
      </w:pPr>
      <w:r>
        <w:rPr>
          <w:rFonts w:hint="eastAsia"/>
          <w:bCs/>
          <w:sz w:val="24"/>
          <w:szCs w:val="24"/>
        </w:rPr>
        <w:t>签订日：202</w:t>
      </w:r>
      <w:r>
        <w:rPr>
          <w:rFonts w:hint="eastAsia"/>
          <w:bCs/>
          <w:sz w:val="24"/>
          <w:szCs w:val="24"/>
          <w:lang w:val="en-US" w:eastAsia="zh-CN"/>
        </w:rPr>
        <w:t>6</w:t>
      </w:r>
      <w:r>
        <w:rPr>
          <w:rFonts w:hint="eastAsia"/>
          <w:bCs/>
          <w:sz w:val="24"/>
          <w:szCs w:val="24"/>
        </w:rPr>
        <w:t>年   月   日</w:t>
      </w:r>
    </w:p>
    <w:p w14:paraId="7446E376">
      <w:pPr>
        <w:spacing w:line="360" w:lineRule="auto"/>
        <w:ind w:firstLine="480" w:firstLineChars="200"/>
        <w:rPr>
          <w:rFonts w:asciiTheme="minorEastAsia" w:hAnsiTheme="minorEastAsia"/>
          <w:sz w:val="24"/>
          <w:szCs w:val="24"/>
        </w:rPr>
      </w:pPr>
      <w:r>
        <w:rPr>
          <w:rFonts w:hint="eastAsia"/>
          <w:bCs/>
          <w:sz w:val="24"/>
          <w:szCs w:val="24"/>
        </w:rPr>
        <w:t>签订地：上海</w:t>
      </w:r>
    </w:p>
    <w:p w14:paraId="5E912E63">
      <w:pPr>
        <w:snapToGrid w:val="0"/>
        <w:spacing w:line="360" w:lineRule="auto"/>
        <w:rPr>
          <w:rFonts w:asciiTheme="minorEastAsia" w:hAnsiTheme="minorEastAsia"/>
        </w:rPr>
      </w:pPr>
    </w:p>
    <w:p w14:paraId="02AD6402">
      <w:pPr>
        <w:pStyle w:val="4"/>
      </w:pPr>
    </w:p>
    <w:sectPr>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DA4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A84E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DA84E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9EB8">
    <w:pPr>
      <w:pStyle w:val="5"/>
      <w:jc w:val="center"/>
      <w:rPr>
        <w:rFonts w:ascii="Arial" w:hAnsi="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9038">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5439038">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3FB6">
    <w:pPr>
      <w:pStyle w:val="5"/>
      <w:jc w:val="center"/>
      <w:rPr>
        <w:rFonts w:ascii="Arial" w:hAnsi="Arial" w:cs="Arial"/>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9C30">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899C30">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C103">
    <w:pPr>
      <w:pStyle w:val="5"/>
      <w:jc w:val="center"/>
      <w:rPr>
        <w:rFonts w:ascii="Arial" w:hAnsi="Arial" w:cs="Arial"/>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EDBB8">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53EDBB8">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B0A6">
    <w:pPr>
      <w:pStyle w:val="5"/>
      <w:jc w:val="center"/>
      <w:rPr>
        <w:rFonts w:ascii="Arial" w:hAnsi="Arial" w:cs="Arial"/>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30658">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0130658">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A4FE">
    <w:pPr>
      <w:pStyle w:val="5"/>
      <w:jc w:val="center"/>
      <w:rPr>
        <w:rFonts w:ascii="Arial" w:hAnsi="Arial" w:cs="Arial"/>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408E0">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E408E0">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DB76">
    <w:pPr>
      <w:pStyle w:val="5"/>
      <w:jc w:val="center"/>
      <w:rPr>
        <w:rFonts w:ascii="Arial" w:hAnsi="Arial" w:cs="Arial"/>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75AEB">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B675AEB">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1887">
    <w:pPr>
      <w:pStyle w:val="5"/>
      <w:jc w:val="center"/>
      <w:rPr>
        <w:rFonts w:ascii="Arial" w:hAnsi="Arial" w:cs="Arial"/>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7CFB">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B97CFB">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44FD">
    <w:pPr>
      <w:pStyle w:val="5"/>
      <w:jc w:val="center"/>
      <w:rPr>
        <w:rFonts w:ascii="Arial" w:hAnsi="Arial" w:cs="Arial"/>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9C329">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C09C329">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BB479">
    <w:pPr>
      <w:pStyle w:val="5"/>
      <w:jc w:val="center"/>
      <w:rPr>
        <w:rFonts w:ascii="Arial" w:hAnsi="Arial"/>
        <w:sz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8631C">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808631C">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8359">
    <w:pPr>
      <w:pStyle w:val="5"/>
      <w:jc w:val="center"/>
      <w:rPr>
        <w:rFonts w:ascii="Arial" w:hAnsi="Arial" w:cs="Arial"/>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641C8">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16641C8">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145A">
    <w:pPr>
      <w:pStyle w:val="5"/>
    </w:pPr>
  </w:p>
  <w:p w14:paraId="40367D63">
    <w:pPr>
      <w:pStyle w:val="5"/>
    </w:pPr>
  </w:p>
  <w:p w14:paraId="05751DC1">
    <w:pPr>
      <w:pStyle w:val="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5224">
    <w:pPr>
      <w:pStyle w:val="5"/>
      <w:jc w:val="center"/>
      <w:rPr>
        <w:rFonts w:ascii="Arial" w:hAnsi="Arial" w:cs="Arial"/>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7870B">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E67870B">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D10C">
    <w:pPr>
      <w:pStyle w:val="5"/>
      <w:jc w:val="center"/>
      <w:rPr>
        <w:rFonts w:ascii="Arial" w:hAnsi="Arial" w:cs="Arial"/>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1C4A">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0D11C4A">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C5E">
    <w:pPr>
      <w:pStyle w:val="5"/>
      <w:jc w:val="center"/>
      <w:rPr>
        <w:rFonts w:ascii="Arial" w:hAnsi="Arial" w:cs="Arial"/>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8C243">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958C243">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72BA">
    <w:pPr>
      <w:pStyle w:val="5"/>
      <w:jc w:val="center"/>
      <w:rPr>
        <w:rFonts w:ascii="Arial" w:hAnsi="Arial" w:cs="Arial"/>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0CCD6">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0F0CCD6">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B2EA">
    <w:pPr>
      <w:pStyle w:val="5"/>
      <w:jc w:val="center"/>
      <w:rPr>
        <w:rFonts w:ascii="Arial" w:hAnsi="Arial" w:cs="Arial"/>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5B1C7">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A25B1C7">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06E8">
    <w:pPr>
      <w:pStyle w:val="5"/>
      <w:jc w:val="center"/>
      <w:rPr>
        <w:rFonts w:ascii="Arial" w:hAnsi="Arial" w:cs="Arial"/>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E5F5">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B8FE5F5">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8C9D">
    <w:pPr>
      <w:pStyle w:val="5"/>
      <w:jc w:val="center"/>
      <w:rPr>
        <w:rFonts w:ascii="Arial" w:hAnsi="Arial" w:cs="Arial"/>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D9497">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F2D9497">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B5C6">
    <w:pPr>
      <w:pStyle w:val="5"/>
      <w:jc w:val="center"/>
      <w:rPr>
        <w:rFonts w:ascii="Arial" w:hAnsi="Arial" w:cs="Arial"/>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16D9">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10A16D9">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12C">
    <w:pPr>
      <w:tabs>
        <w:tab w:val="center" w:pos="4252"/>
        <w:tab w:val="right" w:pos="8306"/>
      </w:tabs>
      <w:snapToGrid w:val="0"/>
      <w:rPr>
        <w:rFonts w:ascii="Times New Roman" w:hAnsi="Times New Roman"/>
        <w:sz w:val="18"/>
        <w:szCs w:val="18"/>
      </w:rPr>
    </w:pPr>
    <w:r>
      <w:rPr>
        <w:rFonts w:hint="eastAsia" w:ascii="Times New Roman" w:hAnsi="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3499">
    <w:pPr>
      <w:pStyle w:val="5"/>
      <w:jc w:val="center"/>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D2B0A">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C6D2B0A">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F38CC">
    <w:pPr>
      <w:pStyle w:val="5"/>
      <w:jc w:val="center"/>
      <w:rPr>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0F0AC">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F90F0AC">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FDE">
    <w:pPr>
      <w:pStyle w:val="5"/>
      <w:jc w:val="center"/>
      <w:rPr>
        <w:rFonts w:ascii="Arial" w:hAnsi="Arial" w:cs="Arial"/>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3660E">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E3660E">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57D9">
    <w:pPr>
      <w:pStyle w:val="5"/>
      <w:jc w:val="center"/>
      <w:rPr>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CA7AD">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9CA7AD">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B80A">
    <w:pPr>
      <w:pStyle w:val="5"/>
      <w:jc w:val="center"/>
      <w:rPr>
        <w:rFonts w:ascii="Arial" w:hAnsi="Arial" w:cs="Arial"/>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68E54">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DC68E54">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E2C6">
    <w:pPr>
      <w:pStyle w:val="5"/>
      <w:jc w:val="center"/>
      <w:rPr>
        <w:rFonts w:ascii="Arial" w:hAnsi="Arial" w:cs="Arial"/>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E5937">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4E5937">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056F">
    <w:pPr>
      <w:pStyle w:val="5"/>
      <w:jc w:val="center"/>
      <w:rPr>
        <w:rFonts w:ascii="Arial" w:hAnsi="Arial" w:cs="Arial"/>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0476">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1610476">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BFFD">
    <w:pPr>
      <w:pStyle w:val="6"/>
    </w:pPr>
  </w:p>
  <w:p w14:paraId="6215329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6967">
    <w:pPr>
      <w:pStyle w:val="6"/>
      <w:jc w:val="right"/>
    </w:pPr>
    <w:r>
      <w:rPr>
        <w:rFonts w:hint="eastAsia"/>
      </w:rPr>
      <w:t>博时中证光伏产业交易型开放式指数证券投资基金基金合同</w:t>
    </w:r>
  </w:p>
  <w:p w14:paraId="604E55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D0828"/>
    <w:multiLevelType w:val="singleLevel"/>
    <w:tmpl w:val="CF3D0828"/>
    <w:lvl w:ilvl="0" w:tentative="0">
      <w:start w:val="1"/>
      <w:numFmt w:val="decimal"/>
      <w:suff w:val="nothing"/>
      <w:lvlText w:val="（%1）"/>
      <w:lvlJc w:val="left"/>
    </w:lvl>
  </w:abstractNum>
  <w:abstractNum w:abstractNumId="1">
    <w:nsid w:val="4DE87617"/>
    <w:multiLevelType w:val="multilevel"/>
    <w:tmpl w:val="4DE87617"/>
    <w:lvl w:ilvl="0" w:tentative="0">
      <w:start w:val="1"/>
      <w:numFmt w:val="decimal"/>
      <w:lvlText w:val="%1."/>
      <w:lvlJc w:val="right"/>
      <w:pPr>
        <w:ind w:left="42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C185EF5"/>
    <w:multiLevelType w:val="multilevel"/>
    <w:tmpl w:val="5C185EF5"/>
    <w:lvl w:ilvl="0" w:tentative="0">
      <w:start w:val="1"/>
      <w:numFmt w:val="none"/>
      <w:pStyle w:val="2"/>
      <w:suff w:val="nothing"/>
      <w:lvlText w:val=""/>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0YjM5YjFkMzk3YzA2YjQ2YTBkNjU5MWY2ZDg2MGEifQ=="/>
  </w:docVars>
  <w:rsids>
    <w:rsidRoot w:val="1AAE6093"/>
    <w:rsid w:val="00015587"/>
    <w:rsid w:val="00027505"/>
    <w:rsid w:val="0003265A"/>
    <w:rsid w:val="000331CA"/>
    <w:rsid w:val="00044C2A"/>
    <w:rsid w:val="00061359"/>
    <w:rsid w:val="00072111"/>
    <w:rsid w:val="000800C8"/>
    <w:rsid w:val="000819FC"/>
    <w:rsid w:val="000A1935"/>
    <w:rsid w:val="000C60BD"/>
    <w:rsid w:val="000D3554"/>
    <w:rsid w:val="000D3D83"/>
    <w:rsid w:val="000D713A"/>
    <w:rsid w:val="000E3C8A"/>
    <w:rsid w:val="00125A63"/>
    <w:rsid w:val="001451B9"/>
    <w:rsid w:val="001460FE"/>
    <w:rsid w:val="001717B0"/>
    <w:rsid w:val="00194080"/>
    <w:rsid w:val="001B3E48"/>
    <w:rsid w:val="001B5F2C"/>
    <w:rsid w:val="001B7385"/>
    <w:rsid w:val="001B738B"/>
    <w:rsid w:val="001D6146"/>
    <w:rsid w:val="001E237D"/>
    <w:rsid w:val="001E3918"/>
    <w:rsid w:val="001E4734"/>
    <w:rsid w:val="00200D65"/>
    <w:rsid w:val="00201C9E"/>
    <w:rsid w:val="002070BE"/>
    <w:rsid w:val="00214A4E"/>
    <w:rsid w:val="00227D62"/>
    <w:rsid w:val="00240D65"/>
    <w:rsid w:val="00244A80"/>
    <w:rsid w:val="002777D8"/>
    <w:rsid w:val="002A457C"/>
    <w:rsid w:val="002D2D6B"/>
    <w:rsid w:val="002E1C30"/>
    <w:rsid w:val="002E6E52"/>
    <w:rsid w:val="002E75D6"/>
    <w:rsid w:val="002F5AE9"/>
    <w:rsid w:val="00303EC2"/>
    <w:rsid w:val="00304220"/>
    <w:rsid w:val="00305E06"/>
    <w:rsid w:val="003255B7"/>
    <w:rsid w:val="0033480E"/>
    <w:rsid w:val="00350934"/>
    <w:rsid w:val="0036268A"/>
    <w:rsid w:val="00364391"/>
    <w:rsid w:val="00372F1F"/>
    <w:rsid w:val="0038269F"/>
    <w:rsid w:val="00385185"/>
    <w:rsid w:val="00396790"/>
    <w:rsid w:val="003B17D5"/>
    <w:rsid w:val="003B3AD3"/>
    <w:rsid w:val="003C55C3"/>
    <w:rsid w:val="003D3626"/>
    <w:rsid w:val="0041594F"/>
    <w:rsid w:val="0042421D"/>
    <w:rsid w:val="004337E5"/>
    <w:rsid w:val="00436EFB"/>
    <w:rsid w:val="0044411F"/>
    <w:rsid w:val="004965FB"/>
    <w:rsid w:val="004A298F"/>
    <w:rsid w:val="004C3607"/>
    <w:rsid w:val="004D623D"/>
    <w:rsid w:val="004E598C"/>
    <w:rsid w:val="004F41A6"/>
    <w:rsid w:val="0050455B"/>
    <w:rsid w:val="00520E06"/>
    <w:rsid w:val="0054369C"/>
    <w:rsid w:val="00565956"/>
    <w:rsid w:val="005B7897"/>
    <w:rsid w:val="005D6C35"/>
    <w:rsid w:val="005E408B"/>
    <w:rsid w:val="005F0A9F"/>
    <w:rsid w:val="006010D2"/>
    <w:rsid w:val="00654250"/>
    <w:rsid w:val="006771BD"/>
    <w:rsid w:val="006912C7"/>
    <w:rsid w:val="006A3DAE"/>
    <w:rsid w:val="006E7CF9"/>
    <w:rsid w:val="006F4E36"/>
    <w:rsid w:val="007260ED"/>
    <w:rsid w:val="00727B26"/>
    <w:rsid w:val="0073468C"/>
    <w:rsid w:val="00736C78"/>
    <w:rsid w:val="00741BC6"/>
    <w:rsid w:val="00741D8D"/>
    <w:rsid w:val="00752E4C"/>
    <w:rsid w:val="0075699F"/>
    <w:rsid w:val="00777D22"/>
    <w:rsid w:val="007913F4"/>
    <w:rsid w:val="00794731"/>
    <w:rsid w:val="007C6347"/>
    <w:rsid w:val="007F40D5"/>
    <w:rsid w:val="007F587E"/>
    <w:rsid w:val="0080036C"/>
    <w:rsid w:val="008138A8"/>
    <w:rsid w:val="0081608B"/>
    <w:rsid w:val="008302C9"/>
    <w:rsid w:val="00844350"/>
    <w:rsid w:val="00854FD1"/>
    <w:rsid w:val="008605A4"/>
    <w:rsid w:val="00861CFD"/>
    <w:rsid w:val="008879A0"/>
    <w:rsid w:val="00892F62"/>
    <w:rsid w:val="008A1BE3"/>
    <w:rsid w:val="008B2073"/>
    <w:rsid w:val="008D6DBF"/>
    <w:rsid w:val="008E3FC0"/>
    <w:rsid w:val="008E65CD"/>
    <w:rsid w:val="008F2D04"/>
    <w:rsid w:val="00901622"/>
    <w:rsid w:val="00930020"/>
    <w:rsid w:val="00950577"/>
    <w:rsid w:val="009507D2"/>
    <w:rsid w:val="00953E8C"/>
    <w:rsid w:val="009757C7"/>
    <w:rsid w:val="00995EE4"/>
    <w:rsid w:val="00997D81"/>
    <w:rsid w:val="009A6AAD"/>
    <w:rsid w:val="009D79B5"/>
    <w:rsid w:val="009E270F"/>
    <w:rsid w:val="00A07CFC"/>
    <w:rsid w:val="00A10BEC"/>
    <w:rsid w:val="00A502F3"/>
    <w:rsid w:val="00A51056"/>
    <w:rsid w:val="00A55419"/>
    <w:rsid w:val="00A6365A"/>
    <w:rsid w:val="00AA5A15"/>
    <w:rsid w:val="00AD2140"/>
    <w:rsid w:val="00AF2554"/>
    <w:rsid w:val="00AF528C"/>
    <w:rsid w:val="00AF5819"/>
    <w:rsid w:val="00B04CC8"/>
    <w:rsid w:val="00B07BFD"/>
    <w:rsid w:val="00B10FCD"/>
    <w:rsid w:val="00B11CB4"/>
    <w:rsid w:val="00B13166"/>
    <w:rsid w:val="00B519C1"/>
    <w:rsid w:val="00B51BA3"/>
    <w:rsid w:val="00B52244"/>
    <w:rsid w:val="00B53729"/>
    <w:rsid w:val="00B712C2"/>
    <w:rsid w:val="00B72CE0"/>
    <w:rsid w:val="00B9412A"/>
    <w:rsid w:val="00BA73C5"/>
    <w:rsid w:val="00BB1EFE"/>
    <w:rsid w:val="00BE5AE6"/>
    <w:rsid w:val="00C02EF2"/>
    <w:rsid w:val="00C04D34"/>
    <w:rsid w:val="00C23F55"/>
    <w:rsid w:val="00C505AB"/>
    <w:rsid w:val="00C55B47"/>
    <w:rsid w:val="00C6055E"/>
    <w:rsid w:val="00C631FC"/>
    <w:rsid w:val="00C63C33"/>
    <w:rsid w:val="00C7261B"/>
    <w:rsid w:val="00C82C83"/>
    <w:rsid w:val="00C95403"/>
    <w:rsid w:val="00CA7104"/>
    <w:rsid w:val="00CB7F86"/>
    <w:rsid w:val="00CC10F8"/>
    <w:rsid w:val="00CD58B3"/>
    <w:rsid w:val="00CF087B"/>
    <w:rsid w:val="00D34917"/>
    <w:rsid w:val="00D515FE"/>
    <w:rsid w:val="00D57273"/>
    <w:rsid w:val="00D66140"/>
    <w:rsid w:val="00D76AF4"/>
    <w:rsid w:val="00D91EFF"/>
    <w:rsid w:val="00DA4FCC"/>
    <w:rsid w:val="00DB397C"/>
    <w:rsid w:val="00DB58C5"/>
    <w:rsid w:val="00DB6A84"/>
    <w:rsid w:val="00DE4807"/>
    <w:rsid w:val="00E00D32"/>
    <w:rsid w:val="00E10F39"/>
    <w:rsid w:val="00E152E4"/>
    <w:rsid w:val="00E243A2"/>
    <w:rsid w:val="00E45B9D"/>
    <w:rsid w:val="00E63B77"/>
    <w:rsid w:val="00E7102A"/>
    <w:rsid w:val="00E87E8D"/>
    <w:rsid w:val="00E92941"/>
    <w:rsid w:val="00E93A84"/>
    <w:rsid w:val="00EC3E49"/>
    <w:rsid w:val="00ED07C0"/>
    <w:rsid w:val="00EE424C"/>
    <w:rsid w:val="00EF0B3F"/>
    <w:rsid w:val="00EF24E0"/>
    <w:rsid w:val="00EF619A"/>
    <w:rsid w:val="00F07754"/>
    <w:rsid w:val="00F0779A"/>
    <w:rsid w:val="00F25D84"/>
    <w:rsid w:val="00F4213C"/>
    <w:rsid w:val="00F438B5"/>
    <w:rsid w:val="00F5364B"/>
    <w:rsid w:val="00F64D10"/>
    <w:rsid w:val="00F716E4"/>
    <w:rsid w:val="00F77B54"/>
    <w:rsid w:val="00FA5A19"/>
    <w:rsid w:val="00FD09A1"/>
    <w:rsid w:val="00FF554D"/>
    <w:rsid w:val="010E540F"/>
    <w:rsid w:val="013A6425"/>
    <w:rsid w:val="01D07750"/>
    <w:rsid w:val="04064C58"/>
    <w:rsid w:val="055E25D7"/>
    <w:rsid w:val="05677379"/>
    <w:rsid w:val="05914531"/>
    <w:rsid w:val="059C50DC"/>
    <w:rsid w:val="05C56040"/>
    <w:rsid w:val="069A6CAB"/>
    <w:rsid w:val="084C603F"/>
    <w:rsid w:val="0A066BA8"/>
    <w:rsid w:val="0A0A134D"/>
    <w:rsid w:val="0BA84E0C"/>
    <w:rsid w:val="0C6B29FE"/>
    <w:rsid w:val="0D624402"/>
    <w:rsid w:val="0E1C6B79"/>
    <w:rsid w:val="0EAF4FB7"/>
    <w:rsid w:val="0FB025A6"/>
    <w:rsid w:val="0FDFF159"/>
    <w:rsid w:val="108719E0"/>
    <w:rsid w:val="10D00F44"/>
    <w:rsid w:val="110A4F14"/>
    <w:rsid w:val="112A3546"/>
    <w:rsid w:val="13270936"/>
    <w:rsid w:val="13592105"/>
    <w:rsid w:val="13A262D3"/>
    <w:rsid w:val="13F303B4"/>
    <w:rsid w:val="14475E10"/>
    <w:rsid w:val="14801654"/>
    <w:rsid w:val="153D6886"/>
    <w:rsid w:val="16CC737C"/>
    <w:rsid w:val="1738606B"/>
    <w:rsid w:val="175C74F9"/>
    <w:rsid w:val="188A5A70"/>
    <w:rsid w:val="18BB7122"/>
    <w:rsid w:val="1AAE6093"/>
    <w:rsid w:val="1B143FA3"/>
    <w:rsid w:val="1B733B9B"/>
    <w:rsid w:val="1B7C1E62"/>
    <w:rsid w:val="1B887C33"/>
    <w:rsid w:val="1B9C462B"/>
    <w:rsid w:val="1BDF0F49"/>
    <w:rsid w:val="1D414485"/>
    <w:rsid w:val="1D441B27"/>
    <w:rsid w:val="1EAC7150"/>
    <w:rsid w:val="1EDC9196"/>
    <w:rsid w:val="1F73531B"/>
    <w:rsid w:val="1FBB2FB2"/>
    <w:rsid w:val="215A6747"/>
    <w:rsid w:val="21726E57"/>
    <w:rsid w:val="21E42D94"/>
    <w:rsid w:val="22483843"/>
    <w:rsid w:val="2316057F"/>
    <w:rsid w:val="26762A14"/>
    <w:rsid w:val="26CE0223"/>
    <w:rsid w:val="28912C7F"/>
    <w:rsid w:val="29840BAA"/>
    <w:rsid w:val="29BC3988"/>
    <w:rsid w:val="29D0180A"/>
    <w:rsid w:val="2A9138F9"/>
    <w:rsid w:val="2ACD32EA"/>
    <w:rsid w:val="2BFD5B50"/>
    <w:rsid w:val="2C1F3172"/>
    <w:rsid w:val="2C2E7010"/>
    <w:rsid w:val="2CF7872F"/>
    <w:rsid w:val="2D7173DF"/>
    <w:rsid w:val="2E353169"/>
    <w:rsid w:val="2EED420A"/>
    <w:rsid w:val="2FF7CB97"/>
    <w:rsid w:val="30C30087"/>
    <w:rsid w:val="30DE4876"/>
    <w:rsid w:val="30EE6170"/>
    <w:rsid w:val="32045374"/>
    <w:rsid w:val="32C67AFF"/>
    <w:rsid w:val="3338331E"/>
    <w:rsid w:val="3448135D"/>
    <w:rsid w:val="345E21E7"/>
    <w:rsid w:val="34626303"/>
    <w:rsid w:val="34A7124C"/>
    <w:rsid w:val="358A6CE2"/>
    <w:rsid w:val="35DD31A4"/>
    <w:rsid w:val="363A09C3"/>
    <w:rsid w:val="3740201C"/>
    <w:rsid w:val="37B05FEC"/>
    <w:rsid w:val="38B74908"/>
    <w:rsid w:val="395E724D"/>
    <w:rsid w:val="39A97D77"/>
    <w:rsid w:val="3A566994"/>
    <w:rsid w:val="3B7B1F5A"/>
    <w:rsid w:val="3BAE25F4"/>
    <w:rsid w:val="3C3A2799"/>
    <w:rsid w:val="3DC328BD"/>
    <w:rsid w:val="3EBB7A26"/>
    <w:rsid w:val="3FA322BC"/>
    <w:rsid w:val="4099698A"/>
    <w:rsid w:val="40B90B06"/>
    <w:rsid w:val="40F77C78"/>
    <w:rsid w:val="4279141E"/>
    <w:rsid w:val="429E1083"/>
    <w:rsid w:val="42BB3ADD"/>
    <w:rsid w:val="42DD1142"/>
    <w:rsid w:val="43C64FF6"/>
    <w:rsid w:val="441226BE"/>
    <w:rsid w:val="44782388"/>
    <w:rsid w:val="44846EF4"/>
    <w:rsid w:val="44862120"/>
    <w:rsid w:val="45ED4D02"/>
    <w:rsid w:val="461311DA"/>
    <w:rsid w:val="46BD454A"/>
    <w:rsid w:val="47707DB2"/>
    <w:rsid w:val="47A419E3"/>
    <w:rsid w:val="47BB5496"/>
    <w:rsid w:val="47C60A94"/>
    <w:rsid w:val="48973598"/>
    <w:rsid w:val="4A1B535E"/>
    <w:rsid w:val="4A4F27DB"/>
    <w:rsid w:val="4B866AF8"/>
    <w:rsid w:val="4BBD73C6"/>
    <w:rsid w:val="4C482173"/>
    <w:rsid w:val="4CDE6348"/>
    <w:rsid w:val="4D6A65CE"/>
    <w:rsid w:val="4DBC2E94"/>
    <w:rsid w:val="4DC964B1"/>
    <w:rsid w:val="4E134364"/>
    <w:rsid w:val="4E564FCF"/>
    <w:rsid w:val="4E8F3E58"/>
    <w:rsid w:val="4FCD39FC"/>
    <w:rsid w:val="4FEB77F9"/>
    <w:rsid w:val="507F5748"/>
    <w:rsid w:val="50C95069"/>
    <w:rsid w:val="51AD440F"/>
    <w:rsid w:val="520543EC"/>
    <w:rsid w:val="52495195"/>
    <w:rsid w:val="52886A97"/>
    <w:rsid w:val="52F06035"/>
    <w:rsid w:val="53704E7E"/>
    <w:rsid w:val="55280E42"/>
    <w:rsid w:val="552F1841"/>
    <w:rsid w:val="556648D8"/>
    <w:rsid w:val="55AF421A"/>
    <w:rsid w:val="56F3629C"/>
    <w:rsid w:val="57984D11"/>
    <w:rsid w:val="579B5C1A"/>
    <w:rsid w:val="59E6421A"/>
    <w:rsid w:val="5B24111A"/>
    <w:rsid w:val="5BFEB149"/>
    <w:rsid w:val="5C267130"/>
    <w:rsid w:val="5C3C70D4"/>
    <w:rsid w:val="5C476659"/>
    <w:rsid w:val="5CE5FF83"/>
    <w:rsid w:val="5DCE0D18"/>
    <w:rsid w:val="5E8576E4"/>
    <w:rsid w:val="5E893178"/>
    <w:rsid w:val="5E95405B"/>
    <w:rsid w:val="5EA837B4"/>
    <w:rsid w:val="5ECBE1DC"/>
    <w:rsid w:val="5F17477D"/>
    <w:rsid w:val="5F420454"/>
    <w:rsid w:val="5FA2158F"/>
    <w:rsid w:val="5FFF42A1"/>
    <w:rsid w:val="5FFF7E5A"/>
    <w:rsid w:val="601B093B"/>
    <w:rsid w:val="60235E4B"/>
    <w:rsid w:val="60D1163C"/>
    <w:rsid w:val="60FA371B"/>
    <w:rsid w:val="61693762"/>
    <w:rsid w:val="62607048"/>
    <w:rsid w:val="62EAACBE"/>
    <w:rsid w:val="634C3880"/>
    <w:rsid w:val="635C70EF"/>
    <w:rsid w:val="63DB4D3F"/>
    <w:rsid w:val="641536BE"/>
    <w:rsid w:val="646B15F0"/>
    <w:rsid w:val="64B94481"/>
    <w:rsid w:val="65325E6D"/>
    <w:rsid w:val="66BC3709"/>
    <w:rsid w:val="66FCAEF9"/>
    <w:rsid w:val="672C55DE"/>
    <w:rsid w:val="67E0508D"/>
    <w:rsid w:val="67E644EA"/>
    <w:rsid w:val="67E70445"/>
    <w:rsid w:val="683B3FE5"/>
    <w:rsid w:val="68A1720D"/>
    <w:rsid w:val="69DC4712"/>
    <w:rsid w:val="6A8F3657"/>
    <w:rsid w:val="6ADA5774"/>
    <w:rsid w:val="6B7A2096"/>
    <w:rsid w:val="6B7E3EF8"/>
    <w:rsid w:val="6C1A6432"/>
    <w:rsid w:val="6CA70C01"/>
    <w:rsid w:val="6CB63370"/>
    <w:rsid w:val="6CF65B16"/>
    <w:rsid w:val="6D553773"/>
    <w:rsid w:val="6D7A218D"/>
    <w:rsid w:val="6D874340"/>
    <w:rsid w:val="6EFF70B3"/>
    <w:rsid w:val="6FBECC70"/>
    <w:rsid w:val="701F0EB3"/>
    <w:rsid w:val="704C5244"/>
    <w:rsid w:val="70913858"/>
    <w:rsid w:val="711519D0"/>
    <w:rsid w:val="711F70EB"/>
    <w:rsid w:val="73D20B92"/>
    <w:rsid w:val="744C55D5"/>
    <w:rsid w:val="74886751"/>
    <w:rsid w:val="74892CA7"/>
    <w:rsid w:val="7539704C"/>
    <w:rsid w:val="753F32E7"/>
    <w:rsid w:val="76D7D11F"/>
    <w:rsid w:val="77D4621B"/>
    <w:rsid w:val="77FDF33D"/>
    <w:rsid w:val="78495E14"/>
    <w:rsid w:val="78AC2A23"/>
    <w:rsid w:val="7A001974"/>
    <w:rsid w:val="7A117F10"/>
    <w:rsid w:val="7A574C8B"/>
    <w:rsid w:val="7AD9139A"/>
    <w:rsid w:val="7B2FEFBB"/>
    <w:rsid w:val="7BA876BD"/>
    <w:rsid w:val="7BAB5E69"/>
    <w:rsid w:val="7BFB899E"/>
    <w:rsid w:val="7C3C6A63"/>
    <w:rsid w:val="7C7B4959"/>
    <w:rsid w:val="7C9B765B"/>
    <w:rsid w:val="7D0C3E27"/>
    <w:rsid w:val="7D2FE1E3"/>
    <w:rsid w:val="7D5B2101"/>
    <w:rsid w:val="7D6D3213"/>
    <w:rsid w:val="7EA32AD9"/>
    <w:rsid w:val="7EC03862"/>
    <w:rsid w:val="7FBEAFC0"/>
    <w:rsid w:val="7FBF5C20"/>
    <w:rsid w:val="7FDF0B90"/>
    <w:rsid w:val="7FF51F9C"/>
    <w:rsid w:val="ABFB50C0"/>
    <w:rsid w:val="BBCEF287"/>
    <w:rsid w:val="BDFF25A5"/>
    <w:rsid w:val="BFFA255F"/>
    <w:rsid w:val="C7AF6A99"/>
    <w:rsid w:val="DCFF5CDD"/>
    <w:rsid w:val="EFD18098"/>
    <w:rsid w:val="EFFC0F56"/>
    <w:rsid w:val="EFFFB5F5"/>
    <w:rsid w:val="F76F55B1"/>
    <w:rsid w:val="FBDEB4B9"/>
    <w:rsid w:val="FBE5C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napToGrid w:val="0"/>
      <w:spacing w:line="360" w:lineRule="auto"/>
      <w:jc w:val="center"/>
      <w:outlineLvl w:val="0"/>
    </w:pPr>
    <w:rPr>
      <w:rFonts w:ascii="宋体" w:hAnsi="宋体"/>
      <w:b/>
      <w:kern w:val="44"/>
      <w:sz w:val="24"/>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2"/>
    <w:basedOn w:val="1"/>
    <w:qFormat/>
    <w:uiPriority w:val="0"/>
    <w:pPr>
      <w:spacing w:line="360" w:lineRule="auto"/>
    </w:pPr>
    <w:rPr>
      <w:rFonts w:ascii="仿宋_GB2312" w:hAnsi="Times New Roman" w:eastAsia="仿宋_GB2312"/>
      <w:color w:val="000000"/>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4"/>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Calibri" w:hAnsi="Calibri" w:eastAsia="宋体" w:cs="Times New Roman"/>
      <w:lang w:val="en-US" w:eastAsia="zh-CN" w:bidi="ar-SA"/>
    </w:rPr>
  </w:style>
  <w:style w:type="character" w:styleId="15">
    <w:name w:val="FollowedHyperlink"/>
    <w:basedOn w:val="13"/>
    <w:qFormat/>
    <w:uiPriority w:val="0"/>
    <w:rPr>
      <w:color w:val="954F72" w:themeColor="followedHyperlink"/>
      <w:u w:val="single"/>
      <w14:textFill>
        <w14:solidFill>
          <w14:schemeClr w14:val="folHlink"/>
        </w14:solidFill>
      </w14:textFill>
    </w:rPr>
  </w:style>
  <w:style w:type="character" w:styleId="16">
    <w:name w:val="Hyperlink"/>
    <w:unhideWhenUsed/>
    <w:qFormat/>
    <w:uiPriority w:val="99"/>
    <w:rPr>
      <w:rFonts w:ascii="Calibri" w:hAnsi="Calibri" w:eastAsia="宋体" w:cs="Times New Roman"/>
      <w:color w:val="0000FF"/>
      <w:u w:val="single"/>
      <w:lang w:val="en-US" w:eastAsia="zh-CN" w:bidi="ar-SA"/>
    </w:rPr>
  </w:style>
  <w:style w:type="character" w:styleId="17">
    <w:name w:val="annotation reference"/>
    <w:unhideWhenUsed/>
    <w:qFormat/>
    <w:uiPriority w:val="0"/>
    <w:rPr>
      <w:rFonts w:ascii="Calibri" w:hAnsi="Calibri" w:eastAsia="宋体" w:cs="Times New Roman"/>
      <w:sz w:val="21"/>
      <w:szCs w:val="21"/>
      <w:lang w:val="en-US" w:eastAsia="zh-CN" w:bidi="ar-SA"/>
    </w:rPr>
  </w:style>
  <w:style w:type="paragraph" w:customStyle="1" w:styleId="18">
    <w:name w:val="TOC 标题2"/>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9">
    <w:name w:val="bjh-p"/>
    <w:basedOn w:val="13"/>
    <w:qFormat/>
    <w:uiPriority w:val="0"/>
    <w:rPr>
      <w:rFonts w:ascii="Calibri" w:hAnsi="Calibri" w:eastAsia="宋体" w:cs="Times New Roman"/>
      <w:lang w:val="en-US" w:eastAsia="zh-CN" w:bidi="ar-SA"/>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字符"/>
    <w:basedOn w:val="13"/>
    <w:link w:val="4"/>
    <w:qFormat/>
    <w:uiPriority w:val="0"/>
    <w:rPr>
      <w:rFonts w:ascii="Calibri" w:hAnsi="Calibri" w:eastAsia="宋体" w:cs="Times New Roman"/>
      <w:kern w:val="2"/>
      <w:sz w:val="18"/>
      <w:szCs w:val="18"/>
    </w:rPr>
  </w:style>
  <w:style w:type="character" w:customStyle="1" w:styleId="23">
    <w:name w:val="批注文字 字符"/>
    <w:basedOn w:val="13"/>
    <w:link w:val="3"/>
    <w:qFormat/>
    <w:uiPriority w:val="0"/>
    <w:rPr>
      <w:rFonts w:ascii="Calibri" w:hAnsi="Calibri" w:eastAsia="宋体" w:cs="Times New Roman"/>
      <w:kern w:val="2"/>
      <w:sz w:val="21"/>
      <w:szCs w:val="22"/>
    </w:rPr>
  </w:style>
  <w:style w:type="character" w:customStyle="1" w:styleId="24">
    <w:name w:val="批注主题 字符"/>
    <w:basedOn w:val="23"/>
    <w:link w:val="10"/>
    <w:qFormat/>
    <w:uiPriority w:val="0"/>
    <w:rPr>
      <w:rFonts w:ascii="Calibri" w:hAnsi="Calibri" w:eastAsia="宋体" w:cs="Times New Roman"/>
      <w:b/>
      <w:bCs/>
      <w:kern w:val="2"/>
      <w:sz w:val="21"/>
      <w:szCs w:val="22"/>
    </w:rPr>
  </w:style>
  <w:style w:type="character" w:customStyle="1" w:styleId="25">
    <w:name w:val="页脚 字符"/>
    <w:basedOn w:val="13"/>
    <w:link w:val="5"/>
    <w:qFormat/>
    <w:uiPriority w:val="99"/>
    <w:rPr>
      <w:rFonts w:ascii="Calibri" w:hAnsi="Calibri" w:eastAsia="宋体" w:cs="Times New Roman"/>
      <w:kern w:val="2"/>
      <w:sz w:val="18"/>
      <w:szCs w:val="18"/>
    </w:rPr>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修订3"/>
    <w:hidden/>
    <w:semiHidden/>
    <w:qFormat/>
    <w:uiPriority w:val="99"/>
    <w:rPr>
      <w:rFonts w:ascii="Calibri" w:hAnsi="Calibri" w:eastAsia="宋体" w:cs="Times New Roman"/>
      <w:kern w:val="2"/>
      <w:sz w:val="21"/>
      <w:szCs w:val="22"/>
      <w:lang w:val="en-US" w:eastAsia="zh-CN" w:bidi="ar-SA"/>
    </w:rPr>
  </w:style>
  <w:style w:type="paragraph" w:customStyle="1" w:styleId="28">
    <w:name w:val="修订4"/>
    <w:hidden/>
    <w:unhideWhenUsed/>
    <w:qFormat/>
    <w:uiPriority w:val="99"/>
    <w:rPr>
      <w:rFonts w:ascii="Calibri" w:hAnsi="Calibri" w:eastAsia="宋体" w:cs="Times New Roman"/>
      <w:kern w:val="2"/>
      <w:sz w:val="21"/>
      <w:szCs w:val="22"/>
      <w:lang w:val="en-US" w:eastAsia="zh-CN" w:bidi="ar-SA"/>
    </w:rPr>
  </w:style>
  <w:style w:type="paragraph" w:customStyle="1" w:styleId="29">
    <w:name w:val="修订5"/>
    <w:hidden/>
    <w:unhideWhenUsed/>
    <w:qFormat/>
    <w:uiPriority w:val="99"/>
    <w:rPr>
      <w:rFonts w:ascii="Calibri" w:hAnsi="Calibri" w:eastAsia="宋体" w:cs="Times New Roman"/>
      <w:kern w:val="2"/>
      <w:sz w:val="21"/>
      <w:szCs w:val="22"/>
      <w:lang w:val="en-US" w:eastAsia="zh-CN" w:bidi="ar-SA"/>
    </w:rPr>
  </w:style>
  <w:style w:type="paragraph" w:customStyle="1" w:styleId="30">
    <w:name w:val="修订6"/>
    <w:hidden/>
    <w:unhideWhenUsed/>
    <w:qFormat/>
    <w:uiPriority w:val="99"/>
    <w:rPr>
      <w:rFonts w:ascii="Calibri" w:hAnsi="Calibri" w:eastAsia="宋体" w:cs="Times New Roman"/>
      <w:kern w:val="2"/>
      <w:sz w:val="21"/>
      <w:szCs w:val="22"/>
      <w:lang w:val="en-US" w:eastAsia="zh-CN" w:bidi="ar-SA"/>
    </w:rPr>
  </w:style>
  <w:style w:type="paragraph" w:customStyle="1" w:styleId="31">
    <w:name w:val="修订7"/>
    <w:hidden/>
    <w:unhideWhenUsed/>
    <w:qFormat/>
    <w:uiPriority w:val="99"/>
    <w:rPr>
      <w:rFonts w:ascii="Calibri" w:hAnsi="Calibri" w:eastAsia="宋体" w:cs="Times New Roman"/>
      <w:kern w:val="2"/>
      <w:sz w:val="21"/>
      <w:szCs w:val="22"/>
      <w:lang w:val="en-US" w:eastAsia="zh-CN" w:bidi="ar-SA"/>
    </w:rPr>
  </w:style>
  <w:style w:type="paragraph" w:customStyle="1" w:styleId="32">
    <w:name w:val="修订8"/>
    <w:hidden/>
    <w:semiHidden/>
    <w:qFormat/>
    <w:uiPriority w:val="99"/>
    <w:rPr>
      <w:rFonts w:ascii="Calibri" w:hAnsi="Calibri" w:eastAsia="宋体" w:cs="Times New Roman"/>
      <w:kern w:val="2"/>
      <w:sz w:val="21"/>
      <w:szCs w:val="22"/>
      <w:lang w:val="en-US" w:eastAsia="zh-CN" w:bidi="ar-SA"/>
    </w:rPr>
  </w:style>
  <w:style w:type="paragraph" w:customStyle="1" w:styleId="33">
    <w:name w:val="修订9"/>
    <w:hidden/>
    <w:semiHidden/>
    <w:qFormat/>
    <w:uiPriority w:val="99"/>
    <w:rPr>
      <w:rFonts w:ascii="Calibri" w:hAnsi="Calibri" w:eastAsia="宋体" w:cs="Times New Roman"/>
      <w:kern w:val="2"/>
      <w:sz w:val="21"/>
      <w:szCs w:val="22"/>
      <w:lang w:val="en-US" w:eastAsia="zh-CN" w:bidi="ar-SA"/>
    </w:rPr>
  </w:style>
  <w:style w:type="character" w:customStyle="1" w:styleId="34">
    <w:name w:val="批注文字 字符1"/>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71F51-7B71-4DFE-870A-185D8DE83F5E}">
  <ds:schemaRefs/>
</ds:datastoreItem>
</file>

<file path=docProps/app.xml><?xml version="1.0" encoding="utf-8"?>
<Properties xmlns="http://schemas.openxmlformats.org/officeDocument/2006/extended-properties" xmlns:vt="http://schemas.openxmlformats.org/officeDocument/2006/docPropsVTypes">
  <Template>Normal.dotm</Template>
  <Company>llinks.com</Company>
  <Pages>107</Pages>
  <Words>36824</Words>
  <Characters>36825</Characters>
  <Lines>1416</Lines>
  <Paragraphs>1444</Paragraphs>
  <TotalTime>64</TotalTime>
  <ScaleCrop>false</ScaleCrop>
  <LinksUpToDate>false</LinksUpToDate>
  <CharactersWithSpaces>72205</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2025-01-06T09:18:00Z</dcterms:created>
  <dc:creator>fuxiao</dc:creator>
  <cp:lastModifiedBy>liuf</cp:lastModifiedBy>
  <cp:lastPrinted>2022-10-14T08:21:00Z</cp:lastPrinted>
  <dcterms:modified xsi:type="dcterms:W3CDTF">2026-01-13T05:51:09Z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F3A39E802D2446249E10A49C2A537BCE_13</vt:lpwstr>
  </property>
  <property fmtid="{D5CDD505-2E9C-101B-9397-08002B2CF9AE}" pid="4" name="KSOTemplateDocerSaveRecord">
    <vt:lpwstr>eyJoZGlkIjoiMjNmN2NhNjdhOWNlNzJiMWFhNTMzMGMxYjM1YjJkOWIiLCJ1c2VySWQiOiIyMzk2MjkwNzUifQ==</vt:lpwstr>
  </property>
</Properties>
</file>