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B387C">
      <w:pPr>
        <w:rPr>
          <w:rFonts w:ascii="宋体" w:hAnsi="宋体"/>
          <w:sz w:val="24"/>
        </w:rPr>
      </w:pPr>
    </w:p>
    <w:p w14:paraId="58178FC9">
      <w:pPr>
        <w:ind w:right="-17" w:rightChars="-8"/>
        <w:rPr>
          <w:rFonts w:eastAsia="黑体"/>
          <w:sz w:val="32"/>
          <w:szCs w:val="32"/>
        </w:rPr>
      </w:pPr>
    </w:p>
    <w:p w14:paraId="6DB08EEC">
      <w:pPr>
        <w:tabs>
          <w:tab w:val="left" w:pos="3495"/>
        </w:tabs>
        <w:rPr>
          <w:rFonts w:eastAsia="黑体"/>
          <w:sz w:val="52"/>
          <w:szCs w:val="52"/>
        </w:rPr>
      </w:pPr>
    </w:p>
    <w:p w14:paraId="67022DF1">
      <w:pPr>
        <w:tabs>
          <w:tab w:val="center" w:pos="4164"/>
          <w:tab w:val="left" w:pos="5455"/>
        </w:tabs>
        <w:ind w:right="-17" w:rightChars="-8"/>
        <w:jc w:val="center"/>
        <w:rPr>
          <w:rFonts w:eastAsia="黑体"/>
          <w:sz w:val="52"/>
          <w:szCs w:val="52"/>
        </w:rPr>
      </w:pPr>
    </w:p>
    <w:p w14:paraId="67C2EF5E">
      <w:pPr>
        <w:tabs>
          <w:tab w:val="center" w:pos="4164"/>
          <w:tab w:val="left" w:pos="5455"/>
        </w:tabs>
        <w:ind w:right="-17" w:rightChars="-8"/>
        <w:jc w:val="center"/>
        <w:rPr>
          <w:rFonts w:eastAsia="黑体"/>
          <w:sz w:val="52"/>
          <w:szCs w:val="52"/>
        </w:rPr>
      </w:pPr>
    </w:p>
    <w:p w14:paraId="73133639">
      <w:pPr>
        <w:jc w:val="center"/>
        <w:rPr>
          <w:rFonts w:ascii="宋体" w:hAnsi="宋体"/>
          <w:sz w:val="24"/>
        </w:rPr>
      </w:pPr>
    </w:p>
    <w:p w14:paraId="2D521CCE">
      <w:pPr>
        <w:jc w:val="center"/>
        <w:rPr>
          <w:b/>
          <w:sz w:val="52"/>
          <w:szCs w:val="52"/>
        </w:rPr>
      </w:pPr>
    </w:p>
    <w:p w14:paraId="205902A9">
      <w:pPr>
        <w:jc w:val="center"/>
        <w:rPr>
          <w:rFonts w:ascii="仿宋_GB2312" w:eastAsia="仿宋_GB2312"/>
          <w:b/>
          <w:sz w:val="32"/>
          <w:szCs w:val="32"/>
        </w:rPr>
      </w:pPr>
    </w:p>
    <w:p w14:paraId="49E6D7A6">
      <w:pPr>
        <w:jc w:val="center"/>
        <w:rPr>
          <w:rFonts w:ascii="黑体" w:hAnsi="黑体" w:eastAsia="黑体"/>
          <w:b/>
          <w:sz w:val="44"/>
          <w:szCs w:val="44"/>
        </w:rPr>
      </w:pPr>
      <w:r>
        <w:rPr>
          <w:rFonts w:hint="eastAsia" w:ascii="黑体" w:hAnsi="黑体" w:eastAsia="黑体"/>
          <w:b/>
          <w:sz w:val="44"/>
          <w:szCs w:val="44"/>
        </w:rPr>
        <w:t>银华嘉盈混合型证券投资基金托管协议</w:t>
      </w:r>
    </w:p>
    <w:p w14:paraId="264D70BF">
      <w:pPr>
        <w:jc w:val="center"/>
        <w:rPr>
          <w:rFonts w:ascii="宋体" w:hAnsi="宋体"/>
          <w:sz w:val="44"/>
          <w:szCs w:val="44"/>
        </w:rPr>
      </w:pPr>
    </w:p>
    <w:p w14:paraId="37F7EB47">
      <w:pPr>
        <w:jc w:val="center"/>
        <w:rPr>
          <w:rFonts w:ascii="宋体" w:hAnsi="宋体"/>
          <w:sz w:val="44"/>
          <w:szCs w:val="44"/>
        </w:rPr>
      </w:pPr>
    </w:p>
    <w:p w14:paraId="4991F0A7">
      <w:pPr>
        <w:jc w:val="center"/>
        <w:rPr>
          <w:rFonts w:ascii="宋体" w:hAnsi="宋体"/>
          <w:sz w:val="44"/>
          <w:szCs w:val="44"/>
        </w:rPr>
      </w:pPr>
    </w:p>
    <w:p w14:paraId="7ECA214A">
      <w:pPr>
        <w:jc w:val="center"/>
        <w:rPr>
          <w:rFonts w:ascii="宋体" w:hAnsi="宋体"/>
          <w:sz w:val="44"/>
          <w:szCs w:val="44"/>
        </w:rPr>
      </w:pPr>
    </w:p>
    <w:p w14:paraId="2B6BFFEE">
      <w:pPr>
        <w:jc w:val="center"/>
        <w:rPr>
          <w:rFonts w:ascii="宋体" w:hAnsi="宋体"/>
          <w:sz w:val="44"/>
          <w:szCs w:val="44"/>
        </w:rPr>
      </w:pPr>
    </w:p>
    <w:p w14:paraId="6946249A">
      <w:pPr>
        <w:jc w:val="center"/>
        <w:rPr>
          <w:rFonts w:ascii="宋体" w:hAnsi="宋体"/>
          <w:sz w:val="44"/>
          <w:szCs w:val="44"/>
        </w:rPr>
      </w:pPr>
    </w:p>
    <w:p w14:paraId="42F70B4D">
      <w:pPr>
        <w:jc w:val="center"/>
        <w:rPr>
          <w:rFonts w:ascii="宋体" w:hAnsi="宋体"/>
          <w:sz w:val="44"/>
          <w:szCs w:val="44"/>
        </w:rPr>
      </w:pPr>
    </w:p>
    <w:p w14:paraId="1A795D45">
      <w:pPr>
        <w:jc w:val="center"/>
        <w:rPr>
          <w:rFonts w:hint="eastAsia" w:ascii="宋体" w:hAnsi="宋体"/>
          <w:sz w:val="44"/>
          <w:szCs w:val="44"/>
        </w:rPr>
      </w:pPr>
    </w:p>
    <w:p w14:paraId="2A1B1760">
      <w:pPr>
        <w:jc w:val="center"/>
        <w:rPr>
          <w:rFonts w:ascii="宋体" w:hAnsi="宋体"/>
          <w:sz w:val="44"/>
          <w:szCs w:val="44"/>
        </w:rPr>
      </w:pPr>
    </w:p>
    <w:p w14:paraId="3323B1DA">
      <w:pPr>
        <w:rPr>
          <w:rFonts w:ascii="宋体"/>
          <w:sz w:val="30"/>
        </w:rPr>
      </w:pPr>
    </w:p>
    <w:p w14:paraId="51FD55B1">
      <w:pPr>
        <w:ind w:left="1135" w:leftChars="540" w:hanging="1"/>
        <w:jc w:val="left"/>
        <w:rPr>
          <w:b/>
          <w:sz w:val="32"/>
          <w:szCs w:val="32"/>
          <w:u w:val="single"/>
        </w:rPr>
      </w:pPr>
      <w:bookmarkStart w:id="0" w:name="_Toc382819065"/>
      <w:bookmarkStart w:id="1" w:name="_Toc382818591"/>
      <w:r>
        <w:rPr>
          <w:rFonts w:hint="eastAsia"/>
          <w:b/>
          <w:sz w:val="32"/>
          <w:szCs w:val="32"/>
        </w:rPr>
        <w:t>基金管理人：</w:t>
      </w:r>
      <w:bookmarkEnd w:id="0"/>
      <w:bookmarkEnd w:id="1"/>
      <w:r>
        <w:rPr>
          <w:rFonts w:hint="eastAsia"/>
          <w:b/>
          <w:sz w:val="32"/>
          <w:szCs w:val="32"/>
        </w:rPr>
        <w:t>银华基金管理股份有限公司</w:t>
      </w:r>
    </w:p>
    <w:p w14:paraId="56D9B20A">
      <w:pPr>
        <w:ind w:left="1135" w:leftChars="540" w:hanging="1"/>
        <w:jc w:val="left"/>
        <w:rPr>
          <w:b/>
          <w:sz w:val="32"/>
          <w:szCs w:val="32"/>
        </w:rPr>
      </w:pPr>
      <w:bookmarkStart w:id="2" w:name="_Toc382818592"/>
      <w:bookmarkStart w:id="3" w:name="_Toc382819066"/>
      <w:r>
        <w:rPr>
          <w:rFonts w:hint="eastAsia"/>
          <w:b/>
          <w:sz w:val="32"/>
          <w:szCs w:val="32"/>
        </w:rPr>
        <w:t>基金托管人：上海浦东发展银行股份有限公司</w:t>
      </w:r>
      <w:bookmarkEnd w:id="2"/>
      <w:bookmarkEnd w:id="3"/>
    </w:p>
    <w:p w14:paraId="141881FB">
      <w:pPr>
        <w:spacing w:line="500" w:lineRule="atLeast"/>
        <w:jc w:val="center"/>
        <w:outlineLvl w:val="0"/>
        <w:rPr>
          <w:rFonts w:ascii="黑体" w:hAnsi="宋体" w:eastAsia="黑体"/>
          <w:b/>
          <w:sz w:val="28"/>
          <w:szCs w:val="28"/>
        </w:rPr>
      </w:pPr>
      <w:r>
        <w:rPr>
          <w:rFonts w:hint="eastAsia" w:ascii="黑体" w:hAnsi="宋体" w:eastAsia="黑体"/>
          <w:b/>
          <w:sz w:val="28"/>
          <w:szCs w:val="28"/>
        </w:rPr>
        <w:br w:type="page"/>
      </w:r>
      <w:bookmarkStart w:id="4" w:name="_Toc382818593"/>
      <w:bookmarkStart w:id="5" w:name="_Toc382819067"/>
    </w:p>
    <w:p w14:paraId="5AF82D20">
      <w:pPr>
        <w:spacing w:line="500" w:lineRule="atLeast"/>
        <w:jc w:val="center"/>
        <w:outlineLvl w:val="0"/>
        <w:rPr>
          <w:rFonts w:ascii="宋体" w:hAnsi="宋体"/>
          <w:b/>
          <w:sz w:val="36"/>
          <w:szCs w:val="28"/>
        </w:rPr>
      </w:pPr>
      <w:r>
        <w:rPr>
          <w:rFonts w:hint="eastAsia" w:ascii="宋体" w:hAnsi="宋体"/>
          <w:b/>
          <w:sz w:val="32"/>
          <w:szCs w:val="28"/>
        </w:rPr>
        <w:t>目</w:t>
      </w:r>
      <w:bookmarkStart w:id="79" w:name="_GoBack"/>
      <w:bookmarkEnd w:id="79"/>
      <w:r>
        <w:rPr>
          <w:rFonts w:hint="eastAsia" w:ascii="宋体" w:hAnsi="宋体"/>
          <w:b/>
          <w:sz w:val="32"/>
          <w:szCs w:val="28"/>
        </w:rPr>
        <w:t xml:space="preserve"> 录</w:t>
      </w:r>
      <w:bookmarkEnd w:id="4"/>
      <w:bookmarkEnd w:id="5"/>
    </w:p>
    <w:p w14:paraId="2C3AFA2D">
      <w:pPr>
        <w:pStyle w:val="16"/>
        <w:tabs>
          <w:tab w:val="left" w:pos="440"/>
          <w:tab w:val="right" w:leader="dot" w:pos="8296"/>
        </w:tabs>
        <w:spacing w:line="360" w:lineRule="auto"/>
        <w:rPr>
          <w:rFonts w:ascii="Calibri" w:hAnsi="Calibri"/>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14:paraId="790416B0">
      <w:pPr>
        <w:pStyle w:val="16"/>
        <w:tabs>
          <w:tab w:val="right" w:leader="dot" w:pos="8296"/>
        </w:tabs>
        <w:spacing w:line="360" w:lineRule="auto"/>
        <w:rPr>
          <w:rFonts w:ascii="Calibri" w:hAnsi="Calibri"/>
          <w:szCs w:val="21"/>
        </w:rPr>
      </w:pPr>
      <w:r>
        <w:fldChar w:fldCharType="begin"/>
      </w:r>
      <w:r>
        <w:instrText xml:space="preserve"> HYPERLINK \l "_Toc382819071" </w:instrText>
      </w:r>
      <w:r>
        <w:fldChar w:fldCharType="separate"/>
      </w:r>
      <w:r>
        <w:rPr>
          <w:rStyle w:val="21"/>
          <w:rFonts w:hint="eastAsia" w:ascii="宋体" w:hAnsi="宋体" w:cs="Arial"/>
          <w:szCs w:val="21"/>
        </w:rPr>
        <w:t>一、</w:t>
      </w:r>
      <w:r>
        <w:rPr>
          <w:rStyle w:val="21"/>
          <w:rFonts w:ascii="宋体" w:hAnsi="宋体" w:cs="Arial"/>
          <w:szCs w:val="21"/>
        </w:rPr>
        <w:t xml:space="preserve"> </w:t>
      </w:r>
      <w:r>
        <w:rPr>
          <w:rStyle w:val="21"/>
          <w:rFonts w:hint="eastAsia" w:ascii="宋体" w:hAnsi="宋体" w:cs="Arial"/>
          <w:szCs w:val="21"/>
        </w:rPr>
        <w:t>基金托管协议的依据、目的、原则和解释</w:t>
      </w:r>
      <w:r>
        <w:rPr>
          <w:szCs w:val="21"/>
        </w:rPr>
        <w:tab/>
      </w:r>
      <w:r>
        <w:rPr>
          <w:szCs w:val="21"/>
        </w:rPr>
        <w:fldChar w:fldCharType="begin"/>
      </w:r>
      <w:r>
        <w:rPr>
          <w:szCs w:val="21"/>
        </w:rPr>
        <w:instrText xml:space="preserve"> PAGEREF _Toc382819071 \h </w:instrText>
      </w:r>
      <w:r>
        <w:rPr>
          <w:szCs w:val="21"/>
        </w:rPr>
        <w:fldChar w:fldCharType="separate"/>
      </w:r>
      <w:r>
        <w:rPr>
          <w:szCs w:val="21"/>
        </w:rPr>
        <w:t>4</w:t>
      </w:r>
      <w:r>
        <w:rPr>
          <w:szCs w:val="21"/>
        </w:rPr>
        <w:fldChar w:fldCharType="end"/>
      </w:r>
      <w:r>
        <w:rPr>
          <w:szCs w:val="21"/>
        </w:rPr>
        <w:fldChar w:fldCharType="end"/>
      </w:r>
    </w:p>
    <w:p w14:paraId="357439B2">
      <w:pPr>
        <w:pStyle w:val="16"/>
        <w:tabs>
          <w:tab w:val="right" w:leader="dot" w:pos="8296"/>
        </w:tabs>
        <w:spacing w:line="360" w:lineRule="auto"/>
        <w:rPr>
          <w:rFonts w:ascii="Calibri" w:hAnsi="Calibri"/>
          <w:szCs w:val="21"/>
        </w:rPr>
      </w:pPr>
      <w:r>
        <w:fldChar w:fldCharType="begin"/>
      </w:r>
      <w:r>
        <w:instrText xml:space="preserve"> HYPERLINK \l "_Toc382819072" </w:instrText>
      </w:r>
      <w:r>
        <w:fldChar w:fldCharType="separate"/>
      </w:r>
      <w:r>
        <w:rPr>
          <w:rStyle w:val="21"/>
          <w:rFonts w:hint="eastAsia" w:ascii="宋体" w:hAnsi="宋体" w:cs="Arial"/>
          <w:szCs w:val="21"/>
        </w:rPr>
        <w:t>二、</w:t>
      </w:r>
      <w:r>
        <w:rPr>
          <w:rStyle w:val="21"/>
          <w:rFonts w:ascii="宋体" w:hAnsi="宋体" w:cs="Arial"/>
          <w:szCs w:val="21"/>
        </w:rPr>
        <w:t xml:space="preserve"> </w:t>
      </w:r>
      <w:r>
        <w:rPr>
          <w:rStyle w:val="21"/>
          <w:rFonts w:hint="eastAsia" w:ascii="宋体" w:hAnsi="宋体" w:cs="Arial"/>
          <w:szCs w:val="21"/>
        </w:rPr>
        <w:t>基金托管人对基金管理人的业务监督和核查</w:t>
      </w:r>
      <w:r>
        <w:rPr>
          <w:szCs w:val="21"/>
        </w:rPr>
        <w:tab/>
      </w:r>
      <w:r>
        <w:rPr>
          <w:szCs w:val="21"/>
        </w:rPr>
        <w:fldChar w:fldCharType="begin"/>
      </w:r>
      <w:r>
        <w:rPr>
          <w:szCs w:val="21"/>
        </w:rPr>
        <w:instrText xml:space="preserve"> PAGEREF _Toc382819072 \h </w:instrText>
      </w:r>
      <w:r>
        <w:rPr>
          <w:szCs w:val="21"/>
        </w:rPr>
        <w:fldChar w:fldCharType="separate"/>
      </w:r>
      <w:r>
        <w:rPr>
          <w:szCs w:val="21"/>
        </w:rPr>
        <w:t>5</w:t>
      </w:r>
      <w:r>
        <w:rPr>
          <w:szCs w:val="21"/>
        </w:rPr>
        <w:fldChar w:fldCharType="end"/>
      </w:r>
      <w:r>
        <w:rPr>
          <w:szCs w:val="21"/>
        </w:rPr>
        <w:fldChar w:fldCharType="end"/>
      </w:r>
    </w:p>
    <w:p w14:paraId="109D1624">
      <w:pPr>
        <w:pStyle w:val="16"/>
        <w:tabs>
          <w:tab w:val="right" w:leader="dot" w:pos="8296"/>
        </w:tabs>
        <w:spacing w:line="360" w:lineRule="auto"/>
        <w:rPr>
          <w:rFonts w:ascii="Calibri" w:hAnsi="Calibri"/>
          <w:szCs w:val="21"/>
        </w:rPr>
      </w:pPr>
      <w:r>
        <w:fldChar w:fldCharType="begin"/>
      </w:r>
      <w:r>
        <w:instrText xml:space="preserve"> HYPERLINK \l "_Toc382819076" </w:instrText>
      </w:r>
      <w:r>
        <w:fldChar w:fldCharType="separate"/>
      </w:r>
      <w:r>
        <w:rPr>
          <w:rStyle w:val="21"/>
          <w:rFonts w:hint="eastAsia" w:ascii="宋体" w:hAnsi="宋体" w:cs="Arial"/>
          <w:szCs w:val="21"/>
        </w:rPr>
        <w:t>三、</w:t>
      </w:r>
      <w:r>
        <w:rPr>
          <w:rStyle w:val="21"/>
          <w:rFonts w:ascii="宋体" w:hAnsi="宋体" w:cs="Arial"/>
          <w:szCs w:val="21"/>
        </w:rPr>
        <w:t xml:space="preserve"> </w:t>
      </w:r>
      <w:r>
        <w:rPr>
          <w:rStyle w:val="21"/>
          <w:rFonts w:hint="eastAsia" w:ascii="宋体" w:hAnsi="宋体" w:cs="Arial"/>
          <w:szCs w:val="21"/>
        </w:rPr>
        <w:t>基金管理人对基金托管人的业务核查</w:t>
      </w:r>
      <w:r>
        <w:rPr>
          <w:szCs w:val="21"/>
        </w:rPr>
        <w:tab/>
      </w:r>
      <w:r>
        <w:rPr>
          <w:szCs w:val="21"/>
        </w:rPr>
        <w:fldChar w:fldCharType="begin"/>
      </w:r>
      <w:r>
        <w:rPr>
          <w:szCs w:val="21"/>
        </w:rPr>
        <w:instrText xml:space="preserve"> PAGEREF _Toc382819076 \h </w:instrText>
      </w:r>
      <w:r>
        <w:rPr>
          <w:szCs w:val="21"/>
        </w:rPr>
        <w:fldChar w:fldCharType="separate"/>
      </w:r>
      <w:r>
        <w:rPr>
          <w:szCs w:val="21"/>
        </w:rPr>
        <w:t>13</w:t>
      </w:r>
      <w:r>
        <w:rPr>
          <w:szCs w:val="21"/>
        </w:rPr>
        <w:fldChar w:fldCharType="end"/>
      </w:r>
      <w:r>
        <w:rPr>
          <w:szCs w:val="21"/>
        </w:rPr>
        <w:fldChar w:fldCharType="end"/>
      </w:r>
    </w:p>
    <w:p w14:paraId="3A4DEF46">
      <w:pPr>
        <w:pStyle w:val="16"/>
        <w:tabs>
          <w:tab w:val="right" w:leader="dot" w:pos="8296"/>
        </w:tabs>
        <w:spacing w:line="360" w:lineRule="auto"/>
        <w:rPr>
          <w:rFonts w:ascii="Calibri" w:hAnsi="Calibri"/>
          <w:szCs w:val="21"/>
        </w:rPr>
      </w:pPr>
      <w:r>
        <w:fldChar w:fldCharType="begin"/>
      </w:r>
      <w:r>
        <w:instrText xml:space="preserve"> HYPERLINK \l "_Toc382819078" </w:instrText>
      </w:r>
      <w:r>
        <w:fldChar w:fldCharType="separate"/>
      </w:r>
      <w:r>
        <w:rPr>
          <w:rStyle w:val="21"/>
          <w:rFonts w:hint="eastAsia" w:ascii="宋体" w:hAnsi="宋体" w:cs="Arial"/>
          <w:szCs w:val="21"/>
        </w:rPr>
        <w:t>四、</w:t>
      </w:r>
      <w:r>
        <w:rPr>
          <w:rStyle w:val="21"/>
          <w:rFonts w:ascii="宋体" w:hAnsi="宋体" w:cs="Arial"/>
          <w:szCs w:val="21"/>
        </w:rPr>
        <w:t xml:space="preserve"> </w:t>
      </w:r>
      <w:r>
        <w:rPr>
          <w:rStyle w:val="21"/>
          <w:rFonts w:hint="eastAsia" w:ascii="宋体" w:hAnsi="宋体" w:cs="Arial"/>
          <w:szCs w:val="21"/>
        </w:rPr>
        <w:t>基金财产保管</w:t>
      </w:r>
      <w:r>
        <w:rPr>
          <w:szCs w:val="21"/>
        </w:rPr>
        <w:tab/>
      </w:r>
      <w:r>
        <w:rPr>
          <w:szCs w:val="21"/>
        </w:rPr>
        <w:fldChar w:fldCharType="begin"/>
      </w:r>
      <w:r>
        <w:rPr>
          <w:szCs w:val="21"/>
        </w:rPr>
        <w:instrText xml:space="preserve"> PAGEREF _Toc382819078 \h </w:instrText>
      </w:r>
      <w:r>
        <w:rPr>
          <w:szCs w:val="21"/>
        </w:rPr>
        <w:fldChar w:fldCharType="separate"/>
      </w:r>
      <w:r>
        <w:rPr>
          <w:szCs w:val="21"/>
        </w:rPr>
        <w:t>14</w:t>
      </w:r>
      <w:r>
        <w:rPr>
          <w:szCs w:val="21"/>
        </w:rPr>
        <w:fldChar w:fldCharType="end"/>
      </w:r>
      <w:r>
        <w:rPr>
          <w:szCs w:val="21"/>
        </w:rPr>
        <w:fldChar w:fldCharType="end"/>
      </w:r>
    </w:p>
    <w:p w14:paraId="07D84E02">
      <w:pPr>
        <w:pStyle w:val="16"/>
        <w:tabs>
          <w:tab w:val="right" w:leader="dot" w:pos="8296"/>
        </w:tabs>
        <w:spacing w:line="360" w:lineRule="auto"/>
        <w:rPr>
          <w:rFonts w:ascii="Calibri" w:hAnsi="Calibri"/>
          <w:szCs w:val="21"/>
        </w:rPr>
      </w:pPr>
      <w:r>
        <w:fldChar w:fldCharType="begin"/>
      </w:r>
      <w:r>
        <w:instrText xml:space="preserve"> HYPERLINK \l "_Toc382819088" </w:instrText>
      </w:r>
      <w:r>
        <w:fldChar w:fldCharType="separate"/>
      </w:r>
      <w:r>
        <w:rPr>
          <w:rStyle w:val="21"/>
          <w:rFonts w:hint="eastAsia" w:ascii="宋体" w:hAnsi="宋体" w:cs="Arial"/>
          <w:szCs w:val="21"/>
        </w:rPr>
        <w:t>五、</w:t>
      </w:r>
      <w:r>
        <w:rPr>
          <w:rStyle w:val="21"/>
          <w:rFonts w:ascii="宋体" w:hAnsi="宋体" w:cs="Arial"/>
          <w:szCs w:val="21"/>
        </w:rPr>
        <w:t xml:space="preserve"> </w:t>
      </w:r>
      <w:r>
        <w:rPr>
          <w:rStyle w:val="21"/>
          <w:rFonts w:hint="eastAsia" w:ascii="宋体" w:hAnsi="宋体" w:cs="Arial"/>
          <w:szCs w:val="21"/>
        </w:rPr>
        <w:t>指令的发送、确认和执行</w:t>
      </w:r>
      <w:r>
        <w:rPr>
          <w:szCs w:val="21"/>
        </w:rPr>
        <w:tab/>
      </w:r>
      <w:r>
        <w:rPr>
          <w:szCs w:val="21"/>
        </w:rPr>
        <w:fldChar w:fldCharType="begin"/>
      </w:r>
      <w:r>
        <w:rPr>
          <w:szCs w:val="21"/>
        </w:rPr>
        <w:instrText xml:space="preserve"> PAGEREF _Toc382819088 \h </w:instrText>
      </w:r>
      <w:r>
        <w:rPr>
          <w:szCs w:val="21"/>
        </w:rPr>
        <w:fldChar w:fldCharType="separate"/>
      </w:r>
      <w:r>
        <w:rPr>
          <w:szCs w:val="21"/>
        </w:rPr>
        <w:t>17</w:t>
      </w:r>
      <w:r>
        <w:rPr>
          <w:szCs w:val="21"/>
        </w:rPr>
        <w:fldChar w:fldCharType="end"/>
      </w:r>
      <w:r>
        <w:rPr>
          <w:szCs w:val="21"/>
        </w:rPr>
        <w:fldChar w:fldCharType="end"/>
      </w:r>
    </w:p>
    <w:p w14:paraId="3611A2C8">
      <w:pPr>
        <w:pStyle w:val="16"/>
        <w:tabs>
          <w:tab w:val="right" w:leader="dot" w:pos="8296"/>
        </w:tabs>
        <w:spacing w:line="360" w:lineRule="auto"/>
        <w:rPr>
          <w:rFonts w:ascii="Calibri" w:hAnsi="Calibri"/>
          <w:szCs w:val="21"/>
        </w:rPr>
      </w:pPr>
      <w:r>
        <w:fldChar w:fldCharType="begin"/>
      </w:r>
      <w:r>
        <w:instrText xml:space="preserve"> HYPERLINK \l "_Toc382819097" </w:instrText>
      </w:r>
      <w:r>
        <w:fldChar w:fldCharType="separate"/>
      </w:r>
      <w:r>
        <w:rPr>
          <w:rStyle w:val="21"/>
          <w:rFonts w:hint="eastAsia" w:ascii="宋体" w:hAnsi="宋体" w:cs="Arial"/>
          <w:szCs w:val="21"/>
        </w:rPr>
        <w:t>六、</w:t>
      </w:r>
      <w:r>
        <w:rPr>
          <w:rStyle w:val="21"/>
          <w:rFonts w:ascii="宋体" w:hAnsi="宋体" w:cs="Arial"/>
          <w:szCs w:val="21"/>
        </w:rPr>
        <w:t xml:space="preserve"> </w:t>
      </w:r>
      <w:r>
        <w:rPr>
          <w:rStyle w:val="21"/>
          <w:rFonts w:hint="eastAsia" w:ascii="宋体" w:hAnsi="宋体" w:cs="Arial"/>
          <w:szCs w:val="21"/>
        </w:rPr>
        <w:t>交易及清算交收安排</w:t>
      </w:r>
      <w:r>
        <w:rPr>
          <w:szCs w:val="21"/>
        </w:rPr>
        <w:tab/>
      </w:r>
      <w:r>
        <w:rPr>
          <w:szCs w:val="21"/>
        </w:rPr>
        <w:fldChar w:fldCharType="begin"/>
      </w:r>
      <w:r>
        <w:rPr>
          <w:szCs w:val="21"/>
        </w:rPr>
        <w:instrText xml:space="preserve"> PAGEREF _Toc382819097 \h </w:instrText>
      </w:r>
      <w:r>
        <w:rPr>
          <w:szCs w:val="21"/>
        </w:rPr>
        <w:fldChar w:fldCharType="separate"/>
      </w:r>
      <w:r>
        <w:rPr>
          <w:szCs w:val="21"/>
        </w:rPr>
        <w:t>20</w:t>
      </w:r>
      <w:r>
        <w:rPr>
          <w:szCs w:val="21"/>
        </w:rPr>
        <w:fldChar w:fldCharType="end"/>
      </w:r>
      <w:r>
        <w:rPr>
          <w:szCs w:val="21"/>
        </w:rPr>
        <w:fldChar w:fldCharType="end"/>
      </w:r>
    </w:p>
    <w:p w14:paraId="0793E618">
      <w:pPr>
        <w:pStyle w:val="16"/>
        <w:tabs>
          <w:tab w:val="right" w:leader="dot" w:pos="8296"/>
        </w:tabs>
        <w:spacing w:line="360" w:lineRule="auto"/>
        <w:rPr>
          <w:rFonts w:ascii="Calibri" w:hAnsi="Calibri"/>
          <w:szCs w:val="21"/>
        </w:rPr>
      </w:pPr>
      <w:r>
        <w:fldChar w:fldCharType="begin"/>
      </w:r>
      <w:r>
        <w:instrText xml:space="preserve"> HYPERLINK \l "_Toc382819103" </w:instrText>
      </w:r>
      <w:r>
        <w:fldChar w:fldCharType="separate"/>
      </w:r>
      <w:r>
        <w:rPr>
          <w:rStyle w:val="21"/>
          <w:rFonts w:hint="eastAsia" w:ascii="宋体" w:hAnsi="宋体" w:cs="Arial"/>
          <w:szCs w:val="21"/>
        </w:rPr>
        <w:t>七、</w:t>
      </w:r>
      <w:r>
        <w:rPr>
          <w:rStyle w:val="21"/>
          <w:rFonts w:ascii="宋体" w:hAnsi="宋体" w:cs="Arial"/>
          <w:szCs w:val="21"/>
        </w:rPr>
        <w:t xml:space="preserve"> </w:t>
      </w:r>
      <w:r>
        <w:rPr>
          <w:rStyle w:val="21"/>
          <w:rFonts w:hint="eastAsia" w:ascii="宋体" w:hAnsi="宋体" w:cs="Arial"/>
          <w:szCs w:val="21"/>
        </w:rPr>
        <w:t>基金资产净值计算和会计核算</w:t>
      </w:r>
      <w:r>
        <w:rPr>
          <w:szCs w:val="21"/>
        </w:rPr>
        <w:tab/>
      </w:r>
      <w:r>
        <w:rPr>
          <w:szCs w:val="21"/>
        </w:rPr>
        <w:fldChar w:fldCharType="begin"/>
      </w:r>
      <w:r>
        <w:rPr>
          <w:szCs w:val="21"/>
        </w:rPr>
        <w:instrText xml:space="preserve"> PAGEREF _Toc382819103 \h </w:instrText>
      </w:r>
      <w:r>
        <w:rPr>
          <w:szCs w:val="21"/>
        </w:rPr>
        <w:fldChar w:fldCharType="separate"/>
      </w:r>
      <w:r>
        <w:rPr>
          <w:szCs w:val="21"/>
        </w:rPr>
        <w:t>24</w:t>
      </w:r>
      <w:r>
        <w:rPr>
          <w:szCs w:val="21"/>
        </w:rPr>
        <w:fldChar w:fldCharType="end"/>
      </w:r>
      <w:r>
        <w:rPr>
          <w:szCs w:val="21"/>
        </w:rPr>
        <w:fldChar w:fldCharType="end"/>
      </w:r>
    </w:p>
    <w:p w14:paraId="1BBC0731">
      <w:pPr>
        <w:pStyle w:val="16"/>
        <w:tabs>
          <w:tab w:val="right" w:leader="dot" w:pos="8296"/>
        </w:tabs>
        <w:spacing w:line="360" w:lineRule="auto"/>
        <w:rPr>
          <w:rFonts w:ascii="Calibri" w:hAnsi="Calibri"/>
          <w:szCs w:val="21"/>
        </w:rPr>
      </w:pPr>
      <w:r>
        <w:fldChar w:fldCharType="begin"/>
      </w:r>
      <w:r>
        <w:instrText xml:space="preserve"> HYPERLINK \l "_Toc382819118" </w:instrText>
      </w:r>
      <w:r>
        <w:fldChar w:fldCharType="separate"/>
      </w:r>
      <w:r>
        <w:rPr>
          <w:rStyle w:val="21"/>
          <w:rFonts w:hint="eastAsia" w:ascii="宋体" w:hAnsi="宋体" w:cs="Arial"/>
          <w:szCs w:val="21"/>
        </w:rPr>
        <w:t>八、</w:t>
      </w:r>
      <w:r>
        <w:rPr>
          <w:rStyle w:val="21"/>
          <w:rFonts w:ascii="宋体" w:hAnsi="宋体" w:cs="Arial"/>
          <w:szCs w:val="21"/>
        </w:rPr>
        <w:t xml:space="preserve"> </w:t>
      </w:r>
      <w:r>
        <w:rPr>
          <w:rStyle w:val="21"/>
          <w:rFonts w:hint="eastAsia" w:ascii="宋体" w:hAnsi="宋体" w:cs="Arial"/>
          <w:szCs w:val="21"/>
        </w:rPr>
        <w:t>基金收益分配</w:t>
      </w:r>
      <w:r>
        <w:rPr>
          <w:szCs w:val="21"/>
        </w:rPr>
        <w:tab/>
      </w:r>
      <w:r>
        <w:rPr>
          <w:szCs w:val="21"/>
        </w:rPr>
        <w:fldChar w:fldCharType="begin"/>
      </w:r>
      <w:r>
        <w:rPr>
          <w:szCs w:val="21"/>
        </w:rPr>
        <w:instrText xml:space="preserve"> PAGEREF _Toc382819118 \h </w:instrText>
      </w:r>
      <w:r>
        <w:rPr>
          <w:szCs w:val="21"/>
        </w:rPr>
        <w:fldChar w:fldCharType="separate"/>
      </w:r>
      <w:r>
        <w:rPr>
          <w:szCs w:val="21"/>
        </w:rPr>
        <w:t>28</w:t>
      </w:r>
      <w:r>
        <w:rPr>
          <w:szCs w:val="21"/>
        </w:rPr>
        <w:fldChar w:fldCharType="end"/>
      </w:r>
      <w:r>
        <w:rPr>
          <w:szCs w:val="21"/>
        </w:rPr>
        <w:fldChar w:fldCharType="end"/>
      </w:r>
    </w:p>
    <w:p w14:paraId="0FB2F90E">
      <w:pPr>
        <w:pStyle w:val="16"/>
        <w:tabs>
          <w:tab w:val="right" w:leader="dot" w:pos="8296"/>
        </w:tabs>
        <w:spacing w:line="360" w:lineRule="auto"/>
        <w:rPr>
          <w:rFonts w:ascii="Calibri" w:hAnsi="Calibri"/>
          <w:szCs w:val="21"/>
        </w:rPr>
      </w:pPr>
      <w:r>
        <w:fldChar w:fldCharType="begin"/>
      </w:r>
      <w:r>
        <w:instrText xml:space="preserve"> HYPERLINK \l "_Toc382819121" </w:instrText>
      </w:r>
      <w:r>
        <w:fldChar w:fldCharType="separate"/>
      </w:r>
      <w:r>
        <w:rPr>
          <w:rStyle w:val="21"/>
          <w:rFonts w:hint="eastAsia" w:ascii="宋体" w:hAnsi="宋体" w:cs="Arial"/>
          <w:szCs w:val="21"/>
        </w:rPr>
        <w:t>九、</w:t>
      </w:r>
      <w:r>
        <w:rPr>
          <w:rStyle w:val="21"/>
          <w:rFonts w:ascii="宋体" w:hAnsi="宋体" w:cs="Arial"/>
          <w:szCs w:val="21"/>
        </w:rPr>
        <w:t xml:space="preserve"> </w:t>
      </w:r>
      <w:r>
        <w:rPr>
          <w:rStyle w:val="21"/>
          <w:rFonts w:hint="eastAsia" w:ascii="宋体" w:hAnsi="宋体" w:cs="Arial"/>
          <w:szCs w:val="21"/>
        </w:rPr>
        <w:t>信息披露</w:t>
      </w:r>
      <w:r>
        <w:rPr>
          <w:szCs w:val="21"/>
        </w:rPr>
        <w:tab/>
      </w:r>
      <w:r>
        <w:rPr>
          <w:szCs w:val="21"/>
        </w:rPr>
        <w:fldChar w:fldCharType="begin"/>
      </w:r>
      <w:r>
        <w:rPr>
          <w:szCs w:val="21"/>
        </w:rPr>
        <w:instrText xml:space="preserve"> PAGEREF _Toc382819121 \h </w:instrText>
      </w:r>
      <w:r>
        <w:rPr>
          <w:szCs w:val="21"/>
        </w:rPr>
        <w:fldChar w:fldCharType="separate"/>
      </w:r>
      <w:r>
        <w:rPr>
          <w:szCs w:val="21"/>
        </w:rPr>
        <w:t>28</w:t>
      </w:r>
      <w:r>
        <w:rPr>
          <w:szCs w:val="21"/>
        </w:rPr>
        <w:fldChar w:fldCharType="end"/>
      </w:r>
      <w:r>
        <w:rPr>
          <w:szCs w:val="21"/>
        </w:rPr>
        <w:fldChar w:fldCharType="end"/>
      </w:r>
    </w:p>
    <w:p w14:paraId="3B7A363C">
      <w:pPr>
        <w:pStyle w:val="16"/>
        <w:tabs>
          <w:tab w:val="right" w:leader="dot" w:pos="8296"/>
        </w:tabs>
        <w:spacing w:line="360" w:lineRule="auto"/>
        <w:rPr>
          <w:rFonts w:ascii="Calibri" w:hAnsi="Calibri"/>
          <w:szCs w:val="21"/>
        </w:rPr>
      </w:pPr>
      <w:r>
        <w:fldChar w:fldCharType="begin"/>
      </w:r>
      <w:r>
        <w:instrText xml:space="preserve"> HYPERLINK \l "_Toc382819125" </w:instrText>
      </w:r>
      <w:r>
        <w:fldChar w:fldCharType="separate"/>
      </w:r>
      <w:r>
        <w:rPr>
          <w:rStyle w:val="21"/>
          <w:rFonts w:hint="eastAsia" w:ascii="宋体" w:hAnsi="宋体" w:cs="Arial"/>
          <w:szCs w:val="21"/>
        </w:rPr>
        <w:t>十、</w:t>
      </w:r>
      <w:r>
        <w:rPr>
          <w:rStyle w:val="21"/>
          <w:rFonts w:ascii="宋体" w:hAnsi="宋体" w:cs="Arial"/>
          <w:szCs w:val="21"/>
        </w:rPr>
        <w:t xml:space="preserve"> </w:t>
      </w:r>
      <w:r>
        <w:rPr>
          <w:rStyle w:val="21"/>
          <w:rFonts w:hint="eastAsia" w:ascii="宋体" w:hAnsi="宋体" w:cs="Arial"/>
          <w:szCs w:val="21"/>
        </w:rPr>
        <w:t>托管费用</w:t>
      </w:r>
      <w:r>
        <w:rPr>
          <w:szCs w:val="21"/>
        </w:rPr>
        <w:tab/>
      </w:r>
      <w:r>
        <w:rPr>
          <w:szCs w:val="21"/>
        </w:rPr>
        <w:fldChar w:fldCharType="begin"/>
      </w:r>
      <w:r>
        <w:rPr>
          <w:szCs w:val="21"/>
        </w:rPr>
        <w:instrText xml:space="preserve"> PAGEREF _Toc382819125 \h </w:instrText>
      </w:r>
      <w:r>
        <w:rPr>
          <w:szCs w:val="21"/>
        </w:rPr>
        <w:fldChar w:fldCharType="separate"/>
      </w:r>
      <w:r>
        <w:rPr>
          <w:szCs w:val="21"/>
        </w:rPr>
        <w:t>30</w:t>
      </w:r>
      <w:r>
        <w:rPr>
          <w:szCs w:val="21"/>
        </w:rPr>
        <w:fldChar w:fldCharType="end"/>
      </w:r>
      <w:r>
        <w:rPr>
          <w:szCs w:val="21"/>
        </w:rPr>
        <w:fldChar w:fldCharType="end"/>
      </w:r>
    </w:p>
    <w:p w14:paraId="26294DB4">
      <w:pPr>
        <w:pStyle w:val="16"/>
        <w:tabs>
          <w:tab w:val="right" w:leader="dot" w:pos="8296"/>
        </w:tabs>
        <w:spacing w:line="360" w:lineRule="auto"/>
        <w:rPr>
          <w:rFonts w:ascii="Calibri" w:hAnsi="Calibri"/>
          <w:szCs w:val="21"/>
        </w:rPr>
      </w:pPr>
      <w:r>
        <w:fldChar w:fldCharType="begin"/>
      </w:r>
      <w:r>
        <w:instrText xml:space="preserve"> HYPERLINK \l "_Toc382819126" </w:instrText>
      </w:r>
      <w:r>
        <w:fldChar w:fldCharType="separate"/>
      </w:r>
      <w:r>
        <w:rPr>
          <w:rStyle w:val="21"/>
          <w:rFonts w:hint="eastAsia" w:ascii="宋体" w:hAnsi="宋体" w:cs="Arial"/>
          <w:szCs w:val="21"/>
        </w:rPr>
        <w:t>十一、</w:t>
      </w:r>
      <w:r>
        <w:rPr>
          <w:rStyle w:val="21"/>
          <w:rFonts w:ascii="宋体" w:hAnsi="宋体" w:cs="Arial"/>
          <w:szCs w:val="21"/>
        </w:rPr>
        <w:t xml:space="preserve"> </w:t>
      </w:r>
      <w:r>
        <w:rPr>
          <w:rStyle w:val="21"/>
          <w:rFonts w:hint="eastAsia" w:ascii="宋体" w:hAnsi="宋体" w:cs="Arial"/>
          <w:szCs w:val="21"/>
        </w:rPr>
        <w:t>基金份额持有人名册的保管</w:t>
      </w:r>
      <w:r>
        <w:rPr>
          <w:szCs w:val="21"/>
        </w:rPr>
        <w:tab/>
      </w:r>
      <w:r>
        <w:rPr>
          <w:szCs w:val="21"/>
        </w:rPr>
        <w:fldChar w:fldCharType="begin"/>
      </w:r>
      <w:r>
        <w:rPr>
          <w:szCs w:val="21"/>
        </w:rPr>
        <w:instrText xml:space="preserve"> PAGEREF _Toc382819126 \h </w:instrText>
      </w:r>
      <w:r>
        <w:rPr>
          <w:szCs w:val="21"/>
        </w:rPr>
        <w:fldChar w:fldCharType="separate"/>
      </w:r>
      <w:r>
        <w:rPr>
          <w:szCs w:val="21"/>
        </w:rPr>
        <w:t>30</w:t>
      </w:r>
      <w:r>
        <w:rPr>
          <w:szCs w:val="21"/>
        </w:rPr>
        <w:fldChar w:fldCharType="end"/>
      </w:r>
      <w:r>
        <w:rPr>
          <w:szCs w:val="21"/>
        </w:rPr>
        <w:fldChar w:fldCharType="end"/>
      </w:r>
    </w:p>
    <w:p w14:paraId="131CC73D">
      <w:pPr>
        <w:pStyle w:val="16"/>
        <w:tabs>
          <w:tab w:val="right" w:leader="dot" w:pos="8296"/>
        </w:tabs>
        <w:spacing w:line="360" w:lineRule="auto"/>
        <w:rPr>
          <w:rFonts w:ascii="Calibri" w:hAnsi="Calibri"/>
          <w:szCs w:val="21"/>
        </w:rPr>
      </w:pPr>
      <w:r>
        <w:fldChar w:fldCharType="begin"/>
      </w:r>
      <w:r>
        <w:instrText xml:space="preserve"> HYPERLINK \l "_Toc382819127" </w:instrText>
      </w:r>
      <w:r>
        <w:fldChar w:fldCharType="separate"/>
      </w:r>
      <w:r>
        <w:rPr>
          <w:rStyle w:val="21"/>
          <w:rFonts w:hint="eastAsia" w:ascii="宋体" w:hAnsi="宋体" w:cs="Arial"/>
          <w:szCs w:val="21"/>
        </w:rPr>
        <w:t>十二、</w:t>
      </w:r>
      <w:r>
        <w:rPr>
          <w:rStyle w:val="21"/>
          <w:rFonts w:ascii="宋体" w:hAnsi="宋体" w:cs="Arial"/>
          <w:szCs w:val="21"/>
        </w:rPr>
        <w:t xml:space="preserve"> </w:t>
      </w:r>
      <w:r>
        <w:rPr>
          <w:rStyle w:val="21"/>
          <w:rFonts w:hint="eastAsia" w:ascii="宋体" w:hAnsi="宋体" w:cs="Arial"/>
          <w:szCs w:val="21"/>
        </w:rPr>
        <w:t>基金有关文件和档案的保存</w:t>
      </w:r>
      <w:r>
        <w:rPr>
          <w:szCs w:val="21"/>
        </w:rPr>
        <w:tab/>
      </w:r>
      <w:r>
        <w:rPr>
          <w:szCs w:val="21"/>
        </w:rPr>
        <w:fldChar w:fldCharType="begin"/>
      </w:r>
      <w:r>
        <w:rPr>
          <w:szCs w:val="21"/>
        </w:rPr>
        <w:instrText xml:space="preserve"> PAGEREF _Toc382819127 \h </w:instrText>
      </w:r>
      <w:r>
        <w:rPr>
          <w:szCs w:val="21"/>
        </w:rPr>
        <w:fldChar w:fldCharType="separate"/>
      </w:r>
      <w:r>
        <w:rPr>
          <w:szCs w:val="21"/>
        </w:rPr>
        <w:t>32</w:t>
      </w:r>
      <w:r>
        <w:rPr>
          <w:szCs w:val="21"/>
        </w:rPr>
        <w:fldChar w:fldCharType="end"/>
      </w:r>
      <w:r>
        <w:rPr>
          <w:szCs w:val="21"/>
        </w:rPr>
        <w:fldChar w:fldCharType="end"/>
      </w:r>
    </w:p>
    <w:p w14:paraId="2F0F8634">
      <w:pPr>
        <w:pStyle w:val="16"/>
        <w:tabs>
          <w:tab w:val="right" w:leader="dot" w:pos="8296"/>
        </w:tabs>
        <w:spacing w:line="360" w:lineRule="auto"/>
        <w:rPr>
          <w:rFonts w:ascii="Calibri" w:hAnsi="Calibri"/>
          <w:szCs w:val="21"/>
        </w:rPr>
      </w:pPr>
      <w:r>
        <w:fldChar w:fldCharType="begin"/>
      </w:r>
      <w:r>
        <w:instrText xml:space="preserve"> HYPERLINK \l "_Toc382819128" </w:instrText>
      </w:r>
      <w:r>
        <w:fldChar w:fldCharType="separate"/>
      </w:r>
      <w:r>
        <w:rPr>
          <w:rStyle w:val="21"/>
          <w:rFonts w:hint="eastAsia" w:ascii="宋体" w:hAnsi="宋体" w:cs="Arial"/>
          <w:szCs w:val="21"/>
        </w:rPr>
        <w:t>十三、</w:t>
      </w:r>
      <w:r>
        <w:rPr>
          <w:rStyle w:val="21"/>
          <w:rFonts w:ascii="宋体" w:hAnsi="宋体" w:cs="Arial"/>
          <w:szCs w:val="21"/>
        </w:rPr>
        <w:t xml:space="preserve"> </w:t>
      </w:r>
      <w:r>
        <w:rPr>
          <w:rStyle w:val="21"/>
          <w:rFonts w:hint="eastAsia" w:ascii="宋体" w:hAnsi="宋体" w:cs="Arial"/>
          <w:szCs w:val="21"/>
        </w:rPr>
        <w:t>基金管理人和基金托管人的更换</w:t>
      </w:r>
      <w:r>
        <w:rPr>
          <w:szCs w:val="21"/>
        </w:rPr>
        <w:tab/>
      </w:r>
      <w:r>
        <w:rPr>
          <w:szCs w:val="21"/>
        </w:rPr>
        <w:fldChar w:fldCharType="begin"/>
      </w:r>
      <w:r>
        <w:rPr>
          <w:szCs w:val="21"/>
        </w:rPr>
        <w:instrText xml:space="preserve"> PAGEREF _Toc382819128 \h </w:instrText>
      </w:r>
      <w:r>
        <w:rPr>
          <w:szCs w:val="21"/>
        </w:rPr>
        <w:fldChar w:fldCharType="separate"/>
      </w:r>
      <w:r>
        <w:rPr>
          <w:szCs w:val="21"/>
        </w:rPr>
        <w:t>32</w:t>
      </w:r>
      <w:r>
        <w:rPr>
          <w:szCs w:val="21"/>
        </w:rPr>
        <w:fldChar w:fldCharType="end"/>
      </w:r>
      <w:r>
        <w:rPr>
          <w:szCs w:val="21"/>
        </w:rPr>
        <w:fldChar w:fldCharType="end"/>
      </w:r>
    </w:p>
    <w:p w14:paraId="7089B7EC">
      <w:pPr>
        <w:pStyle w:val="16"/>
        <w:tabs>
          <w:tab w:val="right" w:leader="dot" w:pos="8296"/>
        </w:tabs>
        <w:spacing w:line="360" w:lineRule="auto"/>
        <w:rPr>
          <w:rFonts w:ascii="Calibri" w:hAnsi="Calibri"/>
          <w:szCs w:val="21"/>
        </w:rPr>
      </w:pPr>
      <w:r>
        <w:fldChar w:fldCharType="begin"/>
      </w:r>
      <w:r>
        <w:instrText xml:space="preserve"> HYPERLINK \l "_Toc382819131" </w:instrText>
      </w:r>
      <w:r>
        <w:fldChar w:fldCharType="separate"/>
      </w:r>
      <w:r>
        <w:rPr>
          <w:rStyle w:val="21"/>
          <w:rFonts w:hint="eastAsia" w:ascii="宋体" w:hAnsi="宋体" w:cs="Arial"/>
          <w:szCs w:val="21"/>
        </w:rPr>
        <w:t>十四、</w:t>
      </w:r>
      <w:r>
        <w:rPr>
          <w:rStyle w:val="21"/>
          <w:rFonts w:ascii="宋体" w:hAnsi="宋体" w:cs="Arial"/>
          <w:szCs w:val="21"/>
        </w:rPr>
        <w:t xml:space="preserve"> </w:t>
      </w:r>
      <w:r>
        <w:rPr>
          <w:rStyle w:val="21"/>
          <w:rFonts w:hint="eastAsia" w:ascii="宋体" w:hAnsi="宋体" w:cs="Arial"/>
          <w:szCs w:val="21"/>
        </w:rPr>
        <w:t>禁止行为</w:t>
      </w:r>
      <w:r>
        <w:rPr>
          <w:szCs w:val="21"/>
        </w:rPr>
        <w:tab/>
      </w:r>
      <w:r>
        <w:rPr>
          <w:szCs w:val="21"/>
        </w:rPr>
        <w:fldChar w:fldCharType="begin"/>
      </w:r>
      <w:r>
        <w:rPr>
          <w:szCs w:val="21"/>
        </w:rPr>
        <w:instrText xml:space="preserve"> PAGEREF _Toc382819131 \h </w:instrText>
      </w:r>
      <w:r>
        <w:rPr>
          <w:szCs w:val="21"/>
        </w:rPr>
        <w:fldChar w:fldCharType="separate"/>
      </w:r>
      <w:r>
        <w:rPr>
          <w:szCs w:val="21"/>
        </w:rPr>
        <w:t>34</w:t>
      </w:r>
      <w:r>
        <w:rPr>
          <w:szCs w:val="21"/>
        </w:rPr>
        <w:fldChar w:fldCharType="end"/>
      </w:r>
      <w:r>
        <w:rPr>
          <w:szCs w:val="21"/>
        </w:rPr>
        <w:fldChar w:fldCharType="end"/>
      </w:r>
    </w:p>
    <w:p w14:paraId="151711E1">
      <w:pPr>
        <w:pStyle w:val="16"/>
        <w:tabs>
          <w:tab w:val="right" w:leader="dot" w:pos="8296"/>
        </w:tabs>
        <w:spacing w:line="360" w:lineRule="auto"/>
        <w:rPr>
          <w:rFonts w:ascii="Calibri" w:hAnsi="Calibri"/>
          <w:szCs w:val="21"/>
        </w:rPr>
      </w:pPr>
      <w:r>
        <w:fldChar w:fldCharType="begin"/>
      </w:r>
      <w:r>
        <w:instrText xml:space="preserve"> HYPERLINK \l "_Toc382819132" </w:instrText>
      </w:r>
      <w:r>
        <w:fldChar w:fldCharType="separate"/>
      </w:r>
      <w:r>
        <w:rPr>
          <w:rStyle w:val="21"/>
          <w:rFonts w:hint="eastAsia" w:ascii="宋体" w:hAnsi="宋体" w:cs="Arial"/>
          <w:szCs w:val="21"/>
        </w:rPr>
        <w:t>十五、</w:t>
      </w:r>
      <w:r>
        <w:rPr>
          <w:rStyle w:val="21"/>
          <w:rFonts w:ascii="宋体" w:hAnsi="宋体" w:cs="Arial"/>
          <w:szCs w:val="21"/>
        </w:rPr>
        <w:t xml:space="preserve"> </w:t>
      </w:r>
      <w:r>
        <w:rPr>
          <w:rStyle w:val="21"/>
          <w:rFonts w:hint="eastAsia" w:ascii="宋体" w:hAnsi="宋体" w:cs="Arial"/>
          <w:szCs w:val="21"/>
        </w:rPr>
        <w:t>基金托管协议的变更、终止与基金财产的清算</w:t>
      </w:r>
      <w:r>
        <w:rPr>
          <w:szCs w:val="21"/>
        </w:rPr>
        <w:tab/>
      </w:r>
      <w:r>
        <w:rPr>
          <w:szCs w:val="21"/>
        </w:rPr>
        <w:fldChar w:fldCharType="begin"/>
      </w:r>
      <w:r>
        <w:rPr>
          <w:szCs w:val="21"/>
        </w:rPr>
        <w:instrText xml:space="preserve"> PAGEREF _Toc382819132 \h </w:instrText>
      </w:r>
      <w:r>
        <w:rPr>
          <w:szCs w:val="21"/>
        </w:rPr>
        <w:fldChar w:fldCharType="separate"/>
      </w:r>
      <w:r>
        <w:rPr>
          <w:szCs w:val="21"/>
        </w:rPr>
        <w:t>35</w:t>
      </w:r>
      <w:r>
        <w:rPr>
          <w:szCs w:val="21"/>
        </w:rPr>
        <w:fldChar w:fldCharType="end"/>
      </w:r>
      <w:r>
        <w:rPr>
          <w:szCs w:val="21"/>
        </w:rPr>
        <w:fldChar w:fldCharType="end"/>
      </w:r>
    </w:p>
    <w:p w14:paraId="1737F945">
      <w:pPr>
        <w:pStyle w:val="16"/>
        <w:tabs>
          <w:tab w:val="right" w:leader="dot" w:pos="8296"/>
        </w:tabs>
        <w:spacing w:line="360" w:lineRule="auto"/>
        <w:rPr>
          <w:rFonts w:ascii="Calibri" w:hAnsi="Calibri"/>
          <w:szCs w:val="21"/>
        </w:rPr>
      </w:pPr>
      <w:r>
        <w:fldChar w:fldCharType="begin"/>
      </w:r>
      <w:r>
        <w:instrText xml:space="preserve"> HYPERLINK \l "_Toc382819133" </w:instrText>
      </w:r>
      <w:r>
        <w:fldChar w:fldCharType="separate"/>
      </w:r>
      <w:r>
        <w:rPr>
          <w:rStyle w:val="21"/>
          <w:rFonts w:hint="eastAsia" w:ascii="宋体" w:hAnsi="宋体" w:cs="Arial"/>
          <w:szCs w:val="21"/>
        </w:rPr>
        <w:t>十六、</w:t>
      </w:r>
      <w:r>
        <w:rPr>
          <w:rStyle w:val="21"/>
          <w:rFonts w:ascii="宋体" w:hAnsi="宋体" w:cs="Arial"/>
          <w:szCs w:val="21"/>
        </w:rPr>
        <w:t xml:space="preserve"> </w:t>
      </w:r>
      <w:r>
        <w:rPr>
          <w:rStyle w:val="21"/>
          <w:rFonts w:hint="eastAsia" w:ascii="宋体" w:hAnsi="宋体" w:cs="Arial"/>
          <w:szCs w:val="21"/>
        </w:rPr>
        <w:t>违约责任</w:t>
      </w:r>
      <w:r>
        <w:rPr>
          <w:szCs w:val="21"/>
        </w:rPr>
        <w:tab/>
      </w:r>
      <w:r>
        <w:rPr>
          <w:szCs w:val="21"/>
        </w:rPr>
        <w:fldChar w:fldCharType="begin"/>
      </w:r>
      <w:r>
        <w:rPr>
          <w:szCs w:val="21"/>
        </w:rPr>
        <w:instrText xml:space="preserve"> PAGEREF _Toc382819133 \h </w:instrText>
      </w:r>
      <w:r>
        <w:rPr>
          <w:szCs w:val="21"/>
        </w:rPr>
        <w:fldChar w:fldCharType="separate"/>
      </w:r>
      <w:r>
        <w:rPr>
          <w:szCs w:val="21"/>
        </w:rPr>
        <w:t>37</w:t>
      </w:r>
      <w:r>
        <w:rPr>
          <w:szCs w:val="21"/>
        </w:rPr>
        <w:fldChar w:fldCharType="end"/>
      </w:r>
      <w:r>
        <w:rPr>
          <w:szCs w:val="21"/>
        </w:rPr>
        <w:fldChar w:fldCharType="end"/>
      </w:r>
    </w:p>
    <w:p w14:paraId="2BEE4739">
      <w:pPr>
        <w:pStyle w:val="16"/>
        <w:tabs>
          <w:tab w:val="right" w:leader="dot" w:pos="8296"/>
        </w:tabs>
        <w:spacing w:line="360" w:lineRule="auto"/>
        <w:rPr>
          <w:rFonts w:ascii="Calibri" w:hAnsi="Calibri"/>
          <w:szCs w:val="21"/>
        </w:rPr>
      </w:pPr>
      <w:r>
        <w:fldChar w:fldCharType="begin"/>
      </w:r>
      <w:r>
        <w:instrText xml:space="preserve"> HYPERLINK \l "_Toc382819134" </w:instrText>
      </w:r>
      <w:r>
        <w:fldChar w:fldCharType="separate"/>
      </w:r>
      <w:r>
        <w:rPr>
          <w:rStyle w:val="21"/>
          <w:rFonts w:hint="eastAsia" w:ascii="宋体" w:hAnsi="宋体" w:cs="Arial"/>
          <w:szCs w:val="21"/>
        </w:rPr>
        <w:t>十七、</w:t>
      </w:r>
      <w:r>
        <w:rPr>
          <w:rStyle w:val="21"/>
          <w:rFonts w:ascii="宋体" w:hAnsi="宋体" w:cs="Arial"/>
          <w:szCs w:val="21"/>
        </w:rPr>
        <w:t xml:space="preserve"> </w:t>
      </w:r>
      <w:r>
        <w:rPr>
          <w:rStyle w:val="21"/>
          <w:rFonts w:hint="eastAsia" w:ascii="宋体" w:hAnsi="宋体" w:cs="Arial"/>
          <w:szCs w:val="21"/>
        </w:rPr>
        <w:t>适用法律及争议解决方式</w:t>
      </w:r>
      <w:r>
        <w:rPr>
          <w:szCs w:val="21"/>
        </w:rPr>
        <w:tab/>
      </w:r>
      <w:r>
        <w:rPr>
          <w:szCs w:val="21"/>
        </w:rPr>
        <w:fldChar w:fldCharType="begin"/>
      </w:r>
      <w:r>
        <w:rPr>
          <w:szCs w:val="21"/>
        </w:rPr>
        <w:instrText xml:space="preserve"> PAGEREF _Toc382819134 \h </w:instrText>
      </w:r>
      <w:r>
        <w:rPr>
          <w:szCs w:val="21"/>
        </w:rPr>
        <w:fldChar w:fldCharType="separate"/>
      </w:r>
      <w:r>
        <w:rPr>
          <w:szCs w:val="21"/>
        </w:rPr>
        <w:t>38</w:t>
      </w:r>
      <w:r>
        <w:rPr>
          <w:szCs w:val="21"/>
        </w:rPr>
        <w:fldChar w:fldCharType="end"/>
      </w:r>
      <w:r>
        <w:rPr>
          <w:szCs w:val="21"/>
        </w:rPr>
        <w:fldChar w:fldCharType="end"/>
      </w:r>
    </w:p>
    <w:p w14:paraId="0CA97D30">
      <w:pPr>
        <w:pStyle w:val="16"/>
        <w:tabs>
          <w:tab w:val="right" w:leader="dot" w:pos="8296"/>
        </w:tabs>
        <w:spacing w:line="360" w:lineRule="auto"/>
        <w:rPr>
          <w:rFonts w:ascii="Calibri" w:hAnsi="Calibri"/>
          <w:szCs w:val="21"/>
        </w:rPr>
      </w:pPr>
      <w:r>
        <w:fldChar w:fldCharType="begin"/>
      </w:r>
      <w:r>
        <w:instrText xml:space="preserve"> HYPERLINK \l "_Toc382819135" </w:instrText>
      </w:r>
      <w:r>
        <w:fldChar w:fldCharType="separate"/>
      </w:r>
      <w:r>
        <w:rPr>
          <w:rStyle w:val="21"/>
          <w:rFonts w:hint="eastAsia" w:ascii="宋体" w:hAnsi="宋体" w:cs="Arial"/>
          <w:szCs w:val="21"/>
        </w:rPr>
        <w:t>十八、</w:t>
      </w:r>
      <w:r>
        <w:rPr>
          <w:rStyle w:val="21"/>
          <w:rFonts w:ascii="宋体" w:hAnsi="宋体" w:cs="Arial"/>
          <w:szCs w:val="21"/>
        </w:rPr>
        <w:t xml:space="preserve"> </w:t>
      </w:r>
      <w:r>
        <w:rPr>
          <w:rStyle w:val="21"/>
          <w:rFonts w:hint="eastAsia" w:ascii="宋体" w:hAnsi="宋体" w:cs="Arial"/>
          <w:szCs w:val="21"/>
        </w:rPr>
        <w:t>基金托管协议的效力和文本</w:t>
      </w:r>
      <w:r>
        <w:rPr>
          <w:szCs w:val="21"/>
        </w:rPr>
        <w:tab/>
      </w:r>
      <w:r>
        <w:rPr>
          <w:szCs w:val="21"/>
        </w:rPr>
        <w:fldChar w:fldCharType="begin"/>
      </w:r>
      <w:r>
        <w:rPr>
          <w:szCs w:val="21"/>
        </w:rPr>
        <w:instrText xml:space="preserve"> PAGEREF _Toc382819135 \h </w:instrText>
      </w:r>
      <w:r>
        <w:rPr>
          <w:szCs w:val="21"/>
        </w:rPr>
        <w:fldChar w:fldCharType="separate"/>
      </w:r>
      <w:r>
        <w:rPr>
          <w:szCs w:val="21"/>
        </w:rPr>
        <w:t>38</w:t>
      </w:r>
      <w:r>
        <w:rPr>
          <w:szCs w:val="21"/>
        </w:rPr>
        <w:fldChar w:fldCharType="end"/>
      </w:r>
      <w:r>
        <w:rPr>
          <w:szCs w:val="21"/>
        </w:rPr>
        <w:fldChar w:fldCharType="end"/>
      </w:r>
    </w:p>
    <w:p w14:paraId="7506F856">
      <w:pPr>
        <w:pStyle w:val="16"/>
        <w:tabs>
          <w:tab w:val="right" w:leader="dot" w:pos="8296"/>
        </w:tabs>
        <w:spacing w:line="360" w:lineRule="auto"/>
        <w:rPr>
          <w:rFonts w:ascii="Calibri" w:hAnsi="Calibri"/>
          <w:szCs w:val="21"/>
        </w:rPr>
      </w:pPr>
      <w:r>
        <w:fldChar w:fldCharType="begin"/>
      </w:r>
      <w:r>
        <w:instrText xml:space="preserve"> HYPERLINK \l "_Toc382819136" </w:instrText>
      </w:r>
      <w:r>
        <w:fldChar w:fldCharType="separate"/>
      </w:r>
      <w:r>
        <w:rPr>
          <w:rStyle w:val="21"/>
          <w:rFonts w:hint="eastAsia" w:ascii="宋体" w:hAnsi="宋体"/>
          <w:szCs w:val="21"/>
        </w:rPr>
        <w:t>十九、</w:t>
      </w:r>
      <w:r>
        <w:rPr>
          <w:rStyle w:val="21"/>
          <w:rFonts w:ascii="宋体" w:hAnsi="宋体" w:cs="Arial"/>
          <w:szCs w:val="21"/>
        </w:rPr>
        <w:t xml:space="preserve"> 其他事项</w:t>
      </w:r>
      <w:r>
        <w:rPr>
          <w:szCs w:val="21"/>
        </w:rPr>
        <w:tab/>
      </w:r>
      <w:r>
        <w:rPr>
          <w:szCs w:val="21"/>
        </w:rPr>
        <w:fldChar w:fldCharType="begin"/>
      </w:r>
      <w:r>
        <w:rPr>
          <w:szCs w:val="21"/>
        </w:rPr>
        <w:instrText xml:space="preserve"> PAGEREF _Toc382819136 \h </w:instrText>
      </w:r>
      <w:r>
        <w:rPr>
          <w:szCs w:val="21"/>
        </w:rPr>
        <w:fldChar w:fldCharType="separate"/>
      </w:r>
      <w:r>
        <w:rPr>
          <w:szCs w:val="21"/>
        </w:rPr>
        <w:t>38</w:t>
      </w:r>
      <w:r>
        <w:rPr>
          <w:szCs w:val="21"/>
        </w:rPr>
        <w:fldChar w:fldCharType="end"/>
      </w:r>
      <w:r>
        <w:rPr>
          <w:szCs w:val="21"/>
        </w:rPr>
        <w:fldChar w:fldCharType="end"/>
      </w:r>
    </w:p>
    <w:p w14:paraId="224DE99A">
      <w:pPr>
        <w:spacing w:line="360" w:lineRule="auto"/>
        <w:rPr>
          <w:rFonts w:ascii="仿宋_GB2312" w:eastAsia="仿宋_GB2312"/>
          <w:szCs w:val="21"/>
        </w:rPr>
      </w:pPr>
      <w:r>
        <w:rPr>
          <w:rFonts w:ascii="宋体" w:hAnsi="宋体"/>
          <w:szCs w:val="21"/>
        </w:rPr>
        <w:fldChar w:fldCharType="end"/>
      </w:r>
    </w:p>
    <w:p w14:paraId="3C83BF01">
      <w:pPr>
        <w:widowControl/>
        <w:jc w:val="left"/>
        <w:rPr>
          <w:rFonts w:ascii="仿宋_GB2312" w:eastAsia="仿宋_GB2312"/>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40D989B6">
      <w:pPr>
        <w:jc w:val="center"/>
        <w:rPr>
          <w:rFonts w:ascii="黑体" w:hAnsi="黑体" w:eastAsia="黑体"/>
          <w:b/>
          <w:sz w:val="32"/>
          <w:szCs w:val="32"/>
        </w:rPr>
      </w:pPr>
      <w:bookmarkStart w:id="6" w:name="_Toc382818594"/>
      <w:bookmarkStart w:id="7" w:name="_Toc382819068"/>
      <w:r>
        <w:rPr>
          <w:rFonts w:hint="eastAsia" w:ascii="黑体" w:hAnsi="黑体" w:eastAsia="黑体"/>
          <w:sz w:val="32"/>
          <w:szCs w:val="32"/>
        </w:rPr>
        <w:t>公开募集证券投资基金托管协议</w:t>
      </w:r>
      <w:bookmarkEnd w:id="6"/>
      <w:bookmarkEnd w:id="7"/>
    </w:p>
    <w:p w14:paraId="2CD38582">
      <w:pPr>
        <w:rPr>
          <w:lang w:val="zh-CN"/>
        </w:rPr>
      </w:pPr>
    </w:p>
    <w:p w14:paraId="76317E46">
      <w:pPr>
        <w:rPr>
          <w:lang w:val="zh-CN"/>
        </w:rPr>
      </w:pPr>
    </w:p>
    <w:p w14:paraId="78E3BE2A">
      <w:pPr>
        <w:spacing w:line="360" w:lineRule="auto"/>
        <w:ind w:firstLine="422" w:firstLineChars="200"/>
        <w:rPr>
          <w:rFonts w:ascii="宋体" w:hAnsi="宋体"/>
          <w:b/>
          <w:szCs w:val="21"/>
        </w:rPr>
      </w:pPr>
      <w:bookmarkStart w:id="8" w:name="_Toc382819069"/>
      <w:r>
        <w:rPr>
          <w:rFonts w:hint="eastAsia" w:ascii="宋体" w:hAnsi="宋体"/>
          <w:b/>
          <w:szCs w:val="21"/>
        </w:rPr>
        <w:t>基金管理人：</w:t>
      </w:r>
      <w:bookmarkEnd w:id="8"/>
      <w:r>
        <w:rPr>
          <w:rFonts w:hint="eastAsia" w:ascii="宋体" w:hAnsi="宋体"/>
          <w:b/>
          <w:szCs w:val="21"/>
        </w:rPr>
        <w:t>银华基金管理股份有限公司</w:t>
      </w:r>
    </w:p>
    <w:p w14:paraId="335BCB6B">
      <w:pPr>
        <w:spacing w:line="360" w:lineRule="auto"/>
        <w:ind w:firstLine="420" w:firstLineChars="200"/>
        <w:rPr>
          <w:rFonts w:ascii="宋体" w:hAnsi="宋体"/>
          <w:szCs w:val="21"/>
        </w:rPr>
      </w:pPr>
      <w:r>
        <w:rPr>
          <w:rFonts w:hint="eastAsia" w:ascii="宋体" w:hAnsi="宋体"/>
          <w:szCs w:val="21"/>
        </w:rPr>
        <w:t>住所：深圳市福田区深南大道6008号特区报业大厦19层</w:t>
      </w:r>
    </w:p>
    <w:p w14:paraId="0F278D63">
      <w:pPr>
        <w:spacing w:line="360" w:lineRule="auto"/>
        <w:ind w:firstLine="420" w:firstLineChars="200"/>
        <w:rPr>
          <w:rFonts w:ascii="宋体" w:hAnsi="宋体"/>
          <w:szCs w:val="21"/>
        </w:rPr>
      </w:pPr>
      <w:r>
        <w:rPr>
          <w:rFonts w:hint="eastAsia" w:ascii="宋体" w:hAnsi="宋体"/>
          <w:szCs w:val="21"/>
        </w:rPr>
        <w:t>办公地址：北京市东城区东长安街1号东方广场东方经贸城C2办公楼15层</w:t>
      </w:r>
    </w:p>
    <w:p w14:paraId="6E6E3E4D">
      <w:pPr>
        <w:spacing w:line="360" w:lineRule="auto"/>
        <w:ind w:firstLine="420" w:firstLineChars="200"/>
        <w:rPr>
          <w:rFonts w:ascii="宋体" w:hAnsi="宋体"/>
          <w:szCs w:val="21"/>
        </w:rPr>
      </w:pPr>
      <w:r>
        <w:rPr>
          <w:rFonts w:hint="eastAsia" w:ascii="宋体" w:hAnsi="宋体"/>
          <w:szCs w:val="21"/>
        </w:rPr>
        <w:t>法定代表人：王珠林</w:t>
      </w:r>
    </w:p>
    <w:p w14:paraId="00FFC35C">
      <w:pPr>
        <w:spacing w:line="360" w:lineRule="auto"/>
        <w:ind w:firstLine="420" w:firstLineChars="200"/>
        <w:rPr>
          <w:rFonts w:ascii="宋体" w:hAnsi="宋体"/>
          <w:szCs w:val="21"/>
        </w:rPr>
      </w:pPr>
      <w:r>
        <w:rPr>
          <w:rFonts w:hint="eastAsia" w:ascii="宋体" w:hAnsi="宋体"/>
          <w:szCs w:val="21"/>
        </w:rPr>
        <w:t>设立日期：2001年5月28日</w:t>
      </w:r>
    </w:p>
    <w:p w14:paraId="1CBBE77B">
      <w:pPr>
        <w:spacing w:line="360" w:lineRule="auto"/>
        <w:ind w:firstLine="420" w:firstLineChars="200"/>
        <w:rPr>
          <w:rFonts w:ascii="宋体" w:hAnsi="宋体"/>
          <w:szCs w:val="21"/>
        </w:rPr>
      </w:pPr>
      <w:r>
        <w:rPr>
          <w:rFonts w:hint="eastAsia" w:ascii="宋体" w:hAnsi="宋体"/>
          <w:szCs w:val="21"/>
        </w:rPr>
        <w:t>批准设立机关及批准设立文号：中国证监会证监基金字［2001］7号</w:t>
      </w:r>
    </w:p>
    <w:p w14:paraId="2B16F8DB">
      <w:pPr>
        <w:spacing w:line="360" w:lineRule="auto"/>
        <w:ind w:firstLine="420" w:firstLineChars="200"/>
        <w:rPr>
          <w:rFonts w:ascii="宋体" w:hAnsi="宋体"/>
          <w:szCs w:val="21"/>
        </w:rPr>
      </w:pPr>
      <w:r>
        <w:rPr>
          <w:rFonts w:hint="eastAsia" w:ascii="宋体" w:hAnsi="宋体"/>
          <w:szCs w:val="21"/>
        </w:rPr>
        <w:t>组织形式：股份有限公司</w:t>
      </w:r>
    </w:p>
    <w:p w14:paraId="3A87D010">
      <w:pPr>
        <w:spacing w:line="360" w:lineRule="auto"/>
        <w:ind w:firstLine="420" w:firstLineChars="200"/>
        <w:rPr>
          <w:rFonts w:ascii="宋体" w:hAnsi="宋体"/>
          <w:szCs w:val="21"/>
        </w:rPr>
      </w:pPr>
      <w:r>
        <w:rPr>
          <w:rFonts w:hint="eastAsia" w:ascii="宋体" w:hAnsi="宋体"/>
          <w:szCs w:val="21"/>
        </w:rPr>
        <w:t>注册资本：贰亿贰仟贰佰贰拾万元人民币</w:t>
      </w:r>
    </w:p>
    <w:p w14:paraId="23F7C8DA">
      <w:pPr>
        <w:spacing w:line="360" w:lineRule="auto"/>
        <w:ind w:firstLine="420" w:firstLineChars="200"/>
        <w:rPr>
          <w:rFonts w:ascii="宋体" w:hAnsi="宋体"/>
          <w:szCs w:val="21"/>
        </w:rPr>
      </w:pPr>
      <w:bookmarkStart w:id="9" w:name="_Toc382819070"/>
      <w:r>
        <w:rPr>
          <w:rFonts w:hint="eastAsia" w:ascii="宋体" w:hAnsi="宋体"/>
          <w:szCs w:val="21"/>
        </w:rPr>
        <w:t>存续期限：持续经营</w:t>
      </w:r>
    </w:p>
    <w:p w14:paraId="32ED6DD3">
      <w:pPr>
        <w:spacing w:line="360" w:lineRule="auto"/>
        <w:ind w:firstLine="420" w:firstLineChars="200"/>
        <w:rPr>
          <w:rFonts w:ascii="宋体" w:hAnsi="宋体"/>
          <w:szCs w:val="21"/>
        </w:rPr>
      </w:pPr>
      <w:r>
        <w:rPr>
          <w:rFonts w:hint="eastAsia" w:ascii="宋体" w:hAnsi="宋体"/>
          <w:szCs w:val="21"/>
        </w:rPr>
        <w:t>联系电话：010-58163000</w:t>
      </w:r>
    </w:p>
    <w:p w14:paraId="1EBE2ABB">
      <w:pPr>
        <w:spacing w:line="360" w:lineRule="auto"/>
        <w:rPr>
          <w:rFonts w:ascii="宋体" w:hAnsi="宋体"/>
          <w:szCs w:val="21"/>
        </w:rPr>
      </w:pPr>
    </w:p>
    <w:p w14:paraId="75600164">
      <w:pPr>
        <w:spacing w:line="360" w:lineRule="auto"/>
        <w:ind w:firstLine="422" w:firstLineChars="200"/>
        <w:rPr>
          <w:rFonts w:ascii="宋体" w:hAnsi="宋体"/>
          <w:b/>
          <w:szCs w:val="21"/>
        </w:rPr>
      </w:pPr>
      <w:r>
        <w:rPr>
          <w:rFonts w:hint="eastAsia" w:ascii="宋体" w:hAnsi="宋体"/>
          <w:b/>
          <w:szCs w:val="21"/>
        </w:rPr>
        <w:t>基金托管人：上海浦东发展银行股份有限公司</w:t>
      </w:r>
      <w:bookmarkEnd w:id="9"/>
    </w:p>
    <w:p w14:paraId="1EB80418">
      <w:pPr>
        <w:spacing w:line="360" w:lineRule="auto"/>
        <w:ind w:firstLine="420" w:firstLineChars="200"/>
        <w:rPr>
          <w:rFonts w:ascii="宋体" w:hAnsi="宋体"/>
          <w:szCs w:val="21"/>
        </w:rPr>
      </w:pPr>
      <w:r>
        <w:rPr>
          <w:rFonts w:hint="eastAsia" w:ascii="宋体" w:hAnsi="宋体"/>
          <w:szCs w:val="21"/>
        </w:rPr>
        <w:t>注册地址：上海市中山东一路12号</w:t>
      </w:r>
    </w:p>
    <w:p w14:paraId="0281268C">
      <w:pPr>
        <w:spacing w:line="360" w:lineRule="auto"/>
        <w:ind w:firstLine="420" w:firstLineChars="200"/>
        <w:rPr>
          <w:rFonts w:ascii="宋体" w:hAnsi="宋体"/>
          <w:szCs w:val="21"/>
        </w:rPr>
      </w:pPr>
      <w:r>
        <w:rPr>
          <w:rFonts w:hint="eastAsia" w:ascii="宋体" w:hAnsi="宋体"/>
          <w:szCs w:val="21"/>
        </w:rPr>
        <w:t>办公地址：上海市博成路1388号浦银中心A栋</w:t>
      </w:r>
    </w:p>
    <w:p w14:paraId="7EAF8BD2">
      <w:pPr>
        <w:spacing w:line="360" w:lineRule="auto"/>
        <w:ind w:firstLine="420" w:firstLineChars="200"/>
        <w:rPr>
          <w:rFonts w:ascii="宋体" w:hAnsi="宋体"/>
          <w:szCs w:val="21"/>
        </w:rPr>
      </w:pPr>
      <w:r>
        <w:rPr>
          <w:rFonts w:hint="eastAsia" w:ascii="宋体" w:hAnsi="宋体"/>
          <w:szCs w:val="21"/>
        </w:rPr>
        <w:t>法定代表人：张为忠</w:t>
      </w:r>
    </w:p>
    <w:p w14:paraId="6314D0A9">
      <w:pPr>
        <w:spacing w:line="360" w:lineRule="auto"/>
        <w:ind w:firstLine="420" w:firstLineChars="200"/>
        <w:rPr>
          <w:rFonts w:ascii="宋体" w:hAnsi="宋体"/>
          <w:szCs w:val="21"/>
        </w:rPr>
      </w:pPr>
      <w:r>
        <w:rPr>
          <w:rFonts w:hint="eastAsia" w:ascii="宋体" w:hAnsi="宋体"/>
          <w:szCs w:val="21"/>
        </w:rPr>
        <w:t>成立时间：1992年10月19日</w:t>
      </w:r>
    </w:p>
    <w:p w14:paraId="34EA6B53">
      <w:pPr>
        <w:spacing w:line="360" w:lineRule="auto"/>
        <w:ind w:firstLine="420" w:firstLineChars="200"/>
        <w:rPr>
          <w:rFonts w:ascii="宋体" w:hAnsi="宋体"/>
          <w:szCs w:val="21"/>
        </w:rPr>
      </w:pPr>
      <w:r>
        <w:rPr>
          <w:rFonts w:hint="eastAsia" w:ascii="宋体" w:hAnsi="宋体"/>
          <w:szCs w:val="21"/>
        </w:rPr>
        <w:t>组织形式：股份有限公司（上市）</w:t>
      </w:r>
    </w:p>
    <w:p w14:paraId="4D04DD59">
      <w:pPr>
        <w:spacing w:line="360" w:lineRule="auto"/>
        <w:ind w:firstLine="420" w:firstLineChars="200"/>
        <w:rPr>
          <w:rFonts w:ascii="宋体" w:hAnsi="宋体"/>
          <w:szCs w:val="21"/>
        </w:rPr>
      </w:pPr>
      <w:r>
        <w:rPr>
          <w:rFonts w:hint="eastAsia" w:ascii="宋体" w:hAnsi="宋体"/>
          <w:szCs w:val="21"/>
        </w:rPr>
        <w:t>注册资本：293.52亿元人民币</w:t>
      </w:r>
    </w:p>
    <w:p w14:paraId="35C89514">
      <w:pPr>
        <w:spacing w:line="360" w:lineRule="auto"/>
        <w:ind w:firstLine="420" w:firstLineChars="200"/>
        <w:rPr>
          <w:rFonts w:ascii="宋体" w:hAnsi="宋体"/>
          <w:szCs w:val="21"/>
        </w:rPr>
      </w:pPr>
      <w:r>
        <w:rPr>
          <w:rFonts w:hint="eastAsia" w:ascii="宋体" w:hAnsi="宋体"/>
          <w:szCs w:val="21"/>
        </w:rPr>
        <w:t>存续期间：持续经营</w:t>
      </w:r>
    </w:p>
    <w:p w14:paraId="74C23002">
      <w:pPr>
        <w:spacing w:line="360" w:lineRule="auto"/>
        <w:ind w:firstLine="420" w:firstLineChars="200"/>
        <w:rPr>
          <w:rFonts w:ascii="宋体" w:hAnsi="宋体"/>
          <w:szCs w:val="21"/>
        </w:rPr>
      </w:pPr>
      <w:r>
        <w:rPr>
          <w:rFonts w:hint="eastAsia" w:ascii="宋体" w:hAnsi="宋体"/>
          <w:szCs w:val="21"/>
        </w:rPr>
        <w:t>基金托管资格批准文号：中国证监会证监基金字[2003]105号</w:t>
      </w:r>
    </w:p>
    <w:p w14:paraId="4F662423">
      <w:pPr>
        <w:spacing w:line="360" w:lineRule="auto"/>
        <w:rPr>
          <w:rFonts w:ascii="宋体" w:hAnsi="宋体"/>
          <w:sz w:val="24"/>
        </w:rPr>
      </w:pPr>
    </w:p>
    <w:p w14:paraId="297AC56B">
      <w:pPr>
        <w:spacing w:line="360" w:lineRule="auto"/>
        <w:ind w:firstLine="480" w:firstLineChars="200"/>
        <w:rPr>
          <w:rFonts w:ascii="宋体" w:hAnsi="宋体"/>
          <w:sz w:val="24"/>
        </w:rPr>
      </w:pPr>
    </w:p>
    <w:p w14:paraId="53102D49">
      <w:pPr>
        <w:spacing w:line="360" w:lineRule="auto"/>
        <w:ind w:firstLine="480" w:firstLineChars="200"/>
        <w:rPr>
          <w:rFonts w:ascii="宋体" w:hAnsi="宋体"/>
          <w:sz w:val="24"/>
        </w:rPr>
      </w:pPr>
    </w:p>
    <w:p w14:paraId="7836F236">
      <w:pPr>
        <w:spacing w:before="312" w:beforeLines="100" w:after="312" w:afterLines="100" w:line="240" w:lineRule="atLeast"/>
        <w:jc w:val="center"/>
        <w:outlineLvl w:val="0"/>
        <w:rPr>
          <w:rFonts w:ascii="宋体" w:hAnsi="宋体"/>
        </w:rPr>
      </w:pPr>
      <w:r>
        <w:rPr>
          <w:rFonts w:ascii="宋体" w:hAnsi="宋体"/>
          <w:sz w:val="24"/>
        </w:rPr>
        <w:br w:type="page"/>
      </w:r>
      <w:bookmarkStart w:id="10" w:name="_Toc382819071"/>
      <w:r>
        <w:rPr>
          <w:rFonts w:hint="eastAsia" w:ascii="宋体" w:hAnsi="宋体"/>
          <w:b/>
          <w:sz w:val="24"/>
        </w:rPr>
        <w:t>一、基金托管协议的依据、目的、原则和解释</w:t>
      </w:r>
      <w:bookmarkEnd w:id="10"/>
    </w:p>
    <w:p w14:paraId="4F7FFE4D">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（一）依据</w:t>
      </w:r>
    </w:p>
    <w:p w14:paraId="22D4DD0C">
      <w:pPr>
        <w:spacing w:line="360" w:lineRule="auto"/>
        <w:ind w:firstLine="420" w:firstLineChars="200"/>
        <w:rPr>
          <w:rFonts w:ascii="宋体" w:hAnsi="宋体"/>
          <w:szCs w:val="21"/>
        </w:rPr>
      </w:pPr>
      <w:r>
        <w:rPr>
          <w:rFonts w:hint="eastAsia" w:ascii="宋体" w:hAnsi="宋体"/>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7号〈托管协议的内容与格式〉》、《银华嘉盈混合型证券投资基金基金合同》（以下简称《基金合同》或基金合同）及其他有关法律、法规制定。</w:t>
      </w:r>
    </w:p>
    <w:p w14:paraId="2614E055">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（二）目的</w:t>
      </w:r>
    </w:p>
    <w:p w14:paraId="3ADF0301">
      <w:pPr>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450F27EA">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（三）原则</w:t>
      </w:r>
    </w:p>
    <w:p w14:paraId="08BDCB62">
      <w:pPr>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14:paraId="75FC3CA9">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（四）解释</w:t>
      </w:r>
    </w:p>
    <w:p w14:paraId="3F632EC8">
      <w:pPr>
        <w:spacing w:after="120"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除非本协议另有约定，本协议所有术语与《基金合同》的相应术语具有相同含义；若有抵触，应以基金合同为准，并依其条款解释。</w:t>
      </w:r>
    </w:p>
    <w:p w14:paraId="6D7EA8FF">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r>
        <w:rPr>
          <w:rFonts w:hint="eastAsia" w:ascii="宋体" w:hAnsi="宋体" w:eastAsia="宋体"/>
          <w:b w:val="0"/>
          <w:bCs w:val="0"/>
          <w:sz w:val="21"/>
          <w:szCs w:val="21"/>
        </w:rPr>
        <w:t>（五）若本基金实施侧袋机制的，侧袋机制实施期间的相关安排见基金合同和招募说明书的规定。</w:t>
      </w:r>
    </w:p>
    <w:p w14:paraId="47A24892">
      <w:pPr>
        <w:widowControl/>
        <w:jc w:val="left"/>
        <w:rPr>
          <w:rFonts w:ascii="宋体" w:hAnsi="宋体"/>
          <w:szCs w:val="21"/>
        </w:rPr>
      </w:pPr>
      <w:r>
        <w:rPr>
          <w:rFonts w:ascii="宋体" w:hAnsi="宋体"/>
          <w:b/>
          <w:bCs/>
          <w:szCs w:val="21"/>
        </w:rPr>
        <w:br w:type="page"/>
      </w:r>
    </w:p>
    <w:p w14:paraId="75D6B31A">
      <w:pPr>
        <w:spacing w:before="312" w:beforeLines="100" w:after="312" w:afterLines="100" w:line="240" w:lineRule="atLeast"/>
        <w:jc w:val="center"/>
        <w:outlineLvl w:val="0"/>
        <w:rPr>
          <w:rFonts w:ascii="宋体" w:hAnsi="宋体"/>
        </w:rPr>
      </w:pPr>
      <w:bookmarkStart w:id="11" w:name="_Toc382819072"/>
      <w:r>
        <w:rPr>
          <w:rFonts w:hint="eastAsia" w:ascii="宋体" w:hAnsi="宋体"/>
          <w:b/>
          <w:sz w:val="24"/>
        </w:rPr>
        <w:t>二、基金托管人对基金管理人的业务监督和核查</w:t>
      </w:r>
      <w:bookmarkEnd w:id="11"/>
    </w:p>
    <w:p w14:paraId="1FDD8B53">
      <w:pPr>
        <w:spacing w:after="120" w:line="360" w:lineRule="auto"/>
        <w:ind w:firstLine="420" w:firstLineChars="200"/>
        <w:rPr>
          <w:rFonts w:ascii="宋体" w:hAnsi="宋体"/>
          <w:szCs w:val="21"/>
        </w:rPr>
      </w:pPr>
      <w:bookmarkStart w:id="12" w:name="_Toc382819073"/>
      <w:r>
        <w:rPr>
          <w:rFonts w:hint="eastAsia" w:ascii="宋体" w:hAnsi="宋体"/>
          <w:szCs w:val="21"/>
        </w:rPr>
        <w:t>（一）基金托管人对基金管理人的投资行为行使监督权</w:t>
      </w:r>
      <w:bookmarkEnd w:id="12"/>
    </w:p>
    <w:p w14:paraId="3ED8339F">
      <w:pPr>
        <w:widowControl/>
        <w:spacing w:line="360" w:lineRule="auto"/>
        <w:ind w:firstLine="420" w:firstLineChars="200"/>
        <w:jc w:val="left"/>
        <w:rPr>
          <w:rFonts w:ascii="宋体" w:hAnsi="宋体"/>
          <w:szCs w:val="21"/>
        </w:rPr>
      </w:pPr>
      <w:bookmarkStart w:id="13" w:name="_Hlk219925019"/>
      <w:r>
        <w:rPr>
          <w:rFonts w:hint="eastAsia" w:ascii="宋体" w:hAnsi="宋体"/>
          <w:szCs w:val="21"/>
        </w:rPr>
        <w:t>1.基金托管人根据有关法律法规的规定和《基金合同》的约定，对下述基金投资范围、投资对象进行监督。</w:t>
      </w:r>
    </w:p>
    <w:p w14:paraId="71C7A14B">
      <w:pPr>
        <w:widowControl/>
        <w:spacing w:line="324" w:lineRule="auto"/>
        <w:ind w:firstLine="420" w:firstLineChars="200"/>
        <w:rPr>
          <w:rFonts w:ascii="宋体" w:hAnsi="宋体"/>
          <w:szCs w:val="21"/>
        </w:rPr>
      </w:pPr>
      <w:r>
        <w:rPr>
          <w:rFonts w:hint="eastAsia" w:ascii="宋体" w:hAnsi="宋体"/>
          <w:szCs w:val="21"/>
        </w:rPr>
        <w:t>本基金的投资范围包括国内依法发行上市的股票（包括主板股票、创业板股票、科创板股票、存托凭证及其他经中国证监会核准或注册上市的股票）、港股通标的股票、债券（包括国债、央行票据、金融债、企业债券、公司债券、短期融资券、超短期融资券、次级债券、地方政府债券、政府支持机构债、中期票据、可转换公司债券（含分离交易的可转换公司债券）、可交换债券等以及其他中国证监会允许投资的债券）、资产支持证券、债券回购、银行存款（包括协议存款、定期存款及其他银行存款）、同业存单、现金、金融衍生工具（包括股指期货、国债期货和股票期权）以及法律法规或中国证监会允许基金投资的其他金融工具（但须符合中国证监会相关规定）。</w:t>
      </w:r>
    </w:p>
    <w:p w14:paraId="4D0099C8">
      <w:pPr>
        <w:widowControl/>
        <w:spacing w:line="324" w:lineRule="auto"/>
        <w:ind w:firstLine="420" w:firstLineChars="200"/>
        <w:rPr>
          <w:rFonts w:ascii="宋体" w:hAnsi="宋体"/>
          <w:szCs w:val="21"/>
        </w:rPr>
      </w:pPr>
      <w:r>
        <w:rPr>
          <w:rFonts w:hint="eastAsia" w:ascii="宋体" w:hAnsi="宋体"/>
          <w:szCs w:val="21"/>
        </w:rPr>
        <w:t>本基金可根据相关法律法规和基金合同的约定，参与融资业务。</w:t>
      </w:r>
    </w:p>
    <w:p w14:paraId="1C22EE58">
      <w:pPr>
        <w:widowControl/>
        <w:spacing w:line="324" w:lineRule="auto"/>
        <w:ind w:firstLine="420" w:firstLineChars="200"/>
        <w:rPr>
          <w:rFonts w:ascii="宋体" w:hAnsi="宋体"/>
          <w:szCs w:val="21"/>
        </w:rPr>
      </w:pPr>
      <w:r>
        <w:rPr>
          <w:rFonts w:hint="eastAsia" w:ascii="宋体" w:hAnsi="宋体"/>
          <w:szCs w:val="21"/>
        </w:rPr>
        <w:t>如法律法规或监管机构以后允许基金投资其他品种，基金管理人在履行适当程序后，可以将其纳入本基金的投资范围，其投资比例遵循届时有效的法律法规和相关规定。</w:t>
      </w:r>
    </w:p>
    <w:p w14:paraId="395EE904">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2.基金托管人根据有关法律法规的规定及《基金合同》的约定对下述基金投融资比例进行监督：</w:t>
      </w:r>
    </w:p>
    <w:p w14:paraId="4C4B8B1D">
      <w:pPr>
        <w:spacing w:line="324" w:lineRule="auto"/>
        <w:ind w:firstLine="480"/>
        <w:rPr>
          <w:rFonts w:ascii="宋体" w:hAnsi="宋体"/>
          <w:szCs w:val="21"/>
        </w:rPr>
      </w:pPr>
      <w:r>
        <w:rPr>
          <w:rFonts w:hint="eastAsia" w:ascii="宋体" w:hAnsi="宋体"/>
          <w:szCs w:val="21"/>
        </w:rPr>
        <w:t>（1）按法律法规的规定及《基金合同》的约定，本基金的投资资产配置比例为：</w:t>
      </w:r>
    </w:p>
    <w:p w14:paraId="1AC143C7">
      <w:pPr>
        <w:widowControl/>
        <w:spacing w:line="324" w:lineRule="auto"/>
        <w:ind w:firstLine="420" w:firstLineChars="200"/>
        <w:rPr>
          <w:rFonts w:ascii="宋体" w:hAnsi="宋体"/>
          <w:szCs w:val="21"/>
        </w:rPr>
      </w:pPr>
      <w:r>
        <w:rPr>
          <w:rFonts w:hint="eastAsia" w:ascii="宋体" w:hAnsi="宋体"/>
          <w:szCs w:val="21"/>
        </w:rPr>
        <w:t>本基金投资组合比例为：本基金投资于股票资产占基金资产的比例为60%–95%，其中投资于港股通标的股票的比例占股票资产的0%-50%。每个交易日日终在扣除国债期货合约、股指期货合约和股票期权合约需缴纳的交易保证金后，应保持不低于基金资产净值5%的现金或者到期日在一年以内的政府债券，其中，现金不包括结算备付金、存出保证金和应收申购款等。</w:t>
      </w:r>
    </w:p>
    <w:p w14:paraId="29278252">
      <w:pPr>
        <w:widowControl/>
        <w:spacing w:line="324" w:lineRule="auto"/>
        <w:ind w:firstLine="420" w:firstLineChars="200"/>
        <w:rPr>
          <w:rFonts w:ascii="宋体" w:hAnsi="宋体"/>
          <w:szCs w:val="21"/>
        </w:rPr>
      </w:pPr>
      <w:r>
        <w:rPr>
          <w:rFonts w:hint="eastAsia" w:ascii="宋体" w:hAnsi="宋体"/>
          <w:szCs w:val="21"/>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14:paraId="268B994E">
      <w:pPr>
        <w:widowControl/>
        <w:spacing w:line="324" w:lineRule="auto"/>
        <w:ind w:firstLine="420" w:firstLineChars="200"/>
        <w:rPr>
          <w:rFonts w:ascii="宋体" w:hAnsi="宋体"/>
          <w:szCs w:val="21"/>
        </w:rPr>
      </w:pPr>
      <w:r>
        <w:rPr>
          <w:rFonts w:hint="eastAsia" w:ascii="宋体" w:hAnsi="宋体"/>
          <w:szCs w:val="21"/>
        </w:rPr>
        <w:t>如果法律法规或监管部门变更相关投资品种的投资比例限制，基金管理人在履行适当程序后，可以调整上述投资品种的投资比例或以变更后的规则为准。</w:t>
      </w:r>
    </w:p>
    <w:p w14:paraId="4523EFD6">
      <w:pPr>
        <w:spacing w:line="324" w:lineRule="auto"/>
        <w:ind w:firstLine="480"/>
        <w:rPr>
          <w:rFonts w:ascii="宋体" w:hAnsi="宋体"/>
          <w:szCs w:val="21"/>
        </w:rPr>
      </w:pPr>
      <w:r>
        <w:rPr>
          <w:rFonts w:hint="eastAsia" w:ascii="宋体" w:hAnsi="宋体"/>
          <w:szCs w:val="21"/>
        </w:rPr>
        <w:t>（2）根据法律法规的规定及《基金合同》的约定，本基金投资组合遵循以下投资限制：</w:t>
      </w:r>
    </w:p>
    <w:p w14:paraId="5BE8ED32">
      <w:pPr>
        <w:spacing w:line="360" w:lineRule="auto"/>
        <w:ind w:firstLine="420" w:firstLineChars="200"/>
        <w:rPr>
          <w:rFonts w:ascii="宋体" w:hAnsi="宋体" w:cs="Arial"/>
          <w:bCs/>
          <w:szCs w:val="21"/>
        </w:rPr>
      </w:pPr>
      <w:r>
        <w:rPr>
          <w:rFonts w:hint="eastAsia" w:ascii="宋体" w:hAnsi="宋体" w:cs="Arial"/>
          <w:bCs/>
          <w:szCs w:val="21"/>
        </w:rPr>
        <w:t xml:space="preserve">（1）本基金投资组合中股票资产占基金资产的比例为60%–95%（投资于港股通标的股票资产占股票资产的比例不超过50%）； </w:t>
      </w:r>
    </w:p>
    <w:p w14:paraId="611CD7B8">
      <w:pPr>
        <w:spacing w:line="360" w:lineRule="auto"/>
        <w:ind w:firstLine="420" w:firstLineChars="200"/>
        <w:rPr>
          <w:rFonts w:ascii="宋体" w:hAnsi="宋体" w:cs="Arial"/>
          <w:bCs/>
          <w:szCs w:val="21"/>
        </w:rPr>
      </w:pPr>
      <w:r>
        <w:rPr>
          <w:rFonts w:hint="eastAsia" w:ascii="宋体" w:hAnsi="宋体" w:cs="Arial"/>
          <w:bCs/>
          <w:szCs w:val="21"/>
        </w:rPr>
        <w:t>（2）每个交易日日终，在扣除股指期货合约、国债期货合约和股票期权合约需缴纳的交易保证金后，应当保持不低于基金资产净值5%的现金或者到期日在一年以内的政府债券，其中，现金不包括结算备付金、存出保证金和应收申购款等；</w:t>
      </w:r>
    </w:p>
    <w:p w14:paraId="242E955F">
      <w:pPr>
        <w:spacing w:line="360" w:lineRule="auto"/>
        <w:ind w:firstLine="420" w:firstLineChars="200"/>
        <w:rPr>
          <w:rFonts w:ascii="宋体" w:hAnsi="宋体" w:cs="Arial"/>
          <w:bCs/>
          <w:szCs w:val="21"/>
        </w:rPr>
      </w:pPr>
      <w:r>
        <w:rPr>
          <w:rFonts w:hint="eastAsia" w:ascii="宋体" w:hAnsi="宋体" w:cs="Arial"/>
          <w:bCs/>
          <w:szCs w:val="21"/>
        </w:rPr>
        <w:t>（3）本基金持有一家公司发行的证券（同一家公司在内地和香港同时上市的A+H股合计计算），其市值不超过基金资产净值的10%；</w:t>
      </w:r>
    </w:p>
    <w:p w14:paraId="45BC4ABD">
      <w:pPr>
        <w:spacing w:line="360" w:lineRule="auto"/>
        <w:ind w:firstLine="420" w:firstLineChars="200"/>
        <w:rPr>
          <w:rFonts w:ascii="宋体" w:hAnsi="宋体" w:cs="Arial"/>
          <w:bCs/>
          <w:szCs w:val="21"/>
        </w:rPr>
      </w:pPr>
      <w:r>
        <w:rPr>
          <w:rFonts w:hint="eastAsia" w:ascii="宋体" w:hAnsi="宋体" w:cs="Arial"/>
          <w:bCs/>
          <w:szCs w:val="21"/>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7E694E56">
      <w:pPr>
        <w:spacing w:line="360" w:lineRule="auto"/>
        <w:ind w:firstLine="420" w:firstLineChars="200"/>
        <w:rPr>
          <w:rFonts w:ascii="宋体" w:hAnsi="宋体" w:cs="Arial"/>
          <w:bCs/>
          <w:szCs w:val="21"/>
        </w:rPr>
      </w:pPr>
      <w:r>
        <w:rPr>
          <w:rFonts w:hint="eastAsia" w:ascii="宋体" w:hAnsi="宋体" w:cs="Arial"/>
          <w:bCs/>
          <w:szCs w:val="21"/>
        </w:rPr>
        <w:t>（5）本基金投资于同一原始权益人的各类资产支持证券的比例，不得超过基金资产净值的10%；</w:t>
      </w:r>
    </w:p>
    <w:p w14:paraId="4FD9F5F6">
      <w:pPr>
        <w:spacing w:line="360" w:lineRule="auto"/>
        <w:ind w:firstLine="420" w:firstLineChars="200"/>
        <w:rPr>
          <w:rFonts w:ascii="宋体" w:hAnsi="宋体" w:cs="Arial"/>
          <w:bCs/>
          <w:szCs w:val="21"/>
        </w:rPr>
      </w:pPr>
      <w:r>
        <w:rPr>
          <w:rFonts w:hint="eastAsia" w:ascii="宋体" w:hAnsi="宋体" w:cs="Arial"/>
          <w:bCs/>
          <w:szCs w:val="21"/>
        </w:rPr>
        <w:t>（6）本基金持有的全部资产支持证券，其市值不得超过基金资产净值的20%，中国证监会规定的特殊品种除外；</w:t>
      </w:r>
    </w:p>
    <w:p w14:paraId="2C970041">
      <w:pPr>
        <w:spacing w:line="360" w:lineRule="auto"/>
        <w:ind w:firstLine="420" w:firstLineChars="200"/>
        <w:rPr>
          <w:rFonts w:ascii="宋体" w:hAnsi="宋体" w:cs="Arial"/>
          <w:bCs/>
          <w:szCs w:val="21"/>
        </w:rPr>
      </w:pPr>
      <w:r>
        <w:rPr>
          <w:rFonts w:hint="eastAsia" w:ascii="宋体" w:hAnsi="宋体" w:cs="Arial"/>
          <w:bCs/>
          <w:szCs w:val="21"/>
        </w:rPr>
        <w:t>（7）本基金持有的同一（指同一信用级别）资产支持证券的比例，不得超过该资产支持证券规模的10%；</w:t>
      </w:r>
    </w:p>
    <w:p w14:paraId="2556C1A6">
      <w:pPr>
        <w:spacing w:line="360" w:lineRule="auto"/>
        <w:ind w:firstLine="420" w:firstLineChars="200"/>
        <w:rPr>
          <w:rFonts w:ascii="宋体" w:hAnsi="宋体" w:cs="Arial"/>
          <w:bCs/>
          <w:szCs w:val="21"/>
        </w:rPr>
      </w:pPr>
      <w:r>
        <w:rPr>
          <w:rFonts w:hint="eastAsia" w:ascii="宋体" w:hAnsi="宋体" w:cs="Arial"/>
          <w:bCs/>
          <w:szCs w:val="21"/>
        </w:rPr>
        <w:t>（8）本基金管理人管理的全部基金投资于同一原始权益人的各类资产支持证券，不得超过其各类资产支持证券合计规模的10%；</w:t>
      </w:r>
    </w:p>
    <w:p w14:paraId="5208FFC9">
      <w:pPr>
        <w:spacing w:line="360" w:lineRule="auto"/>
        <w:ind w:firstLine="420" w:firstLineChars="200"/>
        <w:rPr>
          <w:rFonts w:ascii="宋体" w:hAnsi="宋体" w:cs="Arial"/>
          <w:bCs/>
          <w:szCs w:val="21"/>
        </w:rPr>
      </w:pPr>
      <w:r>
        <w:rPr>
          <w:rFonts w:hint="eastAsia" w:ascii="宋体" w:hAnsi="宋体" w:cs="Arial"/>
          <w:bCs/>
          <w:szCs w:val="21"/>
        </w:rPr>
        <w:t>（9）本基金应投资于信用级别评级为BBB以上（含BBB）的资产支持证券。基金持有资产支持证券期间，如果其信用等级下降、不再符合投资标准，应在评级报告发布之日起3个月内予以全部卖出；</w:t>
      </w:r>
    </w:p>
    <w:p w14:paraId="699F9840">
      <w:pPr>
        <w:spacing w:line="360" w:lineRule="auto"/>
        <w:ind w:firstLine="420" w:firstLineChars="200"/>
        <w:rPr>
          <w:rFonts w:ascii="宋体" w:hAnsi="宋体" w:cs="Arial"/>
          <w:bCs/>
          <w:szCs w:val="21"/>
        </w:rPr>
      </w:pPr>
      <w:r>
        <w:rPr>
          <w:rFonts w:hint="eastAsia" w:ascii="宋体" w:hAnsi="宋体" w:cs="Arial"/>
          <w:bCs/>
          <w:szCs w:val="21"/>
        </w:rPr>
        <w:t>（10）基金财产参与股票发行申购，本基金所申报的金额不超过本基金的总资产，本基金所申报的股票数量不超过拟发行股票公司本次发行股票的总量；</w:t>
      </w:r>
    </w:p>
    <w:p w14:paraId="39557BE7">
      <w:pPr>
        <w:spacing w:line="360" w:lineRule="auto"/>
        <w:ind w:firstLine="420" w:firstLineChars="200"/>
        <w:rPr>
          <w:rFonts w:ascii="宋体" w:hAnsi="宋体" w:cs="Arial"/>
          <w:bCs/>
          <w:szCs w:val="21"/>
        </w:rPr>
      </w:pPr>
      <w:r>
        <w:rPr>
          <w:rFonts w:hint="eastAsia" w:ascii="宋体" w:hAnsi="宋体" w:cs="Arial"/>
          <w:bCs/>
          <w:szCs w:val="21"/>
        </w:rPr>
        <w:t>（11）本基金的基金资产总值不超过基金资产净值的140%；</w:t>
      </w:r>
    </w:p>
    <w:p w14:paraId="5B90C196">
      <w:pPr>
        <w:spacing w:line="360" w:lineRule="auto"/>
        <w:ind w:firstLine="420" w:firstLineChars="200"/>
        <w:rPr>
          <w:rFonts w:ascii="宋体" w:hAnsi="宋体" w:cs="Arial"/>
          <w:bCs/>
          <w:szCs w:val="21"/>
        </w:rPr>
      </w:pPr>
      <w:r>
        <w:rPr>
          <w:rFonts w:hint="eastAsia" w:ascii="宋体" w:hAnsi="宋体" w:cs="Arial"/>
          <w:bCs/>
          <w:szCs w:val="21"/>
        </w:rPr>
        <w:t>（12）本基金参与股指期货交易的，需遵守下列投资比例限制：</w:t>
      </w:r>
    </w:p>
    <w:p w14:paraId="1336A906">
      <w:pPr>
        <w:spacing w:line="360" w:lineRule="auto"/>
        <w:ind w:firstLine="420" w:firstLineChars="200"/>
        <w:rPr>
          <w:rFonts w:ascii="宋体" w:hAnsi="宋体" w:cs="Arial"/>
          <w:bCs/>
          <w:szCs w:val="21"/>
        </w:rPr>
      </w:pPr>
      <w:r>
        <w:rPr>
          <w:rFonts w:hint="eastAsia" w:ascii="宋体" w:hAnsi="宋体" w:cs="Arial"/>
          <w:bCs/>
          <w:szCs w:val="21"/>
        </w:rPr>
        <w:t>1）本基金在任何交易日日终，持有的买入股指期货合约价值，不得超过基金资产净值的10%；</w:t>
      </w:r>
    </w:p>
    <w:p w14:paraId="7EC20E1A">
      <w:pPr>
        <w:spacing w:line="360" w:lineRule="auto"/>
        <w:ind w:firstLine="420" w:firstLineChars="200"/>
        <w:rPr>
          <w:rFonts w:ascii="宋体" w:hAnsi="宋体" w:cs="Arial"/>
          <w:bCs/>
          <w:szCs w:val="21"/>
        </w:rPr>
      </w:pPr>
      <w:r>
        <w:rPr>
          <w:rFonts w:hint="eastAsia" w:ascii="宋体" w:hAnsi="宋体" w:cs="Arial"/>
          <w:bCs/>
          <w:szCs w:val="21"/>
        </w:rPr>
        <w:t>2）本基金在任何交易日日终，持有的卖出股指期货合约价值不得超过本基金持有的股票总市值的20%；</w:t>
      </w:r>
    </w:p>
    <w:p w14:paraId="3223B3C2">
      <w:pPr>
        <w:spacing w:line="360" w:lineRule="auto"/>
        <w:ind w:firstLine="420" w:firstLineChars="200"/>
        <w:rPr>
          <w:rFonts w:ascii="宋体" w:hAnsi="宋体" w:cs="Arial"/>
          <w:bCs/>
          <w:szCs w:val="21"/>
        </w:rPr>
      </w:pPr>
      <w:r>
        <w:rPr>
          <w:rFonts w:hint="eastAsia" w:ascii="宋体" w:hAnsi="宋体" w:cs="Arial"/>
          <w:bCs/>
          <w:szCs w:val="21"/>
        </w:rPr>
        <w:t>3）本基金所持有的股票市值和买入、卖出股指期货合约价值，合计（轧差计算）应当符合基金合同关于股票投资比例的有关约定；</w:t>
      </w:r>
    </w:p>
    <w:p w14:paraId="18861609">
      <w:pPr>
        <w:spacing w:line="360" w:lineRule="auto"/>
        <w:ind w:firstLine="420" w:firstLineChars="200"/>
        <w:rPr>
          <w:rFonts w:ascii="宋体" w:hAnsi="宋体" w:cs="Arial"/>
          <w:bCs/>
          <w:szCs w:val="21"/>
        </w:rPr>
      </w:pPr>
      <w:r>
        <w:rPr>
          <w:rFonts w:hint="eastAsia" w:ascii="宋体" w:hAnsi="宋体" w:cs="Arial"/>
          <w:bCs/>
          <w:szCs w:val="21"/>
        </w:rPr>
        <w:t>4）本基金在任何交易日内交易（不包括平仓）的股指期货合约的成交金额不得超过上一交易日基金资产净值的20%；</w:t>
      </w:r>
    </w:p>
    <w:p w14:paraId="09BC9443">
      <w:pPr>
        <w:spacing w:line="360" w:lineRule="auto"/>
        <w:ind w:firstLine="420" w:firstLineChars="200"/>
        <w:rPr>
          <w:rFonts w:ascii="宋体" w:hAnsi="宋体" w:cs="Arial"/>
          <w:bCs/>
          <w:szCs w:val="21"/>
        </w:rPr>
      </w:pPr>
      <w:r>
        <w:rPr>
          <w:rFonts w:hint="eastAsia" w:ascii="宋体" w:hAnsi="宋体" w:cs="Arial"/>
          <w:bCs/>
          <w:szCs w:val="21"/>
        </w:rPr>
        <w:t>（13）本基金参与国债期货交易的，需遵守下列投资比例限制：</w:t>
      </w:r>
    </w:p>
    <w:p w14:paraId="65A53569">
      <w:pPr>
        <w:spacing w:line="360" w:lineRule="auto"/>
        <w:ind w:firstLine="420" w:firstLineChars="200"/>
        <w:rPr>
          <w:rFonts w:ascii="宋体" w:hAnsi="宋体" w:cs="Arial"/>
          <w:bCs/>
          <w:szCs w:val="21"/>
        </w:rPr>
      </w:pPr>
      <w:r>
        <w:rPr>
          <w:rFonts w:hint="eastAsia" w:ascii="宋体" w:hAnsi="宋体" w:cs="Arial"/>
          <w:bCs/>
          <w:szCs w:val="21"/>
        </w:rPr>
        <w:t>1）本基金在任何交易日日终，持有的买入国债期货合约价值，不得超过基金资产净值的15%；</w:t>
      </w:r>
    </w:p>
    <w:p w14:paraId="5E64C1C4">
      <w:pPr>
        <w:spacing w:line="360" w:lineRule="auto"/>
        <w:ind w:firstLine="420" w:firstLineChars="200"/>
        <w:rPr>
          <w:rFonts w:ascii="宋体" w:hAnsi="宋体" w:cs="Arial"/>
          <w:bCs/>
          <w:szCs w:val="21"/>
        </w:rPr>
      </w:pPr>
      <w:r>
        <w:rPr>
          <w:rFonts w:hint="eastAsia" w:ascii="宋体" w:hAnsi="宋体" w:cs="Arial"/>
          <w:bCs/>
          <w:szCs w:val="21"/>
        </w:rPr>
        <w:t>2）本基金在任何交易日日终，持有的卖出国债期货合约价值不得超过基金持有的债券总市值的30%；</w:t>
      </w:r>
    </w:p>
    <w:p w14:paraId="69A8E483">
      <w:pPr>
        <w:spacing w:line="360" w:lineRule="auto"/>
        <w:ind w:firstLine="420" w:firstLineChars="200"/>
        <w:rPr>
          <w:rFonts w:ascii="宋体" w:hAnsi="宋体" w:cs="Arial"/>
          <w:bCs/>
          <w:szCs w:val="21"/>
        </w:rPr>
      </w:pPr>
      <w:r>
        <w:rPr>
          <w:rFonts w:hint="eastAsia" w:ascii="宋体" w:hAnsi="宋体" w:cs="Arial"/>
          <w:bCs/>
          <w:szCs w:val="21"/>
        </w:rPr>
        <w:t>3）本基金在任何交易日内交易（不包括平仓）的国债期货合约的成交金额不得超过上一交易日基金资产净值的30%；</w:t>
      </w:r>
    </w:p>
    <w:p w14:paraId="5CA9A4E4">
      <w:pPr>
        <w:spacing w:line="360" w:lineRule="auto"/>
        <w:ind w:firstLine="420" w:firstLineChars="200"/>
        <w:rPr>
          <w:rFonts w:ascii="宋体" w:hAnsi="宋体" w:cs="Arial"/>
          <w:bCs/>
          <w:szCs w:val="21"/>
        </w:rPr>
      </w:pPr>
      <w:r>
        <w:rPr>
          <w:rFonts w:hint="eastAsia" w:ascii="宋体" w:hAnsi="宋体" w:cs="Arial"/>
          <w:bCs/>
          <w:szCs w:val="21"/>
        </w:rPr>
        <w:t>4）本基金所持有的债券（不含到期日在一年以内的政府债券）市值和买入、卖出国债期货合约价值，合计（轧差计算）应当符合基金合同关于债券投资比例的有关约定；</w:t>
      </w:r>
    </w:p>
    <w:p w14:paraId="5CAA948F">
      <w:pPr>
        <w:spacing w:line="360" w:lineRule="auto"/>
        <w:ind w:firstLine="420" w:firstLineChars="200"/>
        <w:rPr>
          <w:rFonts w:ascii="宋体" w:hAnsi="宋体" w:cs="Arial"/>
          <w:bCs/>
          <w:szCs w:val="21"/>
        </w:rPr>
      </w:pPr>
      <w:r>
        <w:rPr>
          <w:rFonts w:hint="eastAsia" w:ascii="宋体" w:hAnsi="宋体" w:cs="Arial"/>
          <w:bCs/>
          <w:szCs w:val="21"/>
        </w:rPr>
        <w:t>（14）本基金参与股指期货或国债期货交易的，在任何交易日日终，本基金持有的买入国债期货合约价值、买入股指期货合约价值与有价证券市值之和，不得超过基金资产净值的95%。其中，有价证券指股票、债券（不含到期日在一年以内的政府债券）、资产支持证券、买入返售金融资产（不含质押式回购）等；</w:t>
      </w:r>
    </w:p>
    <w:p w14:paraId="162D33D0">
      <w:pPr>
        <w:spacing w:line="360" w:lineRule="auto"/>
        <w:ind w:firstLine="420" w:firstLineChars="200"/>
        <w:rPr>
          <w:rFonts w:ascii="宋体" w:hAnsi="宋体" w:cs="Arial"/>
          <w:bCs/>
          <w:szCs w:val="21"/>
        </w:rPr>
      </w:pPr>
      <w:r>
        <w:rPr>
          <w:rFonts w:hint="eastAsia" w:ascii="宋体" w:hAnsi="宋体" w:cs="Arial"/>
          <w:bCs/>
          <w:szCs w:val="21"/>
        </w:rPr>
        <w:t>（15）本基金参与股票期权交易的，需遵守下列投资比例限制：</w:t>
      </w:r>
    </w:p>
    <w:p w14:paraId="537E240A">
      <w:pPr>
        <w:spacing w:line="360" w:lineRule="auto"/>
        <w:ind w:firstLine="420" w:firstLineChars="200"/>
        <w:rPr>
          <w:rFonts w:ascii="宋体" w:hAnsi="宋体" w:cs="Arial"/>
          <w:bCs/>
          <w:szCs w:val="21"/>
        </w:rPr>
      </w:pPr>
      <w:r>
        <w:rPr>
          <w:rFonts w:hint="eastAsia" w:ascii="宋体" w:hAnsi="宋体" w:cs="Arial"/>
          <w:bCs/>
          <w:szCs w:val="21"/>
        </w:rPr>
        <w:t>1）因未平仓的期权合约支付和收取的权利金总额不得超过基金资产净值的10%；</w:t>
      </w:r>
    </w:p>
    <w:p w14:paraId="35E30B81">
      <w:pPr>
        <w:spacing w:line="360" w:lineRule="auto"/>
        <w:ind w:firstLine="420" w:firstLineChars="200"/>
        <w:rPr>
          <w:rFonts w:ascii="宋体" w:hAnsi="宋体" w:cs="Arial"/>
          <w:bCs/>
          <w:szCs w:val="21"/>
        </w:rPr>
      </w:pPr>
      <w:r>
        <w:rPr>
          <w:rFonts w:hint="eastAsia" w:ascii="宋体" w:hAnsi="宋体" w:cs="Arial"/>
          <w:bCs/>
          <w:szCs w:val="21"/>
        </w:rPr>
        <w:t>2）开仓卖出认购期权的，应持有足额标的证券；开仓卖出认沽期权的，应持有合约行权所需的全额现金或交易所规则认可的可冲抵期权保证金的现金等价物；</w:t>
      </w:r>
    </w:p>
    <w:p w14:paraId="7421E8A4">
      <w:pPr>
        <w:spacing w:line="360" w:lineRule="auto"/>
        <w:ind w:firstLine="420" w:firstLineChars="200"/>
        <w:rPr>
          <w:rFonts w:ascii="宋体" w:hAnsi="宋体" w:cs="Arial"/>
          <w:bCs/>
          <w:szCs w:val="21"/>
        </w:rPr>
      </w:pPr>
      <w:r>
        <w:rPr>
          <w:rFonts w:hint="eastAsia" w:ascii="宋体" w:hAnsi="宋体" w:cs="Arial"/>
          <w:bCs/>
          <w:szCs w:val="21"/>
        </w:rPr>
        <w:t>3）未平仓的期权合约面值不得超过基金资产净值的20%。其中，合约面值按照行权价乘以合约乘数计算；</w:t>
      </w:r>
    </w:p>
    <w:p w14:paraId="068295E8">
      <w:pPr>
        <w:spacing w:line="360" w:lineRule="auto"/>
        <w:ind w:firstLine="420" w:firstLineChars="200"/>
        <w:rPr>
          <w:rFonts w:ascii="宋体" w:hAnsi="宋体" w:cs="Arial"/>
          <w:bCs/>
          <w:szCs w:val="21"/>
        </w:rPr>
      </w:pPr>
      <w:r>
        <w:rPr>
          <w:rFonts w:hint="eastAsia" w:ascii="宋体" w:hAnsi="宋体" w:cs="Arial"/>
          <w:bCs/>
          <w:szCs w:val="21"/>
        </w:rPr>
        <w:t>4）基金投资期权符合基金合同约定的比例限制（如股票仓位、个股占比等）、投资目标和风险收益特征；</w:t>
      </w:r>
    </w:p>
    <w:p w14:paraId="532AC7F3">
      <w:pPr>
        <w:spacing w:line="360" w:lineRule="auto"/>
        <w:ind w:firstLine="420" w:firstLineChars="200"/>
        <w:rPr>
          <w:rFonts w:ascii="宋体" w:hAnsi="宋体" w:cs="Arial"/>
          <w:bCs/>
          <w:szCs w:val="21"/>
        </w:rPr>
      </w:pPr>
      <w:r>
        <w:rPr>
          <w:rFonts w:hint="eastAsia" w:ascii="宋体" w:hAnsi="宋体" w:cs="Arial"/>
          <w:bCs/>
          <w:szCs w:val="21"/>
        </w:rPr>
        <w:t>（16）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7578C3A">
      <w:pPr>
        <w:spacing w:line="360" w:lineRule="auto"/>
        <w:ind w:firstLine="420" w:firstLineChars="200"/>
        <w:rPr>
          <w:rFonts w:ascii="宋体" w:hAnsi="宋体" w:cs="Arial"/>
          <w:bCs/>
          <w:szCs w:val="21"/>
        </w:rPr>
      </w:pPr>
      <w:r>
        <w:rPr>
          <w:rFonts w:hint="eastAsia" w:ascii="宋体" w:hAnsi="宋体" w:cs="Arial"/>
          <w:bCs/>
          <w:szCs w:val="21"/>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02CB2BC">
      <w:pPr>
        <w:spacing w:line="360" w:lineRule="auto"/>
        <w:ind w:firstLine="420" w:firstLineChars="200"/>
        <w:rPr>
          <w:rFonts w:ascii="宋体" w:hAnsi="宋体" w:cs="Arial"/>
          <w:bCs/>
          <w:szCs w:val="21"/>
        </w:rPr>
      </w:pPr>
      <w:r>
        <w:rPr>
          <w:rFonts w:hint="eastAsia" w:ascii="宋体" w:hAnsi="宋体" w:cs="Arial"/>
          <w:bCs/>
          <w:szCs w:val="21"/>
        </w:rPr>
        <w:t>（18）本基金与私募类证券资管产品及中国证监会认定的其他主体为交易对手开展逆回购交易的，可接受质押品的资质要求应当与基金合同约定的投资范围保持一致；</w:t>
      </w:r>
    </w:p>
    <w:p w14:paraId="5E119E6B">
      <w:pPr>
        <w:spacing w:line="360" w:lineRule="auto"/>
        <w:ind w:firstLine="420" w:firstLineChars="200"/>
        <w:rPr>
          <w:rFonts w:ascii="宋体" w:hAnsi="宋体" w:cs="Arial"/>
          <w:bCs/>
          <w:szCs w:val="21"/>
        </w:rPr>
      </w:pPr>
      <w:r>
        <w:rPr>
          <w:rFonts w:hint="eastAsia" w:ascii="宋体" w:hAnsi="宋体" w:cs="Arial"/>
          <w:bCs/>
          <w:szCs w:val="21"/>
        </w:rPr>
        <w:t>（19）本基金参与融资的，每个交易日日终，本基金持有的融资买入股票与其他有价证券市值之和，不得超过基金资产净值的95%；</w:t>
      </w:r>
    </w:p>
    <w:p w14:paraId="570C39F7">
      <w:pPr>
        <w:spacing w:line="360" w:lineRule="auto"/>
        <w:ind w:firstLine="420" w:firstLineChars="200"/>
        <w:rPr>
          <w:rFonts w:ascii="宋体" w:hAnsi="宋体" w:cs="Arial"/>
          <w:bCs/>
          <w:szCs w:val="21"/>
        </w:rPr>
      </w:pPr>
      <w:r>
        <w:rPr>
          <w:rFonts w:hint="eastAsia" w:ascii="宋体" w:hAnsi="宋体" w:cs="Arial"/>
          <w:bCs/>
          <w:szCs w:val="21"/>
        </w:rPr>
        <w:t>（2</w:t>
      </w:r>
      <w:r>
        <w:rPr>
          <w:rFonts w:ascii="宋体" w:hAnsi="宋体" w:cs="Arial"/>
          <w:bCs/>
          <w:szCs w:val="21"/>
        </w:rPr>
        <w:t>0</w:t>
      </w:r>
      <w:r>
        <w:rPr>
          <w:rFonts w:hint="eastAsia" w:ascii="宋体" w:hAnsi="宋体" w:cs="Arial"/>
          <w:bCs/>
          <w:szCs w:val="21"/>
        </w:rPr>
        <w:t>）本基金投资存托凭证的比例限制依照境内上市交易的股票执行，与境内上市交易的股票合并计算；</w:t>
      </w:r>
    </w:p>
    <w:p w14:paraId="29B58C2C">
      <w:pPr>
        <w:spacing w:line="360" w:lineRule="auto"/>
        <w:ind w:firstLine="420" w:firstLineChars="200"/>
        <w:rPr>
          <w:rFonts w:ascii="宋体" w:hAnsi="宋体" w:cs="Arial"/>
          <w:bCs/>
          <w:szCs w:val="21"/>
        </w:rPr>
      </w:pPr>
      <w:r>
        <w:rPr>
          <w:rFonts w:hint="eastAsia" w:ascii="宋体" w:hAnsi="宋体" w:cs="Arial"/>
          <w:bCs/>
          <w:szCs w:val="21"/>
        </w:rPr>
        <w:t>（2</w:t>
      </w:r>
      <w:r>
        <w:rPr>
          <w:rFonts w:ascii="宋体" w:hAnsi="宋体" w:cs="Arial"/>
          <w:bCs/>
          <w:szCs w:val="21"/>
        </w:rPr>
        <w:t>1</w:t>
      </w:r>
      <w:r>
        <w:rPr>
          <w:rFonts w:hint="eastAsia" w:ascii="宋体" w:hAnsi="宋体" w:cs="Arial"/>
          <w:bCs/>
          <w:szCs w:val="21"/>
        </w:rPr>
        <w:t>）法律法规及中国证监会规定的和《基金合同》约定的其他投资限制。</w:t>
      </w:r>
    </w:p>
    <w:p w14:paraId="425500CC">
      <w:pPr>
        <w:spacing w:line="360" w:lineRule="auto"/>
        <w:ind w:firstLine="420" w:firstLineChars="200"/>
        <w:rPr>
          <w:rFonts w:ascii="宋体" w:hAnsi="宋体" w:cs="Arial"/>
          <w:bCs/>
          <w:szCs w:val="21"/>
        </w:rPr>
      </w:pPr>
      <w:r>
        <w:rPr>
          <w:rFonts w:hint="eastAsia" w:ascii="宋体" w:hAnsi="宋体" w:cs="Arial"/>
          <w:bCs/>
          <w:szCs w:val="21"/>
        </w:rPr>
        <w:t>除上述（2）、（9）、（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94623A8">
      <w:pPr>
        <w:spacing w:line="360" w:lineRule="auto"/>
        <w:ind w:firstLine="420" w:firstLineChars="200"/>
        <w:rPr>
          <w:rFonts w:ascii="宋体" w:hAnsi="宋体" w:cs="Arial"/>
          <w:bCs/>
          <w:szCs w:val="21"/>
        </w:rPr>
      </w:pPr>
      <w:r>
        <w:rPr>
          <w:rFonts w:hint="eastAsia" w:ascii="宋体" w:hAnsi="宋体" w:cs="Arial"/>
          <w:bCs/>
          <w:szCs w:val="21"/>
        </w:rPr>
        <w:t>本基金投资流通受限证券，基金管理人应根据中国证监会相关规定进行投资。基金管理人应制订严格的投资决策流程和风险控制制度，防范流动性风险、法律风险和操作风险等各种风险。</w:t>
      </w:r>
    </w:p>
    <w:p w14:paraId="5E527315">
      <w:pPr>
        <w:spacing w:line="360" w:lineRule="auto"/>
        <w:ind w:firstLine="420" w:firstLineChars="200"/>
        <w:rPr>
          <w:rFonts w:ascii="宋体" w:hAnsi="宋体" w:cs="Arial"/>
          <w:bCs/>
          <w:szCs w:val="21"/>
        </w:rPr>
      </w:pPr>
      <w:r>
        <w:rPr>
          <w:rFonts w:hint="eastAsia" w:ascii="宋体" w:hAnsi="宋体" w:cs="Arial"/>
          <w:bCs/>
          <w:szCs w:val="21"/>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513D63D6">
      <w:pPr>
        <w:spacing w:line="360" w:lineRule="auto"/>
        <w:ind w:firstLine="420" w:firstLineChars="200"/>
        <w:rPr>
          <w:rFonts w:ascii="宋体" w:hAnsi="宋体" w:cs="Arial"/>
          <w:bCs/>
          <w:szCs w:val="21"/>
        </w:rPr>
      </w:pPr>
      <w:r>
        <w:rPr>
          <w:rFonts w:hint="eastAsia" w:ascii="宋体" w:hAnsi="宋体" w:cs="Arial"/>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F72DCBC">
      <w:pPr>
        <w:spacing w:line="360" w:lineRule="auto"/>
        <w:ind w:firstLine="420" w:firstLineChars="200"/>
        <w:rPr>
          <w:rFonts w:ascii="宋体" w:hAnsi="宋体"/>
          <w:szCs w:val="21"/>
        </w:rPr>
      </w:pPr>
      <w:r>
        <w:rPr>
          <w:rFonts w:hint="eastAsia" w:ascii="宋体" w:hAnsi="宋体" w:cs="Arial"/>
          <w:bCs/>
          <w:szCs w:val="21"/>
        </w:rPr>
        <w:t>如果法律法规</w:t>
      </w:r>
      <w:bookmarkStart w:id="14" w:name="_Hlk219827227"/>
      <w:r>
        <w:rPr>
          <w:rFonts w:hint="eastAsia" w:ascii="宋体" w:hAnsi="宋体" w:cs="Arial"/>
          <w:bCs/>
          <w:szCs w:val="21"/>
        </w:rPr>
        <w:t>或监管部门</w:t>
      </w:r>
      <w:bookmarkEnd w:id="14"/>
      <w:r>
        <w:rPr>
          <w:rFonts w:hint="eastAsia" w:ascii="宋体" w:hAnsi="宋体" w:cs="Arial"/>
          <w:bCs/>
          <w:szCs w:val="21"/>
        </w:rPr>
        <w:t>对上述投资组合比例限制进行变更的，基金管理人在履行适当程序后，可相应调整投资比例限制规定或按变更后的规定执行。法律法规或监管部门取消上述限制，如适用于本基金，基金管理人在履行适当程序后，则本基金投资不再受相关限制。</w:t>
      </w:r>
    </w:p>
    <w:p w14:paraId="41DC22E0">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14:paraId="307CA602">
      <w:pPr>
        <w:spacing w:line="360" w:lineRule="auto"/>
        <w:ind w:left="1" w:firstLine="472" w:firstLineChars="225"/>
        <w:rPr>
          <w:rFonts w:ascii="宋体" w:hAnsi="宋体"/>
          <w:b/>
          <w:szCs w:val="21"/>
          <w:u w:val="single"/>
        </w:rPr>
      </w:pPr>
      <w:r>
        <w:rPr>
          <w:rFonts w:hint="eastAsia" w:ascii="宋体" w:hAnsi="宋体"/>
          <w:szCs w:val="21"/>
        </w:rPr>
        <w:t>根据法律法规的规定及《基金合同》的约定，本基金禁止从事下列行为：</w:t>
      </w:r>
    </w:p>
    <w:p w14:paraId="7E3CD2AB">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1）承销证券；</w:t>
      </w:r>
    </w:p>
    <w:p w14:paraId="24B63915">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2）违反规定向他人贷款或者提供担保；</w:t>
      </w:r>
    </w:p>
    <w:p w14:paraId="7B267408">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3）从事承担无限责任的投资；</w:t>
      </w:r>
    </w:p>
    <w:p w14:paraId="06460FB8">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买卖其他基金份额，但是中国证监会另有规定的除外</w:t>
      </w:r>
      <w:r>
        <w:rPr>
          <w:rFonts w:ascii="宋体" w:hAnsi="宋体"/>
          <w:szCs w:val="21"/>
        </w:rPr>
        <w:t>；</w:t>
      </w:r>
    </w:p>
    <w:p w14:paraId="3092F77A">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5）向其基金管理人、基金托管人出资；</w:t>
      </w:r>
    </w:p>
    <w:p w14:paraId="669F98A6">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6）从事内幕交易、操纵证券交易价格及其他不正当的证券交易活动；</w:t>
      </w:r>
    </w:p>
    <w:p w14:paraId="33E999B2">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7）法律、行政法规和中国证监会规定禁止的其他活动。</w:t>
      </w:r>
    </w:p>
    <w:p w14:paraId="60DA848B">
      <w:pPr>
        <w:spacing w:line="360" w:lineRule="auto"/>
        <w:ind w:left="1" w:firstLine="472" w:firstLineChars="225"/>
        <w:rPr>
          <w:rFonts w:ascii="宋体" w:hAnsi="宋体"/>
          <w:szCs w:val="21"/>
        </w:rPr>
      </w:pPr>
      <w:r>
        <w:rPr>
          <w:rFonts w:hint="eastAsia" w:ascii="宋体" w:hAnsi="宋体"/>
          <w:szCs w:val="21"/>
        </w:rPr>
        <w:t>如法律、行政法规或监管部门取消或变更上述禁止性规定，如适用于本基金，基金管理人在履行法律法规或监管部门规定的适当程序后可不受上述规定的限制或以变更后的规定为准。</w:t>
      </w:r>
    </w:p>
    <w:p w14:paraId="0C954DA4">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14:paraId="20F3161C">
      <w:pPr>
        <w:spacing w:line="360" w:lineRule="auto"/>
        <w:ind w:left="1" w:firstLine="472" w:firstLineChars="225"/>
        <w:rPr>
          <w:rFonts w:ascii="宋体" w:hAnsi="宋体"/>
          <w:szCs w:val="21"/>
        </w:rPr>
      </w:pPr>
      <w:r>
        <w:rPr>
          <w:rFonts w:hint="eastAsia" w:ascii="宋体"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6BDC9AF">
      <w:pPr>
        <w:spacing w:line="360" w:lineRule="auto"/>
        <w:ind w:left="1" w:firstLine="472" w:firstLineChars="225"/>
        <w:rPr>
          <w:rFonts w:ascii="宋体" w:hAnsi="宋体"/>
          <w:szCs w:val="21"/>
        </w:rPr>
      </w:pPr>
      <w:r>
        <w:rPr>
          <w:rFonts w:hint="eastAsia" w:ascii="宋体" w:hAnsi="宋体"/>
          <w:szCs w:val="21"/>
        </w:rPr>
        <w:t xml:space="preserve">法律、行政法规或监管部门取消或变更上述限制，如适用于本基金，基金管理人在履行适当程序后，则本基金投资不再受相关限制或以变更后的规则为准。 </w:t>
      </w:r>
    </w:p>
    <w:bookmarkEnd w:id="13"/>
    <w:p w14:paraId="7D37E942">
      <w:pPr>
        <w:spacing w:line="360" w:lineRule="auto"/>
        <w:ind w:left="1" w:firstLine="472" w:firstLineChars="225"/>
        <w:rPr>
          <w:rFonts w:ascii="宋体" w:hAnsi="宋体"/>
          <w:szCs w:val="21"/>
        </w:rPr>
      </w:pPr>
      <w:r>
        <w:rPr>
          <w:rFonts w:hint="eastAsia" w:ascii="宋体" w:hAnsi="宋体"/>
          <w:szCs w:val="21"/>
        </w:rPr>
        <w:t>如法律、法规或《基金合同》有关于基金从事关联交易的规定，基金管理人和基金托管人事先相互提供与本机构有控股关系的股东、实际控制人、与本机构有其他重大利害关系的公司名单及有关关联方发行或者承销期内的承销的证券清单，双方有责任确保其向对方提供的关联交易名单的真实性、准确性、完整性，并负责及时将更新后的名单发送给对方。一方当事人的关联方名单变更后一方当事人应及时发送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5FDEBB3F">
      <w:pPr>
        <w:spacing w:line="360" w:lineRule="auto"/>
        <w:ind w:left="1" w:firstLine="472" w:firstLineChars="225"/>
        <w:rPr>
          <w:rFonts w:ascii="宋体" w:hAnsi="宋体"/>
          <w:szCs w:val="21"/>
        </w:rPr>
      </w:pPr>
      <w:r>
        <w:rPr>
          <w:rFonts w:hint="eastAsia" w:ascii="宋体" w:hAnsi="宋体"/>
          <w:szCs w:val="21"/>
        </w:rPr>
        <w:t>5.基金托管人依据有关法律法规的规定和《基金合同》的约定对基金管理人参与银行间债券市场进行监督。</w:t>
      </w:r>
    </w:p>
    <w:p w14:paraId="4ADAF838">
      <w:pPr>
        <w:spacing w:line="360" w:lineRule="auto"/>
        <w:ind w:left="1" w:firstLine="472" w:firstLineChars="225"/>
        <w:rPr>
          <w:rFonts w:ascii="宋体" w:hAnsi="宋体"/>
          <w:szCs w:val="21"/>
        </w:rPr>
      </w:pPr>
      <w:r>
        <w:rPr>
          <w:rFonts w:hint="eastAsia" w:ascii="宋体" w:hAnsi="宋体"/>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如基金管理人在基金投资运作之前未向基金托管人提供银行间债券市场交易对手名单的，视为基金管理人认可全市场交易对手。</w:t>
      </w:r>
    </w:p>
    <w:p w14:paraId="286853DF">
      <w:pPr>
        <w:spacing w:line="360" w:lineRule="auto"/>
        <w:ind w:left="1" w:firstLine="472" w:firstLineChars="225"/>
        <w:rPr>
          <w:rFonts w:ascii="宋体" w:hAnsi="宋体"/>
          <w:szCs w:val="21"/>
        </w:rPr>
      </w:pPr>
      <w:r>
        <w:rPr>
          <w:rFonts w:hint="eastAsia" w:ascii="宋体" w:hAnsi="宋体"/>
          <w:szCs w:val="21"/>
        </w:rPr>
        <w:t>基金管理人有责任控制交易对手的资信风险，由于交易对手的资信风险引起的损失，基金管理人应当负责向相关责任人追偿。基金托管人应予以必要的协助与配合，不承担由此引发的责任及损失。</w:t>
      </w:r>
    </w:p>
    <w:p w14:paraId="73FC148C">
      <w:pPr>
        <w:spacing w:line="360" w:lineRule="auto"/>
        <w:ind w:left="1" w:firstLine="472" w:firstLineChars="225"/>
        <w:rPr>
          <w:rFonts w:ascii="宋体" w:hAnsi="宋体"/>
          <w:szCs w:val="21"/>
        </w:rPr>
      </w:pPr>
      <w:r>
        <w:rPr>
          <w:rFonts w:hint="eastAsia" w:ascii="宋体" w:hAnsi="宋体"/>
          <w:szCs w:val="21"/>
        </w:rPr>
        <w:t>6.基金托管人依据有关法律法规的规定和《基金合同》的约定，对基金银行存款业务进行监督。</w:t>
      </w:r>
    </w:p>
    <w:p w14:paraId="4A4B1FFA">
      <w:pPr>
        <w:spacing w:line="360" w:lineRule="auto"/>
        <w:ind w:left="1" w:firstLine="472" w:firstLineChars="225"/>
        <w:rPr>
          <w:rFonts w:ascii="宋体" w:hAnsi="宋体"/>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对于基金投资的银行存款，由于存款银行发生信用风险事件而造成损失时，基金管理人有权向相关责任人进行追偿，基金托管人应予以必要的协助与配合。如果基金托管人在运作过程中遵循有关法律法规的规定和《基金合同》的约定监督流程，则对于由于存款银行信用风险引起的损失，不承担赔偿责任。</w:t>
      </w:r>
    </w:p>
    <w:p w14:paraId="43FC360F">
      <w:pPr>
        <w:spacing w:line="360" w:lineRule="auto"/>
        <w:ind w:left="1" w:firstLine="472" w:firstLineChars="225"/>
        <w:rPr>
          <w:rFonts w:ascii="宋体" w:hAnsi="宋体"/>
          <w:szCs w:val="21"/>
        </w:rPr>
      </w:pPr>
      <w:r>
        <w:rPr>
          <w:rFonts w:hint="eastAsia" w:ascii="宋体" w:hAnsi="宋体"/>
          <w:szCs w:val="21"/>
        </w:rPr>
        <w:t>7.基金托管人对基金投资流通受限证券的监督</w:t>
      </w:r>
    </w:p>
    <w:p w14:paraId="2913F10B">
      <w:pPr>
        <w:spacing w:line="360" w:lineRule="auto"/>
        <w:ind w:left="1" w:firstLine="472" w:firstLineChars="225"/>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w:t>
      </w:r>
      <w:r>
        <w:rPr>
          <w:rFonts w:ascii="宋体" w:hAnsi="宋体"/>
          <w:szCs w:val="21"/>
        </w:rPr>
        <w:t xml:space="preserve"> </w:t>
      </w:r>
      <w:r>
        <w:rPr>
          <w:rFonts w:hint="eastAsia" w:ascii="宋体" w:hAnsi="宋体"/>
          <w:szCs w:val="21"/>
        </w:rPr>
        <w:t>释义”部分。</w:t>
      </w:r>
    </w:p>
    <w:p w14:paraId="57E0FDB2">
      <w:pPr>
        <w:spacing w:line="360" w:lineRule="auto"/>
        <w:ind w:left="1" w:firstLine="472" w:firstLineChars="225"/>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3E50A50C">
      <w:pPr>
        <w:spacing w:line="360" w:lineRule="auto"/>
        <w:ind w:left="1" w:firstLine="472" w:firstLineChars="225"/>
        <w:rPr>
          <w:rFonts w:ascii="宋体" w:hAnsi="宋体"/>
          <w:szCs w:val="21"/>
        </w:rPr>
      </w:pPr>
      <w:r>
        <w:rPr>
          <w:rFonts w:hint="eastAsia" w:ascii="宋体" w:hAnsi="宋体"/>
          <w:szCs w:val="21"/>
        </w:rPr>
        <w:t>（1）本基金投资的流通受限证券须为经中国证监会批准或注册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088A033">
      <w:pPr>
        <w:spacing w:line="360" w:lineRule="auto"/>
        <w:ind w:left="1" w:firstLine="472" w:firstLineChars="225"/>
        <w:rPr>
          <w:rFonts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1C11AC55">
      <w:pPr>
        <w:spacing w:line="360" w:lineRule="auto"/>
        <w:ind w:left="1" w:firstLine="472" w:firstLineChars="225"/>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相应责任。如因基金管理人过错导致本基金出现损失的，基金托管人不承担相应责任。</w:t>
      </w:r>
    </w:p>
    <w:p w14:paraId="74E58EDA">
      <w:pPr>
        <w:spacing w:line="360" w:lineRule="auto"/>
        <w:ind w:left="1" w:firstLine="472" w:firstLineChars="225"/>
        <w:rPr>
          <w:rFonts w:ascii="宋体" w:hAnsi="宋体"/>
          <w:szCs w:val="21"/>
        </w:rPr>
      </w:pPr>
      <w:r>
        <w:rPr>
          <w:rFonts w:hint="eastAsia" w:ascii="宋体" w:hAnsi="宋体"/>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B10C0C9">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4EF4A323">
      <w:pPr>
        <w:spacing w:line="360" w:lineRule="auto"/>
        <w:ind w:firstLine="420" w:firstLineChars="200"/>
        <w:rPr>
          <w:rFonts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14:paraId="0F7B1D29">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书面资料提交基金托管人，并保证向基金托管人提供的有关资料真实、准确、完整。有关资料如有调整，基金管理人应及时提供调整后的资料。上述书面资料包括但不限于：</w:t>
      </w:r>
    </w:p>
    <w:p w14:paraId="52DC4B91">
      <w:pPr>
        <w:spacing w:line="360" w:lineRule="auto"/>
        <w:ind w:firstLine="420" w:firstLineChars="200"/>
        <w:rPr>
          <w:rFonts w:ascii="宋体" w:hAnsi="宋体"/>
          <w:szCs w:val="21"/>
        </w:rPr>
      </w:pPr>
      <w:r>
        <w:rPr>
          <w:rFonts w:hint="eastAsia" w:ascii="宋体" w:hAnsi="宋体"/>
          <w:szCs w:val="21"/>
        </w:rPr>
        <w:t>1）中国证监会批准或注册发行非公开发行股票的批复文件。</w:t>
      </w:r>
    </w:p>
    <w:p w14:paraId="6199C582">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14:paraId="38611DF6">
      <w:pPr>
        <w:spacing w:line="360" w:lineRule="auto"/>
        <w:ind w:firstLine="420" w:firstLineChars="200"/>
        <w:rPr>
          <w:rFonts w:ascii="宋体" w:hAnsi="宋体"/>
          <w:szCs w:val="21"/>
        </w:rPr>
      </w:pPr>
      <w:r>
        <w:rPr>
          <w:rFonts w:hint="eastAsia" w:ascii="宋体" w:hAnsi="宋体"/>
          <w:szCs w:val="21"/>
        </w:rPr>
        <w:t>3）基金拟认购的数量、价格、总成本、账面价值。</w:t>
      </w:r>
    </w:p>
    <w:p w14:paraId="25119C10">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14:paraId="0F40BA04">
      <w:pPr>
        <w:spacing w:line="360" w:lineRule="auto"/>
        <w:ind w:firstLine="420" w:firstLineChars="200"/>
        <w:rPr>
          <w:rFonts w:ascii="宋体" w:hAnsi="宋体"/>
          <w:szCs w:val="21"/>
        </w:rPr>
      </w:pPr>
      <w:r>
        <w:rPr>
          <w:rFonts w:hint="eastAsia" w:ascii="宋体" w:hAnsi="宋体"/>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但应及时通知基金管理人。因拒绝执行该指令造成基金财产损失的，基金托管人不承担相应责任，并有权报告中国证监会。</w:t>
      </w:r>
    </w:p>
    <w:p w14:paraId="74C89837">
      <w:pPr>
        <w:spacing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如基金管理人和基金托管人无法就上述问题达成一致，应及时上报中国证监会请求解决。基金托管人履行了本协议规定的监督职责后，不承担相应责任。</w:t>
      </w:r>
    </w:p>
    <w:p w14:paraId="6C0083D2">
      <w:pPr>
        <w:spacing w:line="360" w:lineRule="auto"/>
        <w:ind w:firstLine="420" w:firstLineChars="200"/>
        <w:rPr>
          <w:rFonts w:ascii="宋体" w:hAnsi="宋体"/>
          <w:szCs w:val="21"/>
        </w:rPr>
      </w:pPr>
      <w:r>
        <w:rPr>
          <w:rFonts w:hint="eastAsia" w:ascii="宋体" w:hAnsi="宋体"/>
          <w:szCs w:val="21"/>
        </w:rPr>
        <w:t>(5)相关法律法规对基金投资流通受限证券有新规定的，从其规定。</w:t>
      </w:r>
    </w:p>
    <w:p w14:paraId="53983BA2">
      <w:pPr>
        <w:spacing w:line="360" w:lineRule="auto"/>
        <w:ind w:firstLine="420" w:firstLineChars="200"/>
        <w:rPr>
          <w:rFonts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14:paraId="58230F34">
      <w:pPr>
        <w:spacing w:line="360" w:lineRule="auto"/>
        <w:ind w:firstLine="420" w:firstLineChars="200"/>
        <w:rPr>
          <w:rFonts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如基金托管人经评估认为不满足监管机构规定和基金合同约定实施条件的，基金管理人不得启用侧袋机制。</w:t>
      </w:r>
    </w:p>
    <w:p w14:paraId="7EF9A1B0">
      <w:pPr>
        <w:spacing w:line="360" w:lineRule="auto"/>
        <w:ind w:firstLine="420" w:firstLineChars="200"/>
        <w:rPr>
          <w:rFonts w:ascii="宋体" w:hAnsi="宋体"/>
          <w:szCs w:val="21"/>
        </w:rPr>
      </w:pPr>
      <w:bookmarkStart w:id="15" w:name="_Toc382819074"/>
      <w:r>
        <w:rPr>
          <w:rFonts w:hint="eastAsia" w:ascii="宋体" w:hAnsi="宋体"/>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5"/>
    </w:p>
    <w:p w14:paraId="4A32DD72">
      <w:pPr>
        <w:spacing w:line="360" w:lineRule="auto"/>
        <w:ind w:firstLine="420" w:firstLineChars="200"/>
        <w:rPr>
          <w:rFonts w:ascii="宋体" w:hAnsi="宋体"/>
          <w:szCs w:val="21"/>
        </w:rPr>
      </w:pPr>
      <w:bookmarkStart w:id="16" w:name="_Toc382819075"/>
      <w:r>
        <w:rPr>
          <w:rFonts w:hint="eastAsia" w:ascii="宋体" w:hAnsi="宋体"/>
          <w:szCs w:val="21"/>
        </w:rPr>
        <w:t>（四）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6"/>
    </w:p>
    <w:p w14:paraId="08617EAE">
      <w:pPr>
        <w:spacing w:line="360" w:lineRule="auto"/>
        <w:ind w:firstLine="420" w:firstLineChars="200"/>
        <w:rPr>
          <w:rFonts w:ascii="宋体" w:hAnsi="宋体"/>
          <w:szCs w:val="21"/>
        </w:rPr>
      </w:pPr>
      <w:r>
        <w:rPr>
          <w:rFonts w:hint="eastAsia" w:ascii="宋体" w:hAnsi="宋体"/>
          <w:szCs w:val="21"/>
        </w:rPr>
        <w:t>1.在限期内，基金托管人有权随时对通知事项进行复查，督促基金管理人改正。基金管理人对基金托管人通知的违规事项未能在限期内纠正的，基金托管人应报告中国证监会。</w:t>
      </w:r>
    </w:p>
    <w:p w14:paraId="3855A77F">
      <w:pPr>
        <w:spacing w:line="360" w:lineRule="auto"/>
        <w:ind w:firstLine="420" w:firstLineChars="200"/>
        <w:rPr>
          <w:rFonts w:ascii="宋体" w:hAnsi="宋体"/>
          <w:szCs w:val="21"/>
        </w:rPr>
      </w:pPr>
      <w:r>
        <w:rPr>
          <w:rFonts w:hint="eastAsia" w:ascii="宋体" w:hAnsi="宋体"/>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2DE54948">
      <w:pPr>
        <w:spacing w:line="360" w:lineRule="auto"/>
        <w:ind w:firstLine="420" w:firstLineChars="200"/>
        <w:rPr>
          <w:rFonts w:ascii="宋体" w:hAnsi="宋体"/>
          <w:szCs w:val="21"/>
        </w:rPr>
      </w:pPr>
      <w:r>
        <w:rPr>
          <w:rFonts w:hint="eastAsia" w:ascii="宋体" w:hAnsi="宋体"/>
          <w:szCs w:val="21"/>
        </w:rPr>
        <w:t>3.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3E450505">
      <w:pPr>
        <w:spacing w:line="360" w:lineRule="auto"/>
        <w:ind w:firstLine="420" w:firstLineChars="200"/>
        <w:rPr>
          <w:rFonts w:ascii="宋体" w:hAnsi="宋体"/>
          <w:szCs w:val="21"/>
        </w:rPr>
      </w:pPr>
      <w:r>
        <w:rPr>
          <w:rFonts w:hint="eastAsia" w:ascii="宋体" w:hAnsi="宋体"/>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5334BBA2">
      <w:pPr>
        <w:spacing w:line="360" w:lineRule="auto"/>
        <w:ind w:firstLine="420" w:firstLineChars="200"/>
        <w:rPr>
          <w:rFonts w:ascii="宋体" w:hAnsi="宋体"/>
          <w:szCs w:val="21"/>
        </w:rPr>
      </w:pPr>
      <w:r>
        <w:rPr>
          <w:rFonts w:hint="eastAsia" w:ascii="宋体" w:hAnsi="宋体"/>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61FAE9C5">
      <w:pPr>
        <w:spacing w:line="360" w:lineRule="auto"/>
        <w:ind w:firstLine="420" w:firstLineChars="200"/>
        <w:rPr>
          <w:rFonts w:ascii="宋体" w:hAnsi="宋体"/>
          <w:szCs w:val="21"/>
        </w:rPr>
      </w:pPr>
      <w:r>
        <w:rPr>
          <w:rFonts w:hint="eastAsia" w:ascii="宋体" w:hAnsi="宋体"/>
          <w:szCs w:val="21"/>
        </w:rPr>
        <w:t>6.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23A09337">
      <w:pPr>
        <w:spacing w:line="440" w:lineRule="exact"/>
        <w:ind w:firstLine="420" w:firstLineChars="200"/>
        <w:rPr>
          <w:rFonts w:ascii="宋体" w:hAnsi="宋体"/>
          <w:szCs w:val="21"/>
        </w:rPr>
      </w:pPr>
    </w:p>
    <w:p w14:paraId="7EC1D5E1">
      <w:pPr>
        <w:spacing w:before="312" w:beforeLines="100" w:after="312" w:afterLines="100" w:line="240" w:lineRule="atLeast"/>
        <w:jc w:val="center"/>
        <w:outlineLvl w:val="0"/>
        <w:rPr>
          <w:rFonts w:ascii="宋体" w:hAnsi="宋体"/>
        </w:rPr>
      </w:pPr>
      <w:bookmarkStart w:id="17" w:name="_Toc382819076"/>
      <w:r>
        <w:rPr>
          <w:rFonts w:hint="eastAsia" w:ascii="宋体" w:hAnsi="宋体"/>
          <w:b/>
          <w:sz w:val="24"/>
        </w:rPr>
        <w:t>三、基金管理人对基金托管人的业务核查</w:t>
      </w:r>
      <w:bookmarkEnd w:id="17"/>
    </w:p>
    <w:p w14:paraId="6C0D6513">
      <w:pPr>
        <w:spacing w:line="360" w:lineRule="auto"/>
        <w:ind w:firstLine="420" w:firstLineChars="200"/>
        <w:rPr>
          <w:rFonts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14:paraId="4E70E498">
      <w:pPr>
        <w:spacing w:line="360" w:lineRule="auto"/>
        <w:ind w:firstLine="420" w:firstLineChars="200"/>
        <w:rPr>
          <w:rFonts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3EAB1C0D">
      <w:pPr>
        <w:spacing w:line="360" w:lineRule="auto"/>
        <w:ind w:firstLine="420" w:firstLineChars="200"/>
        <w:rPr>
          <w:rFonts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14:paraId="77AD2263">
      <w:pPr>
        <w:spacing w:line="360" w:lineRule="auto"/>
        <w:ind w:firstLine="420" w:firstLineChars="200"/>
        <w:rPr>
          <w:rFonts w:ascii="宋体" w:hAnsi="宋体"/>
          <w:szCs w:val="21"/>
        </w:rPr>
      </w:pPr>
      <w:bookmarkStart w:id="18" w:name="_Toc382819077"/>
      <w:bookmarkStart w:id="19" w:name="_Toc382818598"/>
      <w:r>
        <w:rPr>
          <w:rFonts w:hint="eastAsia" w:ascii="宋体" w:hAnsi="宋体"/>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8"/>
      <w:bookmarkEnd w:id="19"/>
    </w:p>
    <w:p w14:paraId="4B6F5EB3">
      <w:pPr>
        <w:spacing w:before="312" w:beforeLines="100" w:after="312" w:afterLines="100" w:line="240" w:lineRule="atLeast"/>
        <w:jc w:val="center"/>
        <w:outlineLvl w:val="0"/>
        <w:rPr>
          <w:rFonts w:ascii="宋体" w:hAnsi="宋体"/>
        </w:rPr>
      </w:pPr>
      <w:bookmarkStart w:id="20" w:name="_Toc382819078"/>
      <w:r>
        <w:rPr>
          <w:rFonts w:hint="eastAsia" w:ascii="宋体" w:hAnsi="宋体"/>
          <w:b/>
          <w:sz w:val="24"/>
        </w:rPr>
        <w:t>四、基金财产保管</w:t>
      </w:r>
      <w:bookmarkEnd w:id="20"/>
    </w:p>
    <w:p w14:paraId="53EBECE6">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bookmarkStart w:id="21" w:name="_Toc382819079"/>
      <w:r>
        <w:rPr>
          <w:rFonts w:hint="eastAsia" w:ascii="宋体" w:hAnsi="宋体" w:eastAsia="宋体"/>
          <w:b w:val="0"/>
          <w:bCs w:val="0"/>
          <w:sz w:val="21"/>
          <w:szCs w:val="21"/>
        </w:rPr>
        <w:t>（一）基金财产保管的原则</w:t>
      </w:r>
      <w:bookmarkEnd w:id="21"/>
    </w:p>
    <w:p w14:paraId="5CC855B3">
      <w:pPr>
        <w:spacing w:line="360" w:lineRule="auto"/>
        <w:ind w:firstLine="420" w:firstLineChars="200"/>
        <w:rPr>
          <w:rFonts w:ascii="宋体" w:hAnsi="宋体"/>
          <w:szCs w:val="21"/>
        </w:rPr>
      </w:pPr>
      <w:r>
        <w:rPr>
          <w:rFonts w:hint="eastAsia" w:ascii="宋体" w:hAnsi="宋体"/>
          <w:szCs w:val="21"/>
        </w:rPr>
        <w:t>1.基金财产应独立于基金管理人、基金托管人的固有财产。</w:t>
      </w:r>
    </w:p>
    <w:p w14:paraId="3F2CF4F8">
      <w:pPr>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14:paraId="3EAB5140">
      <w:pPr>
        <w:spacing w:line="360" w:lineRule="auto"/>
        <w:ind w:firstLine="420" w:firstLineChars="200"/>
        <w:rPr>
          <w:rFonts w:ascii="宋体" w:hAnsi="宋体"/>
          <w:szCs w:val="21"/>
        </w:rPr>
      </w:pPr>
      <w:r>
        <w:rPr>
          <w:rFonts w:hint="eastAsia" w:ascii="宋体" w:hAnsi="宋体"/>
          <w:szCs w:val="21"/>
        </w:rPr>
        <w:t>3.基金托管人按照规定为托管的基金财产开设资金账户和证券账户及投资所需其他账户。</w:t>
      </w:r>
    </w:p>
    <w:p w14:paraId="3018669B">
      <w:pPr>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4.基金托管人对所托管的不同基金财产分别设置账户，与基金托管人的其他业务和其他基金的托管业务实行严格的分账管理，独立核算，确保基金财产的完整与独立。</w:t>
      </w:r>
    </w:p>
    <w:p w14:paraId="68362E14">
      <w:pPr>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18EAB7BD">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基金托管人对因为基金管理人投资产生的存放或存管在基金托管人以外机构的基金资产及其收益，由于该等机构或该机构会员单位等本协议当事人外第三方的欺诈、疏忽、过失或破产等原因给基金资产造成的损失等不承担责任。</w:t>
      </w:r>
    </w:p>
    <w:p w14:paraId="0EC19616">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.除依据法律法规和基金合同的规定外，基金托管人不得委托第三人托管基金财产。</w:t>
      </w:r>
    </w:p>
    <w:p w14:paraId="513CEBA8">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2" w:name="_Toc382819080"/>
      <w:r>
        <w:rPr>
          <w:rFonts w:hint="eastAsia" w:ascii="宋体" w:hAnsi="宋体" w:eastAsia="宋体"/>
          <w:b w:val="0"/>
          <w:bCs w:val="0"/>
          <w:sz w:val="21"/>
          <w:szCs w:val="21"/>
        </w:rPr>
        <w:t>（二）募集资金的验证</w:t>
      </w:r>
      <w:bookmarkEnd w:id="22"/>
    </w:p>
    <w:p w14:paraId="4730EAC5">
      <w:pPr>
        <w:spacing w:line="360" w:lineRule="auto"/>
        <w:ind w:firstLine="420" w:firstLineChars="200"/>
        <w:rPr>
          <w:rFonts w:ascii="宋体" w:hAnsi="宋体"/>
          <w:szCs w:val="21"/>
        </w:rPr>
      </w:pPr>
      <w:r>
        <w:rPr>
          <w:rFonts w:hint="eastAsia" w:ascii="宋体" w:hAnsi="宋体"/>
          <w:szCs w:val="21"/>
        </w:rPr>
        <w:t>募集期内销售机构按销售与服务代理协议的约定，将认购资金划入基金管理人在具有托管资格的商业银行开设的基金募集专户。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1C5D27C1">
      <w:pPr>
        <w:spacing w:line="360" w:lineRule="auto"/>
        <w:ind w:firstLine="420" w:firstLineChars="200"/>
        <w:rPr>
          <w:rFonts w:ascii="宋体" w:hAnsi="宋体" w:cs="Arial"/>
          <w:szCs w:val="21"/>
        </w:rPr>
      </w:pPr>
      <w:r>
        <w:rPr>
          <w:rFonts w:hint="eastAsia" w:ascii="宋体" w:hAnsi="宋体" w:cs="Arial"/>
          <w:szCs w:val="21"/>
        </w:rPr>
        <w:t>若基金募集期限届满，未能达到《基金合同》备案的条件，由基金管理人按规定办理退款事宜，基金托管人应给予积极的配合和协助。</w:t>
      </w:r>
    </w:p>
    <w:p w14:paraId="369730A7">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3" w:name="_Toc382819081"/>
      <w:r>
        <w:rPr>
          <w:rFonts w:hint="eastAsia" w:ascii="宋体" w:hAnsi="宋体" w:eastAsia="宋体"/>
          <w:b w:val="0"/>
          <w:bCs w:val="0"/>
          <w:sz w:val="21"/>
          <w:szCs w:val="21"/>
        </w:rPr>
        <w:t>（三）基金资产托管专户的开立和管理</w:t>
      </w:r>
      <w:bookmarkEnd w:id="23"/>
    </w:p>
    <w:p w14:paraId="0ABDC00E">
      <w:pPr>
        <w:spacing w:line="360" w:lineRule="auto"/>
        <w:ind w:firstLine="420" w:firstLineChars="200"/>
        <w:rPr>
          <w:rFonts w:ascii="宋体" w:hAnsi="宋体"/>
          <w:szCs w:val="21"/>
        </w:rPr>
      </w:pPr>
      <w:r>
        <w:rPr>
          <w:rFonts w:hint="eastAsia" w:ascii="宋体" w:hAnsi="宋体"/>
          <w:szCs w:val="21"/>
        </w:rPr>
        <w:t>1.基金托管人以基金的名义在其营业机构开设资产托管专户（以下或简称“托管账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03B50728">
      <w:pPr>
        <w:spacing w:line="360" w:lineRule="auto"/>
        <w:ind w:firstLine="420" w:firstLineChars="200"/>
        <w:rPr>
          <w:rFonts w:ascii="宋体" w:hAnsi="宋体"/>
          <w:szCs w:val="21"/>
        </w:rPr>
      </w:pPr>
      <w:r>
        <w:rPr>
          <w:rFonts w:hint="eastAsia" w:ascii="宋体" w:hAnsi="宋体"/>
          <w:szCs w:val="21"/>
        </w:rPr>
        <w:t>2.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14:paraId="20A966AF">
      <w:pPr>
        <w:spacing w:line="360" w:lineRule="auto"/>
        <w:ind w:firstLine="420" w:firstLineChars="200"/>
        <w:rPr>
          <w:rFonts w:ascii="宋体" w:hAnsi="宋体"/>
          <w:szCs w:val="21"/>
        </w:rPr>
      </w:pPr>
      <w:r>
        <w:rPr>
          <w:rFonts w:hint="eastAsia" w:ascii="宋体" w:hAnsi="宋体"/>
          <w:szCs w:val="21"/>
        </w:rPr>
        <w:t>3.资产托管专户的管理应符合相关法律法规以及银行业监督管理机构的其他有关规定。</w:t>
      </w:r>
    </w:p>
    <w:p w14:paraId="3C2C1E76">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4" w:name="_Toc382819082"/>
      <w:r>
        <w:rPr>
          <w:rFonts w:hint="eastAsia" w:ascii="宋体" w:hAnsi="宋体" w:eastAsia="宋体"/>
          <w:b w:val="0"/>
          <w:bCs w:val="0"/>
          <w:sz w:val="21"/>
          <w:szCs w:val="21"/>
        </w:rPr>
        <w:t>（四）基金证券账户与结算备付金账户的开设和管理</w:t>
      </w:r>
      <w:bookmarkEnd w:id="24"/>
    </w:p>
    <w:p w14:paraId="0ED77E51">
      <w:pPr>
        <w:tabs>
          <w:tab w:val="left" w:pos="4680"/>
        </w:tabs>
        <w:spacing w:line="360" w:lineRule="auto"/>
        <w:ind w:firstLine="420" w:firstLineChars="200"/>
        <w:rPr>
          <w:rFonts w:ascii="宋体" w:hAnsi="宋体"/>
          <w:szCs w:val="21"/>
        </w:rPr>
      </w:pPr>
      <w:r>
        <w:rPr>
          <w:rFonts w:hint="eastAsia" w:ascii="宋体" w:hAnsi="宋体"/>
          <w:szCs w:val="21"/>
        </w:rPr>
        <w:t>1.基金托管人以基金托管人和本基金联名的方式在中国证券登记结算有限责任公司开立专门的证券账户。</w:t>
      </w:r>
    </w:p>
    <w:p w14:paraId="730F2008">
      <w:pPr>
        <w:spacing w:line="360" w:lineRule="auto"/>
        <w:ind w:firstLine="420" w:firstLineChars="200"/>
        <w:rPr>
          <w:rFonts w:ascii="宋体" w:hAnsi="宋体"/>
          <w:szCs w:val="21"/>
        </w:rPr>
      </w:pPr>
      <w:r>
        <w:rPr>
          <w:rFonts w:hint="eastAsia" w:ascii="宋体" w:hAnsi="宋体"/>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3A240DA5">
      <w:pPr>
        <w:spacing w:line="360" w:lineRule="auto"/>
        <w:ind w:firstLine="420" w:firstLineChars="200"/>
        <w:rPr>
          <w:rFonts w:ascii="宋体" w:hAnsi="宋体"/>
          <w:szCs w:val="21"/>
        </w:rPr>
      </w:pPr>
      <w:r>
        <w:rPr>
          <w:rFonts w:hint="eastAsia" w:ascii="宋体" w:hAnsi="宋体"/>
          <w:szCs w:val="21"/>
        </w:rPr>
        <w:t>3.基金证券账户的开立基金托管人负责，账户资产的管理和运用由基金管理人负责。</w:t>
      </w:r>
    </w:p>
    <w:p w14:paraId="131520AE">
      <w:pPr>
        <w:spacing w:line="360" w:lineRule="auto"/>
        <w:ind w:firstLine="420" w:firstLineChars="200"/>
        <w:rPr>
          <w:rFonts w:ascii="宋体" w:hAnsi="宋体"/>
          <w:szCs w:val="21"/>
        </w:rPr>
      </w:pPr>
      <w:r>
        <w:rPr>
          <w:rFonts w:hint="eastAsia" w:ascii="宋体" w:hAnsi="宋体"/>
          <w:szCs w:val="21"/>
        </w:rPr>
        <w:t>4.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3862C1BB">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5" w:name="_Toc382819083"/>
      <w:r>
        <w:rPr>
          <w:rFonts w:hint="eastAsia" w:ascii="宋体" w:hAnsi="宋体" w:eastAsia="宋体"/>
          <w:b w:val="0"/>
          <w:bCs w:val="0"/>
          <w:sz w:val="21"/>
          <w:szCs w:val="21"/>
        </w:rPr>
        <w:t>（五）银行间市场债券托管和资金结算专户的开立和管理及市场准入备案</w:t>
      </w:r>
      <w:bookmarkEnd w:id="25"/>
    </w:p>
    <w:p w14:paraId="2D70D181">
      <w:pPr>
        <w:spacing w:line="360" w:lineRule="auto"/>
        <w:ind w:firstLine="420" w:firstLineChars="200"/>
        <w:rPr>
          <w:rFonts w:ascii="宋体" w:hAnsi="宋体"/>
          <w:szCs w:val="21"/>
        </w:rPr>
      </w:pPr>
      <w:bookmarkStart w:id="26"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6"/>
    </w:p>
    <w:p w14:paraId="713AA298">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7" w:name="_Toc382819085"/>
      <w:r>
        <w:rPr>
          <w:rFonts w:hint="eastAsia" w:ascii="宋体" w:hAnsi="宋体" w:eastAsia="宋体"/>
          <w:b w:val="0"/>
          <w:bCs w:val="0"/>
          <w:sz w:val="21"/>
          <w:szCs w:val="21"/>
        </w:rPr>
        <w:t>（六）基金投资银行存款账户的开立和管理</w:t>
      </w:r>
      <w:bookmarkEnd w:id="27"/>
    </w:p>
    <w:p w14:paraId="23CD2C0B">
      <w:pPr>
        <w:tabs>
          <w:tab w:val="left" w:pos="4680"/>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14:paraId="78BE18EB">
      <w:pPr>
        <w:tabs>
          <w:tab w:val="left" w:pos="4680"/>
        </w:tabs>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存款账户必须以基金名义开立，账户名称为基金名称，存款账户开户文件上加盖预留印鉴及基金管理人公章。</w:t>
      </w:r>
    </w:p>
    <w:p w14:paraId="41AEF326">
      <w:pPr>
        <w:tabs>
          <w:tab w:val="left" w:pos="4680"/>
        </w:tabs>
        <w:spacing w:line="360" w:lineRule="auto"/>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本基金投资银行存款时，基金管理人应当与存款银行签订具体存款协议，明确存款的类型、期限、利率、金额、账号、对账方式、支取方式、账户管理等细则。</w:t>
      </w:r>
    </w:p>
    <w:p w14:paraId="07CEE23B">
      <w:pPr>
        <w:tabs>
          <w:tab w:val="left" w:pos="4680"/>
        </w:tabs>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为防范特殊情况下的流动性风险，定期存款协议中应当约定提前支取条款。</w:t>
      </w:r>
    </w:p>
    <w:p w14:paraId="6DAA8912">
      <w:pPr>
        <w:tabs>
          <w:tab w:val="left" w:pos="4680"/>
        </w:tabs>
        <w:spacing w:line="360" w:lineRule="auto"/>
        <w:ind w:firstLine="420" w:firstLineChars="200"/>
        <w:rPr>
          <w:rFonts w:ascii="宋体" w:hAnsi="宋体"/>
          <w:szCs w:val="21"/>
        </w:rPr>
      </w:pPr>
      <w:bookmarkStart w:id="28" w:name="_Toc382819086"/>
      <w:r>
        <w:rPr>
          <w:rFonts w:hint="eastAsia" w:ascii="宋体" w:hAnsi="宋体"/>
          <w:szCs w:val="21"/>
        </w:rPr>
        <w:t>5</w:t>
      </w:r>
      <w:r>
        <w:rPr>
          <w:rFonts w:ascii="宋体" w:hAnsi="宋体"/>
          <w:szCs w:val="21"/>
        </w:rPr>
        <w:t>.</w:t>
      </w:r>
      <w:r>
        <w:rPr>
          <w:rFonts w:hint="eastAsia" w:ascii="宋体" w:hAnsi="宋体"/>
          <w:szCs w:val="21"/>
        </w:rPr>
        <w:t>基金所投资定期存款存续期间，基金管理人、基金托管人应当与存款银行建立定期对账机制，确保基金银行存款业务账目及核对的真实、准确。</w:t>
      </w:r>
      <w:bookmarkEnd w:id="28"/>
    </w:p>
    <w:p w14:paraId="25BC6CA1">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bookmarkStart w:id="29" w:name="_Toc382819087"/>
      <w:r>
        <w:rPr>
          <w:rFonts w:hint="eastAsia" w:ascii="宋体" w:hAnsi="宋体" w:eastAsia="宋体"/>
          <w:b w:val="0"/>
          <w:bCs w:val="0"/>
          <w:sz w:val="21"/>
          <w:szCs w:val="21"/>
        </w:rPr>
        <w:t>（七）其他账户的开设和管理</w:t>
      </w:r>
    </w:p>
    <w:p w14:paraId="57243B7F">
      <w:pPr>
        <w:tabs>
          <w:tab w:val="left" w:pos="4680"/>
        </w:tabs>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14:paraId="2C25D797">
      <w:pPr>
        <w:tabs>
          <w:tab w:val="left" w:pos="4680"/>
        </w:tabs>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14:paraId="59127A32">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（八）基金财产投资的有关实物证券、银行定期存款存单等有价凭证的保管</w:t>
      </w:r>
      <w:bookmarkEnd w:id="29"/>
    </w:p>
    <w:p w14:paraId="3DCD8A90">
      <w:pPr>
        <w:spacing w:line="360" w:lineRule="auto"/>
        <w:ind w:firstLine="420" w:firstLineChars="200"/>
        <w:rPr>
          <w:rFonts w:ascii="宋体" w:hAnsi="宋体"/>
          <w:szCs w:val="21"/>
        </w:rPr>
      </w:pPr>
      <w:r>
        <w:rPr>
          <w:rFonts w:hint="eastAsia" w:ascii="宋体" w:hAnsi="宋体"/>
          <w:szCs w:val="21"/>
        </w:rPr>
        <w:t>基金财产投资的有关实物证券、银行定期存款存单等有价凭证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银行定期存款存单等有价凭证在基金托管人保管期间的损坏、灭失，由此产生的责任应由基金托管人承担。基金托管人对基金托管人以外机构实际有效控制或保管的实物证券、银行定期存款存单等有价凭证对应的财产不承担保管责任。</w:t>
      </w:r>
    </w:p>
    <w:p w14:paraId="1C706A58">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（九）与基金财产有关的重大合同的保管</w:t>
      </w:r>
    </w:p>
    <w:p w14:paraId="75328284">
      <w:pPr>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尽量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的规定。基金管理人未将相关合同送达基金托管人的，基金托管人对相关合同不承担保管责任。</w:t>
      </w:r>
    </w:p>
    <w:p w14:paraId="3BF45D1B">
      <w:pPr>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14:paraId="58851CD3">
      <w:pPr>
        <w:spacing w:before="312" w:beforeLines="100" w:after="312" w:afterLines="100" w:line="240" w:lineRule="atLeast"/>
        <w:jc w:val="center"/>
        <w:outlineLvl w:val="0"/>
        <w:rPr>
          <w:rFonts w:ascii="宋体" w:hAnsi="宋体"/>
        </w:rPr>
      </w:pPr>
      <w:bookmarkStart w:id="30" w:name="_Toc382819088"/>
      <w:r>
        <w:rPr>
          <w:rFonts w:hint="eastAsia" w:ascii="宋体" w:hAnsi="宋体"/>
          <w:b/>
          <w:sz w:val="24"/>
        </w:rPr>
        <w:t>五、指令的发送、确认和执行</w:t>
      </w:r>
      <w:bookmarkEnd w:id="30"/>
    </w:p>
    <w:p w14:paraId="18218E9D">
      <w:pPr>
        <w:spacing w:line="360" w:lineRule="auto"/>
        <w:ind w:firstLine="420" w:firstLineChars="200"/>
        <w:rPr>
          <w:rFonts w:ascii="宋体" w:hAnsi="宋体"/>
          <w:szCs w:val="21"/>
        </w:rPr>
      </w:pPr>
      <w:bookmarkStart w:id="31" w:name="_Toc382819089"/>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31"/>
    </w:p>
    <w:p w14:paraId="0740C240">
      <w:pPr>
        <w:spacing w:line="360" w:lineRule="auto"/>
        <w:ind w:firstLine="420" w:firstLineChars="200"/>
        <w:rPr>
          <w:rFonts w:ascii="宋体" w:hAnsi="宋体"/>
          <w:szCs w:val="21"/>
        </w:rPr>
      </w:pPr>
      <w:r>
        <w:rPr>
          <w:rFonts w:hint="eastAsia" w:ascii="宋体" w:hAnsi="宋体"/>
          <w:szCs w:val="21"/>
        </w:rPr>
        <w:t>基金管理人发送的指令包括电子指令、纸质指令以及双方约定的其他方式发送的指令。</w:t>
      </w:r>
    </w:p>
    <w:p w14:paraId="2ADC25D6">
      <w:pPr>
        <w:spacing w:line="360" w:lineRule="auto"/>
        <w:ind w:firstLine="420" w:firstLineChars="200"/>
        <w:rPr>
          <w:rFonts w:ascii="宋体" w:hAnsi="宋体"/>
          <w:szCs w:val="21"/>
        </w:rPr>
      </w:pPr>
      <w:r>
        <w:rPr>
          <w:rFonts w:hint="eastAsia" w:ascii="宋体" w:hAnsi="宋体"/>
          <w:szCs w:val="21"/>
        </w:rPr>
        <w:t>基金管理人在启用电子指令前，应与基金托管人另行签署托管电子指令直连协议或网上托管服务协议。基金管理人在发送纸质指令前，应根据双方约定的方式提供传真号、发送指令附件的邮箱地址以及指令发送人员及其联系方式。</w:t>
      </w:r>
    </w:p>
    <w:p w14:paraId="1E1526B8">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2" w:name="_Toc382819090"/>
      <w:r>
        <w:rPr>
          <w:rFonts w:hint="eastAsia" w:ascii="宋体" w:hAnsi="宋体" w:eastAsia="宋体"/>
          <w:b w:val="0"/>
          <w:bCs w:val="0"/>
          <w:sz w:val="21"/>
          <w:szCs w:val="21"/>
        </w:rPr>
        <w:t>（一）基金管理人对指令发送人员的书面授权</w:t>
      </w:r>
      <w:bookmarkEnd w:id="32"/>
    </w:p>
    <w:p w14:paraId="4E80D856">
      <w:pPr>
        <w:spacing w:line="360" w:lineRule="auto"/>
        <w:ind w:firstLine="420" w:firstLineChars="200"/>
        <w:rPr>
          <w:rFonts w:ascii="宋体" w:hAnsi="宋体"/>
          <w:szCs w:val="21"/>
        </w:rPr>
      </w:pPr>
      <w:bookmarkStart w:id="33" w:name="_Toc382819091"/>
      <w:bookmarkStart w:id="34" w:name="_Toc382818601"/>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w:t>
      </w:r>
      <w:r>
        <w:rPr>
          <w:rFonts w:hint="eastAsia"/>
        </w:rPr>
        <w:t>字</w:t>
      </w:r>
      <w:r>
        <w:t>样本、权限</w:t>
      </w:r>
      <w:r>
        <w:rPr>
          <w:rFonts w:hint="eastAsia"/>
        </w:rPr>
        <w:t>、</w:t>
      </w:r>
      <w:r>
        <w:t>预留印鉴</w:t>
      </w:r>
      <w:r>
        <w:rPr>
          <w:rFonts w:hint="eastAsia"/>
        </w:rPr>
        <w:t>和</w:t>
      </w:r>
      <w:r>
        <w:t>生效时间。</w:t>
      </w:r>
      <w:r>
        <w:rPr>
          <w:rFonts w:hint="eastAsia" w:ascii="宋体" w:hAnsi="宋体"/>
          <w:szCs w:val="21"/>
        </w:rPr>
        <w:t>基金管理人的划款指令授权书由基金管理人的法定代表人或其授权代理人签署并加盖公章，若由授权代理人签署的，还应附上法定代表人的授权书。</w:t>
      </w:r>
      <w:r>
        <w:t>基金管理人</w:t>
      </w:r>
      <w:r>
        <w:rPr>
          <w:rFonts w:hint="eastAsia" w:ascii="宋体" w:hAnsi="宋体"/>
          <w:szCs w:val="21"/>
        </w:rPr>
        <w:t>应保证其提供的划款指令授权书中被授权人个人信息已获得被授权人的同意。基金托管人在收到授权书当日回函或回电向基金管理人确认。</w:t>
      </w:r>
      <w:bookmarkEnd w:id="33"/>
      <w:bookmarkEnd w:id="34"/>
      <w:r>
        <w:rPr>
          <w:rFonts w:hint="eastAsia" w:ascii="宋体" w:hAnsi="宋体"/>
          <w:szCs w:val="21"/>
        </w:rPr>
        <w:t>授权书于授权书载明的生效时间起生效。若授权书载明的生效时间早于基金托管人收到授权书时间，则授权书于基金托管人收到授权书时生效。</w:t>
      </w:r>
    </w:p>
    <w:p w14:paraId="7150B3AD">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5" w:name="_Toc382819092"/>
      <w:r>
        <w:rPr>
          <w:rFonts w:hint="eastAsia" w:ascii="宋体" w:hAnsi="宋体" w:eastAsia="宋体"/>
          <w:b w:val="0"/>
          <w:bCs w:val="0"/>
          <w:sz w:val="21"/>
          <w:szCs w:val="21"/>
        </w:rPr>
        <w:t>（二）指令的内容</w:t>
      </w:r>
      <w:bookmarkEnd w:id="35"/>
    </w:p>
    <w:p w14:paraId="3DB13BFA">
      <w:pPr>
        <w:tabs>
          <w:tab w:val="left" w:pos="4680"/>
        </w:tabs>
        <w:spacing w:line="360" w:lineRule="auto"/>
        <w:ind w:firstLine="420" w:firstLineChars="200"/>
        <w:rPr>
          <w:rFonts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6B7C7DD2">
      <w:pPr>
        <w:tabs>
          <w:tab w:val="left" w:pos="4680"/>
        </w:tabs>
        <w:spacing w:line="360" w:lineRule="auto"/>
        <w:ind w:firstLine="420" w:firstLineChars="200"/>
        <w:rPr>
          <w:rFonts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2.基金管理人发给基金托管人的指令应写明付款账号、付款户名、开户行、收款账号、收款户名、开户行、款项事由、支付时间、到账时间、金额、账户等，加盖预留印鉴并有被授权人签字。</w:t>
      </w:r>
    </w:p>
    <w:p w14:paraId="60275A39">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6" w:name="_Toc382819093"/>
      <w:r>
        <w:rPr>
          <w:rFonts w:hint="eastAsia" w:ascii="宋体" w:hAnsi="宋体" w:eastAsia="宋体"/>
          <w:b w:val="0"/>
          <w:bCs w:val="0"/>
          <w:sz w:val="21"/>
          <w:szCs w:val="21"/>
        </w:rPr>
        <w:t>（三）指令的发送、确认和执行的时间和程序</w:t>
      </w:r>
      <w:bookmarkEnd w:id="36"/>
    </w:p>
    <w:p w14:paraId="0A277430">
      <w:pPr>
        <w:spacing w:after="120" w:line="360" w:lineRule="auto"/>
        <w:ind w:firstLine="420" w:firstLineChars="200"/>
        <w:rPr>
          <w:rFonts w:ascii="宋体" w:hAnsi="宋体"/>
          <w:szCs w:val="21"/>
        </w:rPr>
      </w:pPr>
      <w:r>
        <w:rPr>
          <w:rFonts w:hint="eastAsia" w:ascii="宋体" w:hAnsi="宋体"/>
          <w:szCs w:val="21"/>
        </w:rPr>
        <w:t>1.指令由基金管理人通过</w:t>
      </w:r>
      <w:r>
        <w:rPr>
          <w:rFonts w:ascii="Tahoma" w:hAnsi="Tahoma" w:cs="Tahoma"/>
          <w:color w:val="000000"/>
          <w:sz w:val="20"/>
          <w:szCs w:val="20"/>
          <w:shd w:val="clear" w:color="auto" w:fill="FFFEF6"/>
        </w:rPr>
        <w:t>电子指令等双方约定的方式</w:t>
      </w:r>
      <w:r>
        <w:rPr>
          <w:rFonts w:hint="eastAsia" w:ascii="宋体" w:hAnsi="宋体"/>
          <w:szCs w:val="21"/>
        </w:rPr>
        <w:t>向基金托管人发送。以电子形式发送的指令，指令到达托管人的时间以指令到达托管人服务器时间为准，托管人不得否定其效力；以书面形式发送的指令以双方认可的方式确认。基金托管人依照“授权书”规定的方法确认指令有效后，方可执行指令。对于被授权人在其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实时逐笔全额结算（以下简称RTGS）交收指令、新股、新债、增发等申购指令）应在15点（指令截止时间）前提交托管人，如基金管理人要求当天某一时点到账，则指令需提前2个工作小时(工作时间9点至11点30分，13点至17点)提交基金托管人。</w:t>
      </w:r>
    </w:p>
    <w:p w14:paraId="16ED0F14">
      <w:pPr>
        <w:spacing w:after="120" w:line="360" w:lineRule="auto"/>
        <w:ind w:firstLine="420" w:firstLineChars="200"/>
        <w:rPr>
          <w:rFonts w:ascii="宋体" w:hAnsi="宋体"/>
          <w:szCs w:val="21"/>
        </w:rPr>
      </w:pPr>
      <w:r>
        <w:rPr>
          <w:rFonts w:hint="eastAsia" w:ascii="宋体" w:hAnsi="宋体"/>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14:paraId="0B94B67C">
      <w:pPr>
        <w:spacing w:after="120" w:line="360" w:lineRule="auto"/>
        <w:ind w:firstLine="420" w:firstLineChars="200"/>
        <w:rPr>
          <w:rFonts w:ascii="宋体" w:hAnsi="宋体"/>
          <w:szCs w:val="21"/>
        </w:rPr>
      </w:pPr>
      <w:r>
        <w:rPr>
          <w:rFonts w:hint="eastAsia" w:ascii="宋体" w:hAnsi="宋体"/>
          <w:szCs w:val="21"/>
        </w:rPr>
        <w:t>3.如划款指令中给予基金托管人的划拨时间小于2个工作小时或晚于前述指令截至时间的，基金托管人应尽力在指定时间内完成资金划拨，但不承担因时间不足导致执行失败的责任。</w:t>
      </w:r>
    </w:p>
    <w:p w14:paraId="05F296A0">
      <w:pPr>
        <w:spacing w:after="120" w:line="360" w:lineRule="auto"/>
        <w:ind w:firstLine="420" w:firstLineChars="200"/>
        <w:rPr>
          <w:rFonts w:ascii="宋体" w:hAnsi="宋体"/>
          <w:szCs w:val="21"/>
        </w:rPr>
      </w:pPr>
      <w:r>
        <w:rPr>
          <w:rFonts w:hint="eastAsia" w:ascii="宋体" w:hAnsi="宋体"/>
          <w:szCs w:val="21"/>
        </w:rPr>
        <w:t>4.基金管理人过错造成的指令传输不及时、未能留出足够划款所需时间，致使资金未能及时到账所造成的损失由基金管理人承担。</w:t>
      </w:r>
    </w:p>
    <w:p w14:paraId="2D9A0821">
      <w:pPr>
        <w:spacing w:line="360" w:lineRule="auto"/>
        <w:ind w:firstLine="420" w:firstLineChars="200"/>
        <w:rPr>
          <w:rFonts w:ascii="宋体" w:hAnsi="宋体"/>
          <w:szCs w:val="21"/>
        </w:rPr>
      </w:pPr>
      <w:r>
        <w:rPr>
          <w:rFonts w:hint="eastAsia" w:ascii="宋体" w:hAnsi="宋体"/>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7E4A648A">
      <w:pPr>
        <w:spacing w:line="360" w:lineRule="auto"/>
        <w:ind w:firstLine="420" w:firstLineChars="200"/>
        <w:rPr>
          <w:rFonts w:ascii="宋体" w:hAnsi="宋体"/>
          <w:szCs w:val="21"/>
        </w:rPr>
      </w:pPr>
      <w:r>
        <w:rPr>
          <w:rFonts w:hint="eastAsia" w:ascii="宋体" w:hAnsi="宋体"/>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14:paraId="50E35B12">
      <w:pPr>
        <w:spacing w:line="360" w:lineRule="auto"/>
        <w:ind w:firstLine="420" w:firstLineChars="200"/>
        <w:rPr>
          <w:rFonts w:ascii="宋体" w:hAnsi="宋体"/>
          <w:szCs w:val="21"/>
        </w:rPr>
      </w:pPr>
      <w:r>
        <w:rPr>
          <w:rFonts w:hint="eastAsia" w:ascii="宋体" w:hAnsi="宋体"/>
          <w:szCs w:val="21"/>
        </w:rPr>
        <w:t>7.指令未执行前基金管理人可以撤销，</w:t>
      </w:r>
      <w:r>
        <w:t>基金管理人</w:t>
      </w:r>
      <w:r>
        <w:rPr>
          <w:rFonts w:hint="eastAsia"/>
        </w:rPr>
        <w:t>需</w:t>
      </w:r>
      <w:r>
        <w:t>在原指令上注明</w:t>
      </w:r>
      <w:r>
        <w:rPr>
          <w:rFonts w:asciiTheme="minorEastAsia" w:hAnsiTheme="minorEastAsia" w:eastAsiaTheme="minorEastAsia"/>
        </w:rPr>
        <w:t>“</w:t>
      </w:r>
      <w:r>
        <w:rPr>
          <w:rFonts w:hint="eastAsia" w:asciiTheme="minorEastAsia" w:hAnsiTheme="minorEastAsia" w:eastAsiaTheme="minorEastAsia"/>
        </w:rPr>
        <w:t>作废</w:t>
      </w:r>
      <w:r>
        <w:rPr>
          <w:rFonts w:asciiTheme="minorEastAsia" w:hAnsiTheme="minorEastAsia" w:eastAsiaTheme="minorEastAsia"/>
        </w:rPr>
        <w:t>”</w:t>
      </w:r>
      <w:r>
        <w:rPr>
          <w:rFonts w:hint="eastAsia" w:asciiTheme="minorEastAsia" w:hAnsiTheme="minorEastAsia" w:eastAsiaTheme="minorEastAsia"/>
        </w:rPr>
        <w:t>并</w:t>
      </w:r>
      <w:r>
        <w:t>电话通知基金托管人</w:t>
      </w:r>
      <w:r>
        <w:rPr>
          <w:rFonts w:hint="eastAsia" w:ascii="宋体" w:hAnsi="宋体"/>
          <w:szCs w:val="21"/>
        </w:rPr>
        <w:t>。基金托管人将尽力协助撤销指令，但基金管理人理解且接受受限于客观情况，基金托管人无法保证基金管理人的指令一定可以撤销，基金托管人不承担非因基金托管人原因造成的指令未被撤销的一切责任与后果。</w:t>
      </w:r>
    </w:p>
    <w:p w14:paraId="0B1419F3">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7" w:name="_Toc382819094"/>
      <w:r>
        <w:rPr>
          <w:rFonts w:hint="eastAsia" w:ascii="宋体" w:hAnsi="宋体" w:eastAsia="宋体"/>
          <w:b w:val="0"/>
          <w:bCs w:val="0"/>
          <w:sz w:val="21"/>
          <w:szCs w:val="21"/>
        </w:rPr>
        <w:t>（四）基金管理人发送错误指令的情形和处理程序</w:t>
      </w:r>
      <w:bookmarkEnd w:id="37"/>
    </w:p>
    <w:p w14:paraId="5A7CA045">
      <w:pPr>
        <w:spacing w:after="120" w:line="360" w:lineRule="auto"/>
        <w:ind w:firstLine="420" w:firstLineChars="200"/>
        <w:rPr>
          <w:rFonts w:ascii="宋体" w:hAnsi="宋体"/>
          <w:szCs w:val="21"/>
        </w:rPr>
      </w:pPr>
      <w:r>
        <w:rPr>
          <w:rFonts w:hint="eastAsia" w:ascii="宋体" w:hAnsi="宋体"/>
          <w:szCs w:val="21"/>
        </w:rPr>
        <w:t>1.基金管理人发送错误指令的情形包括但不限于指令发送人员无权或超越权限发送指令及交割信息错误，指令中重要信息模糊不清或不全，指令违反法律法规和《基金合同》及本协议约定等。</w:t>
      </w:r>
    </w:p>
    <w:p w14:paraId="32C2D95B">
      <w:pPr>
        <w:spacing w:line="360" w:lineRule="auto"/>
        <w:ind w:firstLine="420" w:firstLineChars="200"/>
        <w:rPr>
          <w:rFonts w:ascii="宋体" w:hAnsi="宋体"/>
          <w:szCs w:val="21"/>
          <w:lang w:val="zh-CN"/>
        </w:rPr>
      </w:pPr>
      <w:r>
        <w:rPr>
          <w:rFonts w:hint="eastAsia" w:ascii="宋体" w:hAnsi="宋体"/>
          <w:szCs w:val="21"/>
        </w:rPr>
        <w:t>2.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1E0B723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8" w:name="_Toc382819095"/>
      <w:r>
        <w:rPr>
          <w:rFonts w:hint="eastAsia" w:ascii="宋体" w:hAnsi="宋体" w:eastAsia="宋体"/>
          <w:b w:val="0"/>
          <w:bCs w:val="0"/>
          <w:sz w:val="21"/>
          <w:szCs w:val="21"/>
        </w:rPr>
        <w:t>（五）基金托管人未按照基金管理人指令执行的处理方法</w:t>
      </w:r>
      <w:bookmarkEnd w:id="38"/>
    </w:p>
    <w:p w14:paraId="36810D11">
      <w:pPr>
        <w:spacing w:line="360" w:lineRule="auto"/>
        <w:ind w:firstLine="420" w:firstLineChars="200"/>
        <w:rPr>
          <w:rFonts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23CFE956">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9" w:name="_Toc382819096"/>
      <w:r>
        <w:rPr>
          <w:rFonts w:hint="eastAsia" w:ascii="宋体" w:hAnsi="宋体" w:eastAsia="宋体"/>
          <w:b w:val="0"/>
          <w:bCs w:val="0"/>
          <w:sz w:val="21"/>
          <w:szCs w:val="21"/>
        </w:rPr>
        <w:t>（六）更换被授权人的程序</w:t>
      </w:r>
      <w:bookmarkEnd w:id="39"/>
    </w:p>
    <w:p w14:paraId="155E90EC">
      <w:pPr>
        <w:spacing w:line="360" w:lineRule="auto"/>
        <w:ind w:firstLine="420" w:firstLineChars="200"/>
        <w:rPr>
          <w:rFonts w:ascii="宋体" w:hAnsi="宋体"/>
          <w:szCs w:val="21"/>
        </w:rPr>
      </w:pPr>
      <w:r>
        <w:rPr>
          <w:rFonts w:hint="eastAsia" w:ascii="宋体" w:hAnsi="宋体"/>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相应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2505CDEF">
      <w:pPr>
        <w:spacing w:line="360" w:lineRule="auto"/>
        <w:ind w:firstLine="420" w:firstLineChars="200"/>
        <w:rPr>
          <w:rFonts w:ascii="宋体" w:hAnsi="宋体"/>
          <w:szCs w:val="21"/>
        </w:rPr>
      </w:pPr>
      <w:r>
        <w:rPr>
          <w:rFonts w:hint="eastAsia" w:ascii="宋体" w:hAnsi="宋体"/>
          <w:szCs w:val="21"/>
        </w:rPr>
        <w:t>（七）其它事项</w:t>
      </w:r>
    </w:p>
    <w:p w14:paraId="361B523B">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基金管理人承担下达违法、违规或违反《基金合同》和本协议约定的指令所导致的责任。基金托管人对正确、及时执行基金管理人的按照正常交易程序已经生效的指令对基金财产造成的损失不承担赔偿责任。</w:t>
      </w:r>
    </w:p>
    <w:p w14:paraId="04BDDA7F">
      <w:pPr>
        <w:spacing w:before="312" w:beforeLines="100" w:after="312" w:afterLines="100" w:line="240" w:lineRule="atLeast"/>
        <w:jc w:val="center"/>
        <w:outlineLvl w:val="0"/>
        <w:rPr>
          <w:rFonts w:ascii="宋体" w:hAnsi="宋体"/>
        </w:rPr>
      </w:pPr>
      <w:bookmarkStart w:id="40" w:name="_Toc382819097"/>
      <w:r>
        <w:rPr>
          <w:rFonts w:hint="eastAsia" w:ascii="宋体" w:hAnsi="宋体"/>
          <w:b/>
          <w:sz w:val="24"/>
        </w:rPr>
        <w:t>六、交易及清算交收安排</w:t>
      </w:r>
      <w:bookmarkEnd w:id="40"/>
    </w:p>
    <w:p w14:paraId="244A25DD">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1" w:name="_Toc382819098"/>
      <w:r>
        <w:rPr>
          <w:rFonts w:hint="eastAsia" w:ascii="宋体" w:hAnsi="宋体" w:eastAsia="宋体"/>
          <w:b w:val="0"/>
          <w:bCs w:val="0"/>
          <w:sz w:val="21"/>
          <w:szCs w:val="21"/>
        </w:rPr>
        <w:t>（一）选择代理证券、期货买卖的证券、期货经营机构的标准和程序</w:t>
      </w:r>
      <w:bookmarkEnd w:id="41"/>
    </w:p>
    <w:p w14:paraId="26AAC088">
      <w:pPr>
        <w:spacing w:line="360" w:lineRule="auto"/>
        <w:ind w:firstLine="420" w:firstLineChars="200"/>
        <w:rPr>
          <w:rFonts w:ascii="宋体" w:hAnsi="宋体"/>
          <w:szCs w:val="21"/>
        </w:rPr>
      </w:pPr>
      <w:r>
        <w:rPr>
          <w:rFonts w:hint="eastAsia" w:ascii="宋体" w:hAnsi="宋体"/>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14:paraId="0ABF8464">
      <w:pPr>
        <w:spacing w:line="360" w:lineRule="auto"/>
        <w:ind w:firstLine="420" w:firstLineChars="200"/>
        <w:rPr>
          <w:rFonts w:ascii="宋体" w:hAnsi="宋体"/>
          <w:szCs w:val="21"/>
        </w:rPr>
      </w:pPr>
      <w:r>
        <w:rPr>
          <w:rFonts w:hint="eastAsia" w:ascii="宋体" w:hAnsi="宋体"/>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944CA9D">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2" w:name="_Toc382819099"/>
      <w:r>
        <w:rPr>
          <w:rFonts w:hint="eastAsia" w:ascii="宋体" w:hAnsi="宋体" w:eastAsia="宋体"/>
          <w:b w:val="0"/>
          <w:bCs w:val="0"/>
          <w:sz w:val="21"/>
          <w:szCs w:val="21"/>
        </w:rPr>
        <w:t>（二）基金投资证券后的清算交收安排</w:t>
      </w:r>
      <w:bookmarkEnd w:id="42"/>
      <w:bookmarkStart w:id="43" w:name="_Toc382819100"/>
    </w:p>
    <w:p w14:paraId="3F7E20BE">
      <w:pPr>
        <w:pStyle w:val="9"/>
        <w:spacing w:line="360" w:lineRule="auto"/>
        <w:jc w:val="left"/>
        <w:rPr>
          <w:rFonts w:ascii="宋体" w:hAnsi="宋体"/>
          <w:szCs w:val="21"/>
        </w:rPr>
      </w:pPr>
      <w:r>
        <w:rPr>
          <w:rFonts w:hint="eastAsia" w:ascii="宋体" w:hAnsi="宋体"/>
          <w:szCs w:val="21"/>
        </w:rPr>
        <w:t>1.本基金投资于证券发生的所有场内、场外交易的资金清算交割，全部由基金托管人负责办理。</w:t>
      </w:r>
      <w:bookmarkEnd w:id="43"/>
      <w:bookmarkStart w:id="44" w:name="_Toc382819101"/>
    </w:p>
    <w:p w14:paraId="1D6334BE">
      <w:pPr>
        <w:pStyle w:val="9"/>
        <w:spacing w:line="360" w:lineRule="auto"/>
        <w:jc w:val="left"/>
        <w:rPr>
          <w:rFonts w:ascii="宋体" w:hAnsi="宋体"/>
          <w:szCs w:val="21"/>
        </w:rPr>
      </w:pPr>
      <w:r>
        <w:rPr>
          <w:rFonts w:hint="eastAsia" w:ascii="宋体" w:hAnsi="宋体"/>
          <w:szCs w:val="21"/>
        </w:rPr>
        <w:t>2.本基金投资于场内交易的投资品种前，基金管理人和基金托管人应当另行签署托管银行证券资金结算协议（若有）。</w:t>
      </w:r>
      <w:bookmarkEnd w:id="44"/>
    </w:p>
    <w:p w14:paraId="434B426D">
      <w:pPr>
        <w:pStyle w:val="9"/>
        <w:spacing w:line="360" w:lineRule="auto"/>
        <w:jc w:val="left"/>
        <w:rPr>
          <w:rFonts w:ascii="宋体" w:hAnsi="宋体"/>
          <w:szCs w:val="21"/>
        </w:rPr>
      </w:pPr>
      <w:r>
        <w:rPr>
          <w:rFonts w:hint="eastAsia" w:ascii="宋体" w:hAnsi="宋体"/>
          <w:szCs w:val="21"/>
        </w:rPr>
        <w:t>3.本基金投资于R</w:t>
      </w:r>
      <w:r>
        <w:rPr>
          <w:rFonts w:ascii="宋体" w:hAnsi="宋体"/>
          <w:szCs w:val="21"/>
        </w:rPr>
        <w:t>TGS</w:t>
      </w:r>
      <w:r>
        <w:rPr>
          <w:rFonts w:hint="eastAsia" w:ascii="宋体" w:hAnsi="宋体"/>
          <w:szCs w:val="21"/>
        </w:rPr>
        <w:t>交收的投资品种时，基金管理人应遵守基金托管人提前以告客户书形式提供的书面通知。</w:t>
      </w:r>
    </w:p>
    <w:p w14:paraId="356B2AFC">
      <w:pPr>
        <w:spacing w:line="360" w:lineRule="auto"/>
        <w:ind w:firstLine="420" w:firstLineChars="200"/>
        <w:rPr>
          <w:rFonts w:ascii="宋体" w:hAnsi="宋体"/>
          <w:szCs w:val="21"/>
        </w:rPr>
      </w:pPr>
      <w:r>
        <w:rPr>
          <w:rFonts w:hint="eastAsia" w:ascii="宋体" w:hAnsi="宋体"/>
          <w:szCs w:val="21"/>
        </w:rPr>
        <w:t>4.银行间债券券款对付结算</w:t>
      </w:r>
    </w:p>
    <w:p w14:paraId="5C1B1623">
      <w:pPr>
        <w:spacing w:line="360" w:lineRule="auto"/>
        <w:ind w:firstLine="420" w:firstLineChars="200"/>
        <w:rPr>
          <w:rFonts w:ascii="宋体" w:hAnsi="宋体"/>
          <w:szCs w:val="21"/>
        </w:rPr>
      </w:pPr>
      <w:r>
        <w:rPr>
          <w:rFonts w:hint="eastAsia" w:ascii="宋体" w:hAnsi="宋体"/>
          <w:szCs w:val="21"/>
        </w:rPr>
        <w:t>基金管理人应及时将银行间市场清算所股份有限公司、</w:t>
      </w:r>
      <w:r>
        <w:rPr>
          <w:rFonts w:ascii="宋体" w:hAnsi="宋体"/>
          <w:szCs w:val="21"/>
        </w:rPr>
        <w:t>中央国债登记结算有限责任公司</w:t>
      </w:r>
      <w:r>
        <w:rPr>
          <w:rFonts w:hint="eastAsia" w:ascii="宋体" w:hAnsi="宋体"/>
          <w:szCs w:val="21"/>
        </w:rPr>
        <w:t>划款指令和成交通知单按相关规定提交基金托管人，基金管理人应为基金托管人留出执行指令所必需的时间。</w:t>
      </w:r>
    </w:p>
    <w:p w14:paraId="2F5C463E">
      <w:pPr>
        <w:spacing w:line="360" w:lineRule="auto"/>
        <w:ind w:firstLine="420" w:firstLineChars="200"/>
        <w:rPr>
          <w:rFonts w:ascii="宋体" w:hAnsi="宋体"/>
          <w:szCs w:val="21"/>
        </w:rPr>
      </w:pPr>
      <w:r>
        <w:rPr>
          <w:rFonts w:hint="eastAsia" w:ascii="宋体" w:hAnsi="宋体"/>
          <w:szCs w:val="21"/>
        </w:rPr>
        <w:t>基金管理人应根据</w:t>
      </w:r>
      <w:r>
        <w:rPr>
          <w:rFonts w:ascii="宋体" w:hAnsi="宋体"/>
          <w:szCs w:val="21"/>
        </w:rPr>
        <w:t>中央国债登记结算有限责任公司</w:t>
      </w:r>
      <w:r>
        <w:rPr>
          <w:rFonts w:hint="eastAsia" w:ascii="宋体" w:hAnsi="宋体"/>
          <w:szCs w:val="21"/>
        </w:rPr>
        <w:t>、银行间市场清算所股份有限公司提供的查询功能，实时跟踪交易结算情况、证券与资金到账与余额变动情况，便于监控结算过程，做好资金与交易匹配的前端控制。</w:t>
      </w:r>
    </w:p>
    <w:p w14:paraId="15342B4F">
      <w:pPr>
        <w:spacing w:line="360" w:lineRule="auto"/>
        <w:ind w:firstLine="420" w:firstLineChars="200"/>
        <w:rPr>
          <w:rFonts w:ascii="宋体" w:hAnsi="宋体"/>
          <w:szCs w:val="21"/>
        </w:rPr>
      </w:pPr>
      <w:r>
        <w:rPr>
          <w:rFonts w:hint="eastAsia" w:ascii="宋体" w:hAnsi="宋体"/>
          <w:szCs w:val="21"/>
        </w:rPr>
        <w:t>5.定期投资</w:t>
      </w:r>
    </w:p>
    <w:p w14:paraId="69B725DB">
      <w:pPr>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基金管理人与存款行签订的存款协议条款格式应在定期存款起息日的前一个工作日发送给基金托管人，</w:t>
      </w:r>
      <w:r>
        <w:rPr>
          <w:rFonts w:hint="eastAsia" w:ascii="宋体" w:hAnsi="宋体" w:cs="Arial"/>
          <w:color w:val="000000"/>
          <w:szCs w:val="21"/>
        </w:rPr>
        <w:t>基金管理人应将</w:t>
      </w:r>
      <w:r>
        <w:rPr>
          <w:rFonts w:hint="eastAsia" w:ascii="宋体" w:hAnsi="宋体"/>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1EA50A0A">
      <w:pPr>
        <w:spacing w:line="360" w:lineRule="auto"/>
        <w:ind w:firstLine="420" w:firstLineChars="200"/>
        <w:rPr>
          <w:rFonts w:ascii="宋体" w:hAnsi="宋体"/>
          <w:szCs w:val="21"/>
        </w:rPr>
      </w:pPr>
      <w:r>
        <w:rPr>
          <w:rFonts w:hint="eastAsia" w:ascii="宋体" w:hAnsi="宋体"/>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21745155">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14:paraId="3313B1CC">
      <w:pPr>
        <w:spacing w:line="360" w:lineRule="auto"/>
        <w:ind w:firstLine="420" w:firstLineChars="200"/>
        <w:rPr>
          <w:rFonts w:ascii="宋体" w:hAnsi="宋体"/>
          <w:szCs w:val="21"/>
        </w:rPr>
      </w:pPr>
      <w:r>
        <w:rPr>
          <w:rFonts w:hint="eastAsia" w:ascii="宋体" w:hAnsi="宋体"/>
          <w:szCs w:val="21"/>
        </w:rPr>
        <w:t>基金管理人与存款银行签订的存款协议，应包括：</w:t>
      </w:r>
    </w:p>
    <w:p w14:paraId="214469DE">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14:paraId="17CC805E">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3C679E8D">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217B0431">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14:paraId="19EB593E">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60A9D3A4">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32173621">
      <w:pPr>
        <w:spacing w:line="360" w:lineRule="auto"/>
        <w:ind w:firstLine="420" w:firstLineChars="200"/>
        <w:rPr>
          <w:rFonts w:ascii="宋体" w:hAnsi="宋体"/>
          <w:szCs w:val="21"/>
        </w:rPr>
      </w:pPr>
      <w:r>
        <w:rPr>
          <w:rFonts w:hint="eastAsia" w:ascii="宋体" w:hAnsi="宋体"/>
          <w:szCs w:val="21"/>
        </w:rPr>
        <w:t>（6）在存款存续期内，“证实书”的预留印鉴发生变更的，存款银行应配合办理变更手续。</w:t>
      </w:r>
    </w:p>
    <w:p w14:paraId="128B5185">
      <w:pPr>
        <w:spacing w:line="360" w:lineRule="auto"/>
        <w:ind w:firstLine="420" w:firstLineChars="200"/>
        <w:rPr>
          <w:rFonts w:ascii="宋体" w:hAnsi="宋体"/>
          <w:szCs w:val="21"/>
        </w:rPr>
      </w:pPr>
      <w:r>
        <w:rPr>
          <w:rFonts w:hint="eastAsia" w:ascii="宋体" w:hAnsi="宋体"/>
          <w:szCs w:val="21"/>
        </w:rPr>
        <w:t>（7）存款不得被质押，相应存款证明文件不得用于背书和转让。</w:t>
      </w:r>
    </w:p>
    <w:p w14:paraId="7C8842CC">
      <w:pPr>
        <w:spacing w:line="360" w:lineRule="auto"/>
        <w:ind w:firstLine="420" w:firstLineChars="200"/>
        <w:rPr>
          <w:rFonts w:ascii="宋体" w:hAnsi="宋体"/>
          <w:szCs w:val="21"/>
        </w:rPr>
      </w:pPr>
      <w:r>
        <w:rPr>
          <w:rFonts w:hint="eastAsia" w:ascii="宋体" w:hAnsi="宋体"/>
          <w:szCs w:val="21"/>
        </w:rPr>
        <w:t>6.基金参与港股通交易的清算交收安排</w:t>
      </w:r>
    </w:p>
    <w:p w14:paraId="730C6956">
      <w:pPr>
        <w:spacing w:line="360" w:lineRule="auto"/>
        <w:ind w:firstLine="420"/>
        <w:rPr>
          <w:rFonts w:ascii="宋体" w:hAnsi="宋体"/>
          <w:szCs w:val="21"/>
        </w:rPr>
      </w:pPr>
      <w:r>
        <w:rPr>
          <w:rFonts w:hint="eastAsia" w:ascii="宋体" w:hAnsi="宋体"/>
          <w:szCs w:val="21"/>
        </w:rPr>
        <w:t>基金参与港股通交易的，基金管理人应保证在</w:t>
      </w:r>
      <w:r>
        <w:rPr>
          <w:rFonts w:ascii="宋体" w:hAnsi="宋体"/>
          <w:szCs w:val="21"/>
        </w:rPr>
        <w:t>T+1日9：30之前有足够的头寸用于港股通T+1日公司行动、证券组合费和风控资金的交收，在T+1日14：00之前有足够的头寸用于港股通T+2日交易资金的交收</w:t>
      </w:r>
      <w:r>
        <w:rPr>
          <w:rFonts w:hint="eastAsia" w:ascii="宋体" w:hAnsi="宋体"/>
          <w:szCs w:val="21"/>
        </w:rPr>
        <w:t>。对于T日港股通交易清算结果为净应付的，基金托管人于T+1日10：00扣收应付资金。对于T日港股通交易清算结果为净应收的，基金托管人在与中国证券登记结算有限责任公司完成净应收资金交割后，于T+3日上午12:00前返还应收资金。若因非基金托管人原因造成净应收资金划付延迟的，基金托管人不承担相应责任。</w:t>
      </w:r>
    </w:p>
    <w:p w14:paraId="0E5D6D49">
      <w:pPr>
        <w:spacing w:line="360" w:lineRule="auto"/>
        <w:ind w:firstLine="420"/>
        <w:rPr>
          <w:rFonts w:ascii="宋体" w:hAnsi="宋体"/>
          <w:szCs w:val="21"/>
        </w:rPr>
      </w:pPr>
      <w:r>
        <w:rPr>
          <w:rFonts w:hint="eastAsia" w:ascii="宋体" w:hAnsi="宋体"/>
          <w:szCs w:val="21"/>
        </w:rPr>
        <w:t>如由于基金管理人的过错导致港股通交收失败，由此给托管人、托管人托管的其他资产组合造成的经济损失，由基金管理人承担。如由于非基金管理人和基金托管人的原因导致港股通交收失败，由此给基金资产组合造成的经济损失，由基金管理人向过错人追偿，基金托管人应予以必要的协助与配合。</w:t>
      </w:r>
    </w:p>
    <w:p w14:paraId="0B6E239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5" w:name="_Toc382819102"/>
      <w:r>
        <w:rPr>
          <w:rFonts w:hint="eastAsia" w:ascii="宋体" w:hAnsi="宋体" w:eastAsia="宋体"/>
          <w:b w:val="0"/>
          <w:bCs w:val="0"/>
          <w:sz w:val="21"/>
          <w:szCs w:val="21"/>
        </w:rPr>
        <w:t>（三）可用资金余额的确认</w:t>
      </w:r>
      <w:bookmarkEnd w:id="45"/>
    </w:p>
    <w:p w14:paraId="243F70EE">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14:paraId="4C865498">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（四）交易记录、资金、证券账目的核对</w:t>
      </w:r>
    </w:p>
    <w:p w14:paraId="34AC5E0D">
      <w:pPr>
        <w:tabs>
          <w:tab w:val="left" w:pos="4680"/>
        </w:tabs>
        <w:spacing w:line="360" w:lineRule="auto"/>
        <w:ind w:firstLine="420" w:firstLineChars="200"/>
        <w:jc w:val="left"/>
        <w:rPr>
          <w:rFonts w:ascii="宋体" w:hAnsi="宋体"/>
          <w:szCs w:val="21"/>
        </w:rPr>
      </w:pPr>
      <w:r>
        <w:rPr>
          <w:rFonts w:hint="eastAsia" w:ascii="宋体" w:hAnsi="宋体"/>
          <w:szCs w:val="21"/>
        </w:rPr>
        <w:t>1.交易记录的核对</w:t>
      </w:r>
    </w:p>
    <w:p w14:paraId="24FE6770">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基金管理人和基金托管人按日进行交易记录的核对。对外披露净值之前，必须保证当天所有实际交易记录与基金会计账簿上的交易记录一致。</w:t>
      </w:r>
    </w:p>
    <w:p w14:paraId="095E94E4">
      <w:pPr>
        <w:tabs>
          <w:tab w:val="left" w:pos="4680"/>
        </w:tabs>
        <w:spacing w:line="360" w:lineRule="auto"/>
        <w:ind w:firstLine="420" w:firstLineChars="200"/>
        <w:jc w:val="left"/>
        <w:rPr>
          <w:rFonts w:ascii="宋体" w:hAnsi="宋体"/>
          <w:szCs w:val="21"/>
        </w:rPr>
      </w:pPr>
      <w:r>
        <w:rPr>
          <w:rFonts w:hint="eastAsia" w:ascii="宋体" w:hAnsi="宋体"/>
          <w:szCs w:val="21"/>
        </w:rPr>
        <w:t>2.资金账目的核对</w:t>
      </w:r>
    </w:p>
    <w:p w14:paraId="7B05200E">
      <w:pPr>
        <w:tabs>
          <w:tab w:val="left" w:pos="4680"/>
        </w:tabs>
        <w:spacing w:line="360" w:lineRule="auto"/>
        <w:ind w:firstLine="420" w:firstLineChars="200"/>
        <w:jc w:val="left"/>
        <w:rPr>
          <w:rFonts w:ascii="宋体" w:hAnsi="宋体"/>
          <w:szCs w:val="21"/>
        </w:rPr>
      </w:pPr>
      <w:r>
        <w:rPr>
          <w:rFonts w:hint="eastAsia" w:ascii="宋体" w:hAnsi="宋体"/>
          <w:szCs w:val="21"/>
        </w:rPr>
        <w:t>资金账目包括基金的银行存款等会计资料。资金账目由基金托管人每日进行账实核对，基金管理人复核托管人提供的可用头寸表核对资金余额。银行存款账户每日核对，做到账账相符、账实相符。</w:t>
      </w:r>
    </w:p>
    <w:p w14:paraId="55AA3AAF">
      <w:pPr>
        <w:tabs>
          <w:tab w:val="left" w:pos="4680"/>
        </w:tabs>
        <w:spacing w:line="360" w:lineRule="auto"/>
        <w:ind w:firstLine="420" w:firstLineChars="200"/>
        <w:jc w:val="left"/>
        <w:rPr>
          <w:rFonts w:ascii="宋体" w:hAnsi="宋体"/>
          <w:szCs w:val="21"/>
        </w:rPr>
      </w:pPr>
      <w:r>
        <w:rPr>
          <w:rFonts w:hint="eastAsia" w:ascii="宋体" w:hAnsi="宋体"/>
          <w:szCs w:val="21"/>
        </w:rPr>
        <w:t>3.证券账目的核对</w:t>
      </w:r>
    </w:p>
    <w:p w14:paraId="279DE3E9">
      <w:pPr>
        <w:tabs>
          <w:tab w:val="left" w:pos="4680"/>
        </w:tabs>
        <w:spacing w:line="360" w:lineRule="auto"/>
        <w:ind w:firstLine="420" w:firstLineChars="200"/>
        <w:jc w:val="left"/>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7D4D33F0">
      <w:pPr>
        <w:pStyle w:val="3"/>
        <w:keepNext w:val="0"/>
        <w:keepLines w:val="0"/>
        <w:autoSpaceDE w:val="0"/>
        <w:autoSpaceDN w:val="0"/>
        <w:adjustRightInd w:val="0"/>
        <w:spacing w:before="0" w:after="0" w:line="360" w:lineRule="auto"/>
        <w:ind w:firstLine="420" w:firstLineChars="200"/>
        <w:textAlignment w:val="baseline"/>
        <w:rPr>
          <w:rFonts w:ascii="宋体" w:hAnsi="宋体"/>
          <w:b w:val="0"/>
          <w:szCs w:val="21"/>
        </w:rPr>
      </w:pPr>
      <w:r>
        <w:rPr>
          <w:rFonts w:hint="eastAsia" w:ascii="宋体" w:hAnsi="宋体" w:eastAsia="宋体"/>
          <w:b w:val="0"/>
          <w:bCs w:val="0"/>
          <w:sz w:val="21"/>
          <w:szCs w:val="21"/>
        </w:rPr>
        <w:t>（五）基金申购、赎回、转换业务处理的基本规定</w:t>
      </w:r>
    </w:p>
    <w:p w14:paraId="34F6FE0A">
      <w:pPr>
        <w:tabs>
          <w:tab w:val="left" w:pos="4680"/>
        </w:tabs>
        <w:spacing w:line="360" w:lineRule="auto"/>
        <w:ind w:firstLine="420" w:firstLineChars="200"/>
        <w:jc w:val="left"/>
        <w:rPr>
          <w:rFonts w:ascii="宋体" w:hAnsi="宋体"/>
          <w:szCs w:val="21"/>
        </w:rPr>
      </w:pPr>
      <w:r>
        <w:rPr>
          <w:rFonts w:hint="eastAsia" w:ascii="宋体" w:hAnsi="宋体"/>
          <w:szCs w:val="21"/>
        </w:rPr>
        <w:t>1.基金管理人自基金合同生效后按照规定开始办理申购赎回，办理时间以公告为准。基金份额申购、赎回的确认、清算由基金管理人或其委托的登记机构负责。</w:t>
      </w:r>
    </w:p>
    <w:p w14:paraId="118CA2B0">
      <w:pPr>
        <w:tabs>
          <w:tab w:val="left" w:pos="4680"/>
        </w:tabs>
        <w:spacing w:line="360" w:lineRule="auto"/>
        <w:ind w:firstLine="420" w:firstLineChars="200"/>
        <w:jc w:val="left"/>
        <w:rPr>
          <w:rFonts w:ascii="宋体" w:hAnsi="宋体"/>
          <w:szCs w:val="21"/>
        </w:rPr>
      </w:pPr>
      <w:r>
        <w:rPr>
          <w:rFonts w:hint="eastAsia" w:ascii="宋体" w:hAnsi="宋体"/>
          <w:szCs w:val="21"/>
        </w:rPr>
        <w:t>2.基金管理人应在每个交易日按本协议相关规定向基金托管人发送基金管理人确认的申购、赎回和转换基金的有关数据，并对上述数据的真实、准确、完整性负责。基金托管人应及时查收申购及转入资金的到账情况并根据基金管理人指令及时划付赎回及转出款项。基金管理人应保证基金管理人或本基金管理人委托的登记机构每个工作日15:00 前向基金托管人发送前一开放日的上述有关数据，并保证相关数据的准确、完整。</w:t>
      </w:r>
    </w:p>
    <w:p w14:paraId="4115AA7B">
      <w:pPr>
        <w:tabs>
          <w:tab w:val="left" w:pos="4680"/>
        </w:tabs>
        <w:spacing w:line="360" w:lineRule="auto"/>
        <w:ind w:firstLine="420" w:firstLineChars="200"/>
        <w:jc w:val="left"/>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65B54CAE">
      <w:pPr>
        <w:tabs>
          <w:tab w:val="left" w:pos="4680"/>
        </w:tabs>
        <w:spacing w:line="360" w:lineRule="auto"/>
        <w:ind w:firstLine="420" w:firstLineChars="200"/>
        <w:jc w:val="left"/>
        <w:rPr>
          <w:rFonts w:ascii="宋体" w:hAnsi="宋体"/>
          <w:szCs w:val="21"/>
        </w:rPr>
      </w:pPr>
      <w:r>
        <w:rPr>
          <w:rFonts w:hint="eastAsia" w:ascii="宋体" w:hAnsi="宋体"/>
          <w:szCs w:val="21"/>
        </w:rPr>
        <w:t>4.基金管理人应保证其发送的注册登记数据的接口规范与基金托管人的接口规范保持一致。</w:t>
      </w:r>
    </w:p>
    <w:p w14:paraId="5BC8F042">
      <w:pPr>
        <w:tabs>
          <w:tab w:val="left" w:pos="4680"/>
        </w:tabs>
        <w:spacing w:line="360" w:lineRule="auto"/>
        <w:ind w:firstLine="420" w:firstLineChars="200"/>
        <w:jc w:val="left"/>
        <w:rPr>
          <w:rFonts w:ascii="宋体" w:hAnsi="宋体"/>
          <w:szCs w:val="21"/>
        </w:rPr>
      </w:pPr>
      <w:r>
        <w:rPr>
          <w:rFonts w:hint="eastAsia" w:ascii="宋体" w:hAnsi="宋体"/>
          <w:szCs w:val="21"/>
        </w:rPr>
        <w:t>5.基金注册登记清算专用账户的开立和管理</w:t>
      </w:r>
    </w:p>
    <w:p w14:paraId="08E61A52">
      <w:pPr>
        <w:tabs>
          <w:tab w:val="left" w:pos="4680"/>
        </w:tabs>
        <w:spacing w:line="360" w:lineRule="auto"/>
        <w:ind w:firstLine="420" w:firstLineChars="200"/>
        <w:jc w:val="left"/>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14:paraId="7245646B">
      <w:pPr>
        <w:tabs>
          <w:tab w:val="left" w:pos="4680"/>
        </w:tabs>
        <w:spacing w:line="360" w:lineRule="auto"/>
        <w:ind w:firstLine="420" w:firstLineChars="200"/>
        <w:jc w:val="left"/>
        <w:rPr>
          <w:rFonts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基金托管人应予以必要的协助与配合，但不承担相应责任</w:t>
      </w:r>
      <w:r>
        <w:rPr>
          <w:rFonts w:hint="eastAsia" w:ascii="宋体" w:hAnsi="宋体"/>
          <w:kern w:val="21"/>
          <w:szCs w:val="21"/>
        </w:rPr>
        <w:t>。</w:t>
      </w:r>
    </w:p>
    <w:p w14:paraId="0B015979">
      <w:pPr>
        <w:tabs>
          <w:tab w:val="left" w:pos="4680"/>
        </w:tabs>
        <w:spacing w:line="360" w:lineRule="auto"/>
        <w:ind w:firstLine="420" w:firstLineChars="200"/>
        <w:jc w:val="left"/>
        <w:rPr>
          <w:rFonts w:ascii="宋体" w:hAnsi="宋体"/>
          <w:szCs w:val="21"/>
        </w:rPr>
      </w:pPr>
      <w:r>
        <w:rPr>
          <w:rFonts w:hint="eastAsia" w:ascii="宋体" w:hAnsi="宋体"/>
          <w:szCs w:val="21"/>
        </w:rPr>
        <w:t>7.赎回资金的支付</w:t>
      </w:r>
    </w:p>
    <w:p w14:paraId="7B778200">
      <w:pPr>
        <w:tabs>
          <w:tab w:val="left" w:pos="4680"/>
        </w:tabs>
        <w:spacing w:line="360" w:lineRule="auto"/>
        <w:ind w:firstLine="420" w:firstLineChars="200"/>
        <w:jc w:val="left"/>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正确、及时执行合法合规的指令的，责任由基金托管人承担，但不可抗力导致的情形除外。因托管专户中本基金没有足够的资金，导致基金托管人不能按时支付，如是基金管理人的过错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14:paraId="724FE7E3">
      <w:pPr>
        <w:tabs>
          <w:tab w:val="left" w:pos="4680"/>
        </w:tabs>
        <w:spacing w:line="360" w:lineRule="auto"/>
        <w:ind w:firstLine="420" w:firstLineChars="200"/>
        <w:jc w:val="left"/>
        <w:rPr>
          <w:rFonts w:ascii="宋体" w:hAnsi="宋体"/>
          <w:szCs w:val="21"/>
        </w:rPr>
      </w:pPr>
      <w:r>
        <w:rPr>
          <w:rFonts w:hint="eastAsia" w:ascii="宋体" w:hAnsi="宋体"/>
          <w:szCs w:val="21"/>
        </w:rPr>
        <w:t>8.资金支付执行和责任界定</w:t>
      </w:r>
    </w:p>
    <w:p w14:paraId="27F7459D">
      <w:pPr>
        <w:tabs>
          <w:tab w:val="left" w:pos="4680"/>
        </w:tabs>
        <w:spacing w:line="360" w:lineRule="auto"/>
        <w:ind w:firstLine="420" w:firstLineChars="200"/>
        <w:jc w:val="left"/>
        <w:rPr>
          <w:rFonts w:ascii="宋体" w:hAnsi="宋体"/>
          <w:szCs w:val="21"/>
        </w:rPr>
      </w:pPr>
      <w:r>
        <w:rPr>
          <w:rFonts w:hint="eastAsia" w:ascii="宋体" w:hAnsi="宋体"/>
          <w:szCs w:val="21"/>
        </w:rPr>
        <w:t xml:space="preserve"> 除申购款项到达基金托管人处的基金账户需双方按约定方式对账外，净额划出、赎回资金支付时，应按照本协议相关规定执行。若本协议没有规定的按双方协商一致内容执行。</w:t>
      </w:r>
    </w:p>
    <w:p w14:paraId="523BFE86">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13B1CF5A">
      <w:pPr>
        <w:tabs>
          <w:tab w:val="left" w:pos="4680"/>
        </w:tabs>
        <w:spacing w:line="360" w:lineRule="auto"/>
        <w:ind w:firstLine="420" w:firstLineChars="200"/>
        <w:jc w:val="left"/>
        <w:rPr>
          <w:rFonts w:ascii="宋体" w:hAnsi="宋体"/>
          <w:szCs w:val="21"/>
        </w:rPr>
      </w:pPr>
      <w:r>
        <w:rPr>
          <w:rFonts w:hint="eastAsia" w:ascii="宋体" w:hAnsi="宋体"/>
          <w:szCs w:val="21"/>
        </w:rPr>
        <w:t>9.暂停赎回和巨额赎回处理</w:t>
      </w:r>
    </w:p>
    <w:p w14:paraId="37E4076D">
      <w:pPr>
        <w:tabs>
          <w:tab w:val="left" w:pos="4680"/>
        </w:tabs>
        <w:spacing w:line="360" w:lineRule="auto"/>
        <w:ind w:firstLine="420" w:firstLineChars="200"/>
        <w:jc w:val="left"/>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2E0B1B2A">
      <w:pPr>
        <w:pStyle w:val="3"/>
        <w:keepNext w:val="0"/>
        <w:keepLines w:val="0"/>
        <w:autoSpaceDE w:val="0"/>
        <w:autoSpaceDN w:val="0"/>
        <w:adjustRightInd w:val="0"/>
        <w:spacing w:before="0" w:after="0" w:line="360" w:lineRule="auto"/>
        <w:ind w:firstLine="420" w:firstLineChars="200"/>
        <w:textAlignment w:val="baseline"/>
        <w:rPr>
          <w:rFonts w:ascii="宋体" w:hAnsi="宋体"/>
          <w:b w:val="0"/>
          <w:szCs w:val="21"/>
        </w:rPr>
      </w:pPr>
      <w:r>
        <w:rPr>
          <w:rFonts w:hint="eastAsia" w:ascii="宋体" w:hAnsi="宋体" w:eastAsia="宋体"/>
          <w:b w:val="0"/>
          <w:bCs w:val="0"/>
          <w:sz w:val="21"/>
          <w:szCs w:val="21"/>
        </w:rPr>
        <w:t>（六）申购赎回资金结算</w:t>
      </w:r>
    </w:p>
    <w:p w14:paraId="113F3F3B">
      <w:pPr>
        <w:tabs>
          <w:tab w:val="left" w:pos="4680"/>
        </w:tabs>
        <w:autoSpaceDE w:val="0"/>
        <w:autoSpaceDN w:val="0"/>
        <w:adjustRightInd w:val="0"/>
        <w:spacing w:line="360" w:lineRule="auto"/>
        <w:ind w:firstLine="420" w:firstLineChars="200"/>
        <w:jc w:val="left"/>
        <w:textAlignment w:val="baseline"/>
        <w:rPr>
          <w:rFonts w:ascii="宋体" w:hAnsi="宋体"/>
          <w:szCs w:val="21"/>
        </w:rPr>
      </w:pPr>
      <w:r>
        <w:rPr>
          <w:rFonts w:hint="eastAsia" w:ascii="宋体" w:hAnsi="宋体"/>
          <w:szCs w:val="21"/>
        </w:rPr>
        <w:t>基金托管资金账户与“基金清算账户”间的资金结算遵循“全额清算、净额交收”的原则，每日按照托管资金账户应收资金与应付资金的差额来确定托管资金账户净应收额或净应付额，以此确定资金交收额。当存在托管资金账户净应收额时，基金管理人应在资金交收日及时从基金清算账户划到基金托管资金账户；当存在托管资金账户净应付额时，基金管理人应在资金交收日及时将划款指令发送给基金托管人，基金托管人按基金管理人的划款指令将托管资金账户净应付额在资金交收日及时划往基金清算账户。</w:t>
      </w:r>
    </w:p>
    <w:p w14:paraId="38C39E82">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（七）基金转换</w:t>
      </w:r>
    </w:p>
    <w:p w14:paraId="78F6BECD">
      <w:pPr>
        <w:tabs>
          <w:tab w:val="left" w:pos="4680"/>
        </w:tabs>
        <w:spacing w:line="360" w:lineRule="auto"/>
        <w:ind w:firstLine="420" w:firstLineChars="200"/>
        <w:jc w:val="left"/>
        <w:rPr>
          <w:rFonts w:ascii="宋体" w:hAnsi="宋体"/>
          <w:szCs w:val="21"/>
        </w:rPr>
      </w:pPr>
      <w:r>
        <w:rPr>
          <w:rFonts w:hint="eastAsia" w:ascii="宋体" w:hAnsi="宋体"/>
          <w:szCs w:val="21"/>
        </w:rPr>
        <w:t>基金管理人与基金托管人按照相关法律法规、《基金合同》、以及本协议的规定办理基金转换。</w:t>
      </w:r>
    </w:p>
    <w:p w14:paraId="79442AFB">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hint="eastAsia" w:ascii="宋体" w:hAnsi="宋体" w:eastAsia="宋体"/>
          <w:b w:val="0"/>
          <w:bCs w:val="0"/>
          <w:sz w:val="21"/>
          <w:szCs w:val="21"/>
        </w:rPr>
        <w:t>（</w:t>
      </w:r>
      <w:r>
        <w:rPr>
          <w:rFonts w:ascii="宋体" w:hAnsi="宋体" w:eastAsia="宋体"/>
          <w:b w:val="0"/>
          <w:bCs w:val="0"/>
          <w:sz w:val="21"/>
          <w:szCs w:val="21"/>
        </w:rPr>
        <w:t>八</w:t>
      </w:r>
      <w:r>
        <w:rPr>
          <w:rFonts w:hint="eastAsia" w:ascii="宋体" w:hAnsi="宋体" w:eastAsia="宋体"/>
          <w:b w:val="0"/>
          <w:bCs w:val="0"/>
          <w:sz w:val="21"/>
          <w:szCs w:val="21"/>
        </w:rPr>
        <w:t>）</w:t>
      </w:r>
      <w:r>
        <w:rPr>
          <w:rFonts w:ascii="宋体" w:hAnsi="宋体" w:eastAsia="宋体"/>
          <w:b w:val="0"/>
          <w:bCs w:val="0"/>
          <w:sz w:val="21"/>
          <w:szCs w:val="21"/>
        </w:rPr>
        <w:t>基金出现超买或超卖的责任认定及处理程序</w:t>
      </w:r>
    </w:p>
    <w:p w14:paraId="6EB074D1">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11时之前划拨资金，用以完成清算交收。</w:t>
      </w:r>
    </w:p>
    <w:p w14:paraId="4088EA90">
      <w:pPr>
        <w:spacing w:before="312" w:beforeLines="100" w:after="312" w:afterLines="100" w:line="240" w:lineRule="atLeast"/>
        <w:jc w:val="center"/>
        <w:outlineLvl w:val="0"/>
        <w:rPr>
          <w:rFonts w:ascii="宋体" w:hAnsi="宋体"/>
        </w:rPr>
      </w:pPr>
      <w:bookmarkStart w:id="46" w:name="_Toc382819103"/>
      <w:r>
        <w:rPr>
          <w:rFonts w:hint="eastAsia" w:ascii="宋体" w:hAnsi="宋体"/>
          <w:b/>
          <w:sz w:val="24"/>
        </w:rPr>
        <w:t>七、基金资产净值计算和会计核算</w:t>
      </w:r>
      <w:bookmarkEnd w:id="46"/>
    </w:p>
    <w:p w14:paraId="44BA41EF">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7" w:name="_Toc382819104"/>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47"/>
    </w:p>
    <w:p w14:paraId="3F5C8301">
      <w:pPr>
        <w:spacing w:line="440" w:lineRule="atLeast"/>
        <w:ind w:right="28"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基金资产净值是指基金资产总值减去基金负债后的价值。</w:t>
      </w:r>
      <w:r>
        <w:rPr>
          <w:rFonts w:hint="eastAsia" w:ascii="宋体" w:hAnsi="宋体"/>
          <w:bCs/>
          <w:szCs w:val="21"/>
        </w:rPr>
        <w:t>各类</w:t>
      </w:r>
      <w:r>
        <w:rPr>
          <w:rFonts w:ascii="宋体" w:hAnsi="宋体"/>
          <w:szCs w:val="21"/>
        </w:rPr>
        <w:t>基金份额净值是按照每个</w:t>
      </w:r>
      <w:r>
        <w:rPr>
          <w:rFonts w:hint="eastAsia" w:ascii="宋体" w:hAnsi="宋体"/>
          <w:szCs w:val="21"/>
        </w:rPr>
        <w:t>估值</w:t>
      </w:r>
      <w:r>
        <w:rPr>
          <w:rFonts w:ascii="宋体" w:hAnsi="宋体"/>
          <w:szCs w:val="21"/>
        </w:rPr>
        <w:t>日闭市后</w:t>
      </w:r>
      <w:r>
        <w:rPr>
          <w:rFonts w:hint="eastAsia" w:ascii="宋体" w:hAnsi="宋体"/>
          <w:szCs w:val="21"/>
        </w:rPr>
        <w:t>，各类基金份额的基金资产净值分别除以当日该类基金份额的余额数量计算，均精确到0.0001元，小数点后第5位四舍五入。基金管理人可以设立大额赎回情形下的净值精度应急调整机制。</w:t>
      </w:r>
      <w:r>
        <w:rPr>
          <w:rFonts w:ascii="宋体" w:hAnsi="宋体"/>
          <w:szCs w:val="21"/>
        </w:rPr>
        <w:t>国家另有规定的，从其规定。</w:t>
      </w:r>
    </w:p>
    <w:p w14:paraId="366A7828">
      <w:pPr>
        <w:spacing w:line="440" w:lineRule="atLeast"/>
        <w:ind w:right="28"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基金管理人应每个估值日对基金资产估值。但基金管理人根据法律法规或基金合同的规定暂停估值时除外。估值原则应符合《基金合同》、《证券投资基金会计核算业务指引》及其他法律、法规的规定。</w:t>
      </w:r>
      <w:r>
        <w:rPr>
          <w:rFonts w:hint="eastAsia" w:ascii="宋体" w:hAnsi="宋体" w:cs="宋体"/>
          <w:color w:val="000000"/>
          <w:kern w:val="0"/>
          <w:szCs w:val="21"/>
        </w:rPr>
        <w:t>基金管理人每个估值日计算各类基金份额净值和基金资产净值并以双方认可的方式发送给基金托管人。基金托管人对净值计算结果复核后以双方认可的方式发送给基金管理人，由基金管理人按约定对外公布。如遇特殊情况，经履行适当程序，可以适当延迟计算或公告。</w:t>
      </w:r>
    </w:p>
    <w:p w14:paraId="4A8B999A">
      <w:pPr>
        <w:tabs>
          <w:tab w:val="left" w:pos="900"/>
        </w:tabs>
        <w:spacing w:line="360" w:lineRule="auto"/>
        <w:ind w:right="28"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根据《基金法》，基金管理人计算并公告基金资产净值、基金份额净值，基金托管人复核、审查基金管理人计算的基金资产净值、基金份额净值。本基金的会计责任方是基金管理人，就与本基金有关的会计问题，如经相关各方在平等基础上充分讨论后，仍无法达成一致的意见，按照基金管理人对基金净值信息的计算结果对外予以公布。</w:t>
      </w:r>
    </w:p>
    <w:p w14:paraId="3CB53D2F">
      <w:pPr>
        <w:tabs>
          <w:tab w:val="left" w:pos="900"/>
        </w:tabs>
        <w:spacing w:line="360" w:lineRule="auto"/>
        <w:ind w:right="28" w:firstLine="420" w:firstLineChars="200"/>
        <w:rPr>
          <w:rFonts w:ascii="宋体" w:hAnsi="宋体"/>
          <w:szCs w:val="21"/>
        </w:rPr>
      </w:pPr>
      <w:r>
        <w:rPr>
          <w:rFonts w:hint="eastAsia" w:ascii="宋体" w:hAnsi="宋体"/>
          <w:szCs w:val="21"/>
        </w:rPr>
        <w:t>法律法规以及监管部门有强制规定的，从其规定。如有新增事项，按国家最新规定估值。</w:t>
      </w:r>
    </w:p>
    <w:p w14:paraId="30D4F01F">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8" w:name="_Toc382819105"/>
      <w:r>
        <w:rPr>
          <w:rFonts w:hint="eastAsia" w:ascii="宋体" w:hAnsi="宋体" w:eastAsia="宋体"/>
          <w:b w:val="0"/>
          <w:bCs w:val="0"/>
          <w:sz w:val="21"/>
          <w:szCs w:val="21"/>
        </w:rPr>
        <w:t>（二）基金资产估值</w:t>
      </w:r>
      <w:bookmarkEnd w:id="48"/>
    </w:p>
    <w:p w14:paraId="755D0851">
      <w:pPr>
        <w:spacing w:line="440" w:lineRule="atLeast"/>
        <w:ind w:right="28" w:firstLine="420" w:firstLineChars="200"/>
        <w:rPr>
          <w:rFonts w:ascii="宋体" w:hAnsi="宋体"/>
          <w:szCs w:val="21"/>
        </w:rPr>
      </w:pPr>
      <w:r>
        <w:rPr>
          <w:rFonts w:hint="eastAsia" w:ascii="宋体" w:hAnsi="宋体"/>
          <w:szCs w:val="21"/>
        </w:rPr>
        <w:t>估值原则应符合《基金合同》、《证券投资基金会计核算业务指引》、《企业会计准则》及其他法律法规的规定的约定。</w:t>
      </w:r>
    </w:p>
    <w:p w14:paraId="5AE0D002">
      <w:pPr>
        <w:spacing w:line="440" w:lineRule="atLeast"/>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14:paraId="78F4143F">
      <w:pPr>
        <w:pStyle w:val="3"/>
        <w:keepNext w:val="0"/>
        <w:keepLines w:val="0"/>
        <w:autoSpaceDE w:val="0"/>
        <w:autoSpaceDN w:val="0"/>
        <w:adjustRightInd w:val="0"/>
        <w:spacing w:before="0" w:after="0" w:line="440" w:lineRule="atLeast"/>
        <w:ind w:firstLine="420" w:firstLineChars="200"/>
        <w:textAlignment w:val="baseline"/>
        <w:rPr>
          <w:rFonts w:ascii="宋体" w:hAnsi="宋体"/>
          <w:szCs w:val="21"/>
        </w:rPr>
      </w:pPr>
      <w:r>
        <w:rPr>
          <w:rFonts w:hint="eastAsia" w:ascii="宋体" w:hAnsi="宋体" w:eastAsia="宋体"/>
          <w:b w:val="0"/>
          <w:bCs w:val="0"/>
          <w:sz w:val="21"/>
          <w:szCs w:val="21"/>
        </w:rPr>
        <w:t>（三）实施侧袋机制期间的基金资产估值</w:t>
      </w:r>
    </w:p>
    <w:p w14:paraId="77EFD701">
      <w:pPr>
        <w:spacing w:line="440" w:lineRule="atLeast"/>
        <w:ind w:right="28" w:firstLine="420" w:firstLineChars="200"/>
        <w:rPr>
          <w:rFonts w:ascii="宋体" w:hAnsi="宋体"/>
          <w:szCs w:val="21"/>
        </w:rPr>
      </w:pPr>
      <w:r>
        <w:rPr>
          <w:rFonts w:hint="eastAsia" w:ascii="宋体" w:hAnsi="宋体"/>
          <w:szCs w:val="21"/>
        </w:rPr>
        <w:t>本基金实施侧袋机制的，应根据本部分的约定对主袋账户资产进行估值并披露主袋账户的基金净值信息，暂停披露侧袋账户份额净值。</w:t>
      </w:r>
    </w:p>
    <w:p w14:paraId="10E473F5">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9" w:name="_Toc382819106"/>
      <w:r>
        <w:rPr>
          <w:rFonts w:hint="eastAsia" w:ascii="宋体" w:hAnsi="宋体" w:eastAsia="宋体"/>
          <w:b w:val="0"/>
          <w:bCs w:val="0"/>
          <w:sz w:val="21"/>
          <w:szCs w:val="21"/>
        </w:rPr>
        <w:t>（四）估值错误处理</w:t>
      </w:r>
      <w:bookmarkEnd w:id="49"/>
    </w:p>
    <w:p w14:paraId="3D0369B3">
      <w:pPr>
        <w:spacing w:line="440" w:lineRule="atLeast"/>
        <w:ind w:right="28" w:firstLine="420" w:firstLineChars="200"/>
        <w:rPr>
          <w:rFonts w:ascii="宋体" w:hAnsi="宋体"/>
          <w:szCs w:val="21"/>
        </w:rPr>
      </w:pPr>
      <w:bookmarkStart w:id="50" w:name="_Toc382819107"/>
      <w:r>
        <w:rPr>
          <w:rFonts w:hint="eastAsia" w:ascii="宋体" w:hAnsi="宋体"/>
          <w:szCs w:val="21"/>
        </w:rPr>
        <w:t>1.当任一类基金份额净值小数点后</w:t>
      </w:r>
      <w:r>
        <w:rPr>
          <w:rFonts w:ascii="宋体" w:hAnsi="宋体"/>
          <w:szCs w:val="21"/>
        </w:rPr>
        <w:t>4位以内(含第4位)</w:t>
      </w:r>
      <w:r>
        <w:rPr>
          <w:rFonts w:hint="eastAsia" w:ascii="宋体" w:hAnsi="宋体"/>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50"/>
    </w:p>
    <w:p w14:paraId="76FF640C">
      <w:pPr>
        <w:spacing w:line="440" w:lineRule="atLeast"/>
        <w:ind w:right="28" w:firstLine="420" w:firstLineChars="200"/>
        <w:rPr>
          <w:rFonts w:ascii="宋体" w:hAnsi="宋体"/>
          <w:szCs w:val="21"/>
        </w:rPr>
      </w:pPr>
      <w:bookmarkStart w:id="51" w:name="_Toc382819108"/>
      <w:r>
        <w:rPr>
          <w:rFonts w:hint="eastAsia" w:ascii="宋体" w:hAnsi="宋体"/>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51"/>
    </w:p>
    <w:p w14:paraId="2FCABB64">
      <w:pPr>
        <w:spacing w:line="440" w:lineRule="atLeast"/>
        <w:ind w:right="28" w:firstLine="420" w:firstLineChars="200"/>
        <w:rPr>
          <w:rFonts w:ascii="宋体" w:hAnsi="宋体"/>
          <w:szCs w:val="21"/>
        </w:rPr>
      </w:pPr>
      <w:bookmarkStart w:id="52" w:name="_Toc382819109"/>
      <w:r>
        <w:rPr>
          <w:rFonts w:hint="eastAsia" w:ascii="宋体" w:hAnsi="宋体"/>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E19F6DC">
      <w:pPr>
        <w:spacing w:line="440" w:lineRule="atLeast"/>
        <w:ind w:right="28"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33744A79">
      <w:pPr>
        <w:spacing w:line="440" w:lineRule="atLeast"/>
        <w:ind w:right="28"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）由于基金管理人提供的信息错误（包括但不限于基金申购或赎回金额等），导致基金份额净值计算错误而引起的基金份额持有人和基金财产的损失，由基金管理人负责赔付。</w:t>
      </w:r>
      <w:bookmarkEnd w:id="52"/>
      <w:bookmarkStart w:id="53" w:name="_Toc382819110"/>
    </w:p>
    <w:p w14:paraId="08B11262">
      <w:pPr>
        <w:spacing w:line="440" w:lineRule="atLeast"/>
        <w:ind w:right="28" w:firstLine="420" w:firstLineChars="200"/>
        <w:rPr>
          <w:rFonts w:ascii="宋体" w:hAnsi="宋体"/>
          <w:szCs w:val="21"/>
        </w:rPr>
      </w:pPr>
      <w:r>
        <w:rPr>
          <w:rFonts w:hint="eastAsia" w:ascii="宋体" w:hAnsi="宋体"/>
          <w:szCs w:val="21"/>
        </w:rPr>
        <w:t>3.由于不可抗力原因，或由于证券/期货交易所、登记结算公司、证券/期货经纪机构、存款银行、第三方估值基准服务机构等第三方机构发送的数据错误、遗漏，有关会计制度变化等非基金管理人与基金托管人原因，基金管理人和基金托管人虽然已经采取必要、适当、合理的措施进行检查，但未能发现该错误、遗漏的，由此造成的基金资产估值错误，基金管理人和基金托管人免除赔偿责任。</w:t>
      </w:r>
      <w:bookmarkEnd w:id="53"/>
      <w:bookmarkStart w:id="54" w:name="_Toc382819111"/>
    </w:p>
    <w:p w14:paraId="5739F051">
      <w:pPr>
        <w:spacing w:line="440" w:lineRule="atLeast"/>
        <w:ind w:right="28" w:firstLine="420" w:firstLineChars="200"/>
        <w:rPr>
          <w:rFonts w:ascii="宋体" w:hAnsi="宋体"/>
          <w:szCs w:val="21"/>
        </w:rPr>
      </w:pPr>
      <w:r>
        <w:rPr>
          <w:rFonts w:hint="eastAsia" w:ascii="宋体" w:hAnsi="宋体"/>
          <w:szCs w:val="21"/>
        </w:rPr>
        <w:t>4.基金管理人和基金托管人由于各自技术系统设置而产生的净值计算尾差，以基金管理人计算结果为准。</w:t>
      </w:r>
      <w:bookmarkEnd w:id="54"/>
      <w:bookmarkStart w:id="55" w:name="_Toc382819112"/>
    </w:p>
    <w:p w14:paraId="5DF7CE52">
      <w:pPr>
        <w:spacing w:line="440" w:lineRule="atLeast"/>
        <w:ind w:right="28" w:firstLine="420" w:firstLineChars="200"/>
        <w:rPr>
          <w:rFonts w:ascii="宋体" w:hAnsi="宋体"/>
          <w:szCs w:val="21"/>
        </w:rPr>
      </w:pPr>
      <w:r>
        <w:rPr>
          <w:rFonts w:hint="eastAsia" w:ascii="宋体" w:hAnsi="宋体"/>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End w:id="55"/>
      <w:bookmarkStart w:id="56" w:name="_Toc382819113"/>
    </w:p>
    <w:p w14:paraId="682286C2">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（五）暂停估值与公告基金份额净值的情形</w:t>
      </w:r>
      <w:bookmarkEnd w:id="56"/>
      <w:bookmarkStart w:id="57" w:name="_Toc382819114"/>
    </w:p>
    <w:p w14:paraId="3DEDD498">
      <w:pPr>
        <w:spacing w:line="440" w:lineRule="atLeast"/>
        <w:ind w:right="28" w:firstLine="420" w:firstLineChars="200"/>
        <w:rPr>
          <w:rFonts w:ascii="宋体" w:hAnsi="宋体"/>
          <w:bCs/>
          <w:szCs w:val="21"/>
        </w:rPr>
      </w:pPr>
      <w:r>
        <w:rPr>
          <w:rFonts w:ascii="宋体" w:hAnsi="宋体"/>
          <w:bCs/>
          <w:szCs w:val="21"/>
        </w:rPr>
        <w:t>1</w:t>
      </w:r>
      <w:r>
        <w:rPr>
          <w:rFonts w:hint="eastAsia" w:ascii="宋体" w:hAnsi="宋体"/>
          <w:bCs/>
          <w:szCs w:val="21"/>
        </w:rPr>
        <w:t>．</w:t>
      </w:r>
      <w:r>
        <w:rPr>
          <w:rFonts w:ascii="宋体" w:hAnsi="宋体"/>
          <w:bCs/>
          <w:szCs w:val="21"/>
        </w:rPr>
        <w:t>基金投资所涉及的证券</w:t>
      </w:r>
      <w:r>
        <w:rPr>
          <w:rFonts w:hint="eastAsia" w:ascii="宋体" w:hAnsi="宋体"/>
          <w:bCs/>
          <w:szCs w:val="21"/>
        </w:rPr>
        <w:t>/</w:t>
      </w:r>
      <w:r>
        <w:rPr>
          <w:rFonts w:ascii="宋体" w:hAnsi="宋体"/>
          <w:bCs/>
          <w:szCs w:val="21"/>
        </w:rPr>
        <w:t>期货交易市场</w:t>
      </w:r>
      <w:r>
        <w:rPr>
          <w:rFonts w:hint="eastAsia" w:ascii="宋体" w:hAnsi="宋体"/>
          <w:bCs/>
          <w:szCs w:val="21"/>
        </w:rPr>
        <w:t>或外汇市场</w:t>
      </w:r>
      <w:r>
        <w:rPr>
          <w:rFonts w:ascii="宋体" w:hAnsi="宋体"/>
          <w:bCs/>
          <w:szCs w:val="21"/>
        </w:rPr>
        <w:t>遇法定节假日或因其他原因暂停营业时；</w:t>
      </w:r>
    </w:p>
    <w:p w14:paraId="68018D74">
      <w:pPr>
        <w:spacing w:line="440" w:lineRule="atLeast"/>
        <w:ind w:right="28" w:firstLine="420" w:firstLineChars="200"/>
        <w:rPr>
          <w:rFonts w:ascii="宋体" w:hAnsi="宋体"/>
          <w:bCs/>
          <w:szCs w:val="21"/>
        </w:rPr>
      </w:pPr>
      <w:r>
        <w:rPr>
          <w:rFonts w:ascii="宋体" w:hAnsi="宋体"/>
          <w:bCs/>
          <w:szCs w:val="21"/>
        </w:rPr>
        <w:t>2</w:t>
      </w:r>
      <w:r>
        <w:rPr>
          <w:rFonts w:hint="eastAsia" w:ascii="宋体" w:hAnsi="宋体"/>
          <w:bCs/>
          <w:szCs w:val="21"/>
        </w:rPr>
        <w:t>．</w:t>
      </w:r>
      <w:r>
        <w:rPr>
          <w:rFonts w:ascii="宋体" w:hAnsi="宋体"/>
          <w:bCs/>
          <w:szCs w:val="21"/>
        </w:rPr>
        <w:t>因不可抗力</w:t>
      </w:r>
      <w:r>
        <w:rPr>
          <w:rFonts w:hint="eastAsia" w:ascii="宋体" w:hAnsi="宋体"/>
          <w:bCs/>
          <w:szCs w:val="21"/>
        </w:rPr>
        <w:t>或其他情形</w:t>
      </w:r>
      <w:r>
        <w:rPr>
          <w:rFonts w:ascii="宋体" w:hAnsi="宋体"/>
          <w:bCs/>
          <w:szCs w:val="21"/>
        </w:rPr>
        <w:t>致使基金管理人、基金托管人无法准确评估基金资产价值时；</w:t>
      </w:r>
    </w:p>
    <w:p w14:paraId="1E9C8ADC">
      <w:pPr>
        <w:spacing w:line="440" w:lineRule="atLeast"/>
        <w:ind w:right="28" w:firstLine="420" w:firstLineChars="200"/>
        <w:rPr>
          <w:rFonts w:ascii="宋体" w:hAnsi="宋体"/>
          <w:bCs/>
          <w:szCs w:val="21"/>
        </w:rPr>
      </w:pPr>
      <w:r>
        <w:rPr>
          <w:rFonts w:ascii="宋体" w:hAnsi="宋体"/>
          <w:bCs/>
          <w:szCs w:val="21"/>
        </w:rPr>
        <w:t>3</w:t>
      </w:r>
      <w:r>
        <w:rPr>
          <w:rFonts w:hint="eastAsia" w:ascii="宋体" w:hAnsi="宋体"/>
          <w:bCs/>
          <w:szCs w:val="21"/>
        </w:rPr>
        <w:t>．当特定资产占前一估值日基金资产净值50%以上的，经与基金托管人协商确认后，基金管理人应当暂停估值；</w:t>
      </w:r>
    </w:p>
    <w:p w14:paraId="664855FF">
      <w:pPr>
        <w:spacing w:line="440" w:lineRule="atLeast"/>
        <w:ind w:right="28" w:firstLine="420" w:firstLineChars="200"/>
        <w:rPr>
          <w:rFonts w:ascii="宋体" w:hAnsi="宋体"/>
          <w:szCs w:val="21"/>
        </w:rPr>
      </w:pPr>
      <w:r>
        <w:rPr>
          <w:rFonts w:hint="eastAsia" w:ascii="宋体" w:hAnsi="宋体"/>
          <w:bCs/>
          <w:szCs w:val="21"/>
        </w:rPr>
        <w:t>4．法律法规、</w:t>
      </w:r>
      <w:r>
        <w:rPr>
          <w:rFonts w:ascii="宋体" w:hAnsi="宋体"/>
          <w:bCs/>
          <w:szCs w:val="21"/>
        </w:rPr>
        <w:t>中国证监会和基金合同认定的其它情形</w:t>
      </w:r>
      <w:bookmarkEnd w:id="57"/>
      <w:r>
        <w:rPr>
          <w:rFonts w:hint="eastAsia" w:ascii="宋体" w:hAnsi="宋体"/>
          <w:szCs w:val="21"/>
        </w:rPr>
        <w:t>。</w:t>
      </w:r>
      <w:bookmarkStart w:id="58" w:name="_Toc382819116"/>
    </w:p>
    <w:p w14:paraId="3491479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（六）基金账册的建立</w:t>
      </w:r>
      <w:bookmarkEnd w:id="58"/>
    </w:p>
    <w:p w14:paraId="19B90E03">
      <w:pPr>
        <w:spacing w:line="360" w:lineRule="auto"/>
        <w:ind w:firstLine="420" w:firstLineChars="200"/>
        <w:rPr>
          <w:rFonts w:ascii="宋体" w:hAnsi="宋体"/>
          <w:szCs w:val="21"/>
        </w:rPr>
      </w:pPr>
      <w:r>
        <w:rPr>
          <w:rFonts w:hint="eastAsia" w:ascii="宋体" w:hAnsi="宋体"/>
          <w:szCs w:val="21"/>
        </w:rPr>
        <w:t>1.基金管理人和基金托管人在《基金合同》生效后，应按照相关各方约定的同一记账方法和会计处理原则，分别独立地设置、登记和保管本基金的全套账册，对相关各方各自的账册定期进行核对，互相监督，以保证基金资产的安全。若双方对会计处理方法存在分歧，应以基金管理人的处理方法为准。</w:t>
      </w:r>
    </w:p>
    <w:p w14:paraId="5F4B8A5C">
      <w:pPr>
        <w:spacing w:line="360" w:lineRule="auto"/>
        <w:ind w:firstLine="420" w:firstLineChars="200"/>
        <w:rPr>
          <w:rFonts w:ascii="宋体" w:hAnsi="宋体"/>
          <w:szCs w:val="21"/>
        </w:rPr>
      </w:pPr>
      <w:r>
        <w:rPr>
          <w:rFonts w:hint="eastAsia" w:ascii="宋体" w:hAnsi="宋体"/>
          <w:szCs w:val="21"/>
        </w:rPr>
        <w:t>2.经对账发现相关各方的账目存在不符的，基金管理人和基金托管人必须及时查明原因并纠正，保证相关各方平行登记的账册记录完全相符。若当日核对不符，暂时无法查找到错账的原因而影响到基金净值信息的计算和公告的，以基金管理人的账册为准。</w:t>
      </w:r>
    </w:p>
    <w:p w14:paraId="3ABD3193">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9" w:name="_Toc382819117"/>
      <w:r>
        <w:rPr>
          <w:rFonts w:hint="eastAsia" w:ascii="宋体" w:hAnsi="宋体" w:eastAsia="宋体"/>
          <w:b w:val="0"/>
          <w:bCs w:val="0"/>
          <w:sz w:val="21"/>
          <w:szCs w:val="21"/>
        </w:rPr>
        <w:t>（七）基金定期报告的编制和复核</w:t>
      </w:r>
      <w:bookmarkEnd w:id="59"/>
    </w:p>
    <w:p w14:paraId="5FCB8A2B">
      <w:pPr>
        <w:spacing w:line="360" w:lineRule="auto"/>
        <w:ind w:firstLine="420" w:firstLineChars="200"/>
        <w:rPr>
          <w:rFonts w:ascii="宋体" w:hAnsi="宋体"/>
          <w:szCs w:val="21"/>
        </w:rPr>
      </w:pPr>
      <w:r>
        <w:rPr>
          <w:rFonts w:hint="eastAsia" w:ascii="宋体" w:hAnsi="宋体"/>
          <w:szCs w:val="21"/>
        </w:rPr>
        <w:t>1.基金财务报表由基金管理人和基金托管人每月分别独立编制。月度报表的编制，应于每月终了后5个工作日内完成。</w:t>
      </w:r>
    </w:p>
    <w:p w14:paraId="3877A025">
      <w:pPr>
        <w:spacing w:line="360" w:lineRule="auto"/>
        <w:ind w:firstLine="420" w:firstLineChars="200"/>
        <w:rPr>
          <w:rFonts w:ascii="宋体" w:hAnsi="宋体"/>
          <w:szCs w:val="21"/>
        </w:rPr>
      </w:pPr>
      <w:r>
        <w:rPr>
          <w:rFonts w:hint="eastAsia" w:ascii="宋体" w:hAnsi="宋体"/>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基金合同生效不足2个月的，基金管理人可以不编制当期季度报告、中期报告或者年度报告。</w:t>
      </w:r>
    </w:p>
    <w:p w14:paraId="20A27E22">
      <w:pPr>
        <w:spacing w:line="360" w:lineRule="auto"/>
        <w:ind w:firstLine="420" w:firstLineChars="200"/>
        <w:rPr>
          <w:rFonts w:ascii="宋体" w:hAnsi="宋体"/>
          <w:szCs w:val="21"/>
        </w:rPr>
      </w:pPr>
      <w:r>
        <w:rPr>
          <w:rFonts w:hint="eastAsia" w:ascii="宋体" w:hAnsi="宋体"/>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50A5E28A">
      <w:pPr>
        <w:spacing w:line="360" w:lineRule="auto"/>
        <w:ind w:firstLine="420" w:firstLineChars="200"/>
        <w:rPr>
          <w:rFonts w:ascii="宋体" w:hAnsi="宋体"/>
          <w:szCs w:val="21"/>
        </w:rPr>
      </w:pPr>
      <w:r>
        <w:rPr>
          <w:rFonts w:hint="eastAsia" w:ascii="宋体" w:hAnsi="宋体"/>
          <w:szCs w:val="21"/>
        </w:rPr>
        <w:t>4.基金托管人在复核过程中，发现相关各方的报表存在不符时，基金管理人和基金托管人应共同查明原因，进行调整，调整以相关各方认可的账务处理方式为准。</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14:paraId="2DE0FBE1">
      <w:pPr>
        <w:spacing w:line="500" w:lineRule="atLeast"/>
        <w:jc w:val="center"/>
        <w:outlineLvl w:val="0"/>
        <w:rPr>
          <w:rFonts w:ascii="宋体" w:hAnsi="宋体"/>
        </w:rPr>
      </w:pPr>
      <w:bookmarkStart w:id="60" w:name="_Toc382819118"/>
      <w:r>
        <w:rPr>
          <w:rFonts w:hint="eastAsia" w:ascii="宋体" w:hAnsi="宋体"/>
          <w:b/>
          <w:sz w:val="24"/>
        </w:rPr>
        <w:t>八、基金收益分配</w:t>
      </w:r>
      <w:bookmarkEnd w:id="60"/>
    </w:p>
    <w:p w14:paraId="6EE08C5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cs="Arial"/>
          <w:kern w:val="0"/>
          <w:sz w:val="21"/>
          <w:szCs w:val="21"/>
        </w:rPr>
      </w:pPr>
      <w:bookmarkStart w:id="61" w:name="_Toc382819119"/>
      <w:r>
        <w:rPr>
          <w:rFonts w:hint="eastAsia" w:ascii="宋体" w:hAnsi="宋体" w:eastAsia="宋体"/>
          <w:b w:val="0"/>
          <w:bCs w:val="0"/>
          <w:sz w:val="21"/>
          <w:szCs w:val="21"/>
        </w:rPr>
        <w:t>（一）基金收益分配的原则</w:t>
      </w:r>
      <w:bookmarkEnd w:id="61"/>
    </w:p>
    <w:p w14:paraId="7DF381E2">
      <w:pPr>
        <w:spacing w:line="360" w:lineRule="auto"/>
        <w:ind w:firstLine="472" w:firstLineChars="225"/>
        <w:rPr>
          <w:rFonts w:ascii="宋体" w:hAnsi="宋体"/>
          <w:szCs w:val="21"/>
        </w:rPr>
      </w:pPr>
      <w:r>
        <w:rPr>
          <w:rFonts w:hint="eastAsia" w:ascii="宋体" w:hAnsi="宋体"/>
          <w:szCs w:val="21"/>
        </w:rPr>
        <w:t>基金收益分配是指将该基金可供分配利润按收益分配方案确定的分配金额和比例根据持有该基金份额的数量按比例向该基金份额持有人进行分配。</w:t>
      </w:r>
    </w:p>
    <w:p w14:paraId="22E44EC3">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62" w:name="_Toc382819120"/>
    </w:p>
    <w:p w14:paraId="0B4B25B8">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（二）基金收益分配方案的制定和实施程序</w:t>
      </w:r>
      <w:bookmarkEnd w:id="62"/>
    </w:p>
    <w:p w14:paraId="2244C3DF">
      <w:pPr>
        <w:spacing w:line="360" w:lineRule="auto"/>
        <w:ind w:firstLine="472" w:firstLineChars="225"/>
        <w:rPr>
          <w:rFonts w:ascii="宋体" w:hAnsi="宋体"/>
          <w:szCs w:val="21"/>
        </w:rPr>
      </w:pPr>
      <w:r>
        <w:rPr>
          <w:rFonts w:hint="eastAsia" w:ascii="宋体" w:hAnsi="宋体"/>
          <w:szCs w:val="21"/>
        </w:rPr>
        <w:t>基金收益分配方案由基金管理人根据《基金合同》的相关规定制定。</w:t>
      </w:r>
    </w:p>
    <w:p w14:paraId="3A272A9E">
      <w:pPr>
        <w:spacing w:line="360" w:lineRule="auto"/>
        <w:ind w:firstLine="472" w:firstLineChars="225"/>
        <w:rPr>
          <w:rFonts w:ascii="宋体" w:hAnsi="宋体"/>
          <w:szCs w:val="21"/>
        </w:rPr>
      </w:pPr>
      <w:r>
        <w:rPr>
          <w:rFonts w:hint="eastAsia" w:ascii="宋体" w:hAnsi="宋体"/>
          <w:szCs w:val="21"/>
        </w:rPr>
        <w:t>基金收益分配方案由基金管理人拟定，并由基金托管人复核。复核通过后基金管理人应当将收益分配方案依据《信息披露办法》的相关规定在规定媒介公告；如果基金管理人与基金托管人不能于收益分配日之前就收益分配方案达成一致，基金托管人有义务将收益分配方案及相关情况的说明报告中国证监会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388BAB1E">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hint="eastAsia" w:ascii="宋体" w:hAnsi="宋体" w:eastAsia="宋体"/>
          <w:b w:val="0"/>
          <w:bCs w:val="0"/>
          <w:sz w:val="21"/>
          <w:szCs w:val="21"/>
        </w:rPr>
        <w:t>（三）实施侧袋机制期间的收益分配</w:t>
      </w:r>
    </w:p>
    <w:p w14:paraId="3BD2F587">
      <w:pPr>
        <w:spacing w:line="360" w:lineRule="auto"/>
        <w:ind w:firstLine="472" w:firstLineChars="225"/>
        <w:rPr>
          <w:rFonts w:ascii="宋体" w:hAnsi="宋体"/>
          <w:szCs w:val="21"/>
        </w:rPr>
      </w:pPr>
      <w:r>
        <w:rPr>
          <w:rFonts w:hint="eastAsia" w:ascii="宋体" w:hAnsi="宋体"/>
          <w:szCs w:val="21"/>
        </w:rPr>
        <w:t>本基金实施侧袋机制的，侧袋账户不进行收益分配，详见招募说明书的规定。</w:t>
      </w:r>
      <w:bookmarkStart w:id="63" w:name="_Toc382819121"/>
    </w:p>
    <w:p w14:paraId="2B4E2658">
      <w:pPr>
        <w:spacing w:line="500" w:lineRule="atLeast"/>
        <w:jc w:val="center"/>
        <w:outlineLvl w:val="0"/>
        <w:rPr>
          <w:rFonts w:ascii="宋体" w:hAnsi="宋体"/>
        </w:rPr>
      </w:pPr>
      <w:r>
        <w:rPr>
          <w:rFonts w:hint="eastAsia" w:ascii="宋体" w:hAnsi="宋体"/>
          <w:b/>
          <w:sz w:val="24"/>
        </w:rPr>
        <w:t>九、信息披露</w:t>
      </w:r>
      <w:bookmarkEnd w:id="63"/>
    </w:p>
    <w:p w14:paraId="785A3FBA">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cs="Arial"/>
          <w:b w:val="0"/>
          <w:kern w:val="0"/>
          <w:sz w:val="21"/>
          <w:szCs w:val="21"/>
        </w:rPr>
      </w:pPr>
      <w:bookmarkStart w:id="64" w:name="_Toc382819122"/>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64"/>
    </w:p>
    <w:p w14:paraId="5BA64C4B">
      <w:pPr>
        <w:spacing w:line="360" w:lineRule="auto"/>
        <w:ind w:right="28" w:firstLine="420" w:firstLineChars="200"/>
        <w:rPr>
          <w:rFonts w:ascii="宋体" w:hAnsi="宋体"/>
          <w:szCs w:val="21"/>
        </w:rPr>
      </w:pPr>
      <w:r>
        <w:rPr>
          <w:rFonts w:hint="eastAsia" w:ascii="宋体" w:hAnsi="宋体"/>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665E12C0">
      <w:pPr>
        <w:pStyle w:val="11"/>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14:paraId="0B5BD8E5">
      <w:pPr>
        <w:spacing w:line="360" w:lineRule="auto"/>
        <w:ind w:firstLine="420" w:firstLineChars="200"/>
        <w:rPr>
          <w:rFonts w:ascii="宋体" w:hAnsi="宋体"/>
          <w:szCs w:val="21"/>
        </w:rPr>
      </w:pPr>
      <w:r>
        <w:rPr>
          <w:rFonts w:hint="eastAsia" w:ascii="宋体" w:hAnsi="宋体"/>
          <w:szCs w:val="21"/>
        </w:rPr>
        <w:t>2.基金管理人和基金托管人为遵守和服从法院判决、仲裁裁决或中国证监会等监管机构的命令、决定所做出的信息披露或公开；</w:t>
      </w:r>
    </w:p>
    <w:p w14:paraId="29399C1F">
      <w:pPr>
        <w:spacing w:line="360" w:lineRule="auto"/>
        <w:ind w:firstLine="420" w:firstLineChars="200"/>
        <w:rPr>
          <w:rFonts w:ascii="宋体" w:hAnsi="宋体"/>
          <w:szCs w:val="21"/>
        </w:rPr>
      </w:pPr>
      <w:r>
        <w:rPr>
          <w:rFonts w:hint="eastAsia" w:ascii="宋体" w:hAnsi="宋体"/>
          <w:szCs w:val="21"/>
        </w:rPr>
        <w:t>3.基金管理人或基金托管人在要求保密的前提下对自身聘请的外部法律顾问、财务顾问、审计人员、技术顾问等做出的必要信息披露。</w:t>
      </w:r>
    </w:p>
    <w:p w14:paraId="1DC568B8">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（二）信息披露的内容</w:t>
      </w:r>
    </w:p>
    <w:p w14:paraId="1725EF4E">
      <w:pPr>
        <w:tabs>
          <w:tab w:val="left" w:pos="4680"/>
        </w:tabs>
        <w:spacing w:line="360" w:lineRule="auto"/>
        <w:ind w:firstLine="420" w:firstLineChars="200"/>
        <w:rPr>
          <w:rFonts w:ascii="宋体" w:hAnsi="宋体"/>
          <w:szCs w:val="21"/>
        </w:rPr>
      </w:pPr>
      <w:r>
        <w:rPr>
          <w:rFonts w:hint="eastAsia" w:ascii="宋体" w:hAnsi="宋体"/>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6FD1EA54">
      <w:pPr>
        <w:tabs>
          <w:tab w:val="left" w:pos="4680"/>
        </w:tabs>
        <w:spacing w:line="360" w:lineRule="auto"/>
        <w:ind w:firstLine="420" w:firstLineChars="200"/>
        <w:rPr>
          <w:rFonts w:ascii="宋体" w:hAnsi="宋体"/>
          <w:szCs w:val="21"/>
        </w:rPr>
      </w:pPr>
      <w:r>
        <w:rPr>
          <w:rFonts w:hint="eastAsia" w:ascii="宋体" w:hAnsi="宋体"/>
          <w:szCs w:val="21"/>
        </w:rPr>
        <w:t>2.本基金的信息披露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投资资产支持证券/国债期货/股指期货/非公开发行股票/港股通标的股票/股票期权/参与融资业务相关公告、实施侧袋机制期间的信息披露等其他必要的公告文件，由基金管理人拟定并负责公布。</w:t>
      </w:r>
    </w:p>
    <w:p w14:paraId="31BA8804">
      <w:pPr>
        <w:tabs>
          <w:tab w:val="left" w:pos="4680"/>
        </w:tabs>
        <w:spacing w:line="360" w:lineRule="auto"/>
        <w:ind w:firstLine="420" w:firstLineChars="200"/>
        <w:rPr>
          <w:rFonts w:ascii="宋体" w:hAnsi="宋体"/>
          <w:szCs w:val="21"/>
        </w:rPr>
      </w:pPr>
      <w:r>
        <w:rPr>
          <w:rFonts w:hint="eastAsia" w:ascii="宋体" w:hAnsi="宋体"/>
          <w:szCs w:val="21"/>
        </w:rPr>
        <w:t>3.基金管理人与基金托管人应严格遵守《基金合同》所规定的信息披露要求。各类基金净值信息、基金份额申购赎回价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682071E6">
      <w:pPr>
        <w:tabs>
          <w:tab w:val="left" w:pos="4680"/>
        </w:tabs>
        <w:spacing w:line="360" w:lineRule="auto"/>
        <w:ind w:firstLine="420" w:firstLineChars="200"/>
        <w:rPr>
          <w:rFonts w:ascii="宋体" w:hAnsi="宋体"/>
          <w:szCs w:val="21"/>
        </w:rPr>
      </w:pPr>
      <w:bookmarkStart w:id="65" w:name="_Toc382819123"/>
      <w:r>
        <w:rPr>
          <w:rFonts w:hint="eastAsia" w:ascii="宋体" w:hAnsi="宋体"/>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5"/>
    </w:p>
    <w:p w14:paraId="20B48C59">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66" w:name="_Toc382819124"/>
      <w:r>
        <w:rPr>
          <w:rFonts w:hint="eastAsia" w:ascii="宋体" w:hAnsi="宋体" w:eastAsia="宋体"/>
          <w:b w:val="0"/>
          <w:sz w:val="21"/>
          <w:szCs w:val="21"/>
        </w:rPr>
        <w:t>（三）基金管理人和基金托管人在信息披露中的职责和信息披露程序</w:t>
      </w:r>
      <w:bookmarkEnd w:id="66"/>
    </w:p>
    <w:p w14:paraId="386000C9">
      <w:pPr>
        <w:tabs>
          <w:tab w:val="left" w:pos="4680"/>
        </w:tabs>
        <w:spacing w:line="360" w:lineRule="auto"/>
        <w:ind w:firstLine="420" w:firstLineChars="200"/>
        <w:rPr>
          <w:rFonts w:ascii="宋体" w:hAnsi="宋体"/>
          <w:szCs w:val="21"/>
        </w:rPr>
      </w:pPr>
      <w:r>
        <w:rPr>
          <w:rFonts w:hint="eastAsia" w:ascii="宋体" w:hAnsi="宋体"/>
          <w:szCs w:val="21"/>
        </w:rPr>
        <w:t>1.职责</w:t>
      </w:r>
    </w:p>
    <w:p w14:paraId="7B7592F4">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629F8552">
      <w:pPr>
        <w:tabs>
          <w:tab w:val="left" w:pos="4680"/>
        </w:tabs>
        <w:spacing w:line="360" w:lineRule="auto"/>
        <w:ind w:firstLine="420" w:firstLineChars="200"/>
        <w:rPr>
          <w:rFonts w:ascii="宋体" w:hAnsi="宋体"/>
          <w:szCs w:val="21"/>
        </w:rPr>
      </w:pPr>
      <w:r>
        <w:rPr>
          <w:rFonts w:hint="eastAsia" w:ascii="宋体" w:hAnsi="宋体"/>
          <w:szCs w:val="21"/>
        </w:rPr>
        <w:t>2.程序</w:t>
      </w:r>
    </w:p>
    <w:p w14:paraId="17599CCC">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14:paraId="3189140C">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14:paraId="4E63142A">
      <w:pPr>
        <w:autoSpaceDE w:val="0"/>
        <w:autoSpaceDN w:val="0"/>
        <w:adjustRightInd w:val="0"/>
        <w:spacing w:line="360" w:lineRule="auto"/>
        <w:ind w:firstLine="420" w:firstLineChars="200"/>
        <w:rPr>
          <w:rFonts w:ascii="宋体" w:hAnsi="宋体"/>
          <w:szCs w:val="21"/>
        </w:rPr>
      </w:pPr>
      <w:r>
        <w:rPr>
          <w:rFonts w:hint="eastAsia" w:ascii="宋体" w:hAnsi="宋体"/>
          <w:szCs w:val="21"/>
        </w:rPr>
        <w:t>3.信息文本的存放</w:t>
      </w:r>
    </w:p>
    <w:p w14:paraId="1F1BD115">
      <w:pPr>
        <w:autoSpaceDE w:val="0"/>
        <w:autoSpaceDN w:val="0"/>
        <w:adjustRightInd w:val="0"/>
        <w:spacing w:line="360" w:lineRule="auto"/>
        <w:ind w:firstLine="420" w:firstLineChars="200"/>
        <w:rPr>
          <w:rFonts w:ascii="宋体" w:hAnsi="宋体"/>
          <w:szCs w:val="21"/>
        </w:rPr>
      </w:pPr>
      <w:r>
        <w:rPr>
          <w:rFonts w:hint="eastAsia" w:ascii="宋体" w:hAnsi="宋体"/>
          <w:szCs w:val="21"/>
        </w:rPr>
        <w:t>依法必须披露的信息发布后，基金管理人、基金托管人应当按照相关法律法规规定将信息置备于各自住所，供社会公众查阅、复制。投资者在支付工本费后可以获得上述文件的复制件或复印件。</w:t>
      </w:r>
    </w:p>
    <w:p w14:paraId="0FED95F4">
      <w:pPr>
        <w:autoSpaceDE w:val="0"/>
        <w:autoSpaceDN w:val="0"/>
        <w:adjustRightIn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14:paraId="1F38CBA5">
      <w:pPr>
        <w:autoSpaceDE w:val="0"/>
        <w:autoSpaceDN w:val="0"/>
        <w:adjustRightInd w:val="0"/>
        <w:spacing w:line="360" w:lineRule="auto"/>
        <w:ind w:firstLine="420" w:firstLineChars="200"/>
        <w:rPr>
          <w:rFonts w:ascii="宋体" w:hAnsi="宋体"/>
          <w:szCs w:val="21"/>
        </w:rPr>
      </w:pPr>
      <w:r>
        <w:rPr>
          <w:rFonts w:hint="eastAsia" w:ascii="宋体" w:hAnsi="宋体"/>
          <w:szCs w:val="21"/>
        </w:rPr>
        <w:t>4.暂停或延迟披露基金相关信息的情形</w:t>
      </w:r>
    </w:p>
    <w:p w14:paraId="6941AC8E">
      <w:pPr>
        <w:autoSpaceDE w:val="0"/>
        <w:autoSpaceDN w:val="0"/>
        <w:adjustRightInd w:val="0"/>
        <w:spacing w:line="360" w:lineRule="auto"/>
        <w:ind w:firstLine="420" w:firstLineChars="200"/>
        <w:rPr>
          <w:rFonts w:ascii="宋体" w:hAnsi="宋体"/>
          <w:szCs w:val="21"/>
        </w:rPr>
      </w:pPr>
      <w:r>
        <w:rPr>
          <w:rFonts w:hint="eastAsia" w:ascii="宋体" w:hAnsi="宋体"/>
          <w:szCs w:val="21"/>
        </w:rPr>
        <w:t>（1）基金投资所涉及的证券/期货交易所或外汇市场遇法定节假日或因其他原因暂停</w:t>
      </w:r>
      <w:r>
        <w:rPr>
          <w:rFonts w:ascii="宋体" w:hAnsi="宋体"/>
          <w:szCs w:val="21"/>
        </w:rPr>
        <w:t>营业</w:t>
      </w:r>
      <w:r>
        <w:rPr>
          <w:rFonts w:hint="eastAsia" w:ascii="宋体" w:hAnsi="宋体"/>
          <w:szCs w:val="21"/>
        </w:rPr>
        <w:t>时；</w:t>
      </w:r>
    </w:p>
    <w:p w14:paraId="27B3BFE5">
      <w:pPr>
        <w:autoSpaceDE w:val="0"/>
        <w:autoSpaceDN w:val="0"/>
        <w:adjustRightInd w:val="0"/>
        <w:spacing w:line="360" w:lineRule="auto"/>
        <w:ind w:firstLine="420" w:firstLineChars="200"/>
        <w:rPr>
          <w:rFonts w:ascii="宋体" w:hAnsi="宋体"/>
          <w:szCs w:val="21"/>
        </w:rPr>
      </w:pPr>
      <w:r>
        <w:rPr>
          <w:rFonts w:hint="eastAsia" w:ascii="宋体" w:hAnsi="宋体"/>
          <w:szCs w:val="21"/>
        </w:rPr>
        <w:t>（2）不可抗力；</w:t>
      </w:r>
    </w:p>
    <w:p w14:paraId="082574FC">
      <w:pPr>
        <w:autoSpaceDE w:val="0"/>
        <w:autoSpaceDN w:val="0"/>
        <w:adjustRightInd w:val="0"/>
        <w:spacing w:line="360" w:lineRule="auto"/>
        <w:ind w:firstLine="420" w:firstLineChars="200"/>
        <w:rPr>
          <w:rFonts w:ascii="宋体" w:hAnsi="宋体"/>
          <w:szCs w:val="21"/>
        </w:rPr>
      </w:pPr>
      <w:r>
        <w:rPr>
          <w:rFonts w:hint="eastAsia" w:ascii="宋体" w:hAnsi="宋体"/>
          <w:szCs w:val="21"/>
        </w:rPr>
        <w:t>（3）发生暂停估值的情形；</w:t>
      </w:r>
    </w:p>
    <w:p w14:paraId="79FFE98F">
      <w:pPr>
        <w:autoSpaceDE w:val="0"/>
        <w:autoSpaceDN w:val="0"/>
        <w:adjustRightInd w:val="0"/>
        <w:spacing w:line="360" w:lineRule="auto"/>
        <w:ind w:firstLine="420" w:firstLineChars="200"/>
        <w:rPr>
          <w:rFonts w:ascii="宋体" w:hAnsi="宋体"/>
          <w:szCs w:val="21"/>
        </w:rPr>
      </w:pPr>
      <w:r>
        <w:rPr>
          <w:rFonts w:hint="eastAsia" w:ascii="宋体" w:hAnsi="宋体"/>
          <w:szCs w:val="21"/>
        </w:rPr>
        <w:t>（4）法律法规规定、中国证监会或基金合同认定的其他情形。</w:t>
      </w:r>
    </w:p>
    <w:p w14:paraId="0A921B7F">
      <w:pPr>
        <w:spacing w:line="500" w:lineRule="atLeast"/>
        <w:jc w:val="center"/>
        <w:outlineLvl w:val="0"/>
        <w:rPr>
          <w:rFonts w:ascii="宋体" w:hAnsi="宋体"/>
        </w:rPr>
      </w:pPr>
      <w:bookmarkStart w:id="67" w:name="_Toc382819125"/>
      <w:r>
        <w:rPr>
          <w:rFonts w:hint="eastAsia" w:ascii="宋体" w:hAnsi="宋体"/>
          <w:b/>
          <w:sz w:val="24"/>
        </w:rPr>
        <w:t>十、基金费用</w:t>
      </w:r>
      <w:bookmarkEnd w:id="67"/>
    </w:p>
    <w:p w14:paraId="66054EF0">
      <w:pPr>
        <w:spacing w:line="360" w:lineRule="auto"/>
        <w:ind w:right="28" w:firstLine="420" w:firstLineChars="200"/>
        <w:rPr>
          <w:rFonts w:ascii="宋体" w:hAnsi="宋体"/>
          <w:szCs w:val="21"/>
        </w:rPr>
      </w:pPr>
      <w:r>
        <w:rPr>
          <w:rFonts w:hint="eastAsia" w:ascii="宋体" w:hAnsi="宋体"/>
          <w:szCs w:val="21"/>
        </w:rPr>
        <w:t>基金费用按照《基金合同》的约定计提和支付。</w:t>
      </w:r>
      <w:bookmarkStart w:id="68" w:name="_Toc382819126"/>
    </w:p>
    <w:p w14:paraId="46BB48CA">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（一）基金管理人的管理费</w:t>
      </w:r>
    </w:p>
    <w:p w14:paraId="4A403F0E">
      <w:pPr>
        <w:spacing w:line="360" w:lineRule="auto"/>
        <w:ind w:right="28" w:firstLine="420" w:firstLineChars="200"/>
        <w:rPr>
          <w:rFonts w:ascii="宋体" w:hAnsi="宋体"/>
          <w:szCs w:val="21"/>
        </w:rPr>
      </w:pPr>
      <w:r>
        <w:rPr>
          <w:rFonts w:hint="eastAsia" w:ascii="宋体" w:hAnsi="宋体"/>
          <w:szCs w:val="21"/>
        </w:rPr>
        <w:t>本基金的管理费按前一日的基金资产净值的1.20%年费率计提。管理费的计算方法如下：</w:t>
      </w:r>
    </w:p>
    <w:p w14:paraId="6525F7D7">
      <w:pPr>
        <w:spacing w:line="360" w:lineRule="auto"/>
        <w:ind w:right="28" w:firstLine="420" w:firstLineChars="200"/>
        <w:rPr>
          <w:rFonts w:ascii="宋体" w:hAnsi="宋体"/>
          <w:szCs w:val="21"/>
        </w:rPr>
      </w:pPr>
      <w:r>
        <w:rPr>
          <w:rFonts w:hint="eastAsia" w:ascii="宋体" w:hAnsi="宋体"/>
          <w:szCs w:val="21"/>
        </w:rPr>
        <w:t>H＝E×1.20%÷当年天数</w:t>
      </w:r>
    </w:p>
    <w:p w14:paraId="1FB6EAFB">
      <w:pPr>
        <w:spacing w:line="360" w:lineRule="auto"/>
        <w:ind w:right="28" w:firstLine="420" w:firstLineChars="200"/>
        <w:rPr>
          <w:rFonts w:ascii="宋体" w:hAnsi="宋体"/>
          <w:szCs w:val="21"/>
        </w:rPr>
      </w:pPr>
      <w:r>
        <w:rPr>
          <w:rFonts w:hint="eastAsia" w:ascii="宋体" w:hAnsi="宋体"/>
          <w:szCs w:val="21"/>
        </w:rPr>
        <w:t>H为每日应计提的基金管理费</w:t>
      </w:r>
    </w:p>
    <w:p w14:paraId="58DB76A8">
      <w:pPr>
        <w:spacing w:line="360" w:lineRule="auto"/>
        <w:ind w:right="28" w:firstLine="420" w:firstLineChars="200"/>
        <w:rPr>
          <w:rFonts w:ascii="宋体" w:hAnsi="宋体"/>
          <w:szCs w:val="21"/>
        </w:rPr>
      </w:pPr>
      <w:r>
        <w:rPr>
          <w:rFonts w:hint="eastAsia" w:ascii="宋体" w:hAnsi="宋体"/>
          <w:szCs w:val="21"/>
        </w:rPr>
        <w:t>E为前一日的基金资产净值</w:t>
      </w:r>
    </w:p>
    <w:p w14:paraId="6D895351">
      <w:pPr>
        <w:spacing w:line="360" w:lineRule="auto"/>
        <w:ind w:right="28" w:firstLine="420" w:firstLineChars="200"/>
        <w:rPr>
          <w:rFonts w:ascii="宋体" w:hAnsi="宋体"/>
          <w:szCs w:val="21"/>
        </w:rPr>
      </w:pPr>
      <w:r>
        <w:rPr>
          <w:rFonts w:hint="eastAsia" w:ascii="宋体" w:hAnsi="宋体"/>
          <w:szCs w:val="21"/>
        </w:rPr>
        <w:t>基金管理费每日计提，按月支付。经基金管理人与基金托管人双方核对一致后，由基金托管人按照与基金管理人协商一致的方式于次月首日起5个工作日内从基金财产中一次性支付给基金管理人。若遇法定节假日、公休假或不可抗力等，支付日期顺延。</w:t>
      </w:r>
    </w:p>
    <w:p w14:paraId="63163D0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（二）基金托管人的托管费</w:t>
      </w:r>
    </w:p>
    <w:p w14:paraId="04559A14">
      <w:pPr>
        <w:spacing w:line="360" w:lineRule="auto"/>
        <w:ind w:right="28" w:firstLine="420" w:firstLineChars="200"/>
        <w:rPr>
          <w:rFonts w:ascii="宋体" w:hAnsi="宋体"/>
          <w:szCs w:val="21"/>
        </w:rPr>
      </w:pPr>
      <w:r>
        <w:rPr>
          <w:rFonts w:hint="eastAsia" w:ascii="宋体" w:hAnsi="宋体"/>
          <w:szCs w:val="21"/>
        </w:rPr>
        <w:t>本基金的托管费按前一日的基金资产净值的0.20%年费率计提。托管费的计算方法如下：</w:t>
      </w:r>
    </w:p>
    <w:p w14:paraId="7BA0F90D">
      <w:pPr>
        <w:spacing w:line="360" w:lineRule="auto"/>
        <w:ind w:right="28" w:firstLine="420" w:firstLineChars="200"/>
        <w:rPr>
          <w:rFonts w:ascii="宋体" w:hAnsi="宋体"/>
          <w:szCs w:val="21"/>
        </w:rPr>
      </w:pPr>
      <w:r>
        <w:rPr>
          <w:rFonts w:ascii="宋体" w:hAnsi="宋体"/>
          <w:szCs w:val="21"/>
        </w:rPr>
        <w:t>H</w:t>
      </w:r>
      <w:r>
        <w:rPr>
          <w:rFonts w:hint="eastAsia" w:ascii="宋体" w:hAnsi="宋体"/>
          <w:szCs w:val="21"/>
        </w:rPr>
        <w:t>＝</w:t>
      </w:r>
      <w:r>
        <w:rPr>
          <w:rFonts w:ascii="宋体" w:hAnsi="宋体"/>
          <w:szCs w:val="21"/>
        </w:rPr>
        <w:t>E</w:t>
      </w:r>
      <w:r>
        <w:rPr>
          <w:rFonts w:hint="eastAsia" w:ascii="宋体" w:hAnsi="宋体"/>
          <w:szCs w:val="21"/>
        </w:rPr>
        <w:t>×0.20</w:t>
      </w:r>
      <w:r>
        <w:rPr>
          <w:rFonts w:ascii="宋体" w:hAnsi="宋体"/>
          <w:szCs w:val="21"/>
        </w:rPr>
        <w:t>%</w:t>
      </w:r>
      <w:r>
        <w:rPr>
          <w:rFonts w:hint="eastAsia" w:ascii="宋体" w:hAnsi="宋体"/>
          <w:szCs w:val="21"/>
        </w:rPr>
        <w:t>÷当年天数</w:t>
      </w:r>
    </w:p>
    <w:p w14:paraId="6D31245E">
      <w:pPr>
        <w:spacing w:line="360" w:lineRule="auto"/>
        <w:ind w:right="28" w:firstLine="420" w:firstLineChars="200"/>
        <w:rPr>
          <w:rFonts w:ascii="宋体" w:hAnsi="宋体"/>
          <w:szCs w:val="21"/>
        </w:rPr>
      </w:pPr>
      <w:r>
        <w:rPr>
          <w:rFonts w:ascii="宋体" w:hAnsi="宋体"/>
          <w:szCs w:val="21"/>
        </w:rPr>
        <w:t>H</w:t>
      </w:r>
      <w:r>
        <w:rPr>
          <w:rFonts w:hint="eastAsia" w:ascii="宋体" w:hAnsi="宋体"/>
          <w:szCs w:val="21"/>
        </w:rPr>
        <w:t>为每日应计提的基金托管费</w:t>
      </w:r>
    </w:p>
    <w:p w14:paraId="3FB671EC">
      <w:pPr>
        <w:spacing w:line="360" w:lineRule="auto"/>
        <w:ind w:right="28" w:firstLine="420" w:firstLineChars="200"/>
        <w:rPr>
          <w:rFonts w:ascii="宋体" w:hAnsi="宋体"/>
          <w:szCs w:val="21"/>
        </w:rPr>
      </w:pPr>
      <w:r>
        <w:rPr>
          <w:rFonts w:ascii="宋体" w:hAnsi="宋体"/>
          <w:szCs w:val="21"/>
        </w:rPr>
        <w:t>E</w:t>
      </w:r>
      <w:r>
        <w:rPr>
          <w:rFonts w:hint="eastAsia" w:ascii="宋体" w:hAnsi="宋体"/>
          <w:szCs w:val="21"/>
        </w:rPr>
        <w:t>为前一日的基金资产净值</w:t>
      </w:r>
    </w:p>
    <w:p w14:paraId="641C457B">
      <w:pPr>
        <w:spacing w:line="360" w:lineRule="auto"/>
        <w:ind w:right="28" w:firstLine="420" w:firstLineChars="200"/>
        <w:rPr>
          <w:rFonts w:ascii="宋体" w:hAnsi="宋体"/>
          <w:szCs w:val="21"/>
        </w:rPr>
      </w:pPr>
      <w:r>
        <w:rPr>
          <w:rFonts w:hint="eastAsia" w:ascii="宋体" w:hAnsi="宋体"/>
          <w:szCs w:val="21"/>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p>
    <w:p w14:paraId="05893321">
      <w:pPr>
        <w:pStyle w:val="3"/>
        <w:keepNext w:val="0"/>
        <w:keepLines w:val="0"/>
        <w:tabs>
          <w:tab w:val="left" w:pos="1080"/>
        </w:tabs>
        <w:autoSpaceDE w:val="0"/>
        <w:autoSpaceDN w:val="0"/>
        <w:adjustRightInd w:val="0"/>
        <w:spacing w:before="0" w:after="0" w:line="360" w:lineRule="auto"/>
        <w:ind w:right="28" w:firstLine="411" w:firstLineChars="196"/>
        <w:textAlignment w:val="baseline"/>
        <w:rPr>
          <w:rFonts w:ascii="宋体" w:hAnsi="宋体"/>
          <w:szCs w:val="21"/>
        </w:rPr>
      </w:pPr>
      <w:r>
        <w:rPr>
          <w:rFonts w:hint="eastAsia" w:ascii="宋体" w:hAnsi="宋体" w:eastAsia="宋体"/>
          <w:b w:val="0"/>
          <w:sz w:val="21"/>
          <w:szCs w:val="21"/>
        </w:rPr>
        <w:t>（三）销售服务费</w:t>
      </w:r>
    </w:p>
    <w:p w14:paraId="4F92FA49">
      <w:pPr>
        <w:spacing w:line="360" w:lineRule="auto"/>
        <w:ind w:right="28" w:firstLine="420" w:firstLineChars="200"/>
        <w:rPr>
          <w:rFonts w:ascii="宋体" w:hAnsi="宋体"/>
          <w:szCs w:val="21"/>
        </w:rPr>
      </w:pPr>
      <w:r>
        <w:rPr>
          <w:rFonts w:hint="eastAsia" w:ascii="宋体" w:hAnsi="宋体"/>
          <w:szCs w:val="21"/>
        </w:rPr>
        <w:t>本基金A类基金份额不收取销售服务费，C类基金份额的销售服务费按前一日C类基金份额资产净值的0.</w:t>
      </w:r>
      <w:r>
        <w:rPr>
          <w:rFonts w:ascii="宋体" w:hAnsi="宋体"/>
          <w:szCs w:val="21"/>
        </w:rPr>
        <w:t>4</w:t>
      </w:r>
      <w:r>
        <w:rPr>
          <w:rFonts w:hint="eastAsia" w:ascii="宋体" w:hAnsi="宋体"/>
          <w:szCs w:val="21"/>
        </w:rPr>
        <w:t>0%年费率计提。销售服务费的计算方法如下：</w:t>
      </w:r>
    </w:p>
    <w:p w14:paraId="1CB4C9CD">
      <w:pPr>
        <w:spacing w:line="360" w:lineRule="auto"/>
        <w:ind w:right="28" w:firstLine="420" w:firstLineChars="200"/>
        <w:rPr>
          <w:rFonts w:ascii="宋体" w:hAnsi="宋体"/>
          <w:szCs w:val="21"/>
        </w:rPr>
      </w:pPr>
      <w:r>
        <w:rPr>
          <w:rFonts w:hint="eastAsia" w:ascii="宋体" w:hAnsi="宋体"/>
          <w:szCs w:val="21"/>
        </w:rPr>
        <w:t>H＝E×0.</w:t>
      </w:r>
      <w:r>
        <w:rPr>
          <w:rFonts w:ascii="宋体" w:hAnsi="宋体"/>
          <w:szCs w:val="21"/>
        </w:rPr>
        <w:t>4</w:t>
      </w:r>
      <w:r>
        <w:rPr>
          <w:rFonts w:hint="eastAsia" w:ascii="宋体" w:hAnsi="宋体"/>
          <w:szCs w:val="21"/>
        </w:rPr>
        <w:t>0%÷当年天数</w:t>
      </w:r>
    </w:p>
    <w:p w14:paraId="7B277A0C">
      <w:pPr>
        <w:spacing w:line="360" w:lineRule="auto"/>
        <w:ind w:right="28" w:firstLine="420" w:firstLineChars="200"/>
        <w:rPr>
          <w:rFonts w:ascii="宋体" w:hAnsi="宋体"/>
          <w:szCs w:val="21"/>
        </w:rPr>
      </w:pPr>
      <w:r>
        <w:rPr>
          <w:rFonts w:hint="eastAsia" w:ascii="宋体" w:hAnsi="宋体"/>
          <w:szCs w:val="21"/>
        </w:rPr>
        <w:t>H为C类基金份额每日应计提的销售服务费</w:t>
      </w:r>
    </w:p>
    <w:p w14:paraId="5F98DC0D">
      <w:pPr>
        <w:spacing w:line="360" w:lineRule="auto"/>
        <w:ind w:right="28" w:firstLine="420" w:firstLineChars="200"/>
        <w:rPr>
          <w:rFonts w:ascii="宋体" w:hAnsi="宋体"/>
          <w:szCs w:val="21"/>
        </w:rPr>
      </w:pPr>
      <w:r>
        <w:rPr>
          <w:rFonts w:hint="eastAsia" w:ascii="宋体" w:hAnsi="宋体"/>
          <w:szCs w:val="21"/>
        </w:rPr>
        <w:t>E为C类基金份额前一日基金资产净值</w:t>
      </w:r>
    </w:p>
    <w:p w14:paraId="619FC273">
      <w:pPr>
        <w:spacing w:line="360" w:lineRule="auto"/>
        <w:ind w:right="28" w:firstLine="420" w:firstLineChars="200"/>
        <w:rPr>
          <w:rFonts w:ascii="宋体" w:hAnsi="宋体"/>
          <w:szCs w:val="21"/>
        </w:rPr>
      </w:pPr>
      <w:r>
        <w:rPr>
          <w:rFonts w:hint="eastAsia" w:ascii="宋体" w:hAnsi="宋体"/>
          <w:szCs w:val="21"/>
        </w:rPr>
        <w:t>销售服务费每日计提。</w:t>
      </w:r>
    </w:p>
    <w:p w14:paraId="599E56FE">
      <w:pPr>
        <w:spacing w:line="360" w:lineRule="auto"/>
        <w:ind w:right="28" w:firstLine="420" w:firstLineChars="200"/>
        <w:rPr>
          <w:rFonts w:ascii="宋体" w:hAnsi="宋体"/>
          <w:szCs w:val="21"/>
        </w:rPr>
      </w:pPr>
      <w:r>
        <w:rPr>
          <w:rFonts w:hint="eastAsia" w:ascii="宋体" w:hAnsi="宋体"/>
          <w:szCs w:val="21"/>
        </w:rPr>
        <w:t>（1）基金管理人</w:t>
      </w:r>
    </w:p>
    <w:p w14:paraId="5C2BB0F5">
      <w:pPr>
        <w:spacing w:line="360" w:lineRule="auto"/>
        <w:ind w:right="28" w:firstLine="420" w:firstLineChars="200"/>
        <w:rPr>
          <w:rFonts w:ascii="宋体" w:hAnsi="宋体"/>
          <w:szCs w:val="21"/>
        </w:rPr>
      </w:pPr>
      <w:r>
        <w:rPr>
          <w:rFonts w:hint="eastAsia" w:ascii="宋体" w:hAnsi="宋体"/>
          <w:szCs w:val="21"/>
        </w:rPr>
        <w:t>通过基金管理人认购、申购C类基金份额的不收取销售服务费。对于投资者通过基金管理人认（申）购的C类基金份额计提的销售服务费，在投资者赎回基金份额或基金合同终止时，随赎回款（或清算款）一并返还给投资者。</w:t>
      </w:r>
    </w:p>
    <w:p w14:paraId="35AB754C">
      <w:pPr>
        <w:spacing w:line="360" w:lineRule="auto"/>
        <w:ind w:right="28" w:firstLine="420" w:firstLineChars="200"/>
        <w:rPr>
          <w:rFonts w:ascii="宋体" w:hAnsi="宋体"/>
          <w:szCs w:val="21"/>
        </w:rPr>
      </w:pPr>
      <w:r>
        <w:rPr>
          <w:rFonts w:hint="eastAsia" w:ascii="宋体" w:hAnsi="宋体"/>
          <w:szCs w:val="21"/>
        </w:rPr>
        <w:t>若遇法定节假日、休息日或不可抗力等致使无法按时支付的，顺延至最近可支付日支付。</w:t>
      </w:r>
    </w:p>
    <w:p w14:paraId="77488914">
      <w:pPr>
        <w:spacing w:line="360" w:lineRule="auto"/>
        <w:ind w:right="28" w:firstLine="420" w:firstLineChars="200"/>
        <w:rPr>
          <w:rFonts w:ascii="宋体" w:hAnsi="宋体"/>
          <w:szCs w:val="21"/>
        </w:rPr>
      </w:pPr>
      <w:r>
        <w:rPr>
          <w:rFonts w:hint="eastAsia" w:ascii="宋体" w:hAnsi="宋体"/>
          <w:szCs w:val="21"/>
        </w:rPr>
        <w:t>（2）非基金管理人的其他销售机构</w:t>
      </w:r>
    </w:p>
    <w:p w14:paraId="6D94D22F">
      <w:pPr>
        <w:spacing w:line="360" w:lineRule="auto"/>
        <w:ind w:right="28" w:firstLine="420" w:firstLineChars="200"/>
        <w:rPr>
          <w:rFonts w:ascii="宋体" w:hAnsi="宋体"/>
          <w:szCs w:val="21"/>
        </w:rPr>
      </w:pPr>
      <w:r>
        <w:rPr>
          <w:rFonts w:hint="eastAsia" w:ascii="宋体" w:hAnsi="宋体"/>
          <w:szCs w:val="21"/>
        </w:rPr>
        <w:t>对于投资者持续持有期限未超过一年（即365天，下同）的C类基金份额计提的销售服务费，逐日累计至每月月末，按月支付。经基金管理人与基金托管人双方核对一致后，由基金托管人按照与基金管理人协商一致的方式于次月首日起5个工作日内从基金财产中一次性支付给登记机构，由登记机构代付给各个基金销售机构。</w:t>
      </w:r>
    </w:p>
    <w:p w14:paraId="6E4C1E03">
      <w:pPr>
        <w:spacing w:line="360" w:lineRule="auto"/>
        <w:ind w:right="28" w:firstLine="420" w:firstLineChars="200"/>
        <w:rPr>
          <w:rFonts w:ascii="宋体" w:hAnsi="宋体"/>
          <w:szCs w:val="21"/>
        </w:rPr>
      </w:pPr>
      <w:r>
        <w:rPr>
          <w:rFonts w:hint="eastAsia" w:ascii="宋体" w:hAnsi="宋体"/>
          <w:szCs w:val="21"/>
        </w:rPr>
        <w:t>对于投资者持续持有期限超过一年的C类基金份额继续计提的销售服务费，在投资者赎回基金份额或基金合同终止时，随赎回款或清算款一并返还给投资者。</w:t>
      </w:r>
    </w:p>
    <w:p w14:paraId="30425B62">
      <w:pPr>
        <w:spacing w:line="360" w:lineRule="auto"/>
        <w:ind w:right="28" w:firstLine="420" w:firstLineChars="200"/>
        <w:rPr>
          <w:rFonts w:ascii="宋体" w:hAnsi="宋体"/>
          <w:szCs w:val="21"/>
        </w:rPr>
      </w:pPr>
      <w:r>
        <w:rPr>
          <w:rFonts w:hint="eastAsia" w:ascii="宋体" w:hAnsi="宋体"/>
          <w:szCs w:val="21"/>
        </w:rPr>
        <w:t>若遇法定节假日、休息日或不可抗力等致使无法按时支付的，顺延至最近可支付日支付。</w:t>
      </w:r>
    </w:p>
    <w:p w14:paraId="55DA3323">
      <w:pPr>
        <w:spacing w:line="360" w:lineRule="auto"/>
        <w:ind w:right="28" w:firstLine="420" w:firstLineChars="200"/>
        <w:rPr>
          <w:rFonts w:ascii="宋体" w:hAnsi="宋体"/>
          <w:szCs w:val="21"/>
        </w:rPr>
      </w:pPr>
      <w:r>
        <w:rPr>
          <w:rFonts w:hint="eastAsia" w:ascii="宋体" w:hAnsi="宋体"/>
          <w:szCs w:val="21"/>
        </w:rPr>
        <w:t>在基金份额赎回或基金合同终止的情形发生时，基金投资者实际收到的款项可能与按披露的基金份额净值计算的结果存在差异。投资者的实际赎回款（或清算款）以登记机构确认数据为准。</w:t>
      </w:r>
    </w:p>
    <w:p w14:paraId="09FF951C">
      <w:pPr>
        <w:spacing w:line="360" w:lineRule="auto"/>
        <w:ind w:right="28" w:firstLine="420" w:firstLineChars="200"/>
        <w:rPr>
          <w:rFonts w:ascii="宋体" w:hAnsi="宋体"/>
          <w:szCs w:val="21"/>
        </w:rPr>
      </w:pPr>
      <w:r>
        <w:rPr>
          <w:rFonts w:hint="eastAsia" w:ascii="宋体" w:hAnsi="宋体"/>
          <w:szCs w:val="21"/>
        </w:rPr>
        <w:t>在不违反法律法规、基金合同的约定的情况下，基金管理人可根据基金实际运作情况和市场环境变化，经履行适当程序后，对本基金的销售服务费的计提或收取方式进行调整。</w:t>
      </w:r>
    </w:p>
    <w:p w14:paraId="63D7A078">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ascii="宋体" w:hAnsi="宋体" w:eastAsia="宋体"/>
          <w:b w:val="0"/>
          <w:sz w:val="21"/>
          <w:szCs w:val="21"/>
        </w:rPr>
        <w:t>（四）</w:t>
      </w:r>
      <w:r>
        <w:rPr>
          <w:rFonts w:hint="eastAsia" w:ascii="宋体" w:hAnsi="宋体" w:eastAsia="宋体"/>
          <w:b w:val="0"/>
          <w:sz w:val="21"/>
          <w:szCs w:val="21"/>
        </w:rPr>
        <w:t>实施侧袋机制期间的基金费用</w:t>
      </w:r>
    </w:p>
    <w:p w14:paraId="2C504E62">
      <w:pPr>
        <w:spacing w:line="360" w:lineRule="auto"/>
        <w:ind w:right="28" w:firstLine="420" w:firstLineChars="200"/>
        <w:rPr>
          <w:rFonts w:ascii="宋体" w:hAnsi="宋体"/>
          <w:szCs w:val="21"/>
        </w:rPr>
      </w:pPr>
      <w:r>
        <w:rPr>
          <w:rFonts w:hint="eastAsia" w:ascii="宋体" w:hAnsi="宋体"/>
          <w:szCs w:val="21"/>
        </w:rPr>
        <w:t>本基金实施侧袋机制的，与侧袋账户有关的费用可以从侧袋账户中列支，但应待侧袋账户资产变现后方可列支，有关费用可酌情收取或减免，但不得收取基金管理费，详见招募说明书的规定或相关公告。</w:t>
      </w:r>
    </w:p>
    <w:p w14:paraId="314C4119">
      <w:pPr>
        <w:spacing w:line="500" w:lineRule="atLeast"/>
        <w:jc w:val="center"/>
        <w:outlineLvl w:val="0"/>
        <w:rPr>
          <w:rFonts w:ascii="宋体" w:hAnsi="宋体"/>
        </w:rPr>
      </w:pPr>
      <w:r>
        <w:rPr>
          <w:rFonts w:hint="eastAsia" w:ascii="宋体" w:hAnsi="宋体"/>
          <w:b/>
          <w:sz w:val="24"/>
        </w:rPr>
        <w:t>十一、基金份额持有人名册的保管</w:t>
      </w:r>
      <w:bookmarkEnd w:id="68"/>
    </w:p>
    <w:p w14:paraId="75EE5964">
      <w:pPr>
        <w:spacing w:line="360" w:lineRule="auto"/>
        <w:ind w:firstLine="420" w:firstLineChars="200"/>
        <w:rPr>
          <w:rFonts w:ascii="宋体" w:hAnsi="宋体"/>
          <w:szCs w:val="21"/>
        </w:rPr>
      </w:pPr>
      <w:r>
        <w:rPr>
          <w:rFonts w:hint="eastAsia" w:ascii="宋体" w:hAnsi="宋体"/>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1565A095">
      <w:pPr>
        <w:spacing w:line="360" w:lineRule="auto"/>
        <w:ind w:firstLine="420" w:firstLineChars="200"/>
        <w:rPr>
          <w:rFonts w:ascii="宋体" w:hAnsi="宋体"/>
          <w:szCs w:val="21"/>
        </w:rPr>
      </w:pPr>
      <w:r>
        <w:rPr>
          <w:rFonts w:hint="eastAsia" w:ascii="宋体" w:hAnsi="宋体"/>
          <w:szCs w:val="21"/>
        </w:rPr>
        <w:t>基金份额持有人名册由基金的</w:t>
      </w:r>
      <w:r>
        <w:rPr>
          <w:rFonts w:hint="eastAsia" w:ascii="宋体" w:hAnsi="宋体" w:cs="Arial"/>
          <w:szCs w:val="21"/>
        </w:rPr>
        <w:t>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，基金管理人应按照目前相关规则保管基金份额持有人名册。保管方式可以采用电子或文档的形式。保管期限不低于法律法规的规定。</w:t>
      </w:r>
    </w:p>
    <w:p w14:paraId="1A2277CE">
      <w:pPr>
        <w:spacing w:line="360" w:lineRule="auto"/>
        <w:ind w:firstLine="420" w:firstLineChars="200"/>
        <w:rPr>
          <w:rFonts w:ascii="宋体" w:hAnsi="宋体" w:cs="Arial"/>
          <w:szCs w:val="21"/>
        </w:rPr>
      </w:pPr>
      <w:r>
        <w:rPr>
          <w:rFonts w:hint="eastAsia" w:ascii="宋体" w:hAnsi="宋体"/>
          <w:szCs w:val="21"/>
        </w:rPr>
        <w:t>在基金托管人编制中期报告和年度报告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14:paraId="0291C2F1">
      <w:pPr>
        <w:spacing w:line="500" w:lineRule="atLeast"/>
        <w:jc w:val="center"/>
        <w:outlineLvl w:val="0"/>
        <w:rPr>
          <w:rFonts w:ascii="宋体" w:hAnsi="宋体"/>
        </w:rPr>
      </w:pPr>
      <w:bookmarkStart w:id="69" w:name="_Toc382819127"/>
      <w:r>
        <w:rPr>
          <w:rFonts w:hint="eastAsia" w:ascii="宋体" w:hAnsi="宋体"/>
          <w:b/>
          <w:sz w:val="24"/>
        </w:rPr>
        <w:t>十二、基金有关文件和档案的保存</w:t>
      </w:r>
      <w:bookmarkEnd w:id="69"/>
    </w:p>
    <w:p w14:paraId="43F42E31">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（一）档案保存</w:t>
      </w:r>
    </w:p>
    <w:p w14:paraId="13BABCCA">
      <w:pPr>
        <w:spacing w:line="360" w:lineRule="auto"/>
        <w:ind w:firstLine="420" w:firstLineChars="200"/>
        <w:rPr>
          <w:rFonts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的规定。</w:t>
      </w:r>
    </w:p>
    <w:p w14:paraId="7C80BC98">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（二）合同档案的建立</w:t>
      </w:r>
    </w:p>
    <w:p w14:paraId="05EFB4F6">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14:paraId="69D1B1D9">
      <w:pPr>
        <w:spacing w:line="360" w:lineRule="auto"/>
        <w:ind w:firstLine="420" w:firstLineChars="200"/>
        <w:rPr>
          <w:rFonts w:ascii="宋体" w:hAnsi="宋体" w:cs="Arial"/>
          <w:szCs w:val="21"/>
        </w:rPr>
      </w:pPr>
      <w:r>
        <w:rPr>
          <w:rFonts w:hint="eastAsia" w:ascii="宋体" w:hAnsi="宋体" w:cs="Arial"/>
          <w:szCs w:val="21"/>
        </w:rPr>
        <w:t>2.基金管理人和基金托管人应按各自职责保管就基金资产对外签署的全部合同的正本。</w:t>
      </w:r>
    </w:p>
    <w:p w14:paraId="40903941">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（三）变更与协助</w:t>
      </w:r>
    </w:p>
    <w:p w14:paraId="032A1D26">
      <w:pPr>
        <w:spacing w:line="360" w:lineRule="auto"/>
        <w:ind w:firstLine="420" w:firstLineChars="200"/>
        <w:rPr>
          <w:rFonts w:ascii="宋体" w:hAnsi="宋体"/>
          <w:szCs w:val="21"/>
        </w:rPr>
      </w:pPr>
      <w:r>
        <w:rPr>
          <w:rFonts w:hint="eastAsia" w:ascii="宋体" w:hAnsi="宋体" w:cs="Arial"/>
          <w:szCs w:val="21"/>
        </w:rPr>
        <w:t>若基金管理人和基金托管人发生变更，未变更的一方有义务协助变更后的接任人接收相应文件。</w:t>
      </w:r>
    </w:p>
    <w:p w14:paraId="7C978CA8">
      <w:pPr>
        <w:spacing w:line="500" w:lineRule="atLeast"/>
        <w:jc w:val="center"/>
        <w:outlineLvl w:val="0"/>
        <w:rPr>
          <w:rFonts w:ascii="宋体" w:hAnsi="宋体"/>
        </w:rPr>
      </w:pPr>
      <w:bookmarkStart w:id="70" w:name="_Toc382819128"/>
      <w:r>
        <w:rPr>
          <w:rFonts w:hint="eastAsia" w:ascii="宋体" w:hAnsi="宋体"/>
          <w:b/>
          <w:sz w:val="24"/>
        </w:rPr>
        <w:t>十三、基金管理人和基金托管人的更换</w:t>
      </w:r>
      <w:bookmarkEnd w:id="70"/>
    </w:p>
    <w:p w14:paraId="5FDCA84C">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71" w:name="_Toc382819129"/>
      <w:r>
        <w:rPr>
          <w:rFonts w:hint="eastAsia" w:ascii="宋体" w:hAnsi="宋体" w:eastAsia="宋体"/>
          <w:b w:val="0"/>
          <w:sz w:val="21"/>
          <w:szCs w:val="21"/>
        </w:rPr>
        <w:t>（一）基金管理人的更换</w:t>
      </w:r>
      <w:bookmarkEnd w:id="71"/>
    </w:p>
    <w:p w14:paraId="0835FA57">
      <w:pPr>
        <w:spacing w:line="360" w:lineRule="auto"/>
        <w:ind w:firstLine="420" w:firstLineChars="200"/>
        <w:rPr>
          <w:rFonts w:ascii="宋体" w:hAnsi="宋体"/>
          <w:szCs w:val="21"/>
        </w:rPr>
      </w:pPr>
      <w:r>
        <w:rPr>
          <w:rFonts w:hint="eastAsia" w:ascii="宋体" w:hAnsi="宋体"/>
          <w:szCs w:val="21"/>
        </w:rPr>
        <w:t>1.基金管理人的更换条件</w:t>
      </w:r>
    </w:p>
    <w:p w14:paraId="055192D1">
      <w:pPr>
        <w:spacing w:line="360" w:lineRule="auto"/>
        <w:ind w:firstLine="420" w:firstLineChars="200"/>
        <w:rPr>
          <w:rFonts w:ascii="宋体" w:hAnsi="宋体"/>
          <w:szCs w:val="21"/>
        </w:rPr>
      </w:pPr>
      <w:r>
        <w:rPr>
          <w:rFonts w:hint="eastAsia" w:ascii="宋体" w:hAnsi="宋体"/>
          <w:szCs w:val="21"/>
        </w:rPr>
        <w:t>有下列情形之一的，基金管理人职责终止：</w:t>
      </w:r>
    </w:p>
    <w:p w14:paraId="7A1A3C31">
      <w:pPr>
        <w:spacing w:line="360" w:lineRule="auto"/>
        <w:ind w:firstLine="420" w:firstLineChars="200"/>
        <w:rPr>
          <w:rFonts w:ascii="宋体" w:hAnsi="宋体"/>
          <w:szCs w:val="21"/>
        </w:rPr>
      </w:pPr>
      <w:r>
        <w:rPr>
          <w:rFonts w:hint="eastAsia" w:ascii="宋体" w:hAnsi="宋体"/>
          <w:szCs w:val="21"/>
        </w:rPr>
        <w:t>(1) 被依法取消基金管理资格；</w:t>
      </w:r>
    </w:p>
    <w:p w14:paraId="69049EEF">
      <w:pPr>
        <w:spacing w:line="360" w:lineRule="auto"/>
        <w:ind w:firstLine="420" w:firstLineChars="200"/>
        <w:rPr>
          <w:rFonts w:ascii="宋体" w:hAnsi="宋体"/>
          <w:szCs w:val="21"/>
        </w:rPr>
      </w:pPr>
      <w:r>
        <w:rPr>
          <w:rFonts w:hint="eastAsia" w:ascii="宋体" w:hAnsi="宋体"/>
          <w:szCs w:val="21"/>
        </w:rPr>
        <w:t>(2) 被基金份额持有人大会解任；</w:t>
      </w:r>
    </w:p>
    <w:p w14:paraId="5699CFD3">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7FFEED3A">
      <w:pPr>
        <w:spacing w:line="360" w:lineRule="auto"/>
        <w:ind w:firstLine="420" w:firstLineChars="200"/>
        <w:rPr>
          <w:rFonts w:ascii="宋体" w:hAnsi="宋体"/>
          <w:szCs w:val="21"/>
        </w:rPr>
      </w:pPr>
      <w:r>
        <w:rPr>
          <w:rFonts w:hint="eastAsia" w:ascii="宋体" w:hAnsi="宋体"/>
          <w:szCs w:val="21"/>
        </w:rPr>
        <w:t>(4) 法律法规、中国证监会规定的和《基金合同》约定的其它情形。</w:t>
      </w:r>
    </w:p>
    <w:p w14:paraId="1FA5143D">
      <w:pPr>
        <w:spacing w:line="360" w:lineRule="auto"/>
        <w:ind w:firstLine="420" w:firstLineChars="200"/>
        <w:rPr>
          <w:rFonts w:ascii="宋体" w:hAnsi="宋体"/>
          <w:szCs w:val="21"/>
        </w:rPr>
      </w:pPr>
      <w:r>
        <w:rPr>
          <w:rFonts w:hint="eastAsia" w:ascii="宋体" w:hAnsi="宋体"/>
          <w:szCs w:val="21"/>
        </w:rPr>
        <w:t>2.更换基金管理人的程序</w:t>
      </w:r>
    </w:p>
    <w:p w14:paraId="00FD956E">
      <w:pPr>
        <w:spacing w:line="360" w:lineRule="auto"/>
        <w:ind w:firstLine="420" w:firstLineChars="200"/>
        <w:rPr>
          <w:rFonts w:ascii="宋体" w:hAnsi="宋体"/>
          <w:szCs w:val="21"/>
        </w:rPr>
      </w:pPr>
      <w:r>
        <w:rPr>
          <w:rFonts w:hint="eastAsia" w:ascii="宋体" w:hAnsi="宋体"/>
          <w:szCs w:val="21"/>
        </w:rPr>
        <w:t>（1）提名：新任基金管理人由基金托管人或由单独或合计持有10%以上（含10%）基金份额的基金份额持有人提名；</w:t>
      </w:r>
    </w:p>
    <w:p w14:paraId="4A411093">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（2）决议：基金份额持有人大会在基金管理人职责终止后6个月内对被提名的基金管理人形成决议，该决议需经参加大会的基金份额持有人所持表决权的2/3以上（含2/3）表决通过，决议自表决通过之日起生效；</w:t>
      </w:r>
    </w:p>
    <w:p w14:paraId="2DBAF4A9">
      <w:pPr>
        <w:spacing w:line="360" w:lineRule="auto"/>
        <w:ind w:firstLine="420" w:firstLineChars="200"/>
        <w:rPr>
          <w:rFonts w:ascii="宋体" w:hAnsi="宋体"/>
          <w:szCs w:val="21"/>
        </w:rPr>
      </w:pPr>
      <w:r>
        <w:rPr>
          <w:rFonts w:hint="eastAsia" w:ascii="宋体" w:hAnsi="宋体"/>
          <w:szCs w:val="21"/>
        </w:rPr>
        <w:t>（3）临时基金管理人：新任基金管理人产生之前，由中国证监会指定临时基金管理人；</w:t>
      </w:r>
    </w:p>
    <w:p w14:paraId="4A709E48">
      <w:pPr>
        <w:spacing w:line="360" w:lineRule="auto"/>
        <w:ind w:firstLine="420" w:firstLineChars="200"/>
        <w:rPr>
          <w:rFonts w:ascii="宋体" w:hAnsi="宋体"/>
          <w:szCs w:val="21"/>
        </w:rPr>
      </w:pPr>
      <w:r>
        <w:rPr>
          <w:rFonts w:hint="eastAsia" w:ascii="宋体" w:hAnsi="宋体"/>
          <w:szCs w:val="21"/>
        </w:rPr>
        <w:t>（4）备案：基金份额持有人大会更换基金管理人的决议须报中国证监会备案；</w:t>
      </w:r>
    </w:p>
    <w:p w14:paraId="29F7C2B9">
      <w:pPr>
        <w:spacing w:line="360" w:lineRule="auto"/>
        <w:ind w:firstLine="420" w:firstLineChars="200"/>
        <w:rPr>
          <w:rFonts w:ascii="宋体" w:hAnsi="宋体"/>
          <w:szCs w:val="21"/>
        </w:rPr>
      </w:pPr>
      <w:r>
        <w:rPr>
          <w:rFonts w:hint="eastAsia" w:ascii="宋体" w:hAnsi="宋体"/>
          <w:szCs w:val="21"/>
        </w:rPr>
        <w:t>（5）公告：基金管理人更换后，由基金托管人在更换基金管理人的基金份额持有人大会决议生效后依照《信息披露办法》的有关规定在规定媒介公告；</w:t>
      </w:r>
    </w:p>
    <w:p w14:paraId="4688ABFD">
      <w:pPr>
        <w:spacing w:line="360" w:lineRule="auto"/>
        <w:ind w:firstLine="420" w:firstLineChars="200"/>
        <w:rPr>
          <w:rFonts w:ascii="宋体" w:hAnsi="宋体"/>
          <w:szCs w:val="21"/>
        </w:rPr>
      </w:pPr>
      <w:r>
        <w:rPr>
          <w:rFonts w:hint="eastAsia"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7C87B7BC">
      <w:pPr>
        <w:spacing w:line="360" w:lineRule="auto"/>
        <w:ind w:firstLine="420" w:firstLineChars="200"/>
        <w:rPr>
          <w:rFonts w:ascii="宋体" w:hAnsi="宋体"/>
          <w:szCs w:val="21"/>
        </w:rPr>
      </w:pPr>
      <w:r>
        <w:rPr>
          <w:rFonts w:hint="eastAsia" w:ascii="宋体" w:hAnsi="宋体"/>
          <w:szCs w:val="21"/>
        </w:rPr>
        <w:t>（7）审计：基金管理人职责终止的，应当按照法律法规规定聘请符合《中华人民共和国证券法》规定的会计师事务所对基金财产进行审计，并将审计结果予以公告同时报中国证监会备案；审计费用由基金资产承担；</w:t>
      </w:r>
    </w:p>
    <w:p w14:paraId="4F73A602">
      <w:pPr>
        <w:spacing w:line="360" w:lineRule="auto"/>
        <w:ind w:firstLine="420" w:firstLineChars="200"/>
        <w:rPr>
          <w:rFonts w:ascii="宋体" w:hAnsi="宋体"/>
          <w:szCs w:val="21"/>
        </w:rPr>
      </w:pPr>
      <w:r>
        <w:rPr>
          <w:rFonts w:hint="eastAsia" w:ascii="宋体" w:hAnsi="宋体"/>
          <w:szCs w:val="21"/>
        </w:rPr>
        <w:t>（8）基金名称变更：基金管理人更换后，如果原任或新任基金管理人要求，应按其要求替换或删除基金名称中与原任基金管理人有关的名称字样。</w:t>
      </w:r>
    </w:p>
    <w:p w14:paraId="5D8A236A">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72" w:name="_Toc382819130"/>
      <w:r>
        <w:rPr>
          <w:rFonts w:hint="eastAsia" w:ascii="宋体" w:hAnsi="宋体" w:eastAsia="宋体"/>
          <w:b w:val="0"/>
          <w:sz w:val="21"/>
          <w:szCs w:val="21"/>
        </w:rPr>
        <w:t>（二）基金托管人的更换</w:t>
      </w:r>
      <w:bookmarkEnd w:id="72"/>
    </w:p>
    <w:p w14:paraId="4BA98E96">
      <w:pPr>
        <w:spacing w:line="360" w:lineRule="auto"/>
        <w:ind w:firstLine="420" w:firstLineChars="200"/>
        <w:rPr>
          <w:rFonts w:ascii="宋体" w:hAnsi="宋体"/>
          <w:szCs w:val="21"/>
        </w:rPr>
      </w:pPr>
      <w:r>
        <w:rPr>
          <w:rFonts w:hint="eastAsia" w:ascii="宋体" w:hAnsi="宋体"/>
          <w:szCs w:val="21"/>
        </w:rPr>
        <w:t>1.基金托管人的更换条件</w:t>
      </w:r>
    </w:p>
    <w:p w14:paraId="4A7DE8E5">
      <w:pPr>
        <w:spacing w:line="360" w:lineRule="auto"/>
        <w:ind w:firstLine="420" w:firstLineChars="200"/>
        <w:rPr>
          <w:rFonts w:ascii="宋体" w:hAnsi="宋体"/>
          <w:szCs w:val="21"/>
        </w:rPr>
      </w:pPr>
      <w:r>
        <w:rPr>
          <w:rFonts w:hint="eastAsia" w:ascii="宋体" w:hAnsi="宋体"/>
          <w:szCs w:val="21"/>
        </w:rPr>
        <w:t>有下列情形之一的，基金托管人职责终止：</w:t>
      </w:r>
    </w:p>
    <w:p w14:paraId="03912A16">
      <w:pPr>
        <w:spacing w:line="360" w:lineRule="auto"/>
        <w:ind w:firstLine="420" w:firstLineChars="200"/>
        <w:rPr>
          <w:rFonts w:ascii="宋体" w:hAnsi="宋体"/>
          <w:szCs w:val="21"/>
        </w:rPr>
      </w:pPr>
      <w:r>
        <w:rPr>
          <w:rFonts w:hint="eastAsia" w:ascii="宋体" w:hAnsi="宋体"/>
          <w:szCs w:val="21"/>
        </w:rPr>
        <w:t>(1) 被依法取消基金托管资格；</w:t>
      </w:r>
    </w:p>
    <w:p w14:paraId="5212CDAA">
      <w:pPr>
        <w:spacing w:line="360" w:lineRule="auto"/>
        <w:ind w:firstLine="420" w:firstLineChars="200"/>
        <w:rPr>
          <w:rFonts w:ascii="宋体" w:hAnsi="宋体"/>
          <w:szCs w:val="21"/>
        </w:rPr>
      </w:pPr>
      <w:r>
        <w:rPr>
          <w:rFonts w:hint="eastAsia" w:ascii="宋体" w:hAnsi="宋体"/>
          <w:szCs w:val="21"/>
        </w:rPr>
        <w:t>(2) 被基金份额持有人大会解任；</w:t>
      </w:r>
    </w:p>
    <w:p w14:paraId="121347E9">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27A1FACC">
      <w:pPr>
        <w:spacing w:line="360" w:lineRule="auto"/>
        <w:ind w:firstLine="420" w:firstLineChars="200"/>
        <w:rPr>
          <w:rFonts w:ascii="宋体" w:hAnsi="宋体"/>
          <w:szCs w:val="21"/>
        </w:rPr>
      </w:pPr>
      <w:r>
        <w:rPr>
          <w:rFonts w:hint="eastAsia" w:ascii="宋体" w:hAnsi="宋体"/>
          <w:szCs w:val="21"/>
        </w:rPr>
        <w:t>(4) 法律法规及中国证监会规定的和《基金合同》约定的其它情形。</w:t>
      </w:r>
    </w:p>
    <w:p w14:paraId="3F51AC91">
      <w:pPr>
        <w:spacing w:line="360" w:lineRule="auto"/>
        <w:ind w:firstLine="420" w:firstLineChars="200"/>
        <w:rPr>
          <w:rFonts w:ascii="宋体" w:hAnsi="宋体"/>
          <w:szCs w:val="21"/>
        </w:rPr>
      </w:pPr>
      <w:r>
        <w:rPr>
          <w:rFonts w:hint="eastAsia" w:ascii="宋体" w:hAnsi="宋体"/>
          <w:szCs w:val="21"/>
        </w:rPr>
        <w:t>2.更换基金托管人的程序</w:t>
      </w:r>
    </w:p>
    <w:p w14:paraId="2335F6E4">
      <w:pPr>
        <w:spacing w:line="360" w:lineRule="auto"/>
        <w:ind w:firstLine="420" w:firstLineChars="200"/>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14:paraId="1F4E7747">
      <w:pPr>
        <w:spacing w:line="360" w:lineRule="auto"/>
        <w:ind w:firstLine="420" w:firstLineChars="200"/>
        <w:rPr>
          <w:rFonts w:ascii="宋体" w:hAnsi="宋体"/>
          <w:szCs w:val="21"/>
        </w:rPr>
      </w:pPr>
      <w:r>
        <w:rPr>
          <w:rFonts w:hint="eastAsia" w:ascii="宋体" w:hAnsi="宋体"/>
          <w:szCs w:val="21"/>
        </w:rPr>
        <w:t>（2）决议：基金份额持有人大会在基金托管人职责终止后6个月内对被提名的基金托管人形成决议，该决议需经参加大会的基金份额持有人所持表决权的2/3以上（含2/3）表决通过，决议自表决通过之日起生效；</w:t>
      </w:r>
    </w:p>
    <w:p w14:paraId="7940A49C">
      <w:pPr>
        <w:spacing w:line="360" w:lineRule="auto"/>
        <w:ind w:firstLine="420" w:firstLineChars="200"/>
        <w:rPr>
          <w:rFonts w:ascii="宋体" w:hAnsi="宋体"/>
          <w:szCs w:val="21"/>
        </w:rPr>
      </w:pPr>
      <w:r>
        <w:rPr>
          <w:rFonts w:hint="eastAsia" w:ascii="宋体" w:hAnsi="宋体"/>
          <w:szCs w:val="21"/>
        </w:rPr>
        <w:t>（3）临时基金托管人：新任基金托管人产生之前，由中国证监会指定临时基金托管人；</w:t>
      </w:r>
    </w:p>
    <w:p w14:paraId="00D43C6A">
      <w:pPr>
        <w:spacing w:line="360" w:lineRule="auto"/>
        <w:ind w:firstLine="420" w:firstLineChars="200"/>
        <w:rPr>
          <w:rFonts w:ascii="宋体" w:hAnsi="宋体"/>
          <w:szCs w:val="21"/>
        </w:rPr>
      </w:pPr>
      <w:r>
        <w:rPr>
          <w:rFonts w:hint="eastAsia" w:ascii="宋体" w:hAnsi="宋体"/>
          <w:szCs w:val="21"/>
        </w:rPr>
        <w:t>（4）备案：基金份额持有人大会更换基金托管人的决议须报中国证监会备案；</w:t>
      </w:r>
    </w:p>
    <w:p w14:paraId="7348AE5B">
      <w:pPr>
        <w:spacing w:line="360" w:lineRule="auto"/>
        <w:ind w:firstLine="420" w:firstLineChars="200"/>
        <w:rPr>
          <w:rFonts w:ascii="宋体" w:hAnsi="宋体"/>
          <w:szCs w:val="21"/>
        </w:rPr>
      </w:pPr>
      <w:r>
        <w:rPr>
          <w:rFonts w:hint="eastAsia" w:ascii="宋体" w:hAnsi="宋体"/>
          <w:szCs w:val="21"/>
        </w:rPr>
        <w:t>（5）公告：基金托管人更换后，由基金管理人在更换基金托管人的基金份额持有人大会决议生效后依照《信息披露办法》的有关规定在规定媒介公告；</w:t>
      </w:r>
    </w:p>
    <w:p w14:paraId="56794E0B">
      <w:pPr>
        <w:spacing w:line="360" w:lineRule="auto"/>
        <w:ind w:firstLine="420" w:firstLineChars="200"/>
        <w:rPr>
          <w:rFonts w:ascii="宋体" w:hAnsi="宋体"/>
          <w:szCs w:val="21"/>
        </w:rPr>
      </w:pPr>
      <w:r>
        <w:rPr>
          <w:rFonts w:hint="eastAsia" w:ascii="宋体" w:hAnsi="宋体"/>
          <w:szCs w:val="21"/>
        </w:rPr>
        <w:t>（6）交接：基金托管人职责终止的，应当妥善保管基金财产和基金托管业务资料，及时办理基金财产和基金托管业务的移交手续，新任基金托管人或者临时基金托管人应当及时接收。临时基金托管人或新任基金托管人应与基金管理人核对基金资产总值和净值；</w:t>
      </w:r>
    </w:p>
    <w:p w14:paraId="69CBC544">
      <w:pPr>
        <w:spacing w:line="360" w:lineRule="auto"/>
        <w:ind w:firstLine="420" w:firstLineChars="200"/>
        <w:rPr>
          <w:rFonts w:ascii="宋体" w:hAnsi="宋体"/>
          <w:szCs w:val="21"/>
        </w:rPr>
      </w:pPr>
      <w:r>
        <w:rPr>
          <w:rFonts w:hint="eastAsia" w:ascii="宋体" w:hAnsi="宋体"/>
          <w:szCs w:val="21"/>
        </w:rPr>
        <w:t>（7）审计：基金托管人职责终止的，应当按照法律法规规定聘请符合《中华人民共和国证券法》规定的会计师事务所对基金财产进行审计，并将审计结果予以公告，同时报中国证监会备案；审计费用由基金资产承担。</w:t>
      </w:r>
    </w:p>
    <w:p w14:paraId="59446E60">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w:t>
      </w:r>
      <w:r>
        <w:rPr>
          <w:rFonts w:ascii="宋体" w:hAnsi="宋体" w:eastAsia="宋体"/>
          <w:b w:val="0"/>
          <w:sz w:val="21"/>
          <w:szCs w:val="21"/>
        </w:rPr>
        <w:tab/>
      </w:r>
      <w:r>
        <w:rPr>
          <w:rFonts w:hint="eastAsia" w:ascii="宋体" w:hAnsi="宋体" w:eastAsia="宋体"/>
          <w:b w:val="0"/>
          <w:sz w:val="21"/>
          <w:szCs w:val="21"/>
        </w:rPr>
        <w:t>基金管理人和基金托管人同时更换的条件和程序</w:t>
      </w:r>
    </w:p>
    <w:p w14:paraId="54B4B4C5">
      <w:pPr>
        <w:spacing w:line="360" w:lineRule="auto"/>
        <w:ind w:firstLine="472" w:firstLineChars="225"/>
        <w:rPr>
          <w:rFonts w:ascii="宋体" w:hAnsi="宋体"/>
          <w:bCs/>
          <w:szCs w:val="21"/>
        </w:rPr>
      </w:pPr>
      <w:r>
        <w:rPr>
          <w:rFonts w:hint="eastAsia" w:ascii="宋体" w:hAnsi="宋体"/>
          <w:szCs w:val="21"/>
        </w:rPr>
        <w:t>同时更换</w:t>
      </w:r>
      <w:r>
        <w:rPr>
          <w:rFonts w:hint="eastAsia" w:ascii="宋体" w:hAnsi="宋体"/>
          <w:bCs/>
          <w:szCs w:val="21"/>
        </w:rPr>
        <w:t>基金管理人和基金托管人，分别按照上述基金管理人和基金托管人更换程序进行。</w:t>
      </w:r>
    </w:p>
    <w:p w14:paraId="1745F82B">
      <w:pPr>
        <w:spacing w:line="360" w:lineRule="auto"/>
        <w:ind w:firstLine="472" w:firstLineChars="225"/>
        <w:rPr>
          <w:rFonts w:ascii="宋体" w:hAnsi="宋体"/>
          <w:bCs/>
          <w:szCs w:val="21"/>
        </w:rPr>
      </w:pPr>
      <w:r>
        <w:rPr>
          <w:rFonts w:hint="eastAsia" w:ascii="宋体" w:hAnsi="宋体"/>
          <w:bCs/>
          <w:szCs w:val="21"/>
        </w:rPr>
        <w:t>（四）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14:paraId="3FB9E955">
      <w:pPr>
        <w:spacing w:line="360" w:lineRule="auto"/>
        <w:ind w:firstLine="472" w:firstLineChars="225"/>
        <w:rPr>
          <w:rFonts w:ascii="宋体" w:hAnsi="宋体"/>
          <w:szCs w:val="21"/>
        </w:rPr>
      </w:pPr>
    </w:p>
    <w:p w14:paraId="01B5CF84">
      <w:pPr>
        <w:spacing w:line="500" w:lineRule="atLeast"/>
        <w:jc w:val="center"/>
        <w:outlineLvl w:val="0"/>
        <w:rPr>
          <w:rFonts w:ascii="宋体" w:hAnsi="宋体"/>
        </w:rPr>
      </w:pPr>
      <w:bookmarkStart w:id="73" w:name="_Toc382819131"/>
      <w:r>
        <w:rPr>
          <w:rFonts w:hint="eastAsia" w:ascii="宋体" w:hAnsi="宋体"/>
          <w:b/>
          <w:sz w:val="24"/>
        </w:rPr>
        <w:t>十四、禁止行为</w:t>
      </w:r>
      <w:bookmarkEnd w:id="73"/>
    </w:p>
    <w:p w14:paraId="62F52E3F">
      <w:pPr>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14:paraId="72CEFA62">
      <w:pPr>
        <w:spacing w:line="360" w:lineRule="auto"/>
        <w:ind w:firstLine="472" w:firstLineChars="225"/>
        <w:rPr>
          <w:rFonts w:ascii="宋体" w:hAnsi="宋体"/>
          <w:szCs w:val="21"/>
        </w:rPr>
      </w:pPr>
      <w:r>
        <w:rPr>
          <w:rFonts w:hint="eastAsia" w:ascii="宋体" w:hAnsi="宋体"/>
          <w:szCs w:val="21"/>
        </w:rPr>
        <w:t>（一）基金管理人、基金托管人将其固有财产或者他人财产混同于基金财产从事证券投资。</w:t>
      </w:r>
    </w:p>
    <w:p w14:paraId="4D3BFA2D">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14:paraId="23CCCB4D">
      <w:pPr>
        <w:spacing w:line="360" w:lineRule="auto"/>
        <w:ind w:firstLine="472" w:firstLineChars="225"/>
        <w:rPr>
          <w:rFonts w:ascii="宋体" w:hAnsi="宋体"/>
          <w:szCs w:val="21"/>
        </w:rPr>
      </w:pPr>
      <w:r>
        <w:rPr>
          <w:rFonts w:hint="eastAsia" w:ascii="宋体" w:hAnsi="宋体"/>
          <w:szCs w:val="21"/>
        </w:rPr>
        <w:t>（三）基金管理人、基金托管人利用基金财产或职务之便为基金份额持有人以外的人牟取利益。</w:t>
      </w:r>
    </w:p>
    <w:p w14:paraId="399597A6">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14:paraId="387674DC">
      <w:pPr>
        <w:spacing w:line="360" w:lineRule="auto"/>
        <w:ind w:firstLine="472" w:firstLineChars="225"/>
        <w:rPr>
          <w:rFonts w:ascii="宋体" w:hAnsi="宋体"/>
          <w:szCs w:val="21"/>
        </w:rPr>
      </w:pPr>
      <w:r>
        <w:rPr>
          <w:rFonts w:hint="eastAsia" w:ascii="宋体" w:hAnsi="宋体"/>
          <w:szCs w:val="21"/>
        </w:rPr>
        <w:t>（五）基金管理人、基金托管人对他人泄露基金经营过程中任何尚未按法律法规规定的方式公开披露的信息。</w:t>
      </w:r>
    </w:p>
    <w:p w14:paraId="0D5FEED6">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14:paraId="4B0F5E9D">
      <w:pPr>
        <w:spacing w:line="360" w:lineRule="auto"/>
        <w:ind w:firstLine="472" w:firstLineChars="225"/>
        <w:rPr>
          <w:rFonts w:ascii="宋体" w:hAnsi="宋体"/>
          <w:szCs w:val="21"/>
        </w:rPr>
      </w:pPr>
      <w:r>
        <w:rPr>
          <w:rFonts w:hint="eastAsia" w:ascii="宋体" w:hAnsi="宋体"/>
          <w:szCs w:val="21"/>
        </w:rPr>
        <w:t>（七）基金托管人对基金管理人的符合本协议约定的有效指令拖延或拒绝执行。</w:t>
      </w:r>
    </w:p>
    <w:p w14:paraId="2A39AFF9">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（八）基金管理人、基金托管人在行政上、财务上不独立，其董事、监事、高级基金管理人员或从业人员相互兼职。 </w:t>
      </w:r>
    </w:p>
    <w:p w14:paraId="6A20F3CA">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14:paraId="1209EFD1">
      <w:pPr>
        <w:spacing w:line="360" w:lineRule="auto"/>
        <w:ind w:firstLine="472" w:firstLineChars="225"/>
        <w:rPr>
          <w:rFonts w:ascii="宋体" w:hAnsi="宋体"/>
          <w:szCs w:val="21"/>
        </w:rPr>
      </w:pPr>
      <w:r>
        <w:rPr>
          <w:rFonts w:hint="eastAsia" w:ascii="宋体" w:hAnsi="宋体"/>
          <w:szCs w:val="21"/>
        </w:rPr>
        <w:t>（十）基金管理人、基金托管人不得利用基金财产用于下列投资或者活动：</w:t>
      </w:r>
    </w:p>
    <w:p w14:paraId="538B5446">
      <w:pPr>
        <w:pStyle w:val="40"/>
        <w:numPr>
          <w:ilvl w:val="0"/>
          <w:numId w:val="2"/>
        </w:numPr>
        <w:spacing w:line="360" w:lineRule="auto"/>
        <w:ind w:firstLineChars="0"/>
        <w:rPr>
          <w:rFonts w:ascii="宋体" w:hAnsi="宋体"/>
          <w:szCs w:val="21"/>
        </w:rPr>
      </w:pPr>
      <w:r>
        <w:rPr>
          <w:rFonts w:hint="eastAsia" w:ascii="宋体" w:hAnsi="宋体"/>
          <w:szCs w:val="21"/>
        </w:rPr>
        <w:t>承销证券；</w:t>
      </w:r>
    </w:p>
    <w:p w14:paraId="116C9F03">
      <w:pPr>
        <w:pStyle w:val="40"/>
        <w:numPr>
          <w:ilvl w:val="0"/>
          <w:numId w:val="2"/>
        </w:numPr>
        <w:spacing w:line="360" w:lineRule="auto"/>
        <w:ind w:firstLineChars="0"/>
        <w:rPr>
          <w:rFonts w:ascii="宋体" w:hAnsi="宋体"/>
          <w:szCs w:val="21"/>
        </w:rPr>
      </w:pPr>
      <w:r>
        <w:rPr>
          <w:rFonts w:hint="eastAsia" w:ascii="宋体" w:hAnsi="宋体"/>
          <w:szCs w:val="21"/>
        </w:rPr>
        <w:t>违反规定向他人贷款或者提供担保；</w:t>
      </w:r>
    </w:p>
    <w:p w14:paraId="129661A2">
      <w:pPr>
        <w:pStyle w:val="40"/>
        <w:numPr>
          <w:ilvl w:val="0"/>
          <w:numId w:val="2"/>
        </w:numPr>
        <w:spacing w:line="360" w:lineRule="auto"/>
        <w:ind w:firstLineChars="0"/>
        <w:rPr>
          <w:rFonts w:ascii="宋体" w:hAnsi="宋体"/>
          <w:szCs w:val="21"/>
        </w:rPr>
      </w:pPr>
      <w:r>
        <w:rPr>
          <w:rFonts w:hint="eastAsia" w:ascii="宋体" w:hAnsi="宋体"/>
          <w:szCs w:val="21"/>
        </w:rPr>
        <w:t>从事承担无限责任的投资；</w:t>
      </w:r>
    </w:p>
    <w:p w14:paraId="054F47A3">
      <w:pPr>
        <w:pStyle w:val="40"/>
        <w:numPr>
          <w:ilvl w:val="0"/>
          <w:numId w:val="2"/>
        </w:numPr>
        <w:spacing w:line="360" w:lineRule="auto"/>
        <w:ind w:firstLineChars="0"/>
        <w:rPr>
          <w:rFonts w:ascii="宋体" w:hAnsi="宋体"/>
          <w:szCs w:val="21"/>
        </w:rPr>
      </w:pPr>
      <w:r>
        <w:rPr>
          <w:rFonts w:ascii="宋体" w:hAnsi="宋体"/>
          <w:bCs/>
          <w:szCs w:val="21"/>
        </w:rPr>
        <w:t>买卖其他基金份额，但是</w:t>
      </w:r>
      <w:r>
        <w:rPr>
          <w:rFonts w:hint="eastAsia" w:ascii="宋体" w:hAnsi="宋体"/>
          <w:bCs/>
          <w:szCs w:val="21"/>
        </w:rPr>
        <w:t>中国证监会</w:t>
      </w:r>
      <w:r>
        <w:rPr>
          <w:rFonts w:ascii="宋体" w:hAnsi="宋体"/>
          <w:bCs/>
          <w:szCs w:val="21"/>
        </w:rPr>
        <w:t>另有规定的除外</w:t>
      </w:r>
      <w:r>
        <w:rPr>
          <w:rFonts w:hint="eastAsia" w:ascii="宋体" w:hAnsi="宋体"/>
          <w:szCs w:val="21"/>
        </w:rPr>
        <w:t>；</w:t>
      </w:r>
    </w:p>
    <w:p w14:paraId="0DC7C491">
      <w:pPr>
        <w:pStyle w:val="40"/>
        <w:numPr>
          <w:ilvl w:val="0"/>
          <w:numId w:val="2"/>
        </w:numPr>
        <w:spacing w:line="360" w:lineRule="auto"/>
        <w:ind w:firstLineChars="0"/>
        <w:rPr>
          <w:rFonts w:ascii="宋体" w:hAnsi="宋体"/>
          <w:szCs w:val="21"/>
        </w:rPr>
      </w:pPr>
      <w:r>
        <w:rPr>
          <w:rFonts w:hint="eastAsia" w:ascii="宋体" w:hAnsi="宋体"/>
          <w:szCs w:val="21"/>
        </w:rPr>
        <w:t>向其基金管理人、基金托管人出资；</w:t>
      </w:r>
    </w:p>
    <w:p w14:paraId="1C555F49">
      <w:pPr>
        <w:pStyle w:val="40"/>
        <w:numPr>
          <w:ilvl w:val="0"/>
          <w:numId w:val="2"/>
        </w:numPr>
        <w:spacing w:line="360" w:lineRule="auto"/>
        <w:ind w:firstLineChars="0"/>
        <w:rPr>
          <w:rFonts w:ascii="宋体" w:hAnsi="宋体"/>
          <w:szCs w:val="21"/>
        </w:rPr>
      </w:pPr>
      <w:r>
        <w:rPr>
          <w:rFonts w:hint="eastAsia" w:ascii="宋体" w:hAnsi="宋体"/>
          <w:szCs w:val="21"/>
        </w:rPr>
        <w:t>从事内幕交易、操纵证券交易价格及其他不正当的证券交易活动；</w:t>
      </w:r>
    </w:p>
    <w:p w14:paraId="2582BECB">
      <w:pPr>
        <w:pStyle w:val="40"/>
        <w:numPr>
          <w:ilvl w:val="0"/>
          <w:numId w:val="2"/>
        </w:numPr>
        <w:spacing w:line="360" w:lineRule="auto"/>
        <w:ind w:firstLineChars="0"/>
        <w:rPr>
          <w:rFonts w:ascii="宋体" w:hAnsi="宋体"/>
          <w:szCs w:val="21"/>
        </w:rPr>
      </w:pPr>
      <w:r>
        <w:rPr>
          <w:rFonts w:hint="eastAsia" w:ascii="宋体" w:hAnsi="宋体"/>
          <w:szCs w:val="21"/>
        </w:rPr>
        <w:t>法律、行政法规和中国证监会规定禁止的其他活动。</w:t>
      </w:r>
    </w:p>
    <w:p w14:paraId="1EF2506C">
      <w:pPr>
        <w:spacing w:line="360" w:lineRule="auto"/>
        <w:ind w:firstLine="472" w:firstLineChars="225"/>
        <w:rPr>
          <w:rFonts w:ascii="宋体" w:hAnsi="宋体"/>
          <w:szCs w:val="21"/>
        </w:rPr>
      </w:pPr>
      <w:r>
        <w:rPr>
          <w:rFonts w:hint="eastAsia" w:ascii="宋体" w:hAnsi="宋体"/>
          <w:szCs w:val="21"/>
        </w:rPr>
        <w:t>（十一）法律法规和基金合同禁止的其他行为，以及依照法律法规有关规定，由中国证监会规定禁止基金管理人、基金托管人从事的其他行为。</w:t>
      </w:r>
    </w:p>
    <w:p w14:paraId="54AE6AF5">
      <w:pPr>
        <w:spacing w:line="360" w:lineRule="auto"/>
        <w:ind w:firstLine="472" w:firstLineChars="225"/>
        <w:rPr>
          <w:rFonts w:ascii="宋体" w:hAnsi="宋体"/>
          <w:szCs w:val="21"/>
        </w:rPr>
      </w:pPr>
      <w:r>
        <w:rPr>
          <w:rFonts w:hint="eastAsia" w:ascii="宋体" w:hAnsi="宋体"/>
          <w:szCs w:val="21"/>
        </w:rPr>
        <w:t>法律、行政法规或监管部门取消或变更上述禁止性规定，如适用于本基金，基金管理人有权在履行适当程序后按照法律法规或监管部门调整或修改后的规定执行，并应向投资者履行信息披露义务。</w:t>
      </w:r>
    </w:p>
    <w:p w14:paraId="6570873D">
      <w:pPr>
        <w:spacing w:line="500" w:lineRule="atLeast"/>
        <w:jc w:val="center"/>
        <w:outlineLvl w:val="0"/>
        <w:rPr>
          <w:rFonts w:ascii="宋体" w:hAnsi="宋体"/>
        </w:rPr>
      </w:pPr>
      <w:bookmarkStart w:id="74" w:name="_Toc382819132"/>
      <w:r>
        <w:rPr>
          <w:rFonts w:hint="eastAsia" w:ascii="宋体" w:hAnsi="宋体"/>
          <w:b/>
          <w:sz w:val="24"/>
        </w:rPr>
        <w:t>十五、基金托管协议的变更、终止与基金财产的清算</w:t>
      </w:r>
      <w:bookmarkEnd w:id="74"/>
    </w:p>
    <w:p w14:paraId="15BE0234">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（一）托管协议的变更与终止</w:t>
      </w:r>
    </w:p>
    <w:p w14:paraId="20E79096">
      <w:pPr>
        <w:spacing w:line="360" w:lineRule="auto"/>
        <w:ind w:firstLine="420" w:firstLineChars="200"/>
        <w:rPr>
          <w:rFonts w:ascii="宋体" w:hAnsi="宋体"/>
          <w:szCs w:val="21"/>
        </w:rPr>
      </w:pPr>
      <w:r>
        <w:rPr>
          <w:rFonts w:hint="eastAsia" w:ascii="宋体" w:hAnsi="宋体"/>
          <w:szCs w:val="21"/>
        </w:rPr>
        <w:t>1.托管协议的变更程序</w:t>
      </w:r>
    </w:p>
    <w:p w14:paraId="220F57FC">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本协议双方当事人经协商一致，可以对协议的内容进行变更。变更后的托管协议，其内容不得与《基金合同》的规定有任何冲突，并需</w:t>
      </w:r>
      <w:r>
        <w:rPr>
          <w:rFonts w:hint="eastAsia" w:ascii="宋体" w:hAnsi="宋体"/>
          <w:szCs w:val="21"/>
        </w:rPr>
        <w:t>经基金管理人、基金托管人加盖公章或合同专用章以及双方法定代表人或授权代理人签字（或盖章）确认</w:t>
      </w:r>
      <w:r>
        <w:rPr>
          <w:rFonts w:hint="eastAsia" w:ascii="宋体" w:hAnsi="宋体"/>
          <w:spacing w:val="6"/>
          <w:szCs w:val="21"/>
        </w:rPr>
        <w:t>。</w:t>
      </w:r>
    </w:p>
    <w:p w14:paraId="1F4E528C">
      <w:pPr>
        <w:spacing w:line="360" w:lineRule="auto"/>
        <w:ind w:firstLine="420" w:firstLineChars="200"/>
        <w:rPr>
          <w:rFonts w:ascii="宋体" w:hAnsi="宋体"/>
          <w:szCs w:val="21"/>
        </w:rPr>
      </w:pPr>
      <w:r>
        <w:rPr>
          <w:rFonts w:hint="eastAsia" w:ascii="宋体" w:hAnsi="宋体"/>
          <w:szCs w:val="21"/>
        </w:rPr>
        <w:t>2.基金托管协议终止的情形</w:t>
      </w:r>
    </w:p>
    <w:p w14:paraId="2E7850DF">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发生以下情况，本托管协议终止：</w:t>
      </w:r>
    </w:p>
    <w:p w14:paraId="6AC14F41">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（1）《基金合同》终止；</w:t>
      </w:r>
    </w:p>
    <w:p w14:paraId="720BC7F0">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（2）基金托管人解散、依法被撤销、破产或有其他基金托管人接管基金资产；</w:t>
      </w:r>
    </w:p>
    <w:p w14:paraId="7666895A">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（3）基金管理人解散、依法被撤销、破产或有其他基金管理人接管基金管理权；</w:t>
      </w:r>
    </w:p>
    <w:p w14:paraId="33228ACC">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（4）发生法律法规或《基金合同》规定的终止事项。</w:t>
      </w:r>
    </w:p>
    <w:p w14:paraId="1AD22EF5">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（二）基金财产的清算</w:t>
      </w:r>
    </w:p>
    <w:p w14:paraId="632C925B">
      <w:pPr>
        <w:spacing w:line="360" w:lineRule="auto"/>
        <w:ind w:firstLine="420" w:firstLineChars="200"/>
        <w:rPr>
          <w:rFonts w:ascii="宋体" w:hAnsi="宋体"/>
          <w:szCs w:val="21"/>
        </w:rPr>
      </w:pPr>
      <w:r>
        <w:rPr>
          <w:rFonts w:hint="eastAsia" w:ascii="宋体" w:hAnsi="宋体"/>
          <w:szCs w:val="21"/>
        </w:rPr>
        <w:t>1.基金财产清算小组：基金合同终止事由出现后，基金管理人组织基金财产清算小组并在中国证监会的监督下进行基金清算。</w:t>
      </w:r>
    </w:p>
    <w:p w14:paraId="5F5F16C6">
      <w:pPr>
        <w:spacing w:line="360" w:lineRule="auto"/>
        <w:ind w:firstLine="420" w:firstLineChars="200"/>
        <w:rPr>
          <w:rFonts w:ascii="宋体" w:hAnsi="宋体"/>
          <w:szCs w:val="21"/>
        </w:rPr>
      </w:pPr>
      <w:r>
        <w:rPr>
          <w:rFonts w:hint="eastAsia" w:ascii="宋体" w:hAnsi="宋体"/>
          <w:szCs w:val="21"/>
        </w:rPr>
        <w:t>2.基金财产清算小组组成：基金财产清算小组成员由基金管理人、基金托管人、符合《中华人民共和国证券法》规定的注册会计师、律师以及中国证监会指定的人员组成。基金财产清算小组可以聘用必要的工作人员</w:t>
      </w:r>
      <w:r>
        <w:rPr>
          <w:rFonts w:hint="eastAsia" w:ascii="宋体" w:hAnsi="宋体"/>
          <w:kern w:val="0"/>
          <w:szCs w:val="21"/>
        </w:rPr>
        <w:t>。</w:t>
      </w:r>
    </w:p>
    <w:p w14:paraId="764AFBAC">
      <w:pPr>
        <w:spacing w:line="360" w:lineRule="auto"/>
        <w:ind w:firstLine="420" w:firstLineChars="200"/>
        <w:rPr>
          <w:rFonts w:ascii="宋体" w:hAnsi="宋体"/>
          <w:szCs w:val="21"/>
        </w:rPr>
      </w:pPr>
      <w:r>
        <w:rPr>
          <w:rFonts w:hint="eastAsia" w:ascii="宋体" w:hAnsi="宋体"/>
          <w:szCs w:val="21"/>
        </w:rPr>
        <w:t>3.基金财产清算小组职责：基金财产清算小组负责基金财产的保管、清理、估价、变现和分配。基金财产清算小组可以依法进行必要的民事活动。</w:t>
      </w:r>
    </w:p>
    <w:p w14:paraId="458A4BC0">
      <w:pPr>
        <w:spacing w:line="360" w:lineRule="auto"/>
        <w:ind w:firstLine="420" w:firstLineChars="200"/>
        <w:rPr>
          <w:rFonts w:ascii="宋体" w:hAnsi="宋体"/>
          <w:szCs w:val="21"/>
        </w:rPr>
      </w:pPr>
      <w:r>
        <w:rPr>
          <w:rFonts w:hint="eastAsia" w:ascii="宋体" w:hAnsi="宋体"/>
          <w:szCs w:val="21"/>
        </w:rPr>
        <w:t>4.基金财产清算程序：</w:t>
      </w:r>
      <w:r>
        <w:rPr>
          <w:rFonts w:hint="eastAsia" w:ascii="宋体" w:hAnsi="宋体"/>
          <w:szCs w:val="21"/>
        </w:rPr>
        <w:tab/>
      </w:r>
    </w:p>
    <w:p w14:paraId="7C25DB1A">
      <w:pPr>
        <w:spacing w:line="360" w:lineRule="auto"/>
        <w:ind w:firstLine="420" w:firstLineChars="200"/>
        <w:rPr>
          <w:rFonts w:ascii="宋体" w:hAnsi="宋体"/>
          <w:szCs w:val="21"/>
        </w:rPr>
      </w:pPr>
      <w:r>
        <w:rPr>
          <w:rFonts w:hint="eastAsia" w:ascii="宋体" w:hAnsi="宋体"/>
          <w:szCs w:val="21"/>
        </w:rPr>
        <w:t>（1）《基金合同》终止情形出现时，由基金财产清算小组统一接管基金财产；</w:t>
      </w:r>
    </w:p>
    <w:p w14:paraId="42FA5F64">
      <w:pPr>
        <w:spacing w:line="360" w:lineRule="auto"/>
        <w:ind w:firstLine="420" w:firstLineChars="200"/>
        <w:rPr>
          <w:rFonts w:ascii="宋体" w:hAnsi="宋体"/>
          <w:szCs w:val="21"/>
        </w:rPr>
      </w:pPr>
      <w:r>
        <w:rPr>
          <w:rFonts w:hint="eastAsia" w:ascii="宋体" w:hAnsi="宋体"/>
          <w:szCs w:val="21"/>
        </w:rPr>
        <w:t>（2）对基金财产和债权债务进行清理和确认；</w:t>
      </w:r>
    </w:p>
    <w:p w14:paraId="7D729E87">
      <w:pPr>
        <w:spacing w:line="360" w:lineRule="auto"/>
        <w:ind w:firstLine="420" w:firstLineChars="200"/>
        <w:rPr>
          <w:rFonts w:ascii="宋体" w:hAnsi="宋体"/>
          <w:szCs w:val="21"/>
        </w:rPr>
      </w:pPr>
      <w:r>
        <w:rPr>
          <w:rFonts w:hint="eastAsia" w:ascii="宋体" w:hAnsi="宋体"/>
          <w:szCs w:val="21"/>
        </w:rPr>
        <w:t>（3）对基金财产进行估值和变现；</w:t>
      </w:r>
    </w:p>
    <w:p w14:paraId="716651B6">
      <w:pPr>
        <w:spacing w:line="360" w:lineRule="auto"/>
        <w:ind w:firstLine="420" w:firstLineChars="200"/>
        <w:rPr>
          <w:rFonts w:ascii="宋体" w:hAnsi="宋体"/>
          <w:szCs w:val="21"/>
        </w:rPr>
      </w:pPr>
      <w:r>
        <w:rPr>
          <w:rFonts w:hint="eastAsia" w:ascii="宋体" w:hAnsi="宋体"/>
          <w:szCs w:val="21"/>
        </w:rPr>
        <w:t>（4）制作清算报告；</w:t>
      </w:r>
    </w:p>
    <w:p w14:paraId="4F28815C">
      <w:pPr>
        <w:spacing w:line="360" w:lineRule="auto"/>
        <w:ind w:firstLine="420" w:firstLineChars="200"/>
        <w:rPr>
          <w:rFonts w:ascii="宋体" w:hAnsi="宋体"/>
          <w:szCs w:val="21"/>
        </w:rPr>
      </w:pPr>
      <w:r>
        <w:rPr>
          <w:rFonts w:hint="eastAsia" w:ascii="宋体" w:hAnsi="宋体"/>
          <w:szCs w:val="21"/>
        </w:rPr>
        <w:t>（5）</w:t>
      </w:r>
      <w:r>
        <w:rPr>
          <w:rFonts w:hint="eastAsia" w:ascii="宋体" w:hAnsi="宋体"/>
          <w:bCs/>
          <w:szCs w:val="21"/>
        </w:rPr>
        <w:t>聘请会计师事务所对清算报告进行外部审计，聘请律师事务所对清算报告出具法律意见书；</w:t>
      </w:r>
    </w:p>
    <w:p w14:paraId="43FFB23F">
      <w:pPr>
        <w:spacing w:line="360" w:lineRule="auto"/>
        <w:ind w:firstLine="420" w:firstLineChars="200"/>
        <w:rPr>
          <w:rFonts w:ascii="宋体" w:hAnsi="宋体"/>
          <w:kern w:val="0"/>
          <w:szCs w:val="21"/>
        </w:rPr>
      </w:pPr>
      <w:r>
        <w:rPr>
          <w:rFonts w:hint="eastAsia" w:ascii="宋体" w:hAnsi="宋体"/>
          <w:szCs w:val="21"/>
        </w:rPr>
        <w:t>（6）将清算报告报中国证监会备案并公告；</w:t>
      </w:r>
    </w:p>
    <w:p w14:paraId="114A4BC3">
      <w:pPr>
        <w:spacing w:line="360" w:lineRule="auto"/>
        <w:ind w:firstLine="420" w:firstLineChars="200"/>
        <w:rPr>
          <w:rFonts w:ascii="宋体" w:hAnsi="宋体"/>
          <w:szCs w:val="21"/>
        </w:rPr>
      </w:pPr>
      <w:r>
        <w:rPr>
          <w:rFonts w:hint="eastAsia" w:ascii="宋体" w:hAnsi="宋体"/>
          <w:szCs w:val="21"/>
        </w:rPr>
        <w:t>（7）</w:t>
      </w:r>
      <w:r>
        <w:rPr>
          <w:rFonts w:hint="eastAsia" w:ascii="宋体" w:hAnsi="宋体"/>
          <w:bCs/>
          <w:szCs w:val="21"/>
        </w:rPr>
        <w:t>对基金剩余财产进行分配。</w:t>
      </w:r>
    </w:p>
    <w:p w14:paraId="7FB31629">
      <w:pPr>
        <w:adjustRightInd w:val="0"/>
        <w:snapToGrid w:val="0"/>
        <w:spacing w:line="360" w:lineRule="auto"/>
        <w:ind w:firstLine="420" w:firstLineChars="200"/>
        <w:rPr>
          <w:rFonts w:ascii="宋体" w:hAnsi="宋体" w:cs="Arial"/>
          <w:szCs w:val="21"/>
        </w:rPr>
      </w:pPr>
      <w:r>
        <w:rPr>
          <w:rFonts w:hint="eastAsia" w:ascii="宋体" w:hAnsi="宋体" w:cs="Arial"/>
          <w:szCs w:val="21"/>
        </w:rPr>
        <w:t>5</w:t>
      </w:r>
      <w:r>
        <w:rPr>
          <w:rFonts w:ascii="宋体" w:hAnsi="宋体" w:cs="Arial"/>
          <w:szCs w:val="21"/>
        </w:rPr>
        <w:t>.</w:t>
      </w:r>
      <w:r>
        <w:rPr>
          <w:rFonts w:hint="eastAsia" w:ascii="宋体" w:hAnsi="宋体" w:cs="Arial"/>
          <w:szCs w:val="21"/>
        </w:rPr>
        <w:t>基金财产清算的期限为6个月，但因本基金所持证券的流动性受到限制而不能及时变现的，清算期限相应顺延。</w:t>
      </w:r>
    </w:p>
    <w:p w14:paraId="110B8E57">
      <w:pPr>
        <w:adjustRightInd w:val="0"/>
        <w:snapToGrid w:val="0"/>
        <w:spacing w:line="360" w:lineRule="auto"/>
        <w:ind w:firstLine="420" w:firstLineChars="200"/>
        <w:rPr>
          <w:rFonts w:ascii="宋体" w:hAnsi="宋体" w:cs="Arial"/>
          <w:szCs w:val="21"/>
        </w:rPr>
      </w:pPr>
      <w:r>
        <w:rPr>
          <w:rFonts w:hint="eastAsia" w:ascii="宋体" w:hAnsi="宋体" w:cs="Arial"/>
          <w:szCs w:val="21"/>
        </w:rPr>
        <w:t>6.清算费用</w:t>
      </w:r>
    </w:p>
    <w:p w14:paraId="7040C5B6">
      <w:pPr>
        <w:adjustRightInd w:val="0"/>
        <w:snapToGrid w:val="0"/>
        <w:spacing w:line="360" w:lineRule="auto"/>
        <w:ind w:firstLine="420" w:firstLineChars="200"/>
        <w:rPr>
          <w:rFonts w:ascii="宋体" w:hAnsi="宋体" w:cs="Arial"/>
          <w:szCs w:val="21"/>
        </w:rPr>
      </w:pPr>
      <w:r>
        <w:rPr>
          <w:rFonts w:hint="eastAsia" w:ascii="宋体" w:hAnsi="宋体" w:cs="Arial"/>
          <w:szCs w:val="21"/>
        </w:rPr>
        <w:t>清算费用是指基金财产清算小组在进行基金清算过程中发生的所有合理费用，清算费用由基金财产清算小组优先从基金剩余财产中支付。</w:t>
      </w:r>
    </w:p>
    <w:p w14:paraId="6B37285B">
      <w:pPr>
        <w:adjustRightInd w:val="0"/>
        <w:snapToGrid w:val="0"/>
        <w:spacing w:line="360" w:lineRule="auto"/>
        <w:ind w:firstLine="420" w:firstLineChars="200"/>
        <w:rPr>
          <w:rFonts w:ascii="宋体" w:hAnsi="宋体" w:cs="Arial"/>
          <w:szCs w:val="21"/>
        </w:rPr>
      </w:pPr>
      <w:r>
        <w:rPr>
          <w:rFonts w:hint="eastAsia" w:ascii="宋体" w:hAnsi="宋体" w:cs="Arial"/>
          <w:szCs w:val="21"/>
        </w:rPr>
        <w:t>7.基金财产按下列顺序清偿：</w:t>
      </w:r>
    </w:p>
    <w:p w14:paraId="1E5AD23B">
      <w:pPr>
        <w:adjustRightInd w:val="0"/>
        <w:snapToGrid w:val="0"/>
        <w:spacing w:line="360" w:lineRule="auto"/>
        <w:ind w:firstLine="420" w:firstLineChars="200"/>
        <w:rPr>
          <w:rFonts w:ascii="宋体" w:hAnsi="宋体" w:cs="Arial"/>
          <w:szCs w:val="21"/>
        </w:rPr>
      </w:pPr>
      <w:r>
        <w:rPr>
          <w:rFonts w:hint="eastAsia" w:ascii="宋体" w:hAnsi="宋体" w:cs="Arial"/>
          <w:szCs w:val="21"/>
        </w:rPr>
        <w:t>(1)支付清算费用；</w:t>
      </w:r>
    </w:p>
    <w:p w14:paraId="1451E116">
      <w:pPr>
        <w:adjustRightInd w:val="0"/>
        <w:snapToGrid w:val="0"/>
        <w:spacing w:line="360" w:lineRule="auto"/>
        <w:ind w:firstLine="420" w:firstLineChars="200"/>
        <w:rPr>
          <w:rFonts w:ascii="宋体" w:hAnsi="宋体" w:cs="Arial"/>
          <w:szCs w:val="21"/>
        </w:rPr>
      </w:pPr>
      <w:r>
        <w:rPr>
          <w:rFonts w:hint="eastAsia" w:ascii="宋体" w:hAnsi="宋体" w:cs="Arial"/>
          <w:szCs w:val="21"/>
        </w:rPr>
        <w:t>(2)交纳所欠税款；</w:t>
      </w:r>
    </w:p>
    <w:p w14:paraId="5064E7F1">
      <w:pPr>
        <w:adjustRightInd w:val="0"/>
        <w:snapToGrid w:val="0"/>
        <w:spacing w:line="360" w:lineRule="auto"/>
        <w:ind w:firstLine="420" w:firstLineChars="200"/>
        <w:rPr>
          <w:rFonts w:ascii="宋体" w:hAnsi="宋体" w:cs="Arial"/>
          <w:szCs w:val="21"/>
        </w:rPr>
      </w:pPr>
      <w:r>
        <w:rPr>
          <w:rFonts w:hint="eastAsia" w:ascii="宋体" w:hAnsi="宋体" w:cs="Arial"/>
          <w:szCs w:val="21"/>
        </w:rPr>
        <w:t>(3)清偿基金债务；</w:t>
      </w:r>
    </w:p>
    <w:p w14:paraId="7EEDFA28">
      <w:pPr>
        <w:adjustRightInd w:val="0"/>
        <w:snapToGrid w:val="0"/>
        <w:spacing w:line="360" w:lineRule="auto"/>
        <w:ind w:firstLine="420" w:firstLineChars="200"/>
        <w:rPr>
          <w:rFonts w:ascii="宋体" w:hAnsi="宋体" w:cs="Arial"/>
          <w:szCs w:val="21"/>
        </w:rPr>
      </w:pPr>
      <w:r>
        <w:rPr>
          <w:rFonts w:hint="eastAsia" w:ascii="宋体" w:hAnsi="宋体" w:cs="Arial"/>
          <w:szCs w:val="21"/>
        </w:rPr>
        <w:t>(4)按基金份额持有人持有的各类基金份额比例进行分配。</w:t>
      </w:r>
    </w:p>
    <w:p w14:paraId="7AD9D846">
      <w:pPr>
        <w:spacing w:line="360" w:lineRule="auto"/>
        <w:ind w:firstLine="409" w:firstLineChars="195"/>
        <w:rPr>
          <w:rFonts w:ascii="宋体" w:hAnsi="宋体" w:cs="Arial"/>
          <w:szCs w:val="21"/>
        </w:rPr>
      </w:pPr>
      <w:r>
        <w:rPr>
          <w:rFonts w:hint="eastAsia" w:ascii="宋体" w:hAnsi="宋体" w:cs="Arial"/>
          <w:szCs w:val="21"/>
        </w:rPr>
        <w:t>基金财产未按前款(1)－(3)项规定清偿前，不分配给基金份额持有人。</w:t>
      </w:r>
    </w:p>
    <w:p w14:paraId="52CC149E">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（三）基金财产清算的公告</w:t>
      </w:r>
    </w:p>
    <w:p w14:paraId="0D3AE368">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符合《中华人民共和国证券法》规定的会计师事务所审计并由律师事务所出具法律意见书后，由基金财产清算小组报中国证监会备案并公告。基金财产清算小组应当将清算报告登载在规定网站上，并将清算报告提示性公告登载在规定报刊上。</w:t>
      </w:r>
    </w:p>
    <w:p w14:paraId="05E4A15C">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（四）基金财产清算账册及文件的保存</w:t>
      </w:r>
    </w:p>
    <w:p w14:paraId="52C4DB33">
      <w:pPr>
        <w:spacing w:line="360" w:lineRule="auto"/>
        <w:ind w:firstLine="200"/>
        <w:rPr>
          <w:rFonts w:ascii="宋体" w:hAnsi="宋体"/>
          <w:szCs w:val="21"/>
        </w:rPr>
      </w:pPr>
      <w:r>
        <w:rPr>
          <w:rFonts w:hint="eastAsia" w:ascii="宋体" w:hAnsi="宋体"/>
          <w:szCs w:val="21"/>
        </w:rPr>
        <w:t>基金财产清算账册及有关文件由基金托管人保存不低于法律</w:t>
      </w:r>
      <w:r>
        <w:rPr>
          <w:rFonts w:ascii="宋体" w:hAnsi="宋体"/>
          <w:szCs w:val="21"/>
        </w:rPr>
        <w:t>法规的规定</w:t>
      </w:r>
      <w:r>
        <w:rPr>
          <w:rFonts w:hint="eastAsia" w:ascii="宋体" w:hAnsi="宋体"/>
          <w:szCs w:val="21"/>
        </w:rPr>
        <w:t>。</w:t>
      </w:r>
    </w:p>
    <w:p w14:paraId="10DFD997">
      <w:pPr>
        <w:spacing w:line="500" w:lineRule="atLeast"/>
        <w:jc w:val="center"/>
        <w:outlineLvl w:val="0"/>
        <w:rPr>
          <w:rFonts w:ascii="宋体" w:hAnsi="宋体"/>
        </w:rPr>
      </w:pPr>
      <w:bookmarkStart w:id="75" w:name="_Toc382819133"/>
      <w:r>
        <w:rPr>
          <w:rFonts w:hint="eastAsia" w:ascii="宋体" w:hAnsi="宋体"/>
          <w:b/>
          <w:sz w:val="24"/>
        </w:rPr>
        <w:t>十六、违约责任</w:t>
      </w:r>
      <w:bookmarkEnd w:id="75"/>
    </w:p>
    <w:p w14:paraId="4AA376F2">
      <w:pPr>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但是发生下列情况，相应的当事人免责：</w:t>
      </w:r>
    </w:p>
    <w:p w14:paraId="01733FFF">
      <w:pPr>
        <w:spacing w:line="360" w:lineRule="auto"/>
        <w:ind w:firstLine="420" w:firstLineChars="200"/>
        <w:rPr>
          <w:rFonts w:ascii="宋体" w:hAnsi="宋体"/>
          <w:szCs w:val="21"/>
        </w:rPr>
      </w:pPr>
      <w:r>
        <w:rPr>
          <w:rFonts w:hint="eastAsia" w:ascii="宋体" w:hAnsi="宋体"/>
          <w:szCs w:val="21"/>
        </w:rPr>
        <w:t>1.基金管理人及基金托管人按照当时有效的法律法规或中国证监会等监管机构的规定作为或不作为而造成的损失等；</w:t>
      </w:r>
    </w:p>
    <w:p w14:paraId="5476EBE9">
      <w:pPr>
        <w:spacing w:line="360" w:lineRule="auto"/>
        <w:ind w:firstLine="420" w:firstLineChars="200"/>
        <w:rPr>
          <w:rFonts w:ascii="宋体" w:hAnsi="宋体"/>
          <w:szCs w:val="21"/>
        </w:rPr>
      </w:pPr>
      <w:r>
        <w:rPr>
          <w:rFonts w:hint="eastAsia" w:ascii="宋体" w:hAnsi="宋体"/>
          <w:szCs w:val="21"/>
        </w:rPr>
        <w:t>2.基金管理人由于按照《基金合同》规定的投资原则而行使或不行使其投资权而造成的损失等；</w:t>
      </w:r>
    </w:p>
    <w:p w14:paraId="778BD9B6">
      <w:pPr>
        <w:spacing w:line="360" w:lineRule="auto"/>
        <w:ind w:firstLine="420" w:firstLineChars="200"/>
        <w:rPr>
          <w:rFonts w:ascii="宋体" w:hAnsi="宋体"/>
          <w:szCs w:val="21"/>
        </w:rPr>
      </w:pPr>
      <w:r>
        <w:rPr>
          <w:rFonts w:hint="eastAsia" w:ascii="宋体" w:hAnsi="宋体"/>
          <w:szCs w:val="21"/>
        </w:rPr>
        <w:t>3.发生自然灾害等不可抗力情形；</w:t>
      </w:r>
    </w:p>
    <w:p w14:paraId="43445617">
      <w:pPr>
        <w:spacing w:line="360" w:lineRule="auto"/>
        <w:ind w:firstLine="420" w:firstLineChars="200"/>
        <w:rPr>
          <w:bCs/>
          <w:szCs w:val="21"/>
        </w:rPr>
      </w:pPr>
      <w:r>
        <w:rPr>
          <w:rFonts w:hint="eastAsia" w:ascii="宋体" w:hAnsi="宋体"/>
          <w:szCs w:val="21"/>
        </w:rPr>
        <w:t>（二）</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B650012">
      <w:pPr>
        <w:spacing w:line="360" w:lineRule="auto"/>
        <w:ind w:firstLine="420" w:firstLineChars="200"/>
        <w:rPr>
          <w:rFonts w:ascii="宋体" w:hAnsi="宋体"/>
          <w:szCs w:val="21"/>
          <w:lang w:val="zh-CN"/>
        </w:rPr>
      </w:pPr>
      <w:r>
        <w:rPr>
          <w:rFonts w:hint="eastAsia" w:ascii="宋体" w:hAnsi="宋体"/>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5D84C48">
      <w:pPr>
        <w:spacing w:line="500" w:lineRule="atLeast"/>
        <w:jc w:val="center"/>
        <w:outlineLvl w:val="0"/>
        <w:rPr>
          <w:rFonts w:ascii="宋体" w:hAnsi="宋体"/>
        </w:rPr>
      </w:pPr>
      <w:bookmarkStart w:id="76" w:name="_Toc382819134"/>
      <w:r>
        <w:rPr>
          <w:rFonts w:hint="eastAsia" w:ascii="宋体" w:hAnsi="宋体"/>
          <w:b/>
          <w:sz w:val="24"/>
        </w:rPr>
        <w:t>十七、适用法律及争议解决方式</w:t>
      </w:r>
      <w:bookmarkEnd w:id="76"/>
    </w:p>
    <w:p w14:paraId="34146C2D">
      <w:pPr>
        <w:spacing w:line="360" w:lineRule="auto"/>
        <w:ind w:firstLine="420" w:firstLineChars="200"/>
        <w:rPr>
          <w:rFonts w:ascii="宋体" w:hAnsi="宋体"/>
          <w:szCs w:val="21"/>
          <w:lang w:val="zh-CN"/>
        </w:rPr>
      </w:pPr>
      <w:r>
        <w:rPr>
          <w:rFonts w:hint="eastAsia" w:ascii="宋体" w:hAnsi="宋体"/>
          <w:szCs w:val="21"/>
          <w:lang w:val="zh-CN"/>
        </w:rPr>
        <w:t>（一）</w:t>
      </w:r>
      <w:r>
        <w:rPr>
          <w:rFonts w:hint="eastAsia" w:ascii="宋体" w:hAnsi="宋体"/>
          <w:szCs w:val="21"/>
        </w:rPr>
        <w:t>本协议适用中华人民共和国法律（为本协议之目的，在此不包括香港特别行政区、澳门特别行政区和台湾地区法律），并从其解释。</w:t>
      </w:r>
    </w:p>
    <w:p w14:paraId="70221416">
      <w:pPr>
        <w:spacing w:line="360" w:lineRule="auto"/>
        <w:ind w:firstLine="420" w:firstLineChars="200"/>
        <w:rPr>
          <w:rFonts w:ascii="宋体" w:hAnsi="宋体"/>
          <w:szCs w:val="21"/>
        </w:rPr>
      </w:pPr>
      <w:r>
        <w:rPr>
          <w:rFonts w:hint="eastAsia" w:ascii="宋体" w:hAnsi="宋体"/>
          <w:szCs w:val="21"/>
        </w:rPr>
        <w:t>（二）双方当事人同意，因本协议而产生的或与本协议有关的一切争议，除经友好协商、调解可以解决的，应提交中国国际经济贸易仲裁委员会，根据该会届时有效的仲裁规则进行仲裁，仲裁的地点为北京市，仲裁裁决是终局性的并对相关各方均有约束力，仲裁费用由败诉方承担，除非仲裁裁决另有决定。</w:t>
      </w:r>
    </w:p>
    <w:p w14:paraId="6AB4B151">
      <w:pPr>
        <w:spacing w:line="360" w:lineRule="auto"/>
        <w:ind w:firstLine="420" w:firstLineChars="200"/>
        <w:rPr>
          <w:rFonts w:ascii="宋体" w:hAnsi="宋体"/>
          <w:szCs w:val="21"/>
        </w:rPr>
      </w:pPr>
      <w:r>
        <w:rPr>
          <w:rFonts w:hint="eastAsia" w:ascii="宋体" w:hAnsi="宋体"/>
          <w:szCs w:val="21"/>
        </w:rPr>
        <w:t>争议处理期间，双方当事人应恪守基金管理人和基金托管人职责，继续忠实、勤勉、尽责地履行《基金合同》和本托管协议规定的义务，维护基金份额持有人的合法权益。</w:t>
      </w:r>
    </w:p>
    <w:p w14:paraId="4F4DE2D3">
      <w:pPr>
        <w:spacing w:line="500" w:lineRule="atLeast"/>
        <w:jc w:val="center"/>
        <w:outlineLvl w:val="0"/>
        <w:rPr>
          <w:rFonts w:ascii="宋体" w:hAnsi="宋体"/>
        </w:rPr>
      </w:pPr>
      <w:bookmarkStart w:id="77" w:name="_Toc382819135"/>
      <w:r>
        <w:rPr>
          <w:rFonts w:hint="eastAsia" w:ascii="宋体" w:hAnsi="宋体"/>
          <w:b/>
          <w:sz w:val="24"/>
        </w:rPr>
        <w:t>十八、基金托管协议的效力和文本</w:t>
      </w:r>
      <w:bookmarkEnd w:id="77"/>
    </w:p>
    <w:p w14:paraId="5B740558">
      <w:pPr>
        <w:pStyle w:val="11"/>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本协议经基金管理人、基金托管人双方加盖公章或合同专用章以及双方法定代表人或授权代表签字或盖章后成立</w:t>
      </w:r>
      <w:r>
        <w:rPr>
          <w:rFonts w:hint="eastAsia" w:ascii="宋体" w:hAnsi="宋体"/>
          <w:szCs w:val="21"/>
        </w:rPr>
        <w:t>。本协议以中国证监会注册的文本为正式文本。基金管理人应确保报送证监会注册的文本与双方签署的文本一致。</w:t>
      </w:r>
    </w:p>
    <w:p w14:paraId="4240294E">
      <w:pPr>
        <w:pStyle w:val="11"/>
        <w:rPr>
          <w:rFonts w:ascii="宋体" w:hAnsi="宋体"/>
          <w:szCs w:val="21"/>
        </w:rPr>
      </w:pPr>
      <w:r>
        <w:rPr>
          <w:rFonts w:hint="eastAsia" w:ascii="宋体" w:hAnsi="宋体"/>
          <w:szCs w:val="21"/>
        </w:rPr>
        <w:t>（二）本协议自本协议成立且《基金合同》生效之日起生效，有效期自其生效之日起至该基金财产清算结果报中国证监会备案并公告之日止。如发生第十五条约定的其他情形的，则自相应情形发生时终止。</w:t>
      </w:r>
    </w:p>
    <w:p w14:paraId="7389C147">
      <w:pPr>
        <w:spacing w:line="360" w:lineRule="auto"/>
        <w:ind w:firstLine="420" w:firstLineChars="200"/>
        <w:rPr>
          <w:rFonts w:ascii="宋体" w:hAnsi="宋体"/>
          <w:szCs w:val="21"/>
        </w:rPr>
      </w:pPr>
      <w:r>
        <w:rPr>
          <w:rFonts w:hint="eastAsia" w:ascii="宋体" w:hAnsi="宋体"/>
          <w:szCs w:val="21"/>
        </w:rPr>
        <w:t>（三）本协议自生效之日起对各当事人具有同等的法律约束力。</w:t>
      </w:r>
    </w:p>
    <w:p w14:paraId="3303AC1F">
      <w:pPr>
        <w:spacing w:line="360" w:lineRule="auto"/>
        <w:ind w:firstLine="420" w:firstLineChars="200"/>
        <w:rPr>
          <w:rFonts w:ascii="宋体" w:hAnsi="宋体"/>
          <w:szCs w:val="21"/>
        </w:rPr>
      </w:pPr>
      <w:r>
        <w:rPr>
          <w:rFonts w:hint="eastAsia" w:ascii="宋体" w:hAnsi="宋体"/>
          <w:szCs w:val="21"/>
        </w:rPr>
        <w:t>（四）本协议正本一式三份，除上报有关监管机构一份外，基金管理人、基金托管人各持有一份，每份具有同等的法律效力。</w:t>
      </w:r>
    </w:p>
    <w:p w14:paraId="634F405F">
      <w:pPr>
        <w:spacing w:line="500" w:lineRule="atLeast"/>
        <w:jc w:val="center"/>
        <w:outlineLvl w:val="0"/>
        <w:rPr>
          <w:rFonts w:ascii="宋体" w:hAnsi="宋体"/>
        </w:rPr>
      </w:pPr>
      <w:r>
        <w:rPr>
          <w:rFonts w:ascii="宋体" w:hAnsi="宋体"/>
          <w:b/>
          <w:sz w:val="24"/>
        </w:rPr>
        <w:t xml:space="preserve"> </w:t>
      </w:r>
      <w:bookmarkStart w:id="78" w:name="_Toc382819136"/>
      <w:r>
        <w:rPr>
          <w:rFonts w:hint="eastAsia" w:ascii="宋体" w:hAnsi="宋体"/>
          <w:b/>
          <w:sz w:val="24"/>
        </w:rPr>
        <w:t>十九、其他事项</w:t>
      </w:r>
      <w:bookmarkEnd w:id="78"/>
    </w:p>
    <w:p w14:paraId="1BEFB130">
      <w:pPr>
        <w:pStyle w:val="11"/>
        <w:rPr>
          <w:rFonts w:ascii="宋体" w:hAnsi="宋体"/>
          <w:szCs w:val="21"/>
        </w:rPr>
      </w:pPr>
      <w:r>
        <w:rPr>
          <w:rFonts w:hint="eastAsia" w:ascii="宋体" w:hAnsi="宋体"/>
          <w:szCs w:val="21"/>
        </w:rPr>
        <w:t>（一）双方在此确认，双方均已充分了解和知悉对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6F60DAAA">
      <w:pPr>
        <w:pStyle w:val="11"/>
        <w:rPr>
          <w:rFonts w:ascii="宋体" w:hAnsi="宋体"/>
          <w:szCs w:val="21"/>
        </w:rPr>
      </w:pPr>
      <w:r>
        <w:rPr>
          <w:rFonts w:hint="eastAsia" w:ascii="宋体" w:hAnsi="宋体"/>
          <w:szCs w:val="21"/>
        </w:rPr>
        <w:t>（二）反洗钱义务</w:t>
      </w:r>
    </w:p>
    <w:p w14:paraId="0F5ED295">
      <w:pPr>
        <w:pStyle w:val="11"/>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依法合规地配合基金托管人进行客户身份识别与尽职调查，提供真实、准确、完整客户资料，遵守双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不执行基金管理人的交易指令，但是应当及时通知基金管理人。</w:t>
      </w:r>
    </w:p>
    <w:p w14:paraId="1B1D39CE">
      <w:pPr>
        <w:pStyle w:val="11"/>
        <w:rPr>
          <w:rFonts w:ascii="宋体" w:hAnsi="宋体"/>
          <w:szCs w:val="21"/>
        </w:rPr>
      </w:pPr>
      <w:r>
        <w:rPr>
          <w:rFonts w:hint="eastAsia" w:ascii="宋体" w:hAnsi="宋体"/>
          <w:szCs w:val="21"/>
        </w:rPr>
        <w:t>基金管理人确认并同意，基金托管人有权根据适用的反洗钱法律法规规定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等国际组织或国家认定的</w:t>
      </w:r>
      <w:r>
        <w:rPr>
          <w:rFonts w:hint="eastAsia" w:ascii="宋体" w:hAnsi="宋体"/>
          <w:szCs w:val="21"/>
          <w:lang w:val="en-US"/>
        </w:rPr>
        <w:t>且得到中国承认的</w:t>
      </w:r>
      <w:r>
        <w:rPr>
          <w:rFonts w:hint="eastAsia" w:ascii="宋体" w:hAnsi="宋体"/>
          <w:szCs w:val="21"/>
        </w:rPr>
        <w:t>洗钱、制裁、恐怖融资或大规模杀伤性武器扩散融资活动、出口管制、或逃税等违法违规行为的，基金托管人有权按照中国人民银行反洗钱监管规定等规定采取必要的管控措施。</w:t>
      </w:r>
    </w:p>
    <w:p w14:paraId="2421CE8D">
      <w:pPr>
        <w:pStyle w:val="11"/>
        <w:rPr>
          <w:rFonts w:ascii="宋体" w:hAnsi="宋体"/>
          <w:szCs w:val="21"/>
        </w:rPr>
      </w:pPr>
      <w:r>
        <w:rPr>
          <w:rFonts w:hint="eastAsia" w:ascii="宋体" w:hAnsi="宋体"/>
          <w:szCs w:val="21"/>
        </w:rPr>
        <w:t>（三）通知</w:t>
      </w:r>
    </w:p>
    <w:p w14:paraId="4BD832AB">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除本协议另有约定外，其他与本协议有关的通知应以书面形式作出，并送达至协议约定的地址，如果相关信息发生变动，变动的一方应当在变动发生之日起五（5）日书面通知其他各方。</w:t>
      </w:r>
    </w:p>
    <w:p w14:paraId="559FC851">
      <w:pPr>
        <w:spacing w:line="360" w:lineRule="auto"/>
        <w:ind w:firstLine="359" w:firstLineChars="171"/>
        <w:rPr>
          <w:rFonts w:ascii="宋体" w:hAnsi="宋体"/>
          <w:szCs w:val="21"/>
        </w:rPr>
      </w:pPr>
      <w:r>
        <w:rPr>
          <w:rFonts w:hint="eastAsia"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585411F4">
      <w:pPr>
        <w:spacing w:line="360" w:lineRule="auto"/>
        <w:ind w:firstLine="359" w:firstLineChars="171"/>
        <w:rPr>
          <w:rFonts w:ascii="宋体" w:hAnsi="宋体"/>
          <w:szCs w:val="21"/>
        </w:rPr>
      </w:pPr>
      <w:r>
        <w:rPr>
          <w:rFonts w:hint="eastAsia" w:ascii="宋体" w:hAnsi="宋体"/>
          <w:szCs w:val="21"/>
        </w:rPr>
        <w:t>3.任何一方在任何时间改变接收通知所用的地址都应立即将该变更通过本协议约定或各方认可的方式通知另一方；如果该变更通知未能送达，递交给上述收件人或地址的通知或联络应视为被正常发送和接收。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433695DC">
      <w:pPr>
        <w:spacing w:line="360" w:lineRule="auto"/>
        <w:ind w:firstLine="359" w:firstLineChars="171"/>
        <w:rPr>
          <w:rFonts w:ascii="宋体" w:hAnsi="宋体"/>
          <w:szCs w:val="21"/>
        </w:rPr>
      </w:pPr>
      <w:r>
        <w:rPr>
          <w:rFonts w:hint="eastAsia" w:ascii="宋体" w:hAnsi="宋体"/>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中华人民共和国民事诉讼法》中关于送达日期的规定。上述邮寄送达地址的变更非经提前通知另一方，不发生法律效力，本协议中确认的送达地址仍然视为有效的送达地址。</w:t>
      </w:r>
    </w:p>
    <w:p w14:paraId="2FC9A12B">
      <w:pPr>
        <w:pStyle w:val="11"/>
        <w:rPr>
          <w:rFonts w:ascii="宋体" w:hAnsi="宋体"/>
          <w:szCs w:val="21"/>
        </w:rPr>
      </w:pPr>
      <w:r>
        <w:rPr>
          <w:rFonts w:hint="eastAsia" w:ascii="宋体" w:hAnsi="宋体"/>
          <w:szCs w:val="21"/>
        </w:rPr>
        <w:t>（四）本协议未尽事宜，当事人依据《基金合同》以及有关法律、法规和规定协商办理。</w:t>
      </w:r>
    </w:p>
    <w:p w14:paraId="25CC6459">
      <w:pPr>
        <w:pStyle w:val="11"/>
      </w:pPr>
      <w:r>
        <w:rPr>
          <w:rFonts w:hint="eastAsia" w:ascii="宋体" w:hAnsi="宋体"/>
          <w:szCs w:val="21"/>
        </w:rPr>
        <w:t>（五）双方约定的其他事项（若有）。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528A">
    <w:pPr>
      <w:pStyle w:val="14"/>
      <w:jc w:val="center"/>
    </w:pPr>
  </w:p>
  <w:p w14:paraId="178D43A0">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E12C">
    <w:pPr>
      <w:pStyle w:val="14"/>
      <w:jc w:val="cente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1C9C">
    <w:pPr>
      <w:pStyle w:val="15"/>
      <w:ind w:right="720"/>
      <w:jc w:val="left"/>
    </w:pPr>
    <w:r>
      <w:rPr>
        <w:rFonts w:hint="eastAsia"/>
      </w:rPr>
      <w:t>银华嘉盈混合型证券投资基金</w:t>
    </w:r>
    <w:r>
      <w:t xml:space="preserve">              </w:t>
    </w:r>
    <w:r>
      <w:rPr>
        <w:rFonts w:hint="eastAsia"/>
      </w:rPr>
      <w:t xml:space="preserve">                                    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367903F8"/>
    <w:multiLevelType w:val="multilevel"/>
    <w:tmpl w:val="367903F8"/>
    <w:lvl w:ilvl="0" w:tentative="0">
      <w:start w:val="1"/>
      <w:numFmt w:val="decimal"/>
      <w:lvlText w:val="%1."/>
      <w:lvlJc w:val="left"/>
      <w:pPr>
        <w:ind w:left="893"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4D30"/>
    <w:rsid w:val="00007CAB"/>
    <w:rsid w:val="00014998"/>
    <w:rsid w:val="00017095"/>
    <w:rsid w:val="000246AC"/>
    <w:rsid w:val="00024DDA"/>
    <w:rsid w:val="00033B81"/>
    <w:rsid w:val="00050C79"/>
    <w:rsid w:val="000514E4"/>
    <w:rsid w:val="00053197"/>
    <w:rsid w:val="000572CB"/>
    <w:rsid w:val="0006509E"/>
    <w:rsid w:val="00067030"/>
    <w:rsid w:val="00070C46"/>
    <w:rsid w:val="00080622"/>
    <w:rsid w:val="0008166B"/>
    <w:rsid w:val="00086C61"/>
    <w:rsid w:val="00090B2E"/>
    <w:rsid w:val="00090B81"/>
    <w:rsid w:val="00091838"/>
    <w:rsid w:val="000927A2"/>
    <w:rsid w:val="0009788B"/>
    <w:rsid w:val="000A061E"/>
    <w:rsid w:val="000A2B8D"/>
    <w:rsid w:val="000C0815"/>
    <w:rsid w:val="000C0A65"/>
    <w:rsid w:val="000C157C"/>
    <w:rsid w:val="000D2DA7"/>
    <w:rsid w:val="000D4F33"/>
    <w:rsid w:val="000E7AE1"/>
    <w:rsid w:val="000F1EB1"/>
    <w:rsid w:val="000F581B"/>
    <w:rsid w:val="00104B8F"/>
    <w:rsid w:val="00106548"/>
    <w:rsid w:val="00107B78"/>
    <w:rsid w:val="00107CD3"/>
    <w:rsid w:val="00110AF4"/>
    <w:rsid w:val="00113546"/>
    <w:rsid w:val="001142CF"/>
    <w:rsid w:val="001239EF"/>
    <w:rsid w:val="00126AE4"/>
    <w:rsid w:val="00127074"/>
    <w:rsid w:val="00135B9F"/>
    <w:rsid w:val="0014246D"/>
    <w:rsid w:val="00146E82"/>
    <w:rsid w:val="001474DC"/>
    <w:rsid w:val="001575AA"/>
    <w:rsid w:val="001605E0"/>
    <w:rsid w:val="00162C4A"/>
    <w:rsid w:val="0016302A"/>
    <w:rsid w:val="00170D13"/>
    <w:rsid w:val="00177C69"/>
    <w:rsid w:val="00190962"/>
    <w:rsid w:val="0019181D"/>
    <w:rsid w:val="00193745"/>
    <w:rsid w:val="00195FAB"/>
    <w:rsid w:val="001A1969"/>
    <w:rsid w:val="001B1F76"/>
    <w:rsid w:val="001B5B01"/>
    <w:rsid w:val="001B7DCA"/>
    <w:rsid w:val="001C483E"/>
    <w:rsid w:val="001C5433"/>
    <w:rsid w:val="001D6409"/>
    <w:rsid w:val="001D6A37"/>
    <w:rsid w:val="001D7962"/>
    <w:rsid w:val="001D7CCB"/>
    <w:rsid w:val="001E0118"/>
    <w:rsid w:val="001E0A64"/>
    <w:rsid w:val="001E0A82"/>
    <w:rsid w:val="001E0B51"/>
    <w:rsid w:val="001E49AD"/>
    <w:rsid w:val="001F013E"/>
    <w:rsid w:val="001F01B5"/>
    <w:rsid w:val="001F1025"/>
    <w:rsid w:val="001F5830"/>
    <w:rsid w:val="001F7684"/>
    <w:rsid w:val="00203F42"/>
    <w:rsid w:val="00214C6D"/>
    <w:rsid w:val="00215FB7"/>
    <w:rsid w:val="00221B2B"/>
    <w:rsid w:val="0022298E"/>
    <w:rsid w:val="00230CA9"/>
    <w:rsid w:val="0023482D"/>
    <w:rsid w:val="002400B3"/>
    <w:rsid w:val="002571C9"/>
    <w:rsid w:val="002618B2"/>
    <w:rsid w:val="00265D7D"/>
    <w:rsid w:val="00265E5A"/>
    <w:rsid w:val="00274955"/>
    <w:rsid w:val="002755B8"/>
    <w:rsid w:val="00276C95"/>
    <w:rsid w:val="00292E45"/>
    <w:rsid w:val="002947E2"/>
    <w:rsid w:val="00296AF1"/>
    <w:rsid w:val="002A057C"/>
    <w:rsid w:val="002A2EE0"/>
    <w:rsid w:val="002B38DA"/>
    <w:rsid w:val="002B429D"/>
    <w:rsid w:val="002C1EAB"/>
    <w:rsid w:val="002C7C71"/>
    <w:rsid w:val="002E0BDC"/>
    <w:rsid w:val="002F42EB"/>
    <w:rsid w:val="003033B4"/>
    <w:rsid w:val="00305FDC"/>
    <w:rsid w:val="00317D84"/>
    <w:rsid w:val="00323BA4"/>
    <w:rsid w:val="00325B47"/>
    <w:rsid w:val="00327DA9"/>
    <w:rsid w:val="00327DDD"/>
    <w:rsid w:val="00345D61"/>
    <w:rsid w:val="003551CC"/>
    <w:rsid w:val="003661E6"/>
    <w:rsid w:val="0036635C"/>
    <w:rsid w:val="00372306"/>
    <w:rsid w:val="00382975"/>
    <w:rsid w:val="003A2B06"/>
    <w:rsid w:val="003A7024"/>
    <w:rsid w:val="003B73BF"/>
    <w:rsid w:val="003B7EFD"/>
    <w:rsid w:val="003C0473"/>
    <w:rsid w:val="003C0A80"/>
    <w:rsid w:val="003C0C16"/>
    <w:rsid w:val="003C3043"/>
    <w:rsid w:val="003C7907"/>
    <w:rsid w:val="003C79A0"/>
    <w:rsid w:val="003D30DA"/>
    <w:rsid w:val="003D7FF6"/>
    <w:rsid w:val="003E1C92"/>
    <w:rsid w:val="003E33ED"/>
    <w:rsid w:val="003F0EDA"/>
    <w:rsid w:val="003F3558"/>
    <w:rsid w:val="00410E16"/>
    <w:rsid w:val="00411554"/>
    <w:rsid w:val="00413F6C"/>
    <w:rsid w:val="00414401"/>
    <w:rsid w:val="00420F01"/>
    <w:rsid w:val="004315E0"/>
    <w:rsid w:val="00440A64"/>
    <w:rsid w:val="00441FC1"/>
    <w:rsid w:val="0044266C"/>
    <w:rsid w:val="00442D90"/>
    <w:rsid w:val="00447CE4"/>
    <w:rsid w:val="0045217A"/>
    <w:rsid w:val="00471AA8"/>
    <w:rsid w:val="00485B80"/>
    <w:rsid w:val="00485F0F"/>
    <w:rsid w:val="004863D2"/>
    <w:rsid w:val="004B443C"/>
    <w:rsid w:val="004B4445"/>
    <w:rsid w:val="004B54F0"/>
    <w:rsid w:val="004C3AF6"/>
    <w:rsid w:val="004C5AC8"/>
    <w:rsid w:val="004C71B3"/>
    <w:rsid w:val="004D3A7E"/>
    <w:rsid w:val="004E1D6C"/>
    <w:rsid w:val="004E4CB4"/>
    <w:rsid w:val="004E6AE3"/>
    <w:rsid w:val="004F1E31"/>
    <w:rsid w:val="004F25BD"/>
    <w:rsid w:val="004F5CDF"/>
    <w:rsid w:val="004F755E"/>
    <w:rsid w:val="00505A18"/>
    <w:rsid w:val="00506788"/>
    <w:rsid w:val="00512CAB"/>
    <w:rsid w:val="005134AB"/>
    <w:rsid w:val="005159ED"/>
    <w:rsid w:val="00517827"/>
    <w:rsid w:val="00525E69"/>
    <w:rsid w:val="00526218"/>
    <w:rsid w:val="005342DA"/>
    <w:rsid w:val="00540ECB"/>
    <w:rsid w:val="0054195B"/>
    <w:rsid w:val="00542EBE"/>
    <w:rsid w:val="00546A35"/>
    <w:rsid w:val="00552F1E"/>
    <w:rsid w:val="0056355B"/>
    <w:rsid w:val="00564C0A"/>
    <w:rsid w:val="00566908"/>
    <w:rsid w:val="00567448"/>
    <w:rsid w:val="00574BF5"/>
    <w:rsid w:val="005771A4"/>
    <w:rsid w:val="00577BAB"/>
    <w:rsid w:val="005832DE"/>
    <w:rsid w:val="00583BD8"/>
    <w:rsid w:val="00587F80"/>
    <w:rsid w:val="005903BE"/>
    <w:rsid w:val="00590CF1"/>
    <w:rsid w:val="005A1CE1"/>
    <w:rsid w:val="005A24B0"/>
    <w:rsid w:val="005A27CF"/>
    <w:rsid w:val="005A4382"/>
    <w:rsid w:val="005B0CEC"/>
    <w:rsid w:val="005B5D51"/>
    <w:rsid w:val="005C0C8C"/>
    <w:rsid w:val="005D72AE"/>
    <w:rsid w:val="005D7D58"/>
    <w:rsid w:val="005E0FA7"/>
    <w:rsid w:val="005F273A"/>
    <w:rsid w:val="005F314E"/>
    <w:rsid w:val="005F3694"/>
    <w:rsid w:val="005F5C6E"/>
    <w:rsid w:val="005F75C2"/>
    <w:rsid w:val="006019ED"/>
    <w:rsid w:val="00606F78"/>
    <w:rsid w:val="00611313"/>
    <w:rsid w:val="00616AE9"/>
    <w:rsid w:val="006208B9"/>
    <w:rsid w:val="00622E56"/>
    <w:rsid w:val="0062565D"/>
    <w:rsid w:val="0062759A"/>
    <w:rsid w:val="00627918"/>
    <w:rsid w:val="006303B2"/>
    <w:rsid w:val="00641021"/>
    <w:rsid w:val="006442DD"/>
    <w:rsid w:val="006473CF"/>
    <w:rsid w:val="00651247"/>
    <w:rsid w:val="00654893"/>
    <w:rsid w:val="00656926"/>
    <w:rsid w:val="00670AE4"/>
    <w:rsid w:val="00672584"/>
    <w:rsid w:val="00674801"/>
    <w:rsid w:val="00674863"/>
    <w:rsid w:val="00674C6C"/>
    <w:rsid w:val="0068283F"/>
    <w:rsid w:val="006835B2"/>
    <w:rsid w:val="006851B1"/>
    <w:rsid w:val="00685EEF"/>
    <w:rsid w:val="0069592C"/>
    <w:rsid w:val="006B1820"/>
    <w:rsid w:val="006B1A4C"/>
    <w:rsid w:val="006B6F11"/>
    <w:rsid w:val="006D1965"/>
    <w:rsid w:val="006E5EB7"/>
    <w:rsid w:val="006F4883"/>
    <w:rsid w:val="006F70AF"/>
    <w:rsid w:val="007005FB"/>
    <w:rsid w:val="007010AA"/>
    <w:rsid w:val="007034DC"/>
    <w:rsid w:val="0070524E"/>
    <w:rsid w:val="00710D04"/>
    <w:rsid w:val="00714C2C"/>
    <w:rsid w:val="007332B8"/>
    <w:rsid w:val="007362EE"/>
    <w:rsid w:val="00736AA6"/>
    <w:rsid w:val="00755471"/>
    <w:rsid w:val="00766D26"/>
    <w:rsid w:val="00775D65"/>
    <w:rsid w:val="00777FFE"/>
    <w:rsid w:val="00782585"/>
    <w:rsid w:val="007827E9"/>
    <w:rsid w:val="007903A2"/>
    <w:rsid w:val="007926B2"/>
    <w:rsid w:val="00796B7F"/>
    <w:rsid w:val="007A362D"/>
    <w:rsid w:val="007A6F1A"/>
    <w:rsid w:val="007B0332"/>
    <w:rsid w:val="007D14CF"/>
    <w:rsid w:val="007D2FD0"/>
    <w:rsid w:val="007D316A"/>
    <w:rsid w:val="007D5F9E"/>
    <w:rsid w:val="007E28AE"/>
    <w:rsid w:val="0080253F"/>
    <w:rsid w:val="008050F2"/>
    <w:rsid w:val="00806EE6"/>
    <w:rsid w:val="00826455"/>
    <w:rsid w:val="0082736C"/>
    <w:rsid w:val="00832462"/>
    <w:rsid w:val="00835473"/>
    <w:rsid w:val="00835E80"/>
    <w:rsid w:val="00836247"/>
    <w:rsid w:val="008434C1"/>
    <w:rsid w:val="008450D5"/>
    <w:rsid w:val="0087186C"/>
    <w:rsid w:val="00872E8F"/>
    <w:rsid w:val="00877C40"/>
    <w:rsid w:val="008873C4"/>
    <w:rsid w:val="008923C7"/>
    <w:rsid w:val="00894054"/>
    <w:rsid w:val="00894DEE"/>
    <w:rsid w:val="00895A73"/>
    <w:rsid w:val="00897D7D"/>
    <w:rsid w:val="008A46E9"/>
    <w:rsid w:val="008B49B5"/>
    <w:rsid w:val="008C1C0E"/>
    <w:rsid w:val="008D468F"/>
    <w:rsid w:val="008D4C0E"/>
    <w:rsid w:val="008D5899"/>
    <w:rsid w:val="008D692F"/>
    <w:rsid w:val="008E5DC6"/>
    <w:rsid w:val="008F0CBE"/>
    <w:rsid w:val="008F1D70"/>
    <w:rsid w:val="008F50CD"/>
    <w:rsid w:val="008F6BF4"/>
    <w:rsid w:val="00900C4A"/>
    <w:rsid w:val="00901704"/>
    <w:rsid w:val="00923F8C"/>
    <w:rsid w:val="009342DB"/>
    <w:rsid w:val="00942DFF"/>
    <w:rsid w:val="00946463"/>
    <w:rsid w:val="00956EA3"/>
    <w:rsid w:val="009656CC"/>
    <w:rsid w:val="00966C1C"/>
    <w:rsid w:val="00970032"/>
    <w:rsid w:val="0097139B"/>
    <w:rsid w:val="00972139"/>
    <w:rsid w:val="00977A77"/>
    <w:rsid w:val="00980631"/>
    <w:rsid w:val="00980774"/>
    <w:rsid w:val="00982117"/>
    <w:rsid w:val="0098487C"/>
    <w:rsid w:val="00987871"/>
    <w:rsid w:val="00990CB5"/>
    <w:rsid w:val="0099659A"/>
    <w:rsid w:val="009A402C"/>
    <w:rsid w:val="009C08CC"/>
    <w:rsid w:val="009D2D46"/>
    <w:rsid w:val="009F0CE8"/>
    <w:rsid w:val="00A01962"/>
    <w:rsid w:val="00A040BD"/>
    <w:rsid w:val="00A04D17"/>
    <w:rsid w:val="00A131DE"/>
    <w:rsid w:val="00A16100"/>
    <w:rsid w:val="00A16A2F"/>
    <w:rsid w:val="00A16F02"/>
    <w:rsid w:val="00A265EC"/>
    <w:rsid w:val="00A274F6"/>
    <w:rsid w:val="00A3622A"/>
    <w:rsid w:val="00A373DF"/>
    <w:rsid w:val="00A37439"/>
    <w:rsid w:val="00A404DA"/>
    <w:rsid w:val="00A436B5"/>
    <w:rsid w:val="00A44596"/>
    <w:rsid w:val="00A45E01"/>
    <w:rsid w:val="00A51111"/>
    <w:rsid w:val="00A53663"/>
    <w:rsid w:val="00A53930"/>
    <w:rsid w:val="00A53D3C"/>
    <w:rsid w:val="00A62A21"/>
    <w:rsid w:val="00A63F17"/>
    <w:rsid w:val="00A64890"/>
    <w:rsid w:val="00A72A03"/>
    <w:rsid w:val="00A73D2E"/>
    <w:rsid w:val="00A84C96"/>
    <w:rsid w:val="00A85CB5"/>
    <w:rsid w:val="00A90925"/>
    <w:rsid w:val="00A916A3"/>
    <w:rsid w:val="00A91F1D"/>
    <w:rsid w:val="00A92CBF"/>
    <w:rsid w:val="00A96512"/>
    <w:rsid w:val="00AA006D"/>
    <w:rsid w:val="00AA13D2"/>
    <w:rsid w:val="00AA3949"/>
    <w:rsid w:val="00AA6184"/>
    <w:rsid w:val="00AA6186"/>
    <w:rsid w:val="00AA7AD5"/>
    <w:rsid w:val="00AB0AD2"/>
    <w:rsid w:val="00AB5D25"/>
    <w:rsid w:val="00AB6852"/>
    <w:rsid w:val="00AC196C"/>
    <w:rsid w:val="00AC3023"/>
    <w:rsid w:val="00AD6C2F"/>
    <w:rsid w:val="00AE0D8E"/>
    <w:rsid w:val="00AF5BE0"/>
    <w:rsid w:val="00AF7082"/>
    <w:rsid w:val="00B03E07"/>
    <w:rsid w:val="00B05A74"/>
    <w:rsid w:val="00B1055E"/>
    <w:rsid w:val="00B16B89"/>
    <w:rsid w:val="00B16C4A"/>
    <w:rsid w:val="00B26DC1"/>
    <w:rsid w:val="00B375B7"/>
    <w:rsid w:val="00B37DEA"/>
    <w:rsid w:val="00B44094"/>
    <w:rsid w:val="00B510A9"/>
    <w:rsid w:val="00B513AA"/>
    <w:rsid w:val="00B63CC1"/>
    <w:rsid w:val="00B81D32"/>
    <w:rsid w:val="00B82B77"/>
    <w:rsid w:val="00B8598B"/>
    <w:rsid w:val="00B85BF8"/>
    <w:rsid w:val="00B85F73"/>
    <w:rsid w:val="00B91981"/>
    <w:rsid w:val="00B92303"/>
    <w:rsid w:val="00B935B0"/>
    <w:rsid w:val="00B95098"/>
    <w:rsid w:val="00B972AD"/>
    <w:rsid w:val="00BA076E"/>
    <w:rsid w:val="00BA66D4"/>
    <w:rsid w:val="00BB0D8C"/>
    <w:rsid w:val="00BB171D"/>
    <w:rsid w:val="00BC37EA"/>
    <w:rsid w:val="00BD0108"/>
    <w:rsid w:val="00BD1528"/>
    <w:rsid w:val="00BD2902"/>
    <w:rsid w:val="00BD2ABE"/>
    <w:rsid w:val="00BD5982"/>
    <w:rsid w:val="00BE03C8"/>
    <w:rsid w:val="00BE2698"/>
    <w:rsid w:val="00BF1FD8"/>
    <w:rsid w:val="00BF2F9D"/>
    <w:rsid w:val="00BF5650"/>
    <w:rsid w:val="00C025D2"/>
    <w:rsid w:val="00C21BA9"/>
    <w:rsid w:val="00C22494"/>
    <w:rsid w:val="00C26877"/>
    <w:rsid w:val="00C30E52"/>
    <w:rsid w:val="00C31127"/>
    <w:rsid w:val="00C36C35"/>
    <w:rsid w:val="00C41C25"/>
    <w:rsid w:val="00C42DF3"/>
    <w:rsid w:val="00C467E0"/>
    <w:rsid w:val="00C543EC"/>
    <w:rsid w:val="00C5461D"/>
    <w:rsid w:val="00C61BA6"/>
    <w:rsid w:val="00C620C1"/>
    <w:rsid w:val="00C62ACD"/>
    <w:rsid w:val="00C66FF3"/>
    <w:rsid w:val="00C70DAB"/>
    <w:rsid w:val="00C713FE"/>
    <w:rsid w:val="00C7684F"/>
    <w:rsid w:val="00C820A3"/>
    <w:rsid w:val="00C8335D"/>
    <w:rsid w:val="00C83777"/>
    <w:rsid w:val="00C838D1"/>
    <w:rsid w:val="00C84C91"/>
    <w:rsid w:val="00C90946"/>
    <w:rsid w:val="00C92DBB"/>
    <w:rsid w:val="00CA1B32"/>
    <w:rsid w:val="00CA22EF"/>
    <w:rsid w:val="00CA6279"/>
    <w:rsid w:val="00CA66DD"/>
    <w:rsid w:val="00CB3E74"/>
    <w:rsid w:val="00CB50D4"/>
    <w:rsid w:val="00CB77FA"/>
    <w:rsid w:val="00CC1BDA"/>
    <w:rsid w:val="00CD118D"/>
    <w:rsid w:val="00CD4DB9"/>
    <w:rsid w:val="00CE00CB"/>
    <w:rsid w:val="00CE27A6"/>
    <w:rsid w:val="00CE6F27"/>
    <w:rsid w:val="00CF371D"/>
    <w:rsid w:val="00CF6712"/>
    <w:rsid w:val="00D01394"/>
    <w:rsid w:val="00D13567"/>
    <w:rsid w:val="00D14F24"/>
    <w:rsid w:val="00D15080"/>
    <w:rsid w:val="00D206D0"/>
    <w:rsid w:val="00D2332F"/>
    <w:rsid w:val="00D30E3A"/>
    <w:rsid w:val="00D3236A"/>
    <w:rsid w:val="00D32C3A"/>
    <w:rsid w:val="00D3667B"/>
    <w:rsid w:val="00D428B4"/>
    <w:rsid w:val="00D43FDC"/>
    <w:rsid w:val="00D47104"/>
    <w:rsid w:val="00D50B05"/>
    <w:rsid w:val="00D549D3"/>
    <w:rsid w:val="00D5672D"/>
    <w:rsid w:val="00D57194"/>
    <w:rsid w:val="00D606A2"/>
    <w:rsid w:val="00D615D1"/>
    <w:rsid w:val="00D64C48"/>
    <w:rsid w:val="00D77370"/>
    <w:rsid w:val="00D83120"/>
    <w:rsid w:val="00D851ED"/>
    <w:rsid w:val="00D85472"/>
    <w:rsid w:val="00D85EAE"/>
    <w:rsid w:val="00D8649A"/>
    <w:rsid w:val="00D869CF"/>
    <w:rsid w:val="00D91FC5"/>
    <w:rsid w:val="00DA0268"/>
    <w:rsid w:val="00DA0AF9"/>
    <w:rsid w:val="00DB17EC"/>
    <w:rsid w:val="00DB3715"/>
    <w:rsid w:val="00DB6B2E"/>
    <w:rsid w:val="00DC530A"/>
    <w:rsid w:val="00DD330D"/>
    <w:rsid w:val="00DD4084"/>
    <w:rsid w:val="00DD4D55"/>
    <w:rsid w:val="00DE1C3D"/>
    <w:rsid w:val="00DE4AFD"/>
    <w:rsid w:val="00E00573"/>
    <w:rsid w:val="00E03D48"/>
    <w:rsid w:val="00E127FF"/>
    <w:rsid w:val="00E12D48"/>
    <w:rsid w:val="00E13468"/>
    <w:rsid w:val="00E13A3C"/>
    <w:rsid w:val="00E15B32"/>
    <w:rsid w:val="00E165E8"/>
    <w:rsid w:val="00E2021F"/>
    <w:rsid w:val="00E26635"/>
    <w:rsid w:val="00E27F0C"/>
    <w:rsid w:val="00E3001C"/>
    <w:rsid w:val="00E3335A"/>
    <w:rsid w:val="00E37ACC"/>
    <w:rsid w:val="00E44CB0"/>
    <w:rsid w:val="00E47959"/>
    <w:rsid w:val="00E61571"/>
    <w:rsid w:val="00E64669"/>
    <w:rsid w:val="00E64FEC"/>
    <w:rsid w:val="00E65EC9"/>
    <w:rsid w:val="00E710CD"/>
    <w:rsid w:val="00E72BEB"/>
    <w:rsid w:val="00E822A3"/>
    <w:rsid w:val="00E851A7"/>
    <w:rsid w:val="00E86DC0"/>
    <w:rsid w:val="00E91BE5"/>
    <w:rsid w:val="00E93355"/>
    <w:rsid w:val="00EA1C05"/>
    <w:rsid w:val="00EA2610"/>
    <w:rsid w:val="00EA3E3C"/>
    <w:rsid w:val="00EA44F6"/>
    <w:rsid w:val="00EA58A4"/>
    <w:rsid w:val="00EA7A80"/>
    <w:rsid w:val="00ED47D6"/>
    <w:rsid w:val="00EE4921"/>
    <w:rsid w:val="00EE757F"/>
    <w:rsid w:val="00EF244B"/>
    <w:rsid w:val="00F12D7B"/>
    <w:rsid w:val="00F17853"/>
    <w:rsid w:val="00F20269"/>
    <w:rsid w:val="00F27F0F"/>
    <w:rsid w:val="00F30018"/>
    <w:rsid w:val="00F41996"/>
    <w:rsid w:val="00F446BA"/>
    <w:rsid w:val="00F557EF"/>
    <w:rsid w:val="00F71EA1"/>
    <w:rsid w:val="00F82176"/>
    <w:rsid w:val="00F9119B"/>
    <w:rsid w:val="00F946F2"/>
    <w:rsid w:val="00F97575"/>
    <w:rsid w:val="00FA55E5"/>
    <w:rsid w:val="00FA77A2"/>
    <w:rsid w:val="00FC0797"/>
    <w:rsid w:val="00FC708A"/>
    <w:rsid w:val="00FD3C76"/>
    <w:rsid w:val="00FE3FE0"/>
    <w:rsid w:val="00FE557D"/>
    <w:rsid w:val="00FF3854"/>
    <w:rsid w:val="00FF4C78"/>
    <w:rsid w:val="00FF50C6"/>
    <w:rsid w:val="015E0CB0"/>
    <w:rsid w:val="1CD07254"/>
    <w:rsid w:val="1DF31A2B"/>
    <w:rsid w:val="1FA336DB"/>
    <w:rsid w:val="27503F78"/>
    <w:rsid w:val="2C4F2FC7"/>
    <w:rsid w:val="310C4E53"/>
    <w:rsid w:val="3FFB0991"/>
    <w:rsid w:val="43B9547F"/>
    <w:rsid w:val="446E4CA3"/>
    <w:rsid w:val="475834A9"/>
    <w:rsid w:val="620850FA"/>
    <w:rsid w:val="706D751A"/>
    <w:rsid w:val="791B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37"/>
    <w:unhideWhenUsed/>
    <w:qFormat/>
    <w:uiPriority w:val="0"/>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unhideWhenUsed/>
    <w:qFormat/>
    <w:uiPriority w:val="0"/>
    <w:rPr>
      <w:sz w:val="21"/>
      <w:szCs w:val="21"/>
    </w:rPr>
  </w:style>
  <w:style w:type="character" w:customStyle="1" w:styleId="23">
    <w:name w:val="页眉 Char"/>
    <w:basedOn w:val="20"/>
    <w:link w:val="15"/>
    <w:qFormat/>
    <w:uiPriority w:val="99"/>
    <w:rPr>
      <w:sz w:val="18"/>
      <w:szCs w:val="18"/>
    </w:rPr>
  </w:style>
  <w:style w:type="character" w:customStyle="1" w:styleId="24">
    <w:name w:val="页脚 Char"/>
    <w:basedOn w:val="20"/>
    <w:link w:val="14"/>
    <w:qFormat/>
    <w:uiPriority w:val="99"/>
    <w:rPr>
      <w:sz w:val="18"/>
      <w:szCs w:val="18"/>
    </w:rPr>
  </w:style>
  <w:style w:type="character" w:customStyle="1" w:styleId="25">
    <w:name w:val="标题 1 Char"/>
    <w:basedOn w:val="20"/>
    <w:link w:val="2"/>
    <w:qFormat/>
    <w:uiPriority w:val="0"/>
    <w:rPr>
      <w:rFonts w:ascii="黑体" w:hAnsi="Times New Roman" w:eastAsia="黑体" w:cs="Times New Roman"/>
      <w:b/>
      <w:kern w:val="44"/>
      <w:sz w:val="32"/>
      <w:szCs w:val="20"/>
      <w:lang w:val="zh-CN" w:eastAsia="zh-CN"/>
    </w:rPr>
  </w:style>
  <w:style w:type="character" w:customStyle="1" w:styleId="26">
    <w:name w:val="标题 2 Char"/>
    <w:basedOn w:val="20"/>
    <w:link w:val="3"/>
    <w:qFormat/>
    <w:uiPriority w:val="0"/>
    <w:rPr>
      <w:rFonts w:ascii="Arial" w:hAnsi="Arial" w:eastAsia="黑体" w:cs="Times New Roman"/>
      <w:b/>
      <w:bCs/>
      <w:sz w:val="32"/>
      <w:szCs w:val="32"/>
    </w:rPr>
  </w:style>
  <w:style w:type="character" w:customStyle="1" w:styleId="27">
    <w:name w:val="标题 3 Char"/>
    <w:basedOn w:val="20"/>
    <w:link w:val="4"/>
    <w:qFormat/>
    <w:uiPriority w:val="0"/>
    <w:rPr>
      <w:rFonts w:ascii="Arial" w:hAnsi="Arial" w:eastAsia="仿宋_GB2312" w:cs="Times New Roman"/>
      <w:b/>
      <w:sz w:val="24"/>
      <w:szCs w:val="20"/>
      <w:lang w:val="zh-CN" w:eastAsia="zh-CN"/>
    </w:rPr>
  </w:style>
  <w:style w:type="character" w:customStyle="1" w:styleId="28">
    <w:name w:val="标题 4 Char"/>
    <w:basedOn w:val="20"/>
    <w:link w:val="5"/>
    <w:qFormat/>
    <w:uiPriority w:val="0"/>
    <w:rPr>
      <w:rFonts w:ascii="Arial" w:hAnsi="Arial" w:eastAsia="仿宋_GB2312" w:cs="Times New Roman"/>
      <w:sz w:val="24"/>
      <w:szCs w:val="20"/>
      <w:lang w:val="zh-CN" w:eastAsia="zh-CN"/>
    </w:rPr>
  </w:style>
  <w:style w:type="character" w:customStyle="1" w:styleId="29">
    <w:name w:val="标题 5 Char"/>
    <w:basedOn w:val="20"/>
    <w:link w:val="6"/>
    <w:qFormat/>
    <w:uiPriority w:val="0"/>
    <w:rPr>
      <w:rFonts w:ascii="Arial" w:hAnsi="Arial" w:eastAsia="仿宋_GB2312" w:cs="Times New Roman"/>
      <w:sz w:val="24"/>
      <w:szCs w:val="20"/>
      <w:lang w:val="zh-CN" w:eastAsia="zh-CN"/>
    </w:rPr>
  </w:style>
  <w:style w:type="character" w:customStyle="1" w:styleId="30">
    <w:name w:val="标题 6 Char"/>
    <w:basedOn w:val="20"/>
    <w:link w:val="7"/>
    <w:qFormat/>
    <w:uiPriority w:val="0"/>
    <w:rPr>
      <w:rFonts w:ascii="Arial" w:hAnsi="Arial" w:eastAsia="仿宋_GB2312" w:cs="Times New Roman"/>
      <w:sz w:val="24"/>
      <w:szCs w:val="20"/>
      <w:lang w:val="zh-CN" w:eastAsia="zh-CN"/>
    </w:rPr>
  </w:style>
  <w:style w:type="character" w:customStyle="1" w:styleId="31">
    <w:name w:val="标题 7 Char"/>
    <w:basedOn w:val="20"/>
    <w:link w:val="8"/>
    <w:qFormat/>
    <w:uiPriority w:val="0"/>
    <w:rPr>
      <w:rFonts w:ascii="仿宋_GB2312" w:hAnsi="Times New Roman" w:eastAsia="仿宋_GB2312" w:cs="Times New Roman"/>
      <w:sz w:val="24"/>
      <w:szCs w:val="20"/>
      <w:lang w:val="zh-CN" w:eastAsia="zh-CN"/>
    </w:rPr>
  </w:style>
  <w:style w:type="character" w:customStyle="1" w:styleId="32">
    <w:name w:val="正文文本缩进 2 Char"/>
    <w:basedOn w:val="20"/>
    <w:link w:val="12"/>
    <w:qFormat/>
    <w:uiPriority w:val="0"/>
    <w:rPr>
      <w:rFonts w:ascii="仿宋_GB2312" w:hAnsi="Calibri" w:eastAsia="仿宋_GB2312" w:cs="Times New Roman"/>
      <w:sz w:val="24"/>
      <w:szCs w:val="20"/>
    </w:rPr>
  </w:style>
  <w:style w:type="character" w:customStyle="1" w:styleId="33">
    <w:name w:val="正文文本缩进 Char"/>
    <w:basedOn w:val="20"/>
    <w:link w:val="11"/>
    <w:qFormat/>
    <w:uiPriority w:val="0"/>
    <w:rPr>
      <w:rFonts w:ascii="Times New Roman" w:hAnsi="Times New Roman" w:eastAsia="宋体" w:cs="Times New Roman"/>
      <w:szCs w:val="24"/>
      <w:lang w:val="zh-CN" w:eastAsia="zh-CN"/>
    </w:rPr>
  </w:style>
  <w:style w:type="character" w:customStyle="1" w:styleId="34">
    <w:name w:val="正文缩进 Char"/>
    <w:link w:val="9"/>
    <w:qFormat/>
    <w:uiPriority w:val="99"/>
    <w:rPr>
      <w:rFonts w:ascii="Calibri" w:hAnsi="Calibri" w:eastAsia="宋体" w:cs="Times New Roman"/>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Char"/>
    <w:basedOn w:val="20"/>
    <w:link w:val="13"/>
    <w:semiHidden/>
    <w:qFormat/>
    <w:uiPriority w:val="99"/>
    <w:rPr>
      <w:rFonts w:ascii="Times New Roman" w:hAnsi="Times New Roman" w:eastAsia="宋体" w:cs="Times New Roman"/>
      <w:sz w:val="18"/>
      <w:szCs w:val="18"/>
    </w:rPr>
  </w:style>
  <w:style w:type="character" w:customStyle="1" w:styleId="37">
    <w:name w:val="批注文字 Char"/>
    <w:basedOn w:val="20"/>
    <w:link w:val="10"/>
    <w:qFormat/>
    <w:uiPriority w:val="0"/>
    <w:rPr>
      <w:rFonts w:ascii="Times New Roman" w:hAnsi="Times New Roman" w:eastAsia="宋体" w:cs="Times New Roman"/>
      <w:szCs w:val="24"/>
    </w:rPr>
  </w:style>
  <w:style w:type="character" w:customStyle="1" w:styleId="38">
    <w:name w:val="批注主题 Char"/>
    <w:basedOn w:val="37"/>
    <w:link w:val="18"/>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character" w:customStyle="1" w:styleId="41">
    <w:name w:val="批注文字 字符1"/>
    <w:qFormat/>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5175</Words>
  <Characters>29499</Characters>
  <Lines>245</Lines>
  <Paragraphs>69</Paragraphs>
  <TotalTime>1</TotalTime>
  <ScaleCrop>false</ScaleCrop>
  <LinksUpToDate>false</LinksUpToDate>
  <CharactersWithSpaces>34605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2025-03-21T06:28:00Z</dcterms:created>
  <dc:creator>Administrator</dc:creator>
  <cp:lastModifiedBy>yaosq信披</cp:lastModifiedBy>
  <cp:lastPrinted>2025-10-23T02:57:00Z</cp:lastPrinted>
  <dcterms:modified xsi:type="dcterms:W3CDTF">2026-05-14T14:19:02Z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GrammarlyDocumentId">
    <vt:lpwstr>4a295146626084e0e7e65d7a952a25e56c1ebe51b8b063babdd98a315a116b8d</vt:lpwstr>
  </property>
  <property fmtid="{D5CDD505-2E9C-101B-9397-08002B2CF9AE}" pid="4" name="KSOTemplateDocerSaveRecord">
    <vt:lpwstr>eyJoZGlkIjoiNDJjYjA3ZTQ2MTM1MDE2Njk1YjQxMTc0YTg5ODhiMTAiLCJ1c2VySWQiOiIxOTY5NTUwNTIifQ==</vt:lpwstr>
  </property>
  <property fmtid="{D5CDD505-2E9C-101B-9397-08002B2CF9AE}" pid="5" name="KSOProductBuildVer">
    <vt:lpwstr>2052-12.8.2.18913</vt:lpwstr>
  </property>
  <property fmtid="{D5CDD505-2E9C-101B-9397-08002B2CF9AE}" pid="6" name="ICV">
    <vt:lpwstr>638009E5813A43AF8294526244489041_13</vt:lpwstr>
  </property>
</Properties>
</file>