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89" w:rsidRDefault="001D0D89">
      <w:pPr>
        <w:rPr>
          <w:rFonts w:ascii="宋体" w:hAnsi="宋体"/>
          <w:sz w:val="24"/>
        </w:rPr>
      </w:pPr>
    </w:p>
    <w:p w:rsidR="001D0D89" w:rsidRDefault="00F1175F">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rsidR="009E7ACF" w:rsidRDefault="009E7ACF">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" filled="f" stroked="f">
                <v:textbox>
                  <w:txbxContent>
                    <w:p w14:paraId="1E996978" w14:textId="77777777" w:rsidR="009E7ACF" w:rsidRDefault="009E7ACF">
                      <w:pPr>
                        <w:rPr>
                          <w:b/>
                          <w:sz w:val="28"/>
                          <w:szCs w:val="28"/>
                        </w:rPr>
                      </w:pPr>
                      <w:r>
                        <w:rPr>
                          <w:rFonts w:hint="eastAsia"/>
                          <w:b/>
                          <w:sz w:val="28"/>
                          <w:szCs w:val="28"/>
                        </w:rPr>
                        <w:t>编号：</w:t>
                      </w:r>
                    </w:p>
                  </w:txbxContent>
                </v:textbox>
              </v:shape>
            </w:pict>
          </mc:Fallback>
        </mc:AlternateContent>
      </w:r>
    </w:p>
    <w:p w:rsidR="001D0D89" w:rsidRDefault="001D0D89">
      <w:pPr>
        <w:rPr>
          <w:rFonts w:eastAsia="黑体"/>
          <w:sz w:val="52"/>
          <w:szCs w:val="52"/>
        </w:rPr>
      </w:pPr>
    </w:p>
    <w:p w:rsidR="001D0D89" w:rsidRDefault="001D0D89">
      <w:pPr>
        <w:tabs>
          <w:tab w:val="left" w:pos="3495"/>
        </w:tabs>
        <w:rPr>
          <w:rFonts w:eastAsia="黑体"/>
          <w:sz w:val="52"/>
          <w:szCs w:val="52"/>
        </w:rPr>
      </w:pPr>
    </w:p>
    <w:p w:rsidR="001D0D89" w:rsidRDefault="001D0D89">
      <w:pPr>
        <w:tabs>
          <w:tab w:val="center" w:pos="4164"/>
          <w:tab w:val="left" w:pos="5455"/>
        </w:tabs>
        <w:ind w:rightChars="-8" w:right="-17"/>
        <w:jc w:val="center"/>
        <w:rPr>
          <w:rFonts w:eastAsia="黑体"/>
          <w:sz w:val="52"/>
          <w:szCs w:val="52"/>
        </w:rPr>
      </w:pPr>
    </w:p>
    <w:p w:rsidR="001D0D89" w:rsidRDefault="001D0D89">
      <w:pPr>
        <w:tabs>
          <w:tab w:val="center" w:pos="4164"/>
          <w:tab w:val="left" w:pos="5455"/>
        </w:tabs>
        <w:ind w:rightChars="-8" w:right="-17"/>
        <w:jc w:val="center"/>
        <w:rPr>
          <w:rFonts w:eastAsia="黑体"/>
          <w:sz w:val="52"/>
          <w:szCs w:val="52"/>
        </w:rPr>
      </w:pPr>
    </w:p>
    <w:p w:rsidR="001D0D89" w:rsidRDefault="001D0D89">
      <w:pPr>
        <w:jc w:val="center"/>
        <w:rPr>
          <w:rFonts w:ascii="宋体" w:hAnsi="宋体"/>
          <w:sz w:val="24"/>
        </w:rPr>
      </w:pPr>
    </w:p>
    <w:p w:rsidR="001D0D89" w:rsidRDefault="001D0D89">
      <w:pPr>
        <w:jc w:val="center"/>
        <w:rPr>
          <w:b/>
          <w:sz w:val="52"/>
          <w:szCs w:val="52"/>
        </w:rPr>
      </w:pPr>
    </w:p>
    <w:p w:rsidR="001D0D89" w:rsidRDefault="001D0D89">
      <w:pPr>
        <w:jc w:val="center"/>
        <w:rPr>
          <w:rFonts w:ascii="仿宋_GB2312" w:eastAsia="仿宋_GB2312"/>
          <w:b/>
          <w:sz w:val="32"/>
          <w:szCs w:val="32"/>
        </w:rPr>
      </w:pPr>
    </w:p>
    <w:p w:rsidR="001D0D89" w:rsidRDefault="00F1175F">
      <w:pPr>
        <w:jc w:val="center"/>
        <w:rPr>
          <w:rFonts w:ascii="黑体" w:eastAsia="黑体" w:hAnsi="黑体"/>
          <w:b/>
          <w:sz w:val="44"/>
          <w:szCs w:val="44"/>
        </w:rPr>
      </w:pPr>
      <w:r>
        <w:rPr>
          <w:rFonts w:ascii="黑体" w:eastAsia="黑体" w:hAnsi="黑体" w:hint="eastAsia"/>
          <w:b/>
          <w:sz w:val="44"/>
          <w:szCs w:val="44"/>
        </w:rPr>
        <w:t>永赢价值核心混合型证券投资基金托管协议</w:t>
      </w:r>
    </w:p>
    <w:p w:rsidR="001D0D89" w:rsidRDefault="001D0D89">
      <w:pPr>
        <w:jc w:val="center"/>
        <w:rPr>
          <w:rFonts w:ascii="宋体" w:hAnsi="宋体"/>
          <w:sz w:val="44"/>
          <w:szCs w:val="44"/>
        </w:rPr>
      </w:pPr>
    </w:p>
    <w:p w:rsidR="001D0D89" w:rsidRDefault="001D0D89">
      <w:pPr>
        <w:jc w:val="center"/>
        <w:rPr>
          <w:rFonts w:ascii="宋体" w:hAnsi="宋体"/>
          <w:sz w:val="44"/>
          <w:szCs w:val="44"/>
        </w:rPr>
      </w:pPr>
    </w:p>
    <w:p w:rsidR="001D0D89" w:rsidRDefault="001D0D89">
      <w:pPr>
        <w:jc w:val="center"/>
        <w:rPr>
          <w:rFonts w:ascii="宋体" w:hAnsi="宋体"/>
          <w:sz w:val="44"/>
          <w:szCs w:val="44"/>
        </w:rPr>
      </w:pPr>
    </w:p>
    <w:p w:rsidR="001D0D89" w:rsidRDefault="001D0D89">
      <w:pPr>
        <w:jc w:val="center"/>
        <w:rPr>
          <w:rFonts w:ascii="宋体" w:hAnsi="宋体"/>
          <w:sz w:val="44"/>
          <w:szCs w:val="44"/>
        </w:rPr>
      </w:pPr>
    </w:p>
    <w:p w:rsidR="001D0D89" w:rsidRDefault="001D0D89">
      <w:pPr>
        <w:rPr>
          <w:rFonts w:ascii="宋体"/>
          <w:sz w:val="30"/>
        </w:rPr>
      </w:pPr>
    </w:p>
    <w:p w:rsidR="001D0D89" w:rsidRDefault="00F1175F">
      <w:pPr>
        <w:ind w:leftChars="540" w:left="1135" w:hanging="1"/>
        <w:jc w:val="left"/>
        <w:rPr>
          <w:sz w:val="32"/>
          <w:szCs w:val="32"/>
          <w:u w:val="single"/>
        </w:rPr>
      </w:pPr>
      <w:bookmarkStart w:id="0" w:name="_Toc382818591"/>
      <w:bookmarkStart w:id="1" w:name="_Toc382819065"/>
      <w:r>
        <w:rPr>
          <w:rFonts w:hint="eastAsia"/>
          <w:sz w:val="32"/>
          <w:szCs w:val="32"/>
        </w:rPr>
        <w:t>基金管理人：</w:t>
      </w:r>
      <w:bookmarkEnd w:id="0"/>
      <w:bookmarkEnd w:id="1"/>
      <w:r w:rsidRPr="00ED7D97">
        <w:rPr>
          <w:rFonts w:hint="eastAsia"/>
          <w:sz w:val="32"/>
          <w:szCs w:val="32"/>
        </w:rPr>
        <w:t>永赢基金管理有限公司</w:t>
      </w:r>
    </w:p>
    <w:p w:rsidR="001D0D89" w:rsidRDefault="00F1175F">
      <w:pPr>
        <w:ind w:leftChars="540" w:left="1135" w:hanging="1"/>
        <w:jc w:val="left"/>
        <w:rPr>
          <w:sz w:val="32"/>
          <w:szCs w:val="32"/>
        </w:rPr>
      </w:pPr>
      <w:bookmarkStart w:id="2" w:name="_Toc382818592"/>
      <w:bookmarkStart w:id="3" w:name="_Toc382819066"/>
      <w:r>
        <w:rPr>
          <w:rFonts w:hint="eastAsia"/>
          <w:sz w:val="32"/>
          <w:szCs w:val="32"/>
        </w:rPr>
        <w:t>基金托管人：上海浦东发展银行股份有限公司</w:t>
      </w:r>
      <w:bookmarkEnd w:id="2"/>
      <w:bookmarkEnd w:id="3"/>
    </w:p>
    <w:p w:rsidR="001D0D89" w:rsidRDefault="00F1175F">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8593"/>
      <w:bookmarkStart w:id="5" w:name="_Toc382819067"/>
    </w:p>
    <w:p w:rsidR="001D0D89" w:rsidRDefault="00F1175F">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4"/>
      <w:bookmarkEnd w:id="5"/>
    </w:p>
    <w:p w:rsidR="001D0D89" w:rsidRDefault="00F1175F">
      <w:pPr>
        <w:pStyle w:val="11"/>
        <w:tabs>
          <w:tab w:val="left" w:pos="440"/>
          <w:tab w:val="right" w:leader="dot" w:pos="8296"/>
        </w:tabs>
        <w:spacing w:line="360" w:lineRule="auto"/>
        <w:rPr>
          <w:rFonts w:ascii="Calibri" w:hAnsi="Calibri"/>
          <w:noProof/>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bookmarkStart w:id="6" w:name="_GoBack"/>
    </w:p>
    <w:p w:rsidR="001D0D89" w:rsidRDefault="00F6140E">
      <w:pPr>
        <w:pStyle w:val="11"/>
        <w:tabs>
          <w:tab w:val="right" w:leader="dot" w:pos="8296"/>
        </w:tabs>
        <w:spacing w:line="360" w:lineRule="auto"/>
        <w:rPr>
          <w:rFonts w:ascii="Calibri" w:hAnsi="Calibri"/>
          <w:noProof/>
          <w:szCs w:val="21"/>
        </w:rPr>
      </w:pPr>
      <w:hyperlink w:anchor="_Toc382819071" w:history="1">
        <w:r w:rsidR="00F1175F">
          <w:rPr>
            <w:rStyle w:val="af2"/>
            <w:rFonts w:ascii="宋体" w:hAnsi="宋体" w:cs="Arial" w:hint="eastAsia"/>
            <w:noProof/>
            <w:szCs w:val="21"/>
          </w:rPr>
          <w:t>一、</w:t>
        </w:r>
        <w:r w:rsidR="00F1175F">
          <w:rPr>
            <w:rStyle w:val="af2"/>
            <w:rFonts w:ascii="宋体" w:hAnsi="宋体" w:cs="Arial"/>
            <w:noProof/>
            <w:szCs w:val="21"/>
          </w:rPr>
          <w:t xml:space="preserve"> </w:t>
        </w:r>
        <w:r w:rsidR="00F1175F">
          <w:rPr>
            <w:rStyle w:val="af2"/>
            <w:rFonts w:ascii="宋体" w:hAnsi="宋体" w:cs="Arial" w:hint="eastAsia"/>
            <w:noProof/>
            <w:szCs w:val="21"/>
          </w:rPr>
          <w:t>基金托管协议的依据、目的、原则和解释</w:t>
        </w:r>
        <w:r w:rsidR="00F1175F">
          <w:rPr>
            <w:noProof/>
            <w:szCs w:val="21"/>
          </w:rPr>
          <w:tab/>
        </w:r>
        <w:r w:rsidR="00F1175F">
          <w:rPr>
            <w:noProof/>
            <w:szCs w:val="21"/>
          </w:rPr>
          <w:fldChar w:fldCharType="begin"/>
        </w:r>
        <w:r w:rsidR="00F1175F">
          <w:rPr>
            <w:noProof/>
            <w:szCs w:val="21"/>
          </w:rPr>
          <w:instrText xml:space="preserve"> PAGEREF _Toc382819071 \h </w:instrText>
        </w:r>
        <w:r w:rsidR="00F1175F">
          <w:rPr>
            <w:noProof/>
            <w:szCs w:val="21"/>
          </w:rPr>
        </w:r>
        <w:r w:rsidR="00F1175F">
          <w:rPr>
            <w:noProof/>
            <w:szCs w:val="21"/>
          </w:rPr>
          <w:fldChar w:fldCharType="separate"/>
        </w:r>
        <w:r w:rsidR="00165D15">
          <w:rPr>
            <w:noProof/>
            <w:szCs w:val="21"/>
          </w:rPr>
          <w:t>2</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072" w:history="1">
        <w:r w:rsidR="00F1175F">
          <w:rPr>
            <w:rStyle w:val="af2"/>
            <w:rFonts w:ascii="宋体" w:hAnsi="宋体" w:cs="Arial" w:hint="eastAsia"/>
            <w:noProof/>
            <w:szCs w:val="21"/>
          </w:rPr>
          <w:t>二、</w:t>
        </w:r>
        <w:r w:rsidR="00F1175F">
          <w:rPr>
            <w:rStyle w:val="af2"/>
            <w:rFonts w:ascii="宋体" w:hAnsi="宋体" w:cs="Arial"/>
            <w:noProof/>
            <w:szCs w:val="21"/>
          </w:rPr>
          <w:t xml:space="preserve"> </w:t>
        </w:r>
        <w:r w:rsidR="00F1175F">
          <w:rPr>
            <w:rStyle w:val="af2"/>
            <w:rFonts w:ascii="宋体" w:hAnsi="宋体" w:cs="Arial" w:hint="eastAsia"/>
            <w:noProof/>
            <w:szCs w:val="21"/>
          </w:rPr>
          <w:t>基金托管人对基金管理人的业务监督和核查</w:t>
        </w:r>
        <w:r w:rsidR="00F1175F">
          <w:rPr>
            <w:noProof/>
            <w:szCs w:val="21"/>
          </w:rPr>
          <w:tab/>
        </w:r>
        <w:r w:rsidR="00F1175F">
          <w:rPr>
            <w:noProof/>
            <w:szCs w:val="21"/>
          </w:rPr>
          <w:fldChar w:fldCharType="begin"/>
        </w:r>
        <w:r w:rsidR="00F1175F">
          <w:rPr>
            <w:noProof/>
            <w:szCs w:val="21"/>
          </w:rPr>
          <w:instrText xml:space="preserve"> PAGEREF _Toc382819072 \h </w:instrText>
        </w:r>
        <w:r w:rsidR="00F1175F">
          <w:rPr>
            <w:noProof/>
            <w:szCs w:val="21"/>
          </w:rPr>
        </w:r>
        <w:r w:rsidR="00F1175F">
          <w:rPr>
            <w:noProof/>
            <w:szCs w:val="21"/>
          </w:rPr>
          <w:fldChar w:fldCharType="separate"/>
        </w:r>
        <w:r w:rsidR="00165D15">
          <w:rPr>
            <w:noProof/>
            <w:szCs w:val="21"/>
          </w:rPr>
          <w:t>3</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076" w:history="1">
        <w:r w:rsidR="00F1175F">
          <w:rPr>
            <w:rStyle w:val="af2"/>
            <w:rFonts w:ascii="宋体" w:hAnsi="宋体" w:cs="Arial" w:hint="eastAsia"/>
            <w:noProof/>
            <w:szCs w:val="21"/>
          </w:rPr>
          <w:t>三、</w:t>
        </w:r>
        <w:r w:rsidR="00F1175F">
          <w:rPr>
            <w:rStyle w:val="af2"/>
            <w:rFonts w:ascii="宋体" w:hAnsi="宋体" w:cs="Arial"/>
            <w:noProof/>
            <w:szCs w:val="21"/>
          </w:rPr>
          <w:t xml:space="preserve"> </w:t>
        </w:r>
        <w:r w:rsidR="00F1175F">
          <w:rPr>
            <w:rStyle w:val="af2"/>
            <w:rFonts w:ascii="宋体" w:hAnsi="宋体" w:cs="Arial" w:hint="eastAsia"/>
            <w:noProof/>
            <w:szCs w:val="21"/>
          </w:rPr>
          <w:t>基金管理人对基金托管人的业务核查</w:t>
        </w:r>
        <w:r w:rsidR="00F1175F">
          <w:rPr>
            <w:noProof/>
            <w:szCs w:val="21"/>
          </w:rPr>
          <w:tab/>
        </w:r>
        <w:r w:rsidR="00F1175F">
          <w:rPr>
            <w:noProof/>
            <w:szCs w:val="21"/>
          </w:rPr>
          <w:fldChar w:fldCharType="begin"/>
        </w:r>
        <w:r w:rsidR="00F1175F">
          <w:rPr>
            <w:noProof/>
            <w:szCs w:val="21"/>
          </w:rPr>
          <w:instrText xml:space="preserve"> PAGEREF _Toc382819076 \h </w:instrText>
        </w:r>
        <w:r w:rsidR="00F1175F">
          <w:rPr>
            <w:noProof/>
            <w:szCs w:val="21"/>
          </w:rPr>
        </w:r>
        <w:r w:rsidR="00F1175F">
          <w:rPr>
            <w:noProof/>
            <w:szCs w:val="21"/>
          </w:rPr>
          <w:fldChar w:fldCharType="separate"/>
        </w:r>
        <w:r w:rsidR="00165D15">
          <w:rPr>
            <w:noProof/>
            <w:szCs w:val="21"/>
          </w:rPr>
          <w:t>11</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078" w:history="1">
        <w:r w:rsidR="00F1175F">
          <w:rPr>
            <w:rStyle w:val="af2"/>
            <w:rFonts w:ascii="宋体" w:hAnsi="宋体" w:cs="Arial" w:hint="eastAsia"/>
            <w:noProof/>
            <w:szCs w:val="21"/>
          </w:rPr>
          <w:t>四、</w:t>
        </w:r>
        <w:r w:rsidR="00F1175F">
          <w:rPr>
            <w:rStyle w:val="af2"/>
            <w:rFonts w:ascii="宋体" w:hAnsi="宋体" w:cs="Arial"/>
            <w:noProof/>
            <w:szCs w:val="21"/>
          </w:rPr>
          <w:t xml:space="preserve"> </w:t>
        </w:r>
        <w:r w:rsidR="00F1175F">
          <w:rPr>
            <w:rStyle w:val="af2"/>
            <w:rFonts w:ascii="宋体" w:hAnsi="宋体" w:cs="Arial" w:hint="eastAsia"/>
            <w:noProof/>
            <w:szCs w:val="21"/>
          </w:rPr>
          <w:t>基金财产保管</w:t>
        </w:r>
        <w:r w:rsidR="00F1175F">
          <w:rPr>
            <w:noProof/>
            <w:szCs w:val="21"/>
          </w:rPr>
          <w:tab/>
        </w:r>
        <w:r w:rsidR="00F1175F">
          <w:rPr>
            <w:noProof/>
            <w:szCs w:val="21"/>
          </w:rPr>
          <w:fldChar w:fldCharType="begin"/>
        </w:r>
        <w:r w:rsidR="00F1175F">
          <w:rPr>
            <w:noProof/>
            <w:szCs w:val="21"/>
          </w:rPr>
          <w:instrText xml:space="preserve"> PAGEREF _Toc382819078 \h </w:instrText>
        </w:r>
        <w:r w:rsidR="00F1175F">
          <w:rPr>
            <w:noProof/>
            <w:szCs w:val="21"/>
          </w:rPr>
        </w:r>
        <w:r w:rsidR="00F1175F">
          <w:rPr>
            <w:noProof/>
            <w:szCs w:val="21"/>
          </w:rPr>
          <w:fldChar w:fldCharType="separate"/>
        </w:r>
        <w:r w:rsidR="00165D15">
          <w:rPr>
            <w:noProof/>
            <w:szCs w:val="21"/>
          </w:rPr>
          <w:t>11</w:t>
        </w:r>
        <w:r w:rsidR="00F1175F">
          <w:rPr>
            <w:noProof/>
            <w:szCs w:val="21"/>
          </w:rPr>
          <w:fldChar w:fldCharType="end"/>
        </w:r>
      </w:hyperlink>
      <w:bookmarkEnd w:id="6"/>
    </w:p>
    <w:p w:rsidR="001D0D89" w:rsidRDefault="00F6140E">
      <w:pPr>
        <w:pStyle w:val="11"/>
        <w:tabs>
          <w:tab w:val="right" w:leader="dot" w:pos="8296"/>
        </w:tabs>
        <w:spacing w:line="360" w:lineRule="auto"/>
        <w:rPr>
          <w:rFonts w:ascii="Calibri" w:hAnsi="Calibri"/>
          <w:noProof/>
          <w:szCs w:val="21"/>
        </w:rPr>
      </w:pPr>
      <w:hyperlink w:anchor="_Toc382819088" w:history="1">
        <w:r w:rsidR="00F1175F">
          <w:rPr>
            <w:rStyle w:val="af2"/>
            <w:rFonts w:ascii="宋体" w:hAnsi="宋体" w:cs="Arial" w:hint="eastAsia"/>
            <w:noProof/>
            <w:szCs w:val="21"/>
          </w:rPr>
          <w:t>五、</w:t>
        </w:r>
        <w:r w:rsidR="00F1175F">
          <w:rPr>
            <w:rStyle w:val="af2"/>
            <w:rFonts w:ascii="宋体" w:hAnsi="宋体" w:cs="Arial"/>
            <w:noProof/>
            <w:szCs w:val="21"/>
          </w:rPr>
          <w:t xml:space="preserve"> </w:t>
        </w:r>
        <w:r w:rsidR="00F1175F">
          <w:rPr>
            <w:rStyle w:val="af2"/>
            <w:rFonts w:ascii="宋体" w:hAnsi="宋体" w:cs="Arial" w:hint="eastAsia"/>
            <w:noProof/>
            <w:szCs w:val="21"/>
          </w:rPr>
          <w:t>指令的发送、确认和执行</w:t>
        </w:r>
        <w:r w:rsidR="00F1175F">
          <w:rPr>
            <w:noProof/>
            <w:szCs w:val="21"/>
          </w:rPr>
          <w:tab/>
        </w:r>
        <w:r w:rsidR="00F1175F">
          <w:rPr>
            <w:noProof/>
            <w:szCs w:val="21"/>
          </w:rPr>
          <w:fldChar w:fldCharType="begin"/>
        </w:r>
        <w:r w:rsidR="00F1175F">
          <w:rPr>
            <w:noProof/>
            <w:szCs w:val="21"/>
          </w:rPr>
          <w:instrText xml:space="preserve"> PAGEREF _Toc382819088 \h </w:instrText>
        </w:r>
        <w:r w:rsidR="00F1175F">
          <w:rPr>
            <w:noProof/>
            <w:szCs w:val="21"/>
          </w:rPr>
        </w:r>
        <w:r w:rsidR="00F1175F">
          <w:rPr>
            <w:noProof/>
            <w:szCs w:val="21"/>
          </w:rPr>
          <w:fldChar w:fldCharType="separate"/>
        </w:r>
        <w:r w:rsidR="00165D15">
          <w:rPr>
            <w:noProof/>
            <w:szCs w:val="21"/>
          </w:rPr>
          <w:t>14</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097" w:history="1">
        <w:r w:rsidR="00F1175F">
          <w:rPr>
            <w:rStyle w:val="af2"/>
            <w:rFonts w:ascii="宋体" w:hAnsi="宋体" w:cs="Arial" w:hint="eastAsia"/>
            <w:noProof/>
            <w:szCs w:val="21"/>
          </w:rPr>
          <w:t>六、</w:t>
        </w:r>
        <w:r w:rsidR="00F1175F">
          <w:rPr>
            <w:rStyle w:val="af2"/>
            <w:rFonts w:ascii="宋体" w:hAnsi="宋体" w:cs="Arial"/>
            <w:noProof/>
            <w:szCs w:val="21"/>
          </w:rPr>
          <w:t xml:space="preserve"> </w:t>
        </w:r>
        <w:r w:rsidR="00F1175F">
          <w:rPr>
            <w:rStyle w:val="af2"/>
            <w:rFonts w:ascii="宋体" w:hAnsi="宋体" w:cs="Arial" w:hint="eastAsia"/>
            <w:noProof/>
            <w:szCs w:val="21"/>
          </w:rPr>
          <w:t>交易及清算交收安排</w:t>
        </w:r>
        <w:r w:rsidR="00F1175F">
          <w:rPr>
            <w:noProof/>
            <w:szCs w:val="21"/>
          </w:rPr>
          <w:tab/>
        </w:r>
        <w:r w:rsidR="00F1175F">
          <w:rPr>
            <w:noProof/>
            <w:szCs w:val="21"/>
          </w:rPr>
          <w:fldChar w:fldCharType="begin"/>
        </w:r>
        <w:r w:rsidR="00F1175F">
          <w:rPr>
            <w:noProof/>
            <w:szCs w:val="21"/>
          </w:rPr>
          <w:instrText xml:space="preserve"> PAGEREF _Toc382819097 \h </w:instrText>
        </w:r>
        <w:r w:rsidR="00F1175F">
          <w:rPr>
            <w:noProof/>
            <w:szCs w:val="21"/>
          </w:rPr>
        </w:r>
        <w:r w:rsidR="00F1175F">
          <w:rPr>
            <w:noProof/>
            <w:szCs w:val="21"/>
          </w:rPr>
          <w:fldChar w:fldCharType="separate"/>
        </w:r>
        <w:r w:rsidR="00165D15">
          <w:rPr>
            <w:noProof/>
            <w:szCs w:val="21"/>
          </w:rPr>
          <w:t>18</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03" w:history="1">
        <w:r w:rsidR="00F1175F">
          <w:rPr>
            <w:rStyle w:val="af2"/>
            <w:rFonts w:ascii="宋体" w:hAnsi="宋体" w:cs="Arial" w:hint="eastAsia"/>
            <w:noProof/>
            <w:szCs w:val="21"/>
          </w:rPr>
          <w:t>七、</w:t>
        </w:r>
        <w:r w:rsidR="00F1175F">
          <w:rPr>
            <w:rStyle w:val="af2"/>
            <w:rFonts w:ascii="宋体" w:hAnsi="宋体" w:cs="Arial"/>
            <w:noProof/>
            <w:szCs w:val="21"/>
          </w:rPr>
          <w:t xml:space="preserve"> </w:t>
        </w:r>
        <w:r w:rsidR="00F1175F">
          <w:rPr>
            <w:rStyle w:val="af2"/>
            <w:rFonts w:ascii="宋体" w:hAnsi="宋体" w:cs="Arial" w:hint="eastAsia"/>
            <w:noProof/>
            <w:szCs w:val="21"/>
          </w:rPr>
          <w:t>基金资产净值计算和会计核算</w:t>
        </w:r>
        <w:r w:rsidR="00F1175F">
          <w:rPr>
            <w:noProof/>
            <w:szCs w:val="21"/>
          </w:rPr>
          <w:tab/>
        </w:r>
        <w:r w:rsidR="00F1175F">
          <w:rPr>
            <w:noProof/>
            <w:szCs w:val="21"/>
          </w:rPr>
          <w:fldChar w:fldCharType="begin"/>
        </w:r>
        <w:r w:rsidR="00F1175F">
          <w:rPr>
            <w:noProof/>
            <w:szCs w:val="21"/>
          </w:rPr>
          <w:instrText xml:space="preserve"> PAGEREF _Toc382819103 \h </w:instrText>
        </w:r>
        <w:r w:rsidR="00F1175F">
          <w:rPr>
            <w:noProof/>
            <w:szCs w:val="21"/>
          </w:rPr>
        </w:r>
        <w:r w:rsidR="00F1175F">
          <w:rPr>
            <w:noProof/>
            <w:szCs w:val="21"/>
          </w:rPr>
          <w:fldChar w:fldCharType="separate"/>
        </w:r>
        <w:r w:rsidR="00165D15">
          <w:rPr>
            <w:noProof/>
            <w:szCs w:val="21"/>
          </w:rPr>
          <w:t>22</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18" w:history="1">
        <w:r w:rsidR="00F1175F">
          <w:rPr>
            <w:rStyle w:val="af2"/>
            <w:rFonts w:ascii="宋体" w:hAnsi="宋体" w:cs="Arial" w:hint="eastAsia"/>
            <w:noProof/>
            <w:szCs w:val="21"/>
          </w:rPr>
          <w:t>八、</w:t>
        </w:r>
        <w:r w:rsidR="00F1175F">
          <w:rPr>
            <w:rStyle w:val="af2"/>
            <w:rFonts w:ascii="宋体" w:hAnsi="宋体" w:cs="Arial"/>
            <w:noProof/>
            <w:szCs w:val="21"/>
          </w:rPr>
          <w:t xml:space="preserve"> </w:t>
        </w:r>
        <w:r w:rsidR="00F1175F">
          <w:rPr>
            <w:rStyle w:val="af2"/>
            <w:rFonts w:ascii="宋体" w:hAnsi="宋体" w:cs="Arial" w:hint="eastAsia"/>
            <w:noProof/>
            <w:szCs w:val="21"/>
          </w:rPr>
          <w:t>基金收益分配</w:t>
        </w:r>
        <w:r w:rsidR="00F1175F">
          <w:rPr>
            <w:noProof/>
            <w:szCs w:val="21"/>
          </w:rPr>
          <w:tab/>
        </w:r>
        <w:r w:rsidR="00F1175F">
          <w:rPr>
            <w:noProof/>
            <w:szCs w:val="21"/>
          </w:rPr>
          <w:fldChar w:fldCharType="begin"/>
        </w:r>
        <w:r w:rsidR="00F1175F">
          <w:rPr>
            <w:noProof/>
            <w:szCs w:val="21"/>
          </w:rPr>
          <w:instrText xml:space="preserve"> PAGEREF _Toc382819118 \h </w:instrText>
        </w:r>
        <w:r w:rsidR="00F1175F">
          <w:rPr>
            <w:noProof/>
            <w:szCs w:val="21"/>
          </w:rPr>
        </w:r>
        <w:r w:rsidR="00F1175F">
          <w:rPr>
            <w:noProof/>
            <w:szCs w:val="21"/>
          </w:rPr>
          <w:fldChar w:fldCharType="separate"/>
        </w:r>
        <w:r w:rsidR="00165D15">
          <w:rPr>
            <w:noProof/>
            <w:szCs w:val="21"/>
          </w:rPr>
          <w:t>26</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21" w:history="1">
        <w:r w:rsidR="00F1175F">
          <w:rPr>
            <w:rStyle w:val="af2"/>
            <w:rFonts w:ascii="宋体" w:hAnsi="宋体" w:cs="Arial" w:hint="eastAsia"/>
            <w:noProof/>
            <w:szCs w:val="21"/>
          </w:rPr>
          <w:t>九、</w:t>
        </w:r>
        <w:r w:rsidR="00F1175F">
          <w:rPr>
            <w:rStyle w:val="af2"/>
            <w:rFonts w:ascii="宋体" w:hAnsi="宋体" w:cs="Arial"/>
            <w:noProof/>
            <w:szCs w:val="21"/>
          </w:rPr>
          <w:t xml:space="preserve"> </w:t>
        </w:r>
        <w:r w:rsidR="00F1175F">
          <w:rPr>
            <w:rStyle w:val="af2"/>
            <w:rFonts w:ascii="宋体" w:hAnsi="宋体" w:cs="Arial" w:hint="eastAsia"/>
            <w:noProof/>
            <w:szCs w:val="21"/>
          </w:rPr>
          <w:t>信息披露</w:t>
        </w:r>
        <w:r w:rsidR="00F1175F">
          <w:rPr>
            <w:noProof/>
            <w:szCs w:val="21"/>
          </w:rPr>
          <w:tab/>
        </w:r>
        <w:r w:rsidR="00F1175F">
          <w:rPr>
            <w:noProof/>
            <w:szCs w:val="21"/>
          </w:rPr>
          <w:fldChar w:fldCharType="begin"/>
        </w:r>
        <w:r w:rsidR="00F1175F">
          <w:rPr>
            <w:noProof/>
            <w:szCs w:val="21"/>
          </w:rPr>
          <w:instrText xml:space="preserve"> PAGEREF _Toc382819121 \h </w:instrText>
        </w:r>
        <w:r w:rsidR="00F1175F">
          <w:rPr>
            <w:noProof/>
            <w:szCs w:val="21"/>
          </w:rPr>
        </w:r>
        <w:r w:rsidR="00F1175F">
          <w:rPr>
            <w:noProof/>
            <w:szCs w:val="21"/>
          </w:rPr>
          <w:fldChar w:fldCharType="separate"/>
        </w:r>
        <w:r w:rsidR="00165D15">
          <w:rPr>
            <w:noProof/>
            <w:szCs w:val="21"/>
          </w:rPr>
          <w:t>27</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25" w:history="1">
        <w:r w:rsidR="00F1175F">
          <w:rPr>
            <w:rStyle w:val="af2"/>
            <w:rFonts w:ascii="宋体" w:hAnsi="宋体" w:cs="Arial" w:hint="eastAsia"/>
            <w:noProof/>
            <w:szCs w:val="21"/>
          </w:rPr>
          <w:t>十、</w:t>
        </w:r>
        <w:r w:rsidR="00F1175F">
          <w:rPr>
            <w:rStyle w:val="af2"/>
            <w:rFonts w:ascii="宋体" w:hAnsi="宋体" w:cs="Arial"/>
            <w:noProof/>
            <w:szCs w:val="21"/>
          </w:rPr>
          <w:t xml:space="preserve"> </w:t>
        </w:r>
        <w:r w:rsidR="00F1175F">
          <w:rPr>
            <w:rStyle w:val="af2"/>
            <w:rFonts w:ascii="宋体" w:hAnsi="宋体" w:cs="Arial" w:hint="eastAsia"/>
            <w:noProof/>
            <w:szCs w:val="21"/>
          </w:rPr>
          <w:t>托管费用</w:t>
        </w:r>
        <w:r w:rsidR="00F1175F">
          <w:rPr>
            <w:noProof/>
            <w:szCs w:val="21"/>
          </w:rPr>
          <w:tab/>
        </w:r>
        <w:r w:rsidR="00F1175F">
          <w:rPr>
            <w:noProof/>
            <w:szCs w:val="21"/>
          </w:rPr>
          <w:fldChar w:fldCharType="begin"/>
        </w:r>
        <w:r w:rsidR="00F1175F">
          <w:rPr>
            <w:noProof/>
            <w:szCs w:val="21"/>
          </w:rPr>
          <w:instrText xml:space="preserve"> PAGEREF _Toc382819125 \h </w:instrText>
        </w:r>
        <w:r w:rsidR="00F1175F">
          <w:rPr>
            <w:noProof/>
            <w:szCs w:val="21"/>
          </w:rPr>
        </w:r>
        <w:r w:rsidR="00F1175F">
          <w:rPr>
            <w:noProof/>
            <w:szCs w:val="21"/>
          </w:rPr>
          <w:fldChar w:fldCharType="separate"/>
        </w:r>
        <w:r w:rsidR="00165D15">
          <w:rPr>
            <w:noProof/>
            <w:szCs w:val="21"/>
          </w:rPr>
          <w:t>29</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26" w:history="1">
        <w:r w:rsidR="00F1175F">
          <w:rPr>
            <w:rStyle w:val="af2"/>
            <w:rFonts w:ascii="宋体" w:hAnsi="宋体" w:cs="Arial" w:hint="eastAsia"/>
            <w:noProof/>
            <w:szCs w:val="21"/>
          </w:rPr>
          <w:t>十一、</w:t>
        </w:r>
        <w:r w:rsidR="00F1175F">
          <w:rPr>
            <w:rStyle w:val="af2"/>
            <w:rFonts w:ascii="宋体" w:hAnsi="宋体" w:cs="Arial"/>
            <w:noProof/>
            <w:szCs w:val="21"/>
          </w:rPr>
          <w:t xml:space="preserve"> </w:t>
        </w:r>
        <w:r w:rsidR="00F1175F">
          <w:rPr>
            <w:rStyle w:val="af2"/>
            <w:rFonts w:ascii="宋体" w:hAnsi="宋体" w:cs="Arial" w:hint="eastAsia"/>
            <w:noProof/>
            <w:szCs w:val="21"/>
          </w:rPr>
          <w:t>基金份额持有人名册的保管</w:t>
        </w:r>
        <w:r w:rsidR="00F1175F">
          <w:rPr>
            <w:noProof/>
            <w:szCs w:val="21"/>
          </w:rPr>
          <w:tab/>
        </w:r>
        <w:r w:rsidR="00F1175F">
          <w:rPr>
            <w:noProof/>
            <w:szCs w:val="21"/>
          </w:rPr>
          <w:fldChar w:fldCharType="begin"/>
        </w:r>
        <w:r w:rsidR="00F1175F">
          <w:rPr>
            <w:noProof/>
            <w:szCs w:val="21"/>
          </w:rPr>
          <w:instrText xml:space="preserve"> PAGEREF _Toc382819126 \h </w:instrText>
        </w:r>
        <w:r w:rsidR="00F1175F">
          <w:rPr>
            <w:noProof/>
            <w:szCs w:val="21"/>
          </w:rPr>
        </w:r>
        <w:r w:rsidR="00F1175F">
          <w:rPr>
            <w:noProof/>
            <w:szCs w:val="21"/>
          </w:rPr>
          <w:fldChar w:fldCharType="separate"/>
        </w:r>
        <w:r w:rsidR="00165D15">
          <w:rPr>
            <w:noProof/>
            <w:szCs w:val="21"/>
          </w:rPr>
          <w:t>29</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27" w:history="1">
        <w:r w:rsidR="00F1175F">
          <w:rPr>
            <w:rStyle w:val="af2"/>
            <w:rFonts w:ascii="宋体" w:hAnsi="宋体" w:cs="Arial" w:hint="eastAsia"/>
            <w:noProof/>
            <w:szCs w:val="21"/>
          </w:rPr>
          <w:t>十二、</w:t>
        </w:r>
        <w:r w:rsidR="00F1175F">
          <w:rPr>
            <w:rStyle w:val="af2"/>
            <w:rFonts w:ascii="宋体" w:hAnsi="宋体" w:cs="Arial"/>
            <w:noProof/>
            <w:szCs w:val="21"/>
          </w:rPr>
          <w:t xml:space="preserve"> </w:t>
        </w:r>
        <w:r w:rsidR="00F1175F">
          <w:rPr>
            <w:rStyle w:val="af2"/>
            <w:rFonts w:ascii="宋体" w:hAnsi="宋体" w:cs="Arial" w:hint="eastAsia"/>
            <w:noProof/>
            <w:szCs w:val="21"/>
          </w:rPr>
          <w:t>基金有关文件和档案的保存</w:t>
        </w:r>
        <w:r w:rsidR="00F1175F">
          <w:rPr>
            <w:noProof/>
            <w:szCs w:val="21"/>
          </w:rPr>
          <w:tab/>
        </w:r>
        <w:r w:rsidR="00F1175F">
          <w:rPr>
            <w:noProof/>
            <w:szCs w:val="21"/>
          </w:rPr>
          <w:fldChar w:fldCharType="begin"/>
        </w:r>
        <w:r w:rsidR="00F1175F">
          <w:rPr>
            <w:noProof/>
            <w:szCs w:val="21"/>
          </w:rPr>
          <w:instrText xml:space="preserve"> PAGEREF _Toc382819127 \h </w:instrText>
        </w:r>
        <w:r w:rsidR="00F1175F">
          <w:rPr>
            <w:noProof/>
            <w:szCs w:val="21"/>
          </w:rPr>
        </w:r>
        <w:r w:rsidR="00F1175F">
          <w:rPr>
            <w:noProof/>
            <w:szCs w:val="21"/>
          </w:rPr>
          <w:fldChar w:fldCharType="separate"/>
        </w:r>
        <w:r w:rsidR="00165D15">
          <w:rPr>
            <w:noProof/>
            <w:szCs w:val="21"/>
          </w:rPr>
          <w:t>33</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28" w:history="1">
        <w:r w:rsidR="00F1175F">
          <w:rPr>
            <w:rStyle w:val="af2"/>
            <w:rFonts w:ascii="宋体" w:hAnsi="宋体" w:cs="Arial" w:hint="eastAsia"/>
            <w:noProof/>
            <w:szCs w:val="21"/>
          </w:rPr>
          <w:t>十三、</w:t>
        </w:r>
        <w:r w:rsidR="00F1175F">
          <w:rPr>
            <w:rStyle w:val="af2"/>
            <w:rFonts w:ascii="宋体" w:hAnsi="宋体" w:cs="Arial"/>
            <w:noProof/>
            <w:szCs w:val="21"/>
          </w:rPr>
          <w:t xml:space="preserve"> </w:t>
        </w:r>
        <w:r w:rsidR="00F1175F">
          <w:rPr>
            <w:rStyle w:val="af2"/>
            <w:rFonts w:ascii="宋体" w:hAnsi="宋体" w:cs="Arial" w:hint="eastAsia"/>
            <w:noProof/>
            <w:szCs w:val="21"/>
          </w:rPr>
          <w:t>基金管理人和基金托管人的更换</w:t>
        </w:r>
        <w:r w:rsidR="00F1175F">
          <w:rPr>
            <w:noProof/>
            <w:szCs w:val="21"/>
          </w:rPr>
          <w:tab/>
        </w:r>
        <w:r w:rsidR="00F1175F">
          <w:rPr>
            <w:noProof/>
            <w:szCs w:val="21"/>
          </w:rPr>
          <w:fldChar w:fldCharType="begin"/>
        </w:r>
        <w:r w:rsidR="00F1175F">
          <w:rPr>
            <w:noProof/>
            <w:szCs w:val="21"/>
          </w:rPr>
          <w:instrText xml:space="preserve"> PAGEREF _Toc382819128 \h </w:instrText>
        </w:r>
        <w:r w:rsidR="00F1175F">
          <w:rPr>
            <w:noProof/>
            <w:szCs w:val="21"/>
          </w:rPr>
        </w:r>
        <w:r w:rsidR="00F1175F">
          <w:rPr>
            <w:noProof/>
            <w:szCs w:val="21"/>
          </w:rPr>
          <w:fldChar w:fldCharType="separate"/>
        </w:r>
        <w:r w:rsidR="00165D15">
          <w:rPr>
            <w:noProof/>
            <w:szCs w:val="21"/>
          </w:rPr>
          <w:t>33</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1" w:history="1">
        <w:r w:rsidR="00F1175F">
          <w:rPr>
            <w:rStyle w:val="af2"/>
            <w:rFonts w:ascii="宋体" w:hAnsi="宋体" w:cs="Arial" w:hint="eastAsia"/>
            <w:noProof/>
            <w:szCs w:val="21"/>
          </w:rPr>
          <w:t>十四、</w:t>
        </w:r>
        <w:r w:rsidR="00F1175F">
          <w:rPr>
            <w:rStyle w:val="af2"/>
            <w:rFonts w:ascii="宋体" w:hAnsi="宋体" w:cs="Arial"/>
            <w:noProof/>
            <w:szCs w:val="21"/>
          </w:rPr>
          <w:t xml:space="preserve"> </w:t>
        </w:r>
        <w:r w:rsidR="00F1175F">
          <w:rPr>
            <w:rStyle w:val="af2"/>
            <w:rFonts w:ascii="宋体" w:hAnsi="宋体" w:cs="Arial" w:hint="eastAsia"/>
            <w:noProof/>
            <w:szCs w:val="21"/>
          </w:rPr>
          <w:t>禁止行为</w:t>
        </w:r>
        <w:r w:rsidR="00F1175F">
          <w:rPr>
            <w:noProof/>
            <w:szCs w:val="21"/>
          </w:rPr>
          <w:tab/>
        </w:r>
        <w:r w:rsidR="00F1175F">
          <w:rPr>
            <w:noProof/>
            <w:szCs w:val="21"/>
          </w:rPr>
          <w:fldChar w:fldCharType="begin"/>
        </w:r>
        <w:r w:rsidR="00F1175F">
          <w:rPr>
            <w:noProof/>
            <w:szCs w:val="21"/>
          </w:rPr>
          <w:instrText xml:space="preserve"> PAGEREF _Toc382819131 \h </w:instrText>
        </w:r>
        <w:r w:rsidR="00F1175F">
          <w:rPr>
            <w:noProof/>
            <w:szCs w:val="21"/>
          </w:rPr>
        </w:r>
        <w:r w:rsidR="00F1175F">
          <w:rPr>
            <w:noProof/>
            <w:szCs w:val="21"/>
          </w:rPr>
          <w:fldChar w:fldCharType="separate"/>
        </w:r>
        <w:r w:rsidR="00165D15">
          <w:rPr>
            <w:noProof/>
            <w:szCs w:val="21"/>
          </w:rPr>
          <w:t>35</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2" w:history="1">
        <w:r w:rsidR="00F1175F">
          <w:rPr>
            <w:rStyle w:val="af2"/>
            <w:rFonts w:ascii="宋体" w:hAnsi="宋体" w:cs="Arial" w:hint="eastAsia"/>
            <w:noProof/>
            <w:szCs w:val="21"/>
          </w:rPr>
          <w:t>十五、</w:t>
        </w:r>
        <w:r w:rsidR="00F1175F">
          <w:rPr>
            <w:rStyle w:val="af2"/>
            <w:rFonts w:ascii="宋体" w:hAnsi="宋体" w:cs="Arial"/>
            <w:noProof/>
            <w:szCs w:val="21"/>
          </w:rPr>
          <w:t xml:space="preserve"> </w:t>
        </w:r>
        <w:r w:rsidR="00F1175F">
          <w:rPr>
            <w:rStyle w:val="af2"/>
            <w:rFonts w:ascii="宋体" w:hAnsi="宋体" w:cs="Arial" w:hint="eastAsia"/>
            <w:noProof/>
            <w:szCs w:val="21"/>
          </w:rPr>
          <w:t>基金托管协议的变更、终止与基金财产的清算</w:t>
        </w:r>
        <w:r w:rsidR="00F1175F">
          <w:rPr>
            <w:noProof/>
            <w:szCs w:val="21"/>
          </w:rPr>
          <w:tab/>
        </w:r>
        <w:r w:rsidR="00F1175F">
          <w:rPr>
            <w:noProof/>
            <w:szCs w:val="21"/>
          </w:rPr>
          <w:fldChar w:fldCharType="begin"/>
        </w:r>
        <w:r w:rsidR="00F1175F">
          <w:rPr>
            <w:noProof/>
            <w:szCs w:val="21"/>
          </w:rPr>
          <w:instrText xml:space="preserve"> PAGEREF _Toc382819132 \h </w:instrText>
        </w:r>
        <w:r w:rsidR="00F1175F">
          <w:rPr>
            <w:noProof/>
            <w:szCs w:val="21"/>
          </w:rPr>
        </w:r>
        <w:r w:rsidR="00F1175F">
          <w:rPr>
            <w:noProof/>
            <w:szCs w:val="21"/>
          </w:rPr>
          <w:fldChar w:fldCharType="separate"/>
        </w:r>
        <w:r w:rsidR="00165D15">
          <w:rPr>
            <w:noProof/>
            <w:szCs w:val="21"/>
          </w:rPr>
          <w:t>36</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3" w:history="1">
        <w:r w:rsidR="00F1175F">
          <w:rPr>
            <w:rStyle w:val="af2"/>
            <w:rFonts w:ascii="宋体" w:hAnsi="宋体" w:cs="Arial" w:hint="eastAsia"/>
            <w:noProof/>
            <w:szCs w:val="21"/>
          </w:rPr>
          <w:t>十六、</w:t>
        </w:r>
        <w:r w:rsidR="00F1175F">
          <w:rPr>
            <w:rStyle w:val="af2"/>
            <w:rFonts w:ascii="宋体" w:hAnsi="宋体" w:cs="Arial"/>
            <w:noProof/>
            <w:szCs w:val="21"/>
          </w:rPr>
          <w:t xml:space="preserve"> </w:t>
        </w:r>
        <w:r w:rsidR="00F1175F">
          <w:rPr>
            <w:rStyle w:val="af2"/>
            <w:rFonts w:ascii="宋体" w:hAnsi="宋体" w:cs="Arial" w:hint="eastAsia"/>
            <w:noProof/>
            <w:szCs w:val="21"/>
          </w:rPr>
          <w:t>违约责任</w:t>
        </w:r>
        <w:r w:rsidR="00F1175F">
          <w:rPr>
            <w:noProof/>
            <w:szCs w:val="21"/>
          </w:rPr>
          <w:tab/>
        </w:r>
        <w:r w:rsidR="00F1175F">
          <w:rPr>
            <w:noProof/>
            <w:szCs w:val="21"/>
          </w:rPr>
          <w:fldChar w:fldCharType="begin"/>
        </w:r>
        <w:r w:rsidR="00F1175F">
          <w:rPr>
            <w:noProof/>
            <w:szCs w:val="21"/>
          </w:rPr>
          <w:instrText xml:space="preserve"> PAGEREF _Toc382819133 \h </w:instrText>
        </w:r>
        <w:r w:rsidR="00F1175F">
          <w:rPr>
            <w:noProof/>
            <w:szCs w:val="21"/>
          </w:rPr>
        </w:r>
        <w:r w:rsidR="00F1175F">
          <w:rPr>
            <w:noProof/>
            <w:szCs w:val="21"/>
          </w:rPr>
          <w:fldChar w:fldCharType="separate"/>
        </w:r>
        <w:r w:rsidR="00165D15">
          <w:rPr>
            <w:noProof/>
            <w:szCs w:val="21"/>
          </w:rPr>
          <w:t>38</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4" w:history="1">
        <w:r w:rsidR="00F1175F">
          <w:rPr>
            <w:rStyle w:val="af2"/>
            <w:rFonts w:ascii="宋体" w:hAnsi="宋体" w:cs="Arial" w:hint="eastAsia"/>
            <w:noProof/>
            <w:szCs w:val="21"/>
          </w:rPr>
          <w:t>十七、</w:t>
        </w:r>
        <w:r w:rsidR="00F1175F">
          <w:rPr>
            <w:rStyle w:val="af2"/>
            <w:rFonts w:ascii="宋体" w:hAnsi="宋体" w:cs="Arial"/>
            <w:noProof/>
            <w:szCs w:val="21"/>
          </w:rPr>
          <w:t xml:space="preserve"> </w:t>
        </w:r>
        <w:r w:rsidR="00F1175F">
          <w:rPr>
            <w:rStyle w:val="af2"/>
            <w:rFonts w:ascii="宋体" w:hAnsi="宋体" w:cs="Arial" w:hint="eastAsia"/>
            <w:noProof/>
            <w:szCs w:val="21"/>
          </w:rPr>
          <w:t>适用法律及争议解决方式</w:t>
        </w:r>
        <w:r w:rsidR="00F1175F">
          <w:rPr>
            <w:noProof/>
            <w:szCs w:val="21"/>
          </w:rPr>
          <w:tab/>
        </w:r>
        <w:r w:rsidR="00F1175F">
          <w:rPr>
            <w:noProof/>
            <w:szCs w:val="21"/>
          </w:rPr>
          <w:fldChar w:fldCharType="begin"/>
        </w:r>
        <w:r w:rsidR="00F1175F">
          <w:rPr>
            <w:noProof/>
            <w:szCs w:val="21"/>
          </w:rPr>
          <w:instrText xml:space="preserve"> PAGEREF _Toc382819134 \h </w:instrText>
        </w:r>
        <w:r w:rsidR="00F1175F">
          <w:rPr>
            <w:noProof/>
            <w:szCs w:val="21"/>
          </w:rPr>
        </w:r>
        <w:r w:rsidR="00F1175F">
          <w:rPr>
            <w:noProof/>
            <w:szCs w:val="21"/>
          </w:rPr>
          <w:fldChar w:fldCharType="separate"/>
        </w:r>
        <w:r w:rsidR="00165D15">
          <w:rPr>
            <w:noProof/>
            <w:szCs w:val="21"/>
          </w:rPr>
          <w:t>39</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5" w:history="1">
        <w:r w:rsidR="00F1175F">
          <w:rPr>
            <w:rStyle w:val="af2"/>
            <w:rFonts w:ascii="宋体" w:hAnsi="宋体" w:cs="Arial" w:hint="eastAsia"/>
            <w:noProof/>
            <w:szCs w:val="21"/>
          </w:rPr>
          <w:t>十八、</w:t>
        </w:r>
        <w:r w:rsidR="00F1175F">
          <w:rPr>
            <w:rStyle w:val="af2"/>
            <w:rFonts w:ascii="宋体" w:hAnsi="宋体" w:cs="Arial"/>
            <w:noProof/>
            <w:szCs w:val="21"/>
          </w:rPr>
          <w:t xml:space="preserve"> </w:t>
        </w:r>
        <w:r w:rsidR="00F1175F">
          <w:rPr>
            <w:rStyle w:val="af2"/>
            <w:rFonts w:ascii="宋体" w:hAnsi="宋体" w:cs="Arial" w:hint="eastAsia"/>
            <w:noProof/>
            <w:szCs w:val="21"/>
          </w:rPr>
          <w:t>基金托管协议的效力和文本</w:t>
        </w:r>
        <w:r w:rsidR="00F1175F">
          <w:rPr>
            <w:noProof/>
            <w:szCs w:val="21"/>
          </w:rPr>
          <w:tab/>
        </w:r>
        <w:r w:rsidR="00F1175F">
          <w:rPr>
            <w:noProof/>
            <w:szCs w:val="21"/>
          </w:rPr>
          <w:fldChar w:fldCharType="begin"/>
        </w:r>
        <w:r w:rsidR="00F1175F">
          <w:rPr>
            <w:noProof/>
            <w:szCs w:val="21"/>
          </w:rPr>
          <w:instrText xml:space="preserve"> PAGEREF _Toc382819135 \h </w:instrText>
        </w:r>
        <w:r w:rsidR="00F1175F">
          <w:rPr>
            <w:noProof/>
            <w:szCs w:val="21"/>
          </w:rPr>
        </w:r>
        <w:r w:rsidR="00F1175F">
          <w:rPr>
            <w:noProof/>
            <w:szCs w:val="21"/>
          </w:rPr>
          <w:fldChar w:fldCharType="separate"/>
        </w:r>
        <w:r w:rsidR="00165D15">
          <w:rPr>
            <w:noProof/>
            <w:szCs w:val="21"/>
          </w:rPr>
          <w:t>39</w:t>
        </w:r>
        <w:r w:rsidR="00F1175F">
          <w:rPr>
            <w:noProof/>
            <w:szCs w:val="21"/>
          </w:rPr>
          <w:fldChar w:fldCharType="end"/>
        </w:r>
      </w:hyperlink>
    </w:p>
    <w:p w:rsidR="001D0D89" w:rsidRDefault="00F6140E">
      <w:pPr>
        <w:pStyle w:val="11"/>
        <w:tabs>
          <w:tab w:val="right" w:leader="dot" w:pos="8296"/>
        </w:tabs>
        <w:spacing w:line="360" w:lineRule="auto"/>
        <w:rPr>
          <w:rFonts w:ascii="Calibri" w:hAnsi="Calibri"/>
          <w:noProof/>
          <w:szCs w:val="21"/>
        </w:rPr>
      </w:pPr>
      <w:hyperlink w:anchor="_Toc382819136" w:history="1">
        <w:r w:rsidR="00F1175F">
          <w:rPr>
            <w:rStyle w:val="af2"/>
            <w:rFonts w:ascii="宋体" w:hAnsi="宋体" w:hint="eastAsia"/>
            <w:noProof/>
            <w:szCs w:val="21"/>
          </w:rPr>
          <w:t>十九、</w:t>
        </w:r>
        <w:r w:rsidR="00F1175F">
          <w:rPr>
            <w:rStyle w:val="af2"/>
            <w:rFonts w:ascii="宋体" w:hAnsi="宋体" w:cs="Arial"/>
            <w:noProof/>
            <w:szCs w:val="21"/>
          </w:rPr>
          <w:t xml:space="preserve"> 其他事项</w:t>
        </w:r>
        <w:r w:rsidR="00F1175F">
          <w:rPr>
            <w:noProof/>
            <w:szCs w:val="21"/>
          </w:rPr>
          <w:tab/>
        </w:r>
        <w:r w:rsidR="00F1175F">
          <w:rPr>
            <w:noProof/>
            <w:szCs w:val="21"/>
          </w:rPr>
          <w:fldChar w:fldCharType="begin"/>
        </w:r>
        <w:r w:rsidR="00F1175F">
          <w:rPr>
            <w:noProof/>
            <w:szCs w:val="21"/>
          </w:rPr>
          <w:instrText xml:space="preserve"> PAGEREF _Toc382819136 \h </w:instrText>
        </w:r>
        <w:r w:rsidR="00F1175F">
          <w:rPr>
            <w:noProof/>
            <w:szCs w:val="21"/>
          </w:rPr>
        </w:r>
        <w:r w:rsidR="00F1175F">
          <w:rPr>
            <w:noProof/>
            <w:szCs w:val="21"/>
          </w:rPr>
          <w:fldChar w:fldCharType="separate"/>
        </w:r>
        <w:r w:rsidR="00165D15">
          <w:rPr>
            <w:noProof/>
            <w:szCs w:val="21"/>
          </w:rPr>
          <w:t>39</w:t>
        </w:r>
        <w:r w:rsidR="00F1175F">
          <w:rPr>
            <w:noProof/>
            <w:szCs w:val="21"/>
          </w:rPr>
          <w:fldChar w:fldCharType="end"/>
        </w:r>
      </w:hyperlink>
    </w:p>
    <w:p w:rsidR="001D0D89" w:rsidRDefault="00F1175F">
      <w:pPr>
        <w:spacing w:line="360" w:lineRule="auto"/>
        <w:rPr>
          <w:rFonts w:ascii="仿宋_GB2312" w:eastAsia="仿宋_GB2312"/>
          <w:szCs w:val="21"/>
        </w:rPr>
      </w:pPr>
      <w:r>
        <w:rPr>
          <w:rFonts w:ascii="宋体" w:hAnsi="宋体"/>
          <w:szCs w:val="21"/>
        </w:rPr>
        <w:fldChar w:fldCharType="end"/>
      </w:r>
    </w:p>
    <w:p w:rsidR="001D0D89" w:rsidRDefault="001D0D89">
      <w:pPr>
        <w:widowControl/>
        <w:jc w:val="left"/>
        <w:rPr>
          <w:rFonts w:ascii="仿宋_GB2312" w:eastAsia="仿宋_GB2312"/>
          <w:sz w:val="24"/>
        </w:rPr>
        <w:sectPr w:rsidR="001D0D89">
          <w:headerReference w:type="default" r:id="rId8"/>
          <w:footerReference w:type="default" r:id="rId9"/>
          <w:pgSz w:w="11906" w:h="16838"/>
          <w:pgMar w:top="1440" w:right="1800" w:bottom="1440" w:left="1800" w:header="851" w:footer="992" w:gutter="0"/>
          <w:pgNumType w:start="1"/>
          <w:cols w:space="720"/>
          <w:docGrid w:type="lines" w:linePitch="312"/>
        </w:sectPr>
      </w:pPr>
    </w:p>
    <w:p w:rsidR="001D0D89" w:rsidRDefault="007F04E2">
      <w:pPr>
        <w:jc w:val="center"/>
        <w:rPr>
          <w:rFonts w:ascii="黑体" w:eastAsia="黑体" w:hAnsi="黑体"/>
          <w:b/>
          <w:sz w:val="32"/>
          <w:szCs w:val="32"/>
        </w:rPr>
      </w:pPr>
      <w:bookmarkStart w:id="7" w:name="_Toc382818594"/>
      <w:bookmarkStart w:id="8" w:name="_Toc382819068"/>
      <w:r w:rsidRPr="007F04E2">
        <w:rPr>
          <w:rFonts w:ascii="黑体" w:eastAsia="黑体" w:hAnsi="黑体" w:hint="eastAsia"/>
          <w:sz w:val="32"/>
          <w:szCs w:val="32"/>
        </w:rPr>
        <w:lastRenderedPageBreak/>
        <w:t>永赢价值核心混合型证券投资基金</w:t>
      </w:r>
      <w:r w:rsidR="00F1175F">
        <w:rPr>
          <w:rFonts w:ascii="黑体" w:eastAsia="黑体" w:hAnsi="黑体" w:hint="eastAsia"/>
          <w:sz w:val="32"/>
          <w:szCs w:val="32"/>
        </w:rPr>
        <w:t>托管协议</w:t>
      </w:r>
      <w:bookmarkEnd w:id="7"/>
      <w:bookmarkEnd w:id="8"/>
    </w:p>
    <w:p w:rsidR="001D0D89" w:rsidRDefault="001D0D89">
      <w:pPr>
        <w:rPr>
          <w:lang w:val="zh-CN"/>
        </w:rPr>
      </w:pPr>
    </w:p>
    <w:p w:rsidR="001D0D89" w:rsidRDefault="001D0D89">
      <w:pPr>
        <w:rPr>
          <w:lang w:val="zh-CN"/>
        </w:rPr>
      </w:pPr>
    </w:p>
    <w:p w:rsidR="001D0D89" w:rsidRDefault="00F1175F">
      <w:pPr>
        <w:spacing w:line="360" w:lineRule="auto"/>
        <w:ind w:firstLineChars="200" w:firstLine="422"/>
        <w:rPr>
          <w:rFonts w:ascii="宋体" w:hAnsi="宋体"/>
          <w:szCs w:val="21"/>
        </w:rPr>
      </w:pPr>
      <w:bookmarkStart w:id="9" w:name="_Toc382819069"/>
      <w:r>
        <w:rPr>
          <w:rFonts w:ascii="宋体" w:hAnsi="宋体" w:hint="eastAsia"/>
          <w:b/>
          <w:szCs w:val="21"/>
        </w:rPr>
        <w:t>基金管理人：</w:t>
      </w:r>
      <w:bookmarkEnd w:id="9"/>
      <w:r>
        <w:rPr>
          <w:rFonts w:ascii="宋体" w:hAnsi="宋体" w:hint="eastAsia"/>
          <w:b/>
          <w:szCs w:val="21"/>
        </w:rPr>
        <w:t>永赢基金管理有限公司</w:t>
      </w:r>
    </w:p>
    <w:p w:rsidR="001D0D89" w:rsidRDefault="00F1175F">
      <w:pPr>
        <w:spacing w:line="360" w:lineRule="auto"/>
        <w:ind w:firstLineChars="200" w:firstLine="420"/>
        <w:rPr>
          <w:rFonts w:ascii="宋体" w:hAnsi="宋体"/>
          <w:szCs w:val="21"/>
        </w:rPr>
      </w:pPr>
      <w:r>
        <w:rPr>
          <w:rFonts w:ascii="宋体" w:hAnsi="宋体" w:hint="eastAsia"/>
          <w:szCs w:val="21"/>
        </w:rPr>
        <w:t>住所：浙江省宁波市鄞州区中山东路466号</w:t>
      </w:r>
    </w:p>
    <w:p w:rsidR="001D0D89" w:rsidRDefault="00F1175F">
      <w:pPr>
        <w:spacing w:line="360" w:lineRule="auto"/>
        <w:ind w:firstLineChars="200" w:firstLine="420"/>
        <w:rPr>
          <w:rFonts w:ascii="宋体" w:hAnsi="宋体"/>
          <w:szCs w:val="21"/>
        </w:rPr>
      </w:pPr>
      <w:r>
        <w:rPr>
          <w:rFonts w:ascii="宋体" w:hAnsi="宋体" w:hint="eastAsia"/>
          <w:szCs w:val="21"/>
        </w:rPr>
        <w:t>办公地址：上海市浦东新区世纪大道210号21世纪大厦21、22、23、27层</w:t>
      </w:r>
    </w:p>
    <w:p w:rsidR="001D0D89" w:rsidRDefault="00F1175F">
      <w:pPr>
        <w:spacing w:line="360" w:lineRule="auto"/>
        <w:ind w:firstLineChars="200" w:firstLine="420"/>
        <w:rPr>
          <w:rFonts w:ascii="宋体" w:hAnsi="宋体"/>
          <w:szCs w:val="21"/>
        </w:rPr>
      </w:pPr>
      <w:r>
        <w:rPr>
          <w:rFonts w:ascii="宋体" w:hAnsi="宋体" w:hint="eastAsia"/>
          <w:szCs w:val="21"/>
        </w:rPr>
        <w:t>法定代表人： 马宇晖</w:t>
      </w:r>
    </w:p>
    <w:p w:rsidR="001D0D89" w:rsidRDefault="00F1175F">
      <w:pPr>
        <w:spacing w:line="360" w:lineRule="auto"/>
        <w:ind w:firstLineChars="200" w:firstLine="420"/>
        <w:rPr>
          <w:rFonts w:ascii="宋体" w:hAnsi="宋体"/>
          <w:szCs w:val="21"/>
        </w:rPr>
      </w:pPr>
      <w:r>
        <w:rPr>
          <w:rFonts w:ascii="宋体" w:hAnsi="宋体" w:hint="eastAsia"/>
          <w:szCs w:val="21"/>
        </w:rPr>
        <w:t xml:space="preserve">成立时间：2013年11月7日 </w:t>
      </w:r>
    </w:p>
    <w:p w:rsidR="001D0D89" w:rsidRDefault="00F1175F">
      <w:pPr>
        <w:spacing w:line="360" w:lineRule="auto"/>
        <w:ind w:firstLineChars="200" w:firstLine="420"/>
        <w:rPr>
          <w:rFonts w:ascii="宋体" w:hAnsi="宋体"/>
          <w:szCs w:val="21"/>
        </w:rPr>
      </w:pPr>
      <w:r>
        <w:rPr>
          <w:rFonts w:ascii="宋体" w:hAnsi="宋体" w:hint="eastAsia"/>
          <w:szCs w:val="21"/>
        </w:rPr>
        <w:t xml:space="preserve">批准设立机关及批准设立文号：中国证券监督管理委员会证监许可[2013]1280号 </w:t>
      </w:r>
    </w:p>
    <w:p w:rsidR="001D0D89" w:rsidRDefault="00F1175F">
      <w:pPr>
        <w:spacing w:line="360" w:lineRule="auto"/>
        <w:ind w:firstLineChars="200" w:firstLine="420"/>
        <w:rPr>
          <w:rFonts w:ascii="宋体" w:hAnsi="宋体"/>
          <w:szCs w:val="21"/>
        </w:rPr>
      </w:pPr>
      <w:r>
        <w:rPr>
          <w:rFonts w:ascii="宋体" w:hAnsi="宋体" w:hint="eastAsia"/>
          <w:szCs w:val="21"/>
        </w:rPr>
        <w:t>组织形式: 有限责任公司</w:t>
      </w:r>
    </w:p>
    <w:p w:rsidR="001D0D89" w:rsidRDefault="00F1175F">
      <w:pPr>
        <w:spacing w:line="360" w:lineRule="auto"/>
        <w:ind w:firstLineChars="200" w:firstLine="420"/>
        <w:rPr>
          <w:rFonts w:ascii="宋体" w:hAnsi="宋体"/>
          <w:szCs w:val="21"/>
        </w:rPr>
      </w:pPr>
      <w:r>
        <w:rPr>
          <w:rFonts w:ascii="宋体" w:hAnsi="宋体" w:hint="eastAsia"/>
          <w:szCs w:val="21"/>
        </w:rPr>
        <w:t>注册资本：玖亿元人民币</w:t>
      </w:r>
    </w:p>
    <w:p w:rsidR="001D0D89" w:rsidRDefault="00F1175F">
      <w:pPr>
        <w:spacing w:line="360" w:lineRule="auto"/>
        <w:ind w:firstLineChars="200" w:firstLine="420"/>
        <w:rPr>
          <w:rFonts w:ascii="宋体" w:hAnsi="宋体"/>
          <w:szCs w:val="21"/>
        </w:rPr>
      </w:pPr>
      <w:r>
        <w:rPr>
          <w:rFonts w:ascii="宋体" w:hAnsi="宋体" w:hint="eastAsia"/>
          <w:szCs w:val="21"/>
        </w:rPr>
        <w:t>存续期限：持续经营</w:t>
      </w:r>
    </w:p>
    <w:p w:rsidR="001D0D89" w:rsidRDefault="001D0D89">
      <w:pPr>
        <w:spacing w:line="360" w:lineRule="auto"/>
        <w:ind w:firstLineChars="200" w:firstLine="420"/>
        <w:rPr>
          <w:rFonts w:ascii="宋体" w:hAnsi="宋体"/>
          <w:szCs w:val="21"/>
        </w:rPr>
      </w:pPr>
    </w:p>
    <w:p w:rsidR="001D0D89" w:rsidRDefault="001D0D89">
      <w:pPr>
        <w:spacing w:line="360" w:lineRule="auto"/>
        <w:ind w:firstLineChars="200" w:firstLine="420"/>
        <w:rPr>
          <w:rFonts w:ascii="宋体" w:hAnsi="宋体"/>
          <w:szCs w:val="21"/>
        </w:rPr>
      </w:pPr>
    </w:p>
    <w:p w:rsidR="001D0D89" w:rsidRDefault="001D0D89">
      <w:pPr>
        <w:spacing w:line="360" w:lineRule="auto"/>
        <w:ind w:firstLineChars="200" w:firstLine="420"/>
        <w:rPr>
          <w:rFonts w:ascii="宋体" w:hAnsi="宋体"/>
          <w:szCs w:val="21"/>
        </w:rPr>
      </w:pPr>
    </w:p>
    <w:p w:rsidR="001D0D89" w:rsidRDefault="001D0D89">
      <w:pPr>
        <w:spacing w:line="360" w:lineRule="auto"/>
        <w:ind w:firstLineChars="200" w:firstLine="420"/>
        <w:rPr>
          <w:rFonts w:ascii="宋体" w:hAnsi="宋体"/>
          <w:szCs w:val="21"/>
        </w:rPr>
      </w:pPr>
    </w:p>
    <w:p w:rsidR="001D0D89" w:rsidRDefault="00F1175F">
      <w:pPr>
        <w:spacing w:line="360" w:lineRule="auto"/>
        <w:ind w:firstLineChars="200" w:firstLine="422"/>
        <w:rPr>
          <w:rFonts w:ascii="宋体" w:hAnsi="宋体"/>
          <w:b/>
          <w:szCs w:val="21"/>
        </w:rPr>
      </w:pPr>
      <w:bookmarkStart w:id="10" w:name="_Toc382819070"/>
      <w:r>
        <w:rPr>
          <w:rFonts w:ascii="宋体" w:hAnsi="宋体" w:hint="eastAsia"/>
          <w:b/>
          <w:szCs w:val="21"/>
        </w:rPr>
        <w:t>基金托管人：上海浦东发展银行股份有限公司</w:t>
      </w:r>
      <w:bookmarkEnd w:id="10"/>
    </w:p>
    <w:p w:rsidR="007F04E2" w:rsidRDefault="007F04E2" w:rsidP="007F04E2">
      <w:pPr>
        <w:spacing w:line="360" w:lineRule="auto"/>
        <w:ind w:firstLineChars="200" w:firstLine="420"/>
        <w:rPr>
          <w:rFonts w:ascii="宋体" w:hAnsi="宋体"/>
          <w:szCs w:val="21"/>
        </w:rPr>
      </w:pPr>
      <w:r>
        <w:rPr>
          <w:rFonts w:ascii="宋体" w:hAnsi="宋体" w:hint="eastAsia"/>
          <w:szCs w:val="21"/>
        </w:rPr>
        <w:t>住所：上海市中山东一路12号</w:t>
      </w:r>
    </w:p>
    <w:p w:rsidR="007F04E2" w:rsidRDefault="007F04E2" w:rsidP="007F04E2">
      <w:pPr>
        <w:spacing w:line="360" w:lineRule="auto"/>
        <w:ind w:firstLineChars="200" w:firstLine="420"/>
        <w:rPr>
          <w:rFonts w:ascii="宋体" w:hAnsi="宋体"/>
          <w:szCs w:val="21"/>
        </w:rPr>
      </w:pPr>
      <w:r>
        <w:rPr>
          <w:rFonts w:ascii="宋体" w:hAnsi="宋体" w:hint="eastAsia"/>
          <w:szCs w:val="21"/>
        </w:rPr>
        <w:t>法定代表人：张为忠</w:t>
      </w:r>
    </w:p>
    <w:p w:rsidR="007F04E2" w:rsidRDefault="007F04E2" w:rsidP="007F04E2">
      <w:pPr>
        <w:spacing w:line="360" w:lineRule="auto"/>
        <w:ind w:firstLineChars="200" w:firstLine="420"/>
        <w:rPr>
          <w:rFonts w:ascii="宋体" w:hAnsi="宋体"/>
          <w:szCs w:val="21"/>
        </w:rPr>
      </w:pPr>
      <w:r>
        <w:rPr>
          <w:rFonts w:ascii="宋体" w:hAnsi="宋体" w:hint="eastAsia"/>
          <w:szCs w:val="21"/>
        </w:rPr>
        <w:t>成立日期：1992年10月19日</w:t>
      </w:r>
    </w:p>
    <w:p w:rsidR="007F04E2" w:rsidRDefault="007F04E2" w:rsidP="007F04E2">
      <w:pPr>
        <w:spacing w:line="360" w:lineRule="auto"/>
        <w:ind w:firstLineChars="200" w:firstLine="420"/>
        <w:rPr>
          <w:rFonts w:ascii="宋体" w:hAnsi="宋体"/>
          <w:szCs w:val="21"/>
        </w:rPr>
      </w:pPr>
      <w:r>
        <w:rPr>
          <w:rFonts w:ascii="宋体" w:hAnsi="宋体" w:hint="eastAsia"/>
          <w:szCs w:val="21"/>
        </w:rPr>
        <w:t>基金托管业务资格批准机关：</w:t>
      </w:r>
      <w:r w:rsidRPr="007F25C3">
        <w:rPr>
          <w:rFonts w:ascii="宋体" w:hAnsi="宋体" w:hint="eastAsia"/>
          <w:szCs w:val="21"/>
        </w:rPr>
        <w:t>中国人民银行，银复（1992）601号</w:t>
      </w:r>
    </w:p>
    <w:p w:rsidR="007F04E2" w:rsidRDefault="007F04E2" w:rsidP="007F04E2">
      <w:pPr>
        <w:spacing w:line="360" w:lineRule="auto"/>
        <w:ind w:firstLineChars="200" w:firstLine="420"/>
        <w:rPr>
          <w:rFonts w:ascii="宋体" w:hAnsi="宋体"/>
          <w:szCs w:val="21"/>
        </w:rPr>
      </w:pPr>
      <w:r>
        <w:rPr>
          <w:rFonts w:ascii="宋体" w:hAnsi="宋体" w:hint="eastAsia"/>
          <w:szCs w:val="21"/>
        </w:rPr>
        <w:t>基金托管业务资格文号：证监基金字[2003]105号</w:t>
      </w:r>
    </w:p>
    <w:p w:rsidR="007F04E2" w:rsidRDefault="007F04E2" w:rsidP="007F04E2">
      <w:pPr>
        <w:spacing w:line="360" w:lineRule="auto"/>
        <w:ind w:firstLineChars="200" w:firstLine="420"/>
        <w:rPr>
          <w:rFonts w:ascii="宋体" w:hAnsi="宋体"/>
          <w:szCs w:val="21"/>
        </w:rPr>
      </w:pPr>
      <w:r>
        <w:rPr>
          <w:rFonts w:ascii="宋体" w:hAnsi="宋体" w:hint="eastAsia"/>
          <w:szCs w:val="21"/>
        </w:rPr>
        <w:t>组织形式：股份有限公司（上市）</w:t>
      </w:r>
    </w:p>
    <w:p w:rsidR="007F04E2" w:rsidRDefault="007F04E2" w:rsidP="007F04E2">
      <w:pPr>
        <w:spacing w:line="360" w:lineRule="auto"/>
        <w:ind w:firstLineChars="200" w:firstLine="420"/>
        <w:rPr>
          <w:rFonts w:ascii="宋体" w:hAnsi="宋体"/>
          <w:szCs w:val="21"/>
        </w:rPr>
      </w:pPr>
      <w:r>
        <w:rPr>
          <w:rFonts w:ascii="宋体" w:hAnsi="宋体" w:hint="eastAsia"/>
          <w:szCs w:val="21"/>
        </w:rPr>
        <w:t>注册资本：</w:t>
      </w:r>
      <w:r w:rsidRPr="007F25C3">
        <w:rPr>
          <w:rFonts w:ascii="宋体" w:hAnsi="宋体" w:hint="eastAsia"/>
          <w:szCs w:val="21"/>
        </w:rPr>
        <w:t>人民币293.52亿元</w:t>
      </w:r>
    </w:p>
    <w:p w:rsidR="007F04E2" w:rsidRDefault="007F04E2" w:rsidP="007F04E2">
      <w:pPr>
        <w:spacing w:line="360" w:lineRule="auto"/>
        <w:ind w:firstLineChars="200" w:firstLine="420"/>
        <w:rPr>
          <w:rFonts w:ascii="宋体" w:hAnsi="宋体"/>
          <w:szCs w:val="21"/>
        </w:rPr>
      </w:pPr>
      <w:r>
        <w:rPr>
          <w:rFonts w:ascii="宋体" w:hAnsi="宋体" w:hint="eastAsia"/>
          <w:szCs w:val="21"/>
        </w:rPr>
        <w:t>经营期限：永久存续</w:t>
      </w:r>
    </w:p>
    <w:p w:rsidR="001D0D89" w:rsidRDefault="001D0D89">
      <w:pPr>
        <w:spacing w:line="360" w:lineRule="auto"/>
        <w:ind w:firstLineChars="200" w:firstLine="480"/>
        <w:rPr>
          <w:rFonts w:ascii="宋体" w:hAnsi="宋体"/>
          <w:sz w:val="24"/>
        </w:rPr>
      </w:pPr>
    </w:p>
    <w:p w:rsidR="001D0D89" w:rsidRDefault="00F1175F">
      <w:pPr>
        <w:spacing w:beforeLines="100" w:before="312" w:afterLines="100" w:after="312" w:line="240" w:lineRule="atLeast"/>
        <w:jc w:val="center"/>
        <w:outlineLvl w:val="0"/>
        <w:rPr>
          <w:rFonts w:ascii="宋体" w:hAnsi="宋体"/>
        </w:rPr>
      </w:pPr>
      <w:r>
        <w:rPr>
          <w:rFonts w:ascii="宋体" w:hAnsi="宋体"/>
          <w:sz w:val="24"/>
        </w:rPr>
        <w:br w:type="page"/>
      </w:r>
      <w:bookmarkStart w:id="11" w:name="_Toc382819071"/>
      <w:r>
        <w:rPr>
          <w:rFonts w:ascii="宋体" w:hAnsi="宋体" w:hint="eastAsia"/>
          <w:b/>
          <w:sz w:val="24"/>
        </w:rPr>
        <w:lastRenderedPageBreak/>
        <w:t>一、基金托管协议的依据、目的、原则和解释</w:t>
      </w:r>
      <w:bookmarkEnd w:id="11"/>
    </w:p>
    <w:p w:rsidR="001D0D89" w:rsidRDefault="00F1175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rsidR="001D0D89" w:rsidRDefault="00F1175F">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永赢价值核心混合型证券投资基金基金合同》（以下简称《基金合同》</w:t>
      </w:r>
      <w:r w:rsidR="002A6BEC">
        <w:rPr>
          <w:rFonts w:ascii="宋体" w:hAnsi="宋体" w:hint="eastAsia"/>
          <w:szCs w:val="21"/>
        </w:rPr>
        <w:t>或基金合同</w:t>
      </w:r>
      <w:r>
        <w:rPr>
          <w:rFonts w:ascii="宋体" w:hAnsi="宋体" w:hint="eastAsia"/>
          <w:szCs w:val="21"/>
        </w:rPr>
        <w:t>）及其他有关法律、法规制定。</w:t>
      </w:r>
    </w:p>
    <w:p w:rsidR="001D0D89" w:rsidRDefault="00F1175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rsidR="001D0D89" w:rsidRDefault="00F1175F">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管理、投资运作、各类基金份额的净值计算、收益分配、信息披露及相互监督等有关事宜中的权利、义务及职责，确保基金财产的安全，保护基金份额持有人的合法权益。</w:t>
      </w:r>
    </w:p>
    <w:p w:rsidR="001D0D89" w:rsidRDefault="00F1175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rsidR="001D0D89" w:rsidRDefault="00F1175F">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1D0D89" w:rsidRDefault="00F1175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rsidR="001D0D89" w:rsidRDefault="00F1175F">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1D0D89" w:rsidRDefault="00F1175F">
      <w:pPr>
        <w:widowControl/>
        <w:jc w:val="left"/>
        <w:rPr>
          <w:rFonts w:ascii="宋体" w:hAnsi="宋体"/>
          <w:szCs w:val="21"/>
        </w:rPr>
      </w:pPr>
      <w:r>
        <w:rPr>
          <w:rFonts w:ascii="宋体" w:hAnsi="宋体"/>
          <w:b/>
          <w:bCs/>
          <w:szCs w:val="21"/>
        </w:rPr>
        <w:br w:type="page"/>
      </w:r>
    </w:p>
    <w:p w:rsidR="001D0D89" w:rsidRDefault="00F1175F">
      <w:pPr>
        <w:spacing w:beforeLines="100" w:before="312" w:afterLines="100" w:after="312" w:line="240" w:lineRule="atLeast"/>
        <w:jc w:val="center"/>
        <w:outlineLvl w:val="0"/>
        <w:rPr>
          <w:rFonts w:ascii="宋体" w:hAnsi="宋体"/>
        </w:rPr>
      </w:pPr>
      <w:bookmarkStart w:id="12" w:name="_Toc382819072"/>
      <w:r>
        <w:rPr>
          <w:rFonts w:ascii="宋体" w:hAnsi="宋体" w:hint="eastAsia"/>
          <w:b/>
          <w:sz w:val="24"/>
        </w:rPr>
        <w:lastRenderedPageBreak/>
        <w:t>二、基金托管人对基金管理人的业务监督和核查</w:t>
      </w:r>
      <w:bookmarkEnd w:id="12"/>
    </w:p>
    <w:p w:rsidR="001D0D89" w:rsidRDefault="00F1175F">
      <w:pPr>
        <w:spacing w:after="120" w:line="360" w:lineRule="auto"/>
        <w:ind w:firstLineChars="200" w:firstLine="420"/>
        <w:rPr>
          <w:rFonts w:ascii="宋体" w:hAnsi="宋体"/>
          <w:szCs w:val="21"/>
        </w:rPr>
      </w:pPr>
      <w:bookmarkStart w:id="13" w:name="_Toc382819073"/>
      <w:r>
        <w:rPr>
          <w:rFonts w:ascii="宋体" w:hAnsi="宋体" w:hint="eastAsia"/>
          <w:szCs w:val="21"/>
        </w:rPr>
        <w:t>（一）基金托管人对基金管理人的投资行为行使监督权</w:t>
      </w:r>
      <w:bookmarkEnd w:id="13"/>
    </w:p>
    <w:p w:rsidR="001D0D89" w:rsidRDefault="00F1175F">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rsidR="001D0D89" w:rsidRDefault="00F1175F">
      <w:pPr>
        <w:widowControl/>
        <w:spacing w:line="324" w:lineRule="auto"/>
        <w:ind w:firstLineChars="200" w:firstLine="420"/>
        <w:jc w:val="left"/>
        <w:rPr>
          <w:rFonts w:ascii="宋体" w:hAnsi="宋体" w:cs="宋体"/>
          <w:kern w:val="0"/>
          <w:szCs w:val="21"/>
        </w:rPr>
      </w:pPr>
      <w:r>
        <w:rPr>
          <w:rFonts w:ascii="宋体" w:hAnsi="宋体" w:hint="eastAsia"/>
          <w:szCs w:val="21"/>
        </w:rPr>
        <w:t>本</w:t>
      </w:r>
      <w:r>
        <w:rPr>
          <w:rFonts w:ascii="宋体" w:hAnsi="宋体" w:cs="宋体" w:hint="eastAsia"/>
          <w:kern w:val="0"/>
          <w:szCs w:val="21"/>
        </w:rPr>
        <w:t>基金将投资于以下金融工具：</w:t>
      </w:r>
    </w:p>
    <w:p w:rsidR="001D0D89" w:rsidRPr="00ED7D97" w:rsidRDefault="00F1175F">
      <w:pPr>
        <w:widowControl/>
        <w:spacing w:line="324" w:lineRule="auto"/>
        <w:ind w:firstLineChars="200" w:firstLine="420"/>
        <w:jc w:val="left"/>
        <w:rPr>
          <w:rFonts w:ascii="宋体" w:hAnsi="宋体"/>
          <w:szCs w:val="21"/>
        </w:rPr>
      </w:pPr>
      <w:r w:rsidRPr="00ED7D97">
        <w:rPr>
          <w:rFonts w:ascii="宋体" w:hAnsi="宋体" w:hint="eastAsia"/>
          <w:szCs w:val="21"/>
        </w:rPr>
        <w:t>本基金的投资范围为具有良好流动性的金融工具，包括国内依法发行的股票（含主板、创业板、科创板及其他中国证监会允许基金投资的股票、存托凭证）、港股通标的股票、债券（含国债、央行票据、地方政府债、金融债、企业债、公司债、次级债、短期融资券、超短期融资券、中期票据、政府支持机构债券、政府支持债券、可转换债券（含分离交易可转债）、可交换债券等）、资产支持证券、债券回购、银行存款、同业存单、货币市场工具、股指期货、股票期权、国债期货以及法律法规或中国证监会允许基金投资的其他金融工具（但须符合中国证监会的相关规定）。</w:t>
      </w:r>
    </w:p>
    <w:p w:rsidR="001D0D89" w:rsidRPr="00ED7D97" w:rsidRDefault="00F1175F">
      <w:pPr>
        <w:widowControl/>
        <w:spacing w:line="324" w:lineRule="auto"/>
        <w:ind w:firstLineChars="200" w:firstLine="420"/>
        <w:jc w:val="left"/>
        <w:rPr>
          <w:rFonts w:ascii="宋体" w:hAnsi="宋体"/>
          <w:szCs w:val="21"/>
        </w:rPr>
      </w:pPr>
      <w:r w:rsidRPr="00ED7D97">
        <w:rPr>
          <w:rFonts w:ascii="宋体" w:hAnsi="宋体" w:hint="eastAsia"/>
          <w:szCs w:val="21"/>
        </w:rPr>
        <w:t>本基金可根据法律法规的规定参与融资业务。</w:t>
      </w:r>
    </w:p>
    <w:p w:rsidR="001D0D89" w:rsidRDefault="00F1175F">
      <w:pPr>
        <w:tabs>
          <w:tab w:val="left" w:pos="2977"/>
        </w:tabs>
        <w:spacing w:line="360" w:lineRule="auto"/>
        <w:ind w:firstLine="420"/>
        <w:rPr>
          <w:rFonts w:ascii="宋体" w:hAnsi="宋体"/>
          <w:szCs w:val="21"/>
        </w:rPr>
      </w:pPr>
      <w:r w:rsidRPr="00ED7D97">
        <w:rPr>
          <w:rFonts w:ascii="宋体" w:hAnsi="宋体" w:hint="eastAsia"/>
          <w:szCs w:val="21"/>
        </w:rPr>
        <w:t>如法律法规或监管机构以后允许基金投资其他品种，基金管理人在履行适当程序后，可以将其纳入投资范围。</w:t>
      </w:r>
    </w:p>
    <w:p w:rsidR="001D0D89" w:rsidRDefault="00F1175F">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w:t>
      </w:r>
      <w:r w:rsidR="00ED59D9">
        <w:rPr>
          <w:rFonts w:ascii="宋体" w:hAnsi="宋体" w:hint="eastAsia"/>
          <w:kern w:val="0"/>
          <w:szCs w:val="21"/>
        </w:rPr>
        <w:t>向基金托管人</w:t>
      </w:r>
      <w:r>
        <w:rPr>
          <w:rFonts w:ascii="宋体" w:hAnsi="宋体" w:hint="eastAsia"/>
          <w:kern w:val="0"/>
          <w:szCs w:val="21"/>
        </w:rPr>
        <w:t>提供投资品种，以便基金托管人对基金实际投资是否符合《基金合同》关于证券选择标准的约定进行监督，对存在疑义的事项进行核查。</w:t>
      </w:r>
    </w:p>
    <w:p w:rsidR="001D0D89" w:rsidRDefault="00F1175F">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rsidR="001D0D89" w:rsidRDefault="00F1175F">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rsidR="001D0D89" w:rsidRDefault="00F1175F">
      <w:pPr>
        <w:spacing w:line="324" w:lineRule="auto"/>
        <w:ind w:firstLine="480"/>
        <w:rPr>
          <w:rFonts w:ascii="宋体" w:hAnsi="宋体"/>
          <w:szCs w:val="21"/>
        </w:rPr>
      </w:pPr>
      <w:r>
        <w:rPr>
          <w:rFonts w:ascii="宋体" w:hAnsi="宋体" w:hint="eastAsia"/>
          <w:szCs w:val="21"/>
        </w:rPr>
        <w:t>（1）按法律法规的规定及《基金合同》的约定，基金的投资组合比例为：本基金投资于股票（含存托凭证）资产占基金资产的比例为60%-95%，其中港股通标的股票投资比例不得超过股票资产的50%。每个交易日日终，在扣除股指期货、国债期货和股票期权合约需缴纳的交易保证金后，保持现金（不含结算备付金、存出保证金、应收申购款等）或者到期日在一年以内的政府债券投资比例合计不低于基金资产净值的5%。</w:t>
      </w:r>
    </w:p>
    <w:p w:rsidR="001D0D89" w:rsidRDefault="00F1175F">
      <w:pPr>
        <w:spacing w:line="324" w:lineRule="auto"/>
        <w:ind w:firstLine="480"/>
        <w:rPr>
          <w:rFonts w:ascii="宋体" w:hAnsi="宋体"/>
          <w:b/>
          <w:szCs w:val="21"/>
          <w:u w:val="single"/>
        </w:rPr>
      </w:pPr>
      <w:r>
        <w:rPr>
          <w:rFonts w:ascii="宋体" w:hAnsi="宋体" w:hint="eastAsia"/>
          <w:szCs w:val="21"/>
        </w:rPr>
        <w:t>如果法律法规或监管机构变更投资品种的投资比例限制，基金管理人在履行适当程序后，可以调整上述投资品种的投资比例。</w:t>
      </w:r>
    </w:p>
    <w:p w:rsidR="001D0D89" w:rsidRDefault="00F1175F">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w:t>
      </w:r>
      <w:r w:rsidRPr="00ED7D97">
        <w:rPr>
          <w:rFonts w:ascii="宋体" w:hAnsi="宋体" w:hint="eastAsia"/>
          <w:szCs w:val="21"/>
        </w:rPr>
        <w:t>）本基金投资于股票（含存托凭证）资产占基金资产的比例为</w:t>
      </w:r>
      <w:r w:rsidRPr="00ED7D97">
        <w:rPr>
          <w:rFonts w:ascii="宋体" w:hAnsi="宋体"/>
          <w:szCs w:val="21"/>
        </w:rPr>
        <w:t>60%-95%</w:t>
      </w:r>
      <w:r w:rsidRPr="00ED7D97">
        <w:rPr>
          <w:rFonts w:ascii="宋体" w:hAnsi="宋体" w:hint="eastAsia"/>
          <w:szCs w:val="21"/>
        </w:rPr>
        <w:t>，其中港股通标的股票投资比例不得超过股票资产的</w:t>
      </w:r>
      <w:r w:rsidRPr="00ED7D97">
        <w:rPr>
          <w:rFonts w:ascii="宋体" w:hAnsi="宋体"/>
          <w:szCs w:val="21"/>
        </w:rPr>
        <w:t>50%</w:t>
      </w:r>
      <w:r w:rsidRPr="00ED7D97">
        <w:rPr>
          <w:rFonts w:ascii="宋体" w:hAnsi="宋体" w:hint="eastAsia"/>
          <w:szCs w:val="21"/>
        </w:rPr>
        <w:t>；</w:t>
      </w:r>
      <w:r w:rsidRPr="00ED7D97">
        <w:rPr>
          <w:rFonts w:ascii="宋体" w:hAnsi="宋体"/>
          <w:szCs w:val="21"/>
        </w:rPr>
        <w:t xml:space="preserve"> </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lastRenderedPageBreak/>
        <w:t>2</w:t>
      </w:r>
      <w:r w:rsidRPr="00ED7D97">
        <w:rPr>
          <w:rFonts w:ascii="宋体" w:hAnsi="宋体" w:hint="eastAsia"/>
          <w:szCs w:val="21"/>
        </w:rPr>
        <w:t>）每个交易日日终，在扣除股指期货、国债期货和股票期权合约需缴纳的交易保证金后，本基金持有现金（不含结算备付金、存出保证金、应收申购款等）或者到期日在一年以内的政府债券投资比例合计不低于基金资产净值的</w:t>
      </w:r>
      <w:r w:rsidRPr="00ED7D97">
        <w:rPr>
          <w:rFonts w:ascii="宋体" w:hAnsi="宋体"/>
          <w:szCs w:val="21"/>
        </w:rPr>
        <w:t>5%</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3</w:t>
      </w:r>
      <w:r w:rsidRPr="00ED7D97">
        <w:rPr>
          <w:rFonts w:ascii="宋体" w:hAnsi="宋体" w:hint="eastAsia"/>
          <w:szCs w:val="21"/>
        </w:rPr>
        <w:t>）本基金持有一家公司发行的证券（同一家公司在内地和香港同时上市的</w:t>
      </w:r>
      <w:r w:rsidRPr="00ED7D97">
        <w:rPr>
          <w:rFonts w:ascii="宋体" w:hAnsi="宋体"/>
          <w:szCs w:val="21"/>
        </w:rPr>
        <w:t>A+H</w:t>
      </w:r>
      <w:r w:rsidRPr="00ED7D97">
        <w:rPr>
          <w:rFonts w:ascii="宋体" w:hAnsi="宋体" w:hint="eastAsia"/>
          <w:szCs w:val="21"/>
        </w:rPr>
        <w:t>股合并计算），其市值不超过基金资产净值的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4</w:t>
      </w:r>
      <w:r w:rsidRPr="00ED7D97">
        <w:rPr>
          <w:rFonts w:ascii="宋体" w:hAnsi="宋体" w:hint="eastAsia"/>
          <w:szCs w:val="21"/>
        </w:rPr>
        <w:t>）本基金管理人管理的全部基金持有一家公司发行的证券（同一家公司在内地和香港同时上市的</w:t>
      </w:r>
      <w:r w:rsidRPr="00ED7D97">
        <w:rPr>
          <w:rFonts w:ascii="宋体" w:hAnsi="宋体"/>
          <w:szCs w:val="21"/>
        </w:rPr>
        <w:t>A+H</w:t>
      </w:r>
      <w:r w:rsidRPr="00ED7D97">
        <w:rPr>
          <w:rFonts w:ascii="宋体" w:hAnsi="宋体" w:hint="eastAsia"/>
          <w:szCs w:val="21"/>
        </w:rPr>
        <w:t>股合并计算），不超过该证券的</w:t>
      </w:r>
      <w:r w:rsidRPr="00ED7D97">
        <w:rPr>
          <w:rFonts w:ascii="宋体" w:hAnsi="宋体"/>
          <w:szCs w:val="21"/>
        </w:rPr>
        <w:t>10</w:t>
      </w:r>
      <w:r w:rsidRPr="00ED7D97">
        <w:rPr>
          <w:rFonts w:ascii="宋体" w:hAnsi="宋体" w:hint="eastAsia"/>
          <w:szCs w:val="21"/>
        </w:rPr>
        <w:t>％，完全按照有关指数的构成比例进行证券投资的基金品种可以不受此条款规定的比例限制；</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5</w:t>
      </w:r>
      <w:r w:rsidRPr="00ED7D97">
        <w:rPr>
          <w:rFonts w:ascii="宋体" w:hAnsi="宋体" w:hint="eastAsia"/>
          <w:szCs w:val="21"/>
        </w:rPr>
        <w:t>）本基金投资于同一原始权益人的各类资产支持证券的比例，不得超过基金资产净值的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6</w:t>
      </w:r>
      <w:r w:rsidRPr="00ED7D97">
        <w:rPr>
          <w:rFonts w:ascii="宋体" w:hAnsi="宋体" w:hint="eastAsia"/>
          <w:szCs w:val="21"/>
        </w:rPr>
        <w:t>）本基金持有的全部资产支持证券，其市值不得超过基金资产净值的</w:t>
      </w:r>
      <w:r w:rsidRPr="00ED7D97">
        <w:rPr>
          <w:rFonts w:ascii="宋体" w:hAnsi="宋体"/>
          <w:szCs w:val="21"/>
        </w:rPr>
        <w:t>20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7</w:t>
      </w:r>
      <w:r w:rsidRPr="00ED7D97">
        <w:rPr>
          <w:rFonts w:ascii="宋体" w:hAnsi="宋体" w:hint="eastAsia"/>
          <w:szCs w:val="21"/>
        </w:rPr>
        <w:t>）本基金持有的同一</w:t>
      </w:r>
      <w:r w:rsidRPr="00ED7D97">
        <w:rPr>
          <w:rFonts w:ascii="宋体" w:hAnsi="宋体"/>
          <w:szCs w:val="21"/>
        </w:rPr>
        <w:t>(</w:t>
      </w:r>
      <w:r w:rsidRPr="00ED7D97">
        <w:rPr>
          <w:rFonts w:ascii="宋体" w:hAnsi="宋体" w:hint="eastAsia"/>
          <w:szCs w:val="21"/>
        </w:rPr>
        <w:t>指同一信用级别</w:t>
      </w:r>
      <w:r w:rsidRPr="00ED7D97">
        <w:rPr>
          <w:rFonts w:ascii="宋体" w:hAnsi="宋体"/>
          <w:szCs w:val="21"/>
        </w:rPr>
        <w:t>)</w:t>
      </w:r>
      <w:r w:rsidRPr="00ED7D97">
        <w:rPr>
          <w:rFonts w:ascii="宋体" w:hAnsi="宋体" w:hint="eastAsia"/>
          <w:szCs w:val="21"/>
        </w:rPr>
        <w:t>资产支持证券的比例，不得超过该资产支持证券规模的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8</w:t>
      </w:r>
      <w:r w:rsidRPr="00ED7D97">
        <w:rPr>
          <w:rFonts w:ascii="宋体" w:hAnsi="宋体" w:hint="eastAsia"/>
          <w:szCs w:val="21"/>
        </w:rPr>
        <w:t>）本基金管理人管理的全部基金投资于同一原始权益人的各类资产支持证券，不得超过其各类资产支持证券合计规模的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9</w:t>
      </w:r>
      <w:r w:rsidRPr="00ED7D97">
        <w:rPr>
          <w:rFonts w:ascii="宋体" w:hAnsi="宋体" w:hint="eastAsia"/>
          <w:szCs w:val="21"/>
        </w:rPr>
        <w:t>）本基金应投资于信用级别评级为</w:t>
      </w:r>
      <w:r w:rsidRPr="00ED7D97">
        <w:rPr>
          <w:rFonts w:ascii="宋体" w:hAnsi="宋体"/>
          <w:szCs w:val="21"/>
        </w:rPr>
        <w:t>BBB</w:t>
      </w:r>
      <w:r w:rsidRPr="00ED7D97">
        <w:rPr>
          <w:rFonts w:ascii="宋体" w:hAnsi="宋体" w:hint="eastAsia"/>
          <w:szCs w:val="21"/>
        </w:rPr>
        <w:t>以上</w:t>
      </w:r>
      <w:r w:rsidRPr="00ED7D97">
        <w:rPr>
          <w:rFonts w:ascii="宋体" w:hAnsi="宋体"/>
          <w:szCs w:val="21"/>
        </w:rPr>
        <w:t>(</w:t>
      </w:r>
      <w:r w:rsidRPr="00ED7D97">
        <w:rPr>
          <w:rFonts w:ascii="宋体" w:hAnsi="宋体" w:hint="eastAsia"/>
          <w:szCs w:val="21"/>
        </w:rPr>
        <w:t>含</w:t>
      </w:r>
      <w:r w:rsidRPr="00ED7D97">
        <w:rPr>
          <w:rFonts w:ascii="宋体" w:hAnsi="宋体"/>
          <w:szCs w:val="21"/>
        </w:rPr>
        <w:t>BBB)</w:t>
      </w:r>
      <w:r w:rsidRPr="00ED7D97">
        <w:rPr>
          <w:rFonts w:ascii="宋体" w:hAnsi="宋体" w:hint="eastAsia"/>
          <w:szCs w:val="21"/>
        </w:rPr>
        <w:t>的资产支持证券。基金持有资产支持证券期间，如果其信用等级下降、不再符合投资标准，应在评级报告发布之日起</w:t>
      </w:r>
      <w:r w:rsidRPr="00ED7D97">
        <w:rPr>
          <w:rFonts w:ascii="宋体" w:hAnsi="宋体"/>
          <w:szCs w:val="21"/>
        </w:rPr>
        <w:t>3</w:t>
      </w:r>
      <w:r w:rsidRPr="00ED7D97">
        <w:rPr>
          <w:rFonts w:ascii="宋体" w:hAnsi="宋体" w:hint="eastAsia"/>
          <w:szCs w:val="21"/>
        </w:rPr>
        <w:t>个月内予以全部卖出；</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10</w:t>
      </w:r>
      <w:r w:rsidRPr="00ED7D97">
        <w:rPr>
          <w:rFonts w:ascii="宋体" w:hAnsi="宋体" w:hint="eastAsia"/>
          <w:szCs w:val="21"/>
        </w:rPr>
        <w:t>）基金财产参与股票发行申购，本基金所申报的金额不超过本基金的总资产，本基金所申报的股票数量不超过拟发行股票公司本次发行股票的总量；</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11</w:t>
      </w:r>
      <w:r w:rsidRPr="00ED7D97">
        <w:rPr>
          <w:rFonts w:ascii="宋体" w:hAnsi="宋体" w:hint="eastAsia"/>
          <w:szCs w:val="21"/>
        </w:rPr>
        <w:t>）本基金管理人管理的全部开放式基金（包括开放式基金以及处于开放期的定期开放基金）持有一家上市公司发行的可流通股票，不得超过该上市公司可流通股票的</w:t>
      </w:r>
      <w:r w:rsidRPr="00ED7D97">
        <w:rPr>
          <w:rFonts w:ascii="宋体" w:hAnsi="宋体"/>
          <w:szCs w:val="21"/>
        </w:rPr>
        <w:t>15%</w:t>
      </w:r>
      <w:r w:rsidRPr="00ED7D97">
        <w:rPr>
          <w:rFonts w:ascii="宋体" w:hAnsi="宋体" w:hint="eastAsia"/>
          <w:szCs w:val="21"/>
        </w:rPr>
        <w:t>；本基金管理人管理的全部投资组合持有一家上市公司发行的可流通股票，不得超过该上市公司可流通股票的</w:t>
      </w:r>
      <w:r w:rsidRPr="00ED7D97">
        <w:rPr>
          <w:rFonts w:ascii="宋体" w:hAnsi="宋体"/>
          <w:szCs w:val="21"/>
        </w:rPr>
        <w:t>30%</w:t>
      </w:r>
      <w:r w:rsidRPr="00ED7D97">
        <w:rPr>
          <w:rFonts w:ascii="宋体" w:hAnsi="宋体" w:hint="eastAsia"/>
          <w:szCs w:val="21"/>
        </w:rPr>
        <w:t>；完全按照有关指数的构成比例进行证券投资的开放式基金以及中国证监会认定的特殊投资组合可不受前述比例限制；</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12</w:t>
      </w:r>
      <w:r w:rsidRPr="00ED7D97">
        <w:rPr>
          <w:rFonts w:ascii="宋体" w:hAnsi="宋体" w:hint="eastAsia"/>
          <w:szCs w:val="21"/>
        </w:rPr>
        <w:t>）本基金主动投资于流动性受限资产的市值合计不得超过基金资产净值的</w:t>
      </w:r>
      <w:r w:rsidRPr="00ED7D97">
        <w:rPr>
          <w:rFonts w:ascii="宋体" w:hAnsi="宋体"/>
          <w:szCs w:val="21"/>
        </w:rPr>
        <w:t>15%</w:t>
      </w:r>
      <w:r w:rsidRPr="00ED7D97">
        <w:rPr>
          <w:rFonts w:ascii="宋体" w:hAnsi="宋体" w:hint="eastAsia"/>
          <w:szCs w:val="21"/>
        </w:rPr>
        <w:t>；因证券市场波动、上市公司股票停牌、基金规模变动等基金管理人之外的因素致使基金不符合该比例限制的，基金管理人不得主动新增流动性受限资产的投资；</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13</w:t>
      </w:r>
      <w:r w:rsidRPr="00ED7D97">
        <w:rPr>
          <w:rFonts w:ascii="宋体" w:hAnsi="宋体" w:hint="eastAsia"/>
          <w:szCs w:val="21"/>
        </w:rPr>
        <w:t>）本基金与私募类证券资管产品及中国证监会认定的其他主体为交易对手开展逆回购交易的，可接受质押品的资质要求应当与基金合同约定的投资范围保持一致；</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lastRenderedPageBreak/>
        <w:t>14</w:t>
      </w:r>
      <w:r w:rsidRPr="00ED7D97">
        <w:rPr>
          <w:rFonts w:ascii="宋体" w:hAnsi="宋体" w:hint="eastAsia"/>
          <w:szCs w:val="21"/>
        </w:rPr>
        <w:t>）基金资产总值不得超过基金资产净值的</w:t>
      </w:r>
      <w:r w:rsidRPr="00ED7D97">
        <w:rPr>
          <w:rFonts w:ascii="宋体" w:hAnsi="宋体"/>
          <w:szCs w:val="21"/>
        </w:rPr>
        <w:t>140%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w:t>
      </w:r>
      <w:r w:rsidRPr="00ED7D97">
        <w:rPr>
          <w:rFonts w:ascii="宋体" w:hAnsi="宋体" w:hint="eastAsia"/>
          <w:szCs w:val="21"/>
        </w:rPr>
        <w:t>）若本基金参与国债期货交易，应当遵守下列要求：</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15.1</w:t>
      </w:r>
      <w:r w:rsidRPr="00ED7D97">
        <w:rPr>
          <w:rFonts w:ascii="宋体" w:hAnsi="宋体" w:hint="eastAsia"/>
          <w:szCs w:val="21"/>
        </w:rPr>
        <w:t>）本基金在任何交易日日终，持有的买入国债期货合约价值，不得超过基金资产净值的</w:t>
      </w:r>
      <w:r w:rsidRPr="00ED7D97">
        <w:rPr>
          <w:rFonts w:ascii="宋体" w:hAnsi="宋体"/>
          <w:szCs w:val="21"/>
        </w:rPr>
        <w:t>15%</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15.2</w:t>
      </w:r>
      <w:r w:rsidRPr="00ED7D97">
        <w:rPr>
          <w:rFonts w:ascii="宋体" w:hAnsi="宋体" w:hint="eastAsia"/>
          <w:szCs w:val="21"/>
        </w:rPr>
        <w:t>）任何交易日日终，持有的买入国债期货和股指期货合约价值与有价证券市值之和，不得超过基金资产净值的</w:t>
      </w:r>
      <w:r w:rsidRPr="00ED7D97">
        <w:rPr>
          <w:rFonts w:ascii="宋体" w:hAnsi="宋体"/>
          <w:szCs w:val="21"/>
        </w:rPr>
        <w:t>95%</w:t>
      </w:r>
      <w:r w:rsidRPr="00ED7D97">
        <w:rPr>
          <w:rFonts w:ascii="宋体" w:hAnsi="宋体" w:hint="eastAsia"/>
          <w:szCs w:val="21"/>
        </w:rPr>
        <w:t>。其中，有价证券指股票、债券（不含到期日在一年以内的政府债券）、资产支持证券、买入返售金融资产（不含质押式回购）等；</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15.3</w:t>
      </w:r>
      <w:r w:rsidRPr="00ED7D97">
        <w:rPr>
          <w:rFonts w:ascii="宋体" w:hAnsi="宋体" w:hint="eastAsia"/>
          <w:szCs w:val="21"/>
        </w:rPr>
        <w:t>）本基金在任何交易日日终，持有的卖出国债期货合约价值不得超过基金持有的债券总市值的</w:t>
      </w:r>
      <w:r w:rsidRPr="00ED7D97">
        <w:rPr>
          <w:rFonts w:ascii="宋体" w:hAnsi="宋体"/>
          <w:szCs w:val="21"/>
        </w:rPr>
        <w:t>30%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15.4</w:t>
      </w:r>
      <w:r w:rsidRPr="00ED7D97">
        <w:rPr>
          <w:rFonts w:ascii="宋体" w:hAnsi="宋体" w:hint="eastAsia"/>
          <w:szCs w:val="21"/>
        </w:rPr>
        <w:t>）本基金所持有的债券（不含到期日在一年以内的政府债券）市值和买入、卖出国债期货合约价值，合计（轧差计算）应当符合基金合同关于债券投资比例的有关约定；</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15.5</w:t>
      </w:r>
      <w:r w:rsidRPr="00ED7D97">
        <w:rPr>
          <w:rFonts w:ascii="宋体" w:hAnsi="宋体" w:hint="eastAsia"/>
          <w:szCs w:val="21"/>
        </w:rPr>
        <w:t>）本基金在任何交易日内交易（不包括平仓）的国债期货合约的成交金额不得超过上一交易日基金资产净值的</w:t>
      </w:r>
      <w:r w:rsidRPr="00ED7D97">
        <w:rPr>
          <w:rFonts w:ascii="宋体" w:hAnsi="宋体"/>
          <w:szCs w:val="21"/>
        </w:rPr>
        <w:t>30%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w:t>
      </w:r>
      <w:r w:rsidRPr="00ED7D97">
        <w:rPr>
          <w:rFonts w:ascii="宋体" w:hAnsi="宋体" w:hint="eastAsia"/>
          <w:szCs w:val="21"/>
        </w:rPr>
        <w:t>）若本基金参与股指期货交易，应当遵守下列要求：</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16.1</w:t>
      </w:r>
      <w:r w:rsidRPr="00ED7D97">
        <w:rPr>
          <w:rFonts w:ascii="宋体" w:hAnsi="宋体" w:hint="eastAsia"/>
          <w:szCs w:val="21"/>
        </w:rPr>
        <w:t>）本基金在任何交易日日终，持有的买入股指期货合约价值，不得超过基金资产净值的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16.2</w:t>
      </w:r>
      <w:r w:rsidRPr="00ED7D97">
        <w:rPr>
          <w:rFonts w:ascii="宋体" w:hAnsi="宋体" w:hint="eastAsia"/>
          <w:szCs w:val="21"/>
        </w:rPr>
        <w:t>）本基金在任何交易日日终，持有的卖出股指期货合约价值不得超过基金持有的股票总市值的</w:t>
      </w:r>
      <w:r w:rsidRPr="00ED7D97">
        <w:rPr>
          <w:rFonts w:ascii="宋体" w:hAnsi="宋体"/>
          <w:szCs w:val="21"/>
        </w:rPr>
        <w:t>20%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16.3</w:t>
      </w:r>
      <w:r w:rsidRPr="00ED7D97">
        <w:rPr>
          <w:rFonts w:ascii="宋体" w:hAnsi="宋体" w:hint="eastAsia"/>
          <w:szCs w:val="21"/>
        </w:rPr>
        <w:t>）本基金在任何交易日内交易（不包括平仓）的股指期货合约的成交金额不得超过上一交易日基金资产净值的</w:t>
      </w:r>
      <w:r w:rsidRPr="00ED7D97">
        <w:rPr>
          <w:rFonts w:ascii="宋体" w:hAnsi="宋体"/>
          <w:szCs w:val="21"/>
        </w:rPr>
        <w:t>20%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16.4</w:t>
      </w:r>
      <w:r w:rsidRPr="00ED7D97">
        <w:rPr>
          <w:rFonts w:ascii="宋体" w:hAnsi="宋体" w:hint="eastAsia"/>
          <w:szCs w:val="21"/>
        </w:rPr>
        <w:t>）本基金所持有的股票市值和买入、卖出股指期货合约价值，合计（轧差计算）应当符合基金合同关于股票投资比例的有关约定；</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16.5</w:t>
      </w:r>
      <w:r w:rsidRPr="00ED7D97">
        <w:rPr>
          <w:rFonts w:ascii="宋体" w:hAnsi="宋体" w:hint="eastAsia"/>
          <w:szCs w:val="21"/>
        </w:rPr>
        <w:t>）每个交易日日终，持有的买入国债期货合约和股指期货合约价值与有价证券市值之和，不得超过基金资产净值的</w:t>
      </w:r>
      <w:r w:rsidRPr="00ED7D97">
        <w:rPr>
          <w:rFonts w:ascii="宋体" w:hAnsi="宋体"/>
          <w:szCs w:val="21"/>
        </w:rPr>
        <w:t>95%</w:t>
      </w:r>
      <w:r w:rsidRPr="00ED7D97">
        <w:rPr>
          <w:rFonts w:ascii="宋体" w:hAnsi="宋体" w:hint="eastAsia"/>
          <w:szCs w:val="21"/>
        </w:rPr>
        <w:t>。其中，有价证券指股票、债券（不含到期日在一年以内的政府债券）、资产支持证券、买入返售金融资产（不含质押式回购）等；</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17</w:t>
      </w:r>
      <w:r w:rsidRPr="00ED7D97">
        <w:rPr>
          <w:rFonts w:ascii="宋体" w:hAnsi="宋体" w:hint="eastAsia"/>
          <w:szCs w:val="21"/>
        </w:rPr>
        <w:t>）本基金投资存托凭证的比例限制依照境内上市交易的股票执行；</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18</w:t>
      </w:r>
      <w:r w:rsidRPr="00ED7D97">
        <w:rPr>
          <w:rFonts w:ascii="宋体" w:hAnsi="宋体" w:hint="eastAsia"/>
          <w:szCs w:val="21"/>
        </w:rPr>
        <w:t>）本基金参与融资业务的，每个交易日日终，本基金持有的融资买入股票与其他有价证券市值之和，不得超过基金资产净值的</w:t>
      </w:r>
      <w:r w:rsidRPr="00ED7D97">
        <w:rPr>
          <w:rFonts w:ascii="宋体" w:hAnsi="宋体"/>
          <w:szCs w:val="21"/>
        </w:rPr>
        <w:t>95%</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19</w:t>
      </w:r>
      <w:r w:rsidRPr="00ED7D97">
        <w:rPr>
          <w:rFonts w:ascii="宋体" w:hAnsi="宋体" w:hint="eastAsia"/>
          <w:szCs w:val="21"/>
        </w:rPr>
        <w:t>）本基金参与股票期权交易的，应当符合下列要求：</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19.1</w:t>
      </w:r>
      <w:r w:rsidRPr="00ED7D97">
        <w:rPr>
          <w:rFonts w:ascii="宋体" w:hAnsi="宋体" w:hint="eastAsia"/>
          <w:szCs w:val="21"/>
        </w:rPr>
        <w:t>）基金因未平仓的期权合约支付和收取的权利金总额不得超过基金资产净值的</w:t>
      </w:r>
      <w:r w:rsidRPr="00ED7D97">
        <w:rPr>
          <w:rFonts w:ascii="宋体" w:hAnsi="宋体"/>
          <w:szCs w:val="21"/>
        </w:rPr>
        <w:t>10%</w:t>
      </w:r>
      <w:r w:rsidRPr="00ED7D97">
        <w:rPr>
          <w:rFonts w:ascii="宋体" w:hAnsi="宋体" w:hint="eastAsia"/>
          <w:szCs w:val="21"/>
        </w:rPr>
        <w:t>；</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lastRenderedPageBreak/>
        <w:t>19.2</w:t>
      </w:r>
      <w:r w:rsidRPr="00ED7D97">
        <w:rPr>
          <w:rFonts w:ascii="宋体" w:hAnsi="宋体" w:hint="eastAsia"/>
          <w:szCs w:val="21"/>
        </w:rPr>
        <w:t>）开仓卖出认购期权的，应持有足额标的证券；开仓卖出认沽期权的，应持有合约行权所需的全额现金或交易所规则认可的可冲抵期权保证金的现金等价物；</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19.3</w:t>
      </w:r>
      <w:r w:rsidRPr="00ED7D97">
        <w:rPr>
          <w:rFonts w:ascii="宋体" w:hAnsi="宋体" w:hint="eastAsia"/>
          <w:szCs w:val="21"/>
        </w:rPr>
        <w:t>）未平仓的期权合约面值不得超过基金资产净值的</w:t>
      </w:r>
      <w:r w:rsidRPr="00ED7D97">
        <w:rPr>
          <w:rFonts w:ascii="宋体" w:hAnsi="宋体"/>
          <w:szCs w:val="21"/>
        </w:rPr>
        <w:t>20%</w:t>
      </w:r>
      <w:r w:rsidRPr="00ED7D97">
        <w:rPr>
          <w:rFonts w:ascii="宋体" w:hAnsi="宋体" w:hint="eastAsia"/>
          <w:szCs w:val="21"/>
        </w:rPr>
        <w:t>。其中，合约面值按照行权价乘以合约乘数计算；</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20</w:t>
      </w:r>
      <w:r w:rsidRPr="00ED7D97">
        <w:rPr>
          <w:rFonts w:ascii="宋体" w:hAnsi="宋体" w:hint="eastAsia"/>
          <w:szCs w:val="21"/>
        </w:rPr>
        <w:t>）法律法规及中国证监会规定的和基金合同约定的其他投资限制。</w:t>
      </w:r>
    </w:p>
    <w:p w:rsidR="001D0D89" w:rsidRDefault="00F1175F" w:rsidP="00ED7D97">
      <w:pPr>
        <w:spacing w:line="360" w:lineRule="auto"/>
        <w:ind w:firstLine="420"/>
        <w:rPr>
          <w:rFonts w:ascii="宋体" w:hAnsi="宋体" w:cs="宋体"/>
          <w:kern w:val="0"/>
          <w:szCs w:val="21"/>
        </w:rPr>
      </w:pPr>
      <w:r>
        <w:rPr>
          <w:rFonts w:ascii="宋体" w:hAnsi="宋体" w:cs="宋体" w:hint="eastAsia"/>
          <w:kern w:val="0"/>
          <w:szCs w:val="21"/>
        </w:rPr>
        <w:t>基金托管人对上述指标的监督义务，仅限于监督由基金管理人管理且由基金托管人托管的全部公募基金是否符合上述比例限制。《基金法》及其他有关法律法规或监管部门取消上述限制的，履行法律法规或监管部门规定的适当程序</w:t>
      </w:r>
      <w:r>
        <w:rPr>
          <w:rFonts w:ascii="宋体" w:hAnsi="宋体" w:hint="eastAsia"/>
          <w:szCs w:val="21"/>
        </w:rPr>
        <w:t>并取得基金托管人同意</w:t>
      </w:r>
      <w:r>
        <w:rPr>
          <w:rFonts w:ascii="宋体" w:hAnsi="宋体" w:cs="宋体" w:hint="eastAsia"/>
          <w:kern w:val="0"/>
          <w:szCs w:val="21"/>
        </w:rPr>
        <w:t>后，基金不受上述限制。</w:t>
      </w:r>
    </w:p>
    <w:p w:rsidR="001D0D89" w:rsidRDefault="00F1175F">
      <w:pPr>
        <w:spacing w:line="440" w:lineRule="atLeast"/>
        <w:ind w:firstLineChars="200" w:firstLine="420"/>
        <w:rPr>
          <w:rFonts w:ascii="宋体" w:hAnsi="宋体"/>
          <w:szCs w:val="21"/>
        </w:rPr>
      </w:pPr>
      <w:r>
        <w:rPr>
          <w:rFonts w:ascii="宋体" w:hAnsi="宋体" w:hint="eastAsia"/>
          <w:szCs w:val="21"/>
        </w:rPr>
        <w:t>（3）法律法规允许的基金投资比例调整期限</w:t>
      </w:r>
    </w:p>
    <w:p w:rsidR="001D0D89" w:rsidRDefault="00F1175F">
      <w:pPr>
        <w:spacing w:line="440" w:lineRule="atLeast"/>
        <w:ind w:firstLineChars="200" w:firstLine="420"/>
        <w:rPr>
          <w:rFonts w:ascii="宋体" w:hAnsi="宋体"/>
          <w:szCs w:val="21"/>
        </w:rPr>
      </w:pPr>
      <w:r>
        <w:rPr>
          <w:rFonts w:ascii="宋体" w:hAnsi="宋体" w:hint="eastAsia"/>
          <w:szCs w:val="21"/>
        </w:rPr>
        <w:t>除上述2）、9）、12）、13）情形之外，因证券/期货市场波动、证券发行人合并、基金规模变动等基金管理人之外的因素致使基金投资比例不符合上述规定投资比例的，基金管理人应当在相关证券可交易的10个交易日内进行调整，但中国证监会规定的特殊情形或基金合同另有约定除外。</w:t>
      </w:r>
    </w:p>
    <w:p w:rsidR="001D0D89" w:rsidRDefault="00F1175F">
      <w:pPr>
        <w:spacing w:line="440" w:lineRule="atLeast"/>
        <w:ind w:right="28" w:firstLineChars="200" w:firstLine="420"/>
        <w:rPr>
          <w:rFonts w:ascii="宋体" w:hAnsi="宋体"/>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监督与检查自基金合同生效之日起开始。</w:t>
      </w:r>
    </w:p>
    <w:p w:rsidR="001D0D89" w:rsidRDefault="00F1175F">
      <w:pPr>
        <w:spacing w:line="440" w:lineRule="atLeast"/>
        <w:ind w:right="28" w:firstLineChars="200" w:firstLine="420"/>
        <w:rPr>
          <w:rFonts w:ascii="宋体" w:hAnsi="宋体"/>
          <w:szCs w:val="21"/>
        </w:rPr>
      </w:pPr>
      <w:r>
        <w:rPr>
          <w:rFonts w:ascii="宋体" w:hAnsi="宋体" w:hint="eastAsia"/>
          <w:szCs w:val="21"/>
        </w:rPr>
        <w:t>（4）本基金可以按照国家的有关规定进行融资。</w:t>
      </w:r>
    </w:p>
    <w:p w:rsidR="001D0D89" w:rsidRDefault="00F1175F">
      <w:pPr>
        <w:widowControl/>
        <w:spacing w:line="440" w:lineRule="atLeast"/>
        <w:ind w:firstLineChars="200" w:firstLine="420"/>
        <w:jc w:val="left"/>
        <w:rPr>
          <w:rFonts w:ascii="宋体" w:hAnsi="宋体" w:cs="宋体"/>
          <w:kern w:val="0"/>
          <w:szCs w:val="21"/>
        </w:rPr>
      </w:pPr>
      <w:r>
        <w:rPr>
          <w:rFonts w:ascii="宋体" w:hAnsi="宋体" w:cs="宋体" w:hint="eastAsia"/>
          <w:kern w:val="0"/>
          <w:szCs w:val="21"/>
        </w:rPr>
        <w:t>（5）相关法律、法规或部门规章规定的其他比例限制。</w:t>
      </w:r>
    </w:p>
    <w:p w:rsidR="001D0D89" w:rsidRDefault="00F1175F">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rsidR="001D0D89" w:rsidRDefault="00F1175F">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1</w:t>
      </w:r>
      <w:r w:rsidRPr="00ED7D97">
        <w:rPr>
          <w:rFonts w:ascii="宋体" w:hAnsi="宋体" w:cs="宋体" w:hint="eastAsia"/>
          <w:kern w:val="0"/>
          <w:szCs w:val="21"/>
        </w:rPr>
        <w:t>）承销证券；</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2</w:t>
      </w:r>
      <w:r w:rsidRPr="00ED7D97">
        <w:rPr>
          <w:rFonts w:ascii="宋体" w:hAnsi="宋体" w:cs="宋体" w:hint="eastAsia"/>
          <w:kern w:val="0"/>
          <w:szCs w:val="21"/>
        </w:rPr>
        <w:t>）违反规定向他人贷款或者提供担保；</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3</w:t>
      </w:r>
      <w:r w:rsidRPr="00ED7D97">
        <w:rPr>
          <w:rFonts w:ascii="宋体" w:hAnsi="宋体" w:cs="宋体" w:hint="eastAsia"/>
          <w:kern w:val="0"/>
          <w:szCs w:val="21"/>
        </w:rPr>
        <w:t>）从事承担无限责任的投资；</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4</w:t>
      </w:r>
      <w:r w:rsidRPr="00ED7D97">
        <w:rPr>
          <w:rFonts w:ascii="宋体" w:hAnsi="宋体" w:cs="宋体" w:hint="eastAsia"/>
          <w:kern w:val="0"/>
          <w:szCs w:val="21"/>
        </w:rPr>
        <w:t>）买卖其他基金份额，但是中国证监会另有规定的除外；</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5</w:t>
      </w:r>
      <w:r w:rsidRPr="00ED7D97">
        <w:rPr>
          <w:rFonts w:ascii="宋体" w:hAnsi="宋体" w:cs="宋体" w:hint="eastAsia"/>
          <w:kern w:val="0"/>
          <w:szCs w:val="21"/>
        </w:rPr>
        <w:t>）向其基金管理人、基金托管人出资；</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6</w:t>
      </w:r>
      <w:r w:rsidRPr="00ED7D97">
        <w:rPr>
          <w:rFonts w:ascii="宋体" w:hAnsi="宋体" w:cs="宋体" w:hint="eastAsia"/>
          <w:kern w:val="0"/>
          <w:szCs w:val="21"/>
        </w:rPr>
        <w:t>）从事内幕交易、操纵证券交易价格及其他不正当的证券交易活动；</w:t>
      </w:r>
    </w:p>
    <w:p w:rsidR="001D0D89" w:rsidRPr="00ED7D97" w:rsidRDefault="00F1175F">
      <w:pPr>
        <w:spacing w:line="360" w:lineRule="auto"/>
        <w:ind w:firstLineChars="200" w:firstLine="420"/>
        <w:rPr>
          <w:rFonts w:ascii="宋体" w:hAnsi="宋体" w:cs="宋体"/>
          <w:kern w:val="0"/>
          <w:szCs w:val="21"/>
        </w:rPr>
      </w:pPr>
      <w:r w:rsidRPr="00ED7D97">
        <w:rPr>
          <w:rFonts w:ascii="宋体" w:hAnsi="宋体" w:cs="宋体" w:hint="eastAsia"/>
          <w:kern w:val="0"/>
          <w:szCs w:val="21"/>
        </w:rPr>
        <w:t>（</w:t>
      </w:r>
      <w:r w:rsidRPr="00ED7D97">
        <w:rPr>
          <w:rFonts w:ascii="宋体" w:hAnsi="宋体" w:cs="宋体"/>
          <w:kern w:val="0"/>
          <w:szCs w:val="21"/>
        </w:rPr>
        <w:t>7</w:t>
      </w:r>
      <w:r w:rsidRPr="00ED7D97">
        <w:rPr>
          <w:rFonts w:ascii="宋体" w:hAnsi="宋体" w:cs="宋体" w:hint="eastAsia"/>
          <w:kern w:val="0"/>
          <w:szCs w:val="21"/>
        </w:rPr>
        <w:t>）法律、行政法规和中国证监会规定禁止的其他活动。</w:t>
      </w:r>
    </w:p>
    <w:p w:rsidR="001D0D89" w:rsidRDefault="00C14413">
      <w:pPr>
        <w:spacing w:line="440" w:lineRule="exact"/>
        <w:ind w:firstLine="397"/>
        <w:rPr>
          <w:rFonts w:ascii="宋体" w:hAnsi="宋体"/>
          <w:szCs w:val="21"/>
        </w:rPr>
      </w:pPr>
      <w:r>
        <w:rPr>
          <w:rFonts w:ascii="宋体" w:hAnsi="宋体" w:cs="宋体" w:hint="eastAsia"/>
          <w:kern w:val="0"/>
          <w:szCs w:val="21"/>
        </w:rPr>
        <w:t>4</w:t>
      </w:r>
      <w:r w:rsidR="00F1175F">
        <w:rPr>
          <w:rFonts w:ascii="宋体" w:hAnsi="宋体" w:cs="宋体" w:hint="eastAsia"/>
          <w:kern w:val="0"/>
          <w:szCs w:val="21"/>
        </w:rPr>
        <w:t>.基金托管人依据有关法律法规的规定和《基金合同》的约定对于基金关联投资限制进</w:t>
      </w:r>
      <w:r w:rsidR="00F1175F">
        <w:rPr>
          <w:rFonts w:ascii="宋体" w:hAnsi="宋体" w:cs="宋体" w:hint="eastAsia"/>
          <w:kern w:val="0"/>
          <w:szCs w:val="21"/>
        </w:rPr>
        <w:lastRenderedPageBreak/>
        <w:t>行监督。</w:t>
      </w:r>
    </w:p>
    <w:p w:rsidR="001D0D89" w:rsidRDefault="00F1175F">
      <w:pPr>
        <w:spacing w:line="360" w:lineRule="auto"/>
        <w:ind w:firstLineChars="200" w:firstLine="420"/>
        <w:rPr>
          <w:rFonts w:ascii="宋体" w:hAnsi="宋体" w:cs="宋体"/>
          <w:kern w:val="0"/>
          <w:szCs w:val="21"/>
        </w:rPr>
      </w:pPr>
      <w:r>
        <w:rPr>
          <w:rFonts w:ascii="宋体" w:hAnsi="宋体" w:cs="宋体"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D0D89" w:rsidRDefault="00F1175F">
      <w:pPr>
        <w:spacing w:line="440" w:lineRule="exact"/>
        <w:ind w:firstLineChars="200" w:firstLine="420"/>
        <w:rPr>
          <w:rFonts w:ascii="宋体" w:hAnsi="宋体"/>
          <w:szCs w:val="21"/>
        </w:rPr>
      </w:pP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rsidR="003A140B" w:rsidRDefault="00C14413">
      <w:pPr>
        <w:spacing w:line="440" w:lineRule="exact"/>
        <w:ind w:firstLineChars="200" w:firstLine="420"/>
        <w:rPr>
          <w:rFonts w:ascii="宋体" w:hAnsi="宋体"/>
          <w:szCs w:val="21"/>
        </w:rPr>
      </w:pPr>
      <w:r>
        <w:rPr>
          <w:rFonts w:ascii="宋体" w:hAnsi="宋体" w:hint="eastAsia"/>
          <w:szCs w:val="21"/>
        </w:rPr>
        <w:t>5</w:t>
      </w:r>
      <w:r w:rsidR="003A140B">
        <w:rPr>
          <w:rFonts w:ascii="宋体" w:hAnsi="宋体"/>
          <w:szCs w:val="21"/>
        </w:rPr>
        <w:t>.</w:t>
      </w:r>
      <w:r w:rsidR="003A140B" w:rsidRPr="003A140B">
        <w:rPr>
          <w:bCs/>
          <w:sz w:val="24"/>
        </w:rPr>
        <w:t xml:space="preserve"> </w:t>
      </w:r>
      <w:r w:rsidR="003A140B" w:rsidRPr="003A140B">
        <w:rPr>
          <w:rFonts w:ascii="宋体" w:hAnsi="宋体"/>
          <w:bCs/>
          <w:szCs w:val="21"/>
        </w:rPr>
        <w:t>法律法规或监管部门取消上述组合限制</w:t>
      </w:r>
      <w:r w:rsidR="003A140B" w:rsidRPr="003A140B">
        <w:rPr>
          <w:rFonts w:ascii="宋体" w:hAnsi="宋体" w:hint="eastAsia"/>
          <w:bCs/>
          <w:szCs w:val="21"/>
        </w:rPr>
        <w:t>、</w:t>
      </w:r>
      <w:r w:rsidR="003A140B" w:rsidRPr="003A140B">
        <w:rPr>
          <w:rFonts w:ascii="宋体" w:hAnsi="宋体"/>
          <w:bCs/>
          <w:szCs w:val="21"/>
        </w:rPr>
        <w:t>禁止</w:t>
      </w:r>
      <w:r w:rsidR="003A140B" w:rsidRPr="003A140B">
        <w:rPr>
          <w:rFonts w:ascii="宋体" w:hAnsi="宋体" w:hint="eastAsia"/>
          <w:bCs/>
          <w:szCs w:val="21"/>
        </w:rPr>
        <w:t>行为</w:t>
      </w:r>
      <w:r w:rsidR="003A140B" w:rsidRPr="003A140B">
        <w:rPr>
          <w:rFonts w:ascii="宋体" w:hAnsi="宋体"/>
          <w:bCs/>
          <w:szCs w:val="21"/>
        </w:rPr>
        <w:t>规定或从事关联交易的条件和要求，本基金可不受相关限制</w:t>
      </w:r>
      <w:r w:rsidR="003A140B" w:rsidRPr="003A140B">
        <w:rPr>
          <w:rFonts w:ascii="宋体" w:hAnsi="宋体" w:hint="eastAsia"/>
          <w:bCs/>
          <w:szCs w:val="21"/>
        </w:rPr>
        <w:t>，且无需召开基金份额持有人大会审议。</w:t>
      </w:r>
      <w:r w:rsidR="003A140B" w:rsidRPr="003A140B">
        <w:rPr>
          <w:rFonts w:ascii="宋体" w:hAnsi="宋体"/>
          <w:bCs/>
          <w:szCs w:val="21"/>
        </w:rPr>
        <w:t>法律法规或监管部门</w:t>
      </w:r>
      <w:r w:rsidR="003A140B" w:rsidRPr="003A140B">
        <w:rPr>
          <w:rFonts w:ascii="宋体" w:hAnsi="宋体" w:hint="eastAsia"/>
          <w:bCs/>
          <w:szCs w:val="21"/>
        </w:rPr>
        <w:t>对</w:t>
      </w:r>
      <w:r w:rsidR="003A140B" w:rsidRPr="003A140B">
        <w:rPr>
          <w:rFonts w:ascii="宋体" w:hAnsi="宋体"/>
          <w:bCs/>
          <w:szCs w:val="21"/>
        </w:rPr>
        <w:t>上述组合限制</w:t>
      </w:r>
      <w:r w:rsidR="003A140B" w:rsidRPr="003A140B">
        <w:rPr>
          <w:rFonts w:ascii="宋体" w:hAnsi="宋体" w:hint="eastAsia"/>
          <w:bCs/>
          <w:szCs w:val="21"/>
        </w:rPr>
        <w:t>、</w:t>
      </w:r>
      <w:r w:rsidR="003A140B" w:rsidRPr="003A140B">
        <w:rPr>
          <w:rFonts w:ascii="宋体" w:hAnsi="宋体"/>
          <w:bCs/>
          <w:szCs w:val="21"/>
        </w:rPr>
        <w:t>禁止</w:t>
      </w:r>
      <w:r w:rsidR="003A140B" w:rsidRPr="003A140B">
        <w:rPr>
          <w:rFonts w:ascii="宋体" w:hAnsi="宋体" w:hint="eastAsia"/>
          <w:bCs/>
          <w:szCs w:val="21"/>
        </w:rPr>
        <w:t>行为</w:t>
      </w:r>
      <w:r w:rsidR="003A140B" w:rsidRPr="003A140B">
        <w:rPr>
          <w:rFonts w:ascii="宋体" w:hAnsi="宋体"/>
          <w:bCs/>
          <w:szCs w:val="21"/>
        </w:rPr>
        <w:t>规定或从事关联交易的条件和要求进行变更的</w:t>
      </w:r>
      <w:r w:rsidR="003A140B" w:rsidRPr="003A140B">
        <w:rPr>
          <w:rFonts w:ascii="宋体" w:hAnsi="宋体" w:hint="eastAsia"/>
          <w:bCs/>
          <w:szCs w:val="21"/>
        </w:rPr>
        <w:t>，</w:t>
      </w:r>
      <w:r w:rsidR="003A140B" w:rsidRPr="003A140B">
        <w:rPr>
          <w:rFonts w:ascii="宋体" w:hAnsi="宋体"/>
          <w:bCs/>
          <w:szCs w:val="21"/>
        </w:rPr>
        <w:t>本基金可以变更后的规定为准。</w:t>
      </w:r>
      <w:r w:rsidR="003A140B" w:rsidRPr="003A140B">
        <w:rPr>
          <w:rFonts w:ascii="宋体" w:hAnsi="宋体" w:hint="eastAsia"/>
          <w:bCs/>
          <w:szCs w:val="21"/>
        </w:rPr>
        <w:t>经与基金托管人协商一致，基金管理人可依据法律法规或监管部门规定直接对基金合同进行变更，该变更无须召开基金份额持有人大会审议。</w:t>
      </w:r>
    </w:p>
    <w:p w:rsidR="001D0D89" w:rsidRDefault="00C14413">
      <w:pPr>
        <w:spacing w:line="440" w:lineRule="exact"/>
        <w:ind w:firstLineChars="200" w:firstLine="420"/>
        <w:rPr>
          <w:rFonts w:ascii="宋体" w:hAnsi="宋体"/>
          <w:szCs w:val="21"/>
        </w:rPr>
      </w:pPr>
      <w:r>
        <w:rPr>
          <w:rFonts w:ascii="宋体" w:hAnsi="宋体" w:hint="eastAsia"/>
          <w:szCs w:val="21"/>
        </w:rPr>
        <w:t>6</w:t>
      </w:r>
      <w:r w:rsidR="00F1175F">
        <w:rPr>
          <w:rFonts w:ascii="宋体" w:hAnsi="宋体" w:hint="eastAsia"/>
          <w:szCs w:val="21"/>
        </w:rPr>
        <w:t>.基金托管人</w:t>
      </w:r>
      <w:r w:rsidR="00F1175F">
        <w:rPr>
          <w:rFonts w:ascii="宋体" w:hAnsi="宋体" w:cs="宋体" w:hint="eastAsia"/>
          <w:kern w:val="0"/>
          <w:szCs w:val="21"/>
        </w:rPr>
        <w:t>依据有关法律法规的规定和《基金合同》的约定</w:t>
      </w:r>
      <w:r w:rsidR="00F1175F">
        <w:rPr>
          <w:rFonts w:ascii="宋体" w:hAnsi="宋体" w:hint="eastAsia"/>
          <w:szCs w:val="21"/>
        </w:rPr>
        <w:t>对基金管理人参与银行间债券市场进行监督。</w:t>
      </w:r>
    </w:p>
    <w:p w:rsidR="001D0D89" w:rsidRPr="008A5111" w:rsidRDefault="00F1175F">
      <w:pPr>
        <w:spacing w:line="440" w:lineRule="exact"/>
        <w:ind w:firstLineChars="200" w:firstLine="420"/>
        <w:rPr>
          <w:rFonts w:ascii="宋体" w:hAnsi="宋体"/>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r w:rsidR="008A5111" w:rsidRPr="008A5111">
        <w:rPr>
          <w:rFonts w:ascii="宋体" w:hAnsi="宋体" w:hint="eastAsia"/>
          <w:szCs w:val="21"/>
        </w:rPr>
        <w:t>如基金管理人在基金投资运作之前未向基金托管人提供银行间债券市场交易对手名单的，视为基金管理人认可全市场交易对手。</w:t>
      </w:r>
    </w:p>
    <w:p w:rsidR="001D0D89" w:rsidRDefault="00F1175F">
      <w:pPr>
        <w:spacing w:line="440" w:lineRule="exact"/>
        <w:ind w:firstLineChars="200" w:firstLine="420"/>
        <w:rPr>
          <w:rFonts w:ascii="宋体" w:hAnsi="宋体"/>
          <w:szCs w:val="21"/>
        </w:rPr>
      </w:pPr>
      <w:r>
        <w:rPr>
          <w:rFonts w:ascii="宋体" w:hAnsi="宋体" w:hint="eastAsia"/>
          <w:szCs w:val="21"/>
        </w:rPr>
        <w:t>基金管理人有责任控制交易对手的资信风险，由于交易对手的资信风险引起的损失，基</w:t>
      </w:r>
      <w:r>
        <w:rPr>
          <w:rFonts w:ascii="宋体" w:hAnsi="宋体" w:hint="eastAsia"/>
          <w:szCs w:val="21"/>
        </w:rPr>
        <w:lastRenderedPageBreak/>
        <w:t>金管理人应当负责向相关责任人追偿。基金托管人不承担由此引发的责任及损失。</w:t>
      </w:r>
    </w:p>
    <w:p w:rsidR="001D0D89" w:rsidRDefault="00C14413">
      <w:pPr>
        <w:spacing w:line="440" w:lineRule="exact"/>
        <w:ind w:firstLineChars="200" w:firstLine="420"/>
        <w:rPr>
          <w:rFonts w:ascii="宋体" w:hAnsi="宋体"/>
          <w:szCs w:val="21"/>
        </w:rPr>
      </w:pPr>
      <w:r>
        <w:rPr>
          <w:rFonts w:ascii="宋体" w:hAnsi="宋体" w:hint="eastAsia"/>
          <w:szCs w:val="21"/>
        </w:rPr>
        <w:t>7</w:t>
      </w:r>
      <w:r w:rsidR="00F1175F">
        <w:rPr>
          <w:rFonts w:ascii="宋体" w:hAnsi="宋体" w:hint="eastAsia"/>
          <w:szCs w:val="21"/>
        </w:rPr>
        <w:t>. 基金托管人依据有关法律法规的规定和《基金合同》的约定，对基金银行存款业务进行监督。</w:t>
      </w:r>
    </w:p>
    <w:p w:rsidR="001D0D89" w:rsidRDefault="00F1175F">
      <w:pPr>
        <w:spacing w:line="440" w:lineRule="exact"/>
        <w:ind w:firstLineChars="215" w:firstLine="451"/>
        <w:rPr>
          <w:rFonts w:ascii="宋体" w:hAnsi="宋体"/>
          <w:kern w:val="0"/>
          <w:szCs w:val="21"/>
        </w:rPr>
      </w:pPr>
      <w:r>
        <w:rPr>
          <w:rFonts w:ascii="宋体" w:hAnsi="宋体" w:hint="eastAsia"/>
          <w:szCs w:val="21"/>
        </w:rPr>
        <w:t>基金管理人应当加强对基金投资银行存款风险的评估与研究，严格测算与控制投资银行存款的风险敞口。</w:t>
      </w:r>
      <w:r>
        <w:rPr>
          <w:rFonts w:ascii="宋体" w:hAnsi="宋体" w:hint="eastAsia"/>
          <w:kern w:val="0"/>
          <w:szCs w:val="21"/>
        </w:rPr>
        <w:t>对于基金投资的银行存款，由于存款银行发生信用风险事件而造成损失时，</w:t>
      </w:r>
      <w:r w:rsidR="008A5111">
        <w:rPr>
          <w:rFonts w:ascii="宋体" w:hAnsi="宋体" w:hint="eastAsia"/>
          <w:kern w:val="0"/>
          <w:szCs w:val="21"/>
        </w:rPr>
        <w:t>由基金管理人负责处理，基金托管人提供必要的</w:t>
      </w:r>
      <w:r w:rsidR="00AE4EE3">
        <w:rPr>
          <w:rFonts w:ascii="宋体" w:hAnsi="宋体" w:hint="eastAsia"/>
          <w:kern w:val="0"/>
          <w:szCs w:val="21"/>
        </w:rPr>
        <w:t>协助与</w:t>
      </w:r>
      <w:r w:rsidR="008A5111">
        <w:rPr>
          <w:rFonts w:ascii="宋体" w:hAnsi="宋体" w:hint="eastAsia"/>
          <w:kern w:val="0"/>
          <w:szCs w:val="21"/>
        </w:rPr>
        <w:t>配合</w:t>
      </w:r>
      <w:r>
        <w:rPr>
          <w:rFonts w:ascii="宋体" w:hAnsi="宋体" w:hint="eastAsia"/>
          <w:kern w:val="0"/>
          <w:szCs w:val="21"/>
        </w:rPr>
        <w:t>。如果基金托管人在运作过程中遵循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rsidR="001D0D89" w:rsidRDefault="00C14413">
      <w:pPr>
        <w:spacing w:line="440" w:lineRule="exact"/>
        <w:ind w:firstLineChars="215" w:firstLine="451"/>
        <w:rPr>
          <w:rFonts w:ascii="宋体" w:hAnsi="宋体"/>
          <w:szCs w:val="21"/>
        </w:rPr>
      </w:pPr>
      <w:r>
        <w:rPr>
          <w:rFonts w:ascii="宋体" w:hAnsi="宋体" w:hint="eastAsia"/>
          <w:szCs w:val="21"/>
        </w:rPr>
        <w:t>8</w:t>
      </w:r>
      <w:r w:rsidR="00F1175F">
        <w:rPr>
          <w:rFonts w:ascii="宋体" w:hAnsi="宋体" w:hint="eastAsia"/>
          <w:szCs w:val="21"/>
        </w:rPr>
        <w:t>.基金托管人对基金投资流通受限证券的监督</w:t>
      </w:r>
    </w:p>
    <w:p w:rsidR="001D0D89" w:rsidRDefault="00F1175F">
      <w:pPr>
        <w:spacing w:line="440" w:lineRule="exact"/>
        <w:ind w:firstLineChars="215" w:firstLine="451"/>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如下所指“流通受限证券”与本协议以及基金合同所指“流动性受限资产”定义存在不同。就流动性受限资产定义，请参照基金合同的“释义”部分。</w:t>
      </w:r>
    </w:p>
    <w:p w:rsidR="001D0D89" w:rsidRDefault="00F1175F">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rsidR="001D0D89" w:rsidRDefault="00F1175F">
      <w:pPr>
        <w:spacing w:line="360" w:lineRule="auto"/>
        <w:ind w:firstLineChars="200" w:firstLine="420"/>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D0D89" w:rsidRDefault="00F1175F">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w:t>
      </w:r>
      <w:r w:rsidR="00ED59D9">
        <w:rPr>
          <w:rFonts w:ascii="宋体" w:hAnsi="宋体" w:hint="eastAsia"/>
          <w:szCs w:val="21"/>
        </w:rPr>
        <w:t>非公开发行股票</w:t>
      </w:r>
      <w:r>
        <w:rPr>
          <w:rFonts w:ascii="宋体" w:hAnsi="宋体" w:hint="eastAsia"/>
          <w:szCs w:val="21"/>
        </w:rPr>
        <w:t>前向基金托管人提供基金投资非公开发行股票的相关流动性风险处置预案。</w:t>
      </w:r>
    </w:p>
    <w:p w:rsidR="001D0D89" w:rsidRDefault="00F1175F">
      <w:pPr>
        <w:spacing w:line="360" w:lineRule="auto"/>
        <w:ind w:firstLineChars="200" w:firstLine="420"/>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w:t>
      </w:r>
      <w:r w:rsidR="00C14413">
        <w:rPr>
          <w:rFonts w:ascii="宋体" w:hAnsi="宋体" w:hint="eastAsia"/>
          <w:szCs w:val="21"/>
        </w:rPr>
        <w:t>相应</w:t>
      </w:r>
      <w:r>
        <w:rPr>
          <w:rFonts w:ascii="宋体" w:hAnsi="宋体" w:hint="eastAsia"/>
          <w:szCs w:val="21"/>
        </w:rPr>
        <w:t>责任。如因基金管理人原因导致本基金出现损失的，基金托管人不承担</w:t>
      </w:r>
      <w:r w:rsidR="00C14413">
        <w:rPr>
          <w:rFonts w:ascii="宋体" w:hAnsi="宋体" w:hint="eastAsia"/>
          <w:szCs w:val="21"/>
        </w:rPr>
        <w:t>相应</w:t>
      </w:r>
      <w:r>
        <w:rPr>
          <w:rFonts w:ascii="宋体" w:hAnsi="宋体" w:hint="eastAsia"/>
          <w:szCs w:val="21"/>
        </w:rPr>
        <w:t>责任。</w:t>
      </w:r>
    </w:p>
    <w:p w:rsidR="001D0D89" w:rsidRDefault="00F1175F">
      <w:pPr>
        <w:spacing w:line="360" w:lineRule="auto"/>
        <w:ind w:firstLineChars="200" w:firstLine="420"/>
        <w:rPr>
          <w:rFonts w:ascii="宋体" w:hAnsi="宋体"/>
          <w:szCs w:val="21"/>
        </w:rPr>
      </w:pPr>
      <w:r>
        <w:rPr>
          <w:rFonts w:ascii="宋体" w:hAnsi="宋体" w:hint="eastAsia"/>
          <w:szCs w:val="21"/>
        </w:rPr>
        <w:t>（3）基金管理人应在基金投资非公开发行股票后两个交易日内，在中国证监会规定媒</w:t>
      </w:r>
      <w:r>
        <w:rPr>
          <w:rFonts w:ascii="宋体" w:hAnsi="宋体" w:hint="eastAsia"/>
          <w:szCs w:val="21"/>
        </w:rPr>
        <w:lastRenderedPageBreak/>
        <w:t>介披露所投资非公开发行股票的名称、数量、总成本、账面价值，以及总成本和账面价值占基金资产净值的比例、锁定期等信息。</w:t>
      </w:r>
    </w:p>
    <w:p w:rsidR="001D0D89" w:rsidRDefault="00F1175F">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1D0D89" w:rsidRDefault="00F1175F">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rsidR="001D0D89" w:rsidRDefault="00F1175F">
      <w:pPr>
        <w:spacing w:line="360" w:lineRule="auto"/>
        <w:ind w:firstLineChars="200" w:firstLine="420"/>
        <w:rPr>
          <w:rFonts w:ascii="宋体" w:hAnsi="宋体"/>
          <w:szCs w:val="21"/>
        </w:rPr>
      </w:pPr>
      <w:r>
        <w:rPr>
          <w:rFonts w:ascii="宋体" w:hAnsi="宋体" w:hint="eastAsia"/>
          <w:szCs w:val="21"/>
        </w:rPr>
        <w:t>（4）本基金投资非公开发行股票，基金管理人应至少于执行投资指令之前将有关资料书面提交基金托管人，并保证向基金托管人提供的有关资料真实、准确、完整。有关资料如有调整，基金管理人应及时提供调整后的资料。上述书面资料包括但不限于：</w:t>
      </w:r>
    </w:p>
    <w:p w:rsidR="001D0D89" w:rsidRDefault="00F1175F">
      <w:pPr>
        <w:spacing w:line="360" w:lineRule="auto"/>
        <w:ind w:firstLineChars="200" w:firstLine="420"/>
        <w:rPr>
          <w:rFonts w:ascii="宋体" w:hAnsi="宋体"/>
          <w:szCs w:val="21"/>
        </w:rPr>
      </w:pPr>
      <w:r>
        <w:rPr>
          <w:rFonts w:ascii="宋体" w:hAnsi="宋体" w:hint="eastAsia"/>
          <w:szCs w:val="21"/>
        </w:rPr>
        <w:t>1）中国证监会批准发行非公开发行股票的批准文件。</w:t>
      </w:r>
    </w:p>
    <w:p w:rsidR="001D0D89" w:rsidRDefault="00F1175F">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rsidR="001D0D89" w:rsidRDefault="00F1175F">
      <w:pPr>
        <w:spacing w:line="360" w:lineRule="auto"/>
        <w:ind w:firstLineChars="200" w:firstLine="420"/>
        <w:rPr>
          <w:rFonts w:ascii="宋体" w:hAnsi="宋体"/>
          <w:szCs w:val="21"/>
        </w:rPr>
      </w:pPr>
      <w:r>
        <w:rPr>
          <w:rFonts w:ascii="宋体" w:hAnsi="宋体" w:hint="eastAsia"/>
          <w:szCs w:val="21"/>
        </w:rPr>
        <w:t>3）基金拟认购的数量、价格、总成本、账面价值。</w:t>
      </w:r>
    </w:p>
    <w:p w:rsidR="001D0D89" w:rsidRDefault="00F1175F">
      <w:pPr>
        <w:spacing w:line="360" w:lineRule="auto"/>
        <w:ind w:firstLineChars="200" w:firstLine="420"/>
        <w:rPr>
          <w:rFonts w:ascii="宋体" w:hAnsi="宋体"/>
          <w:szCs w:val="21"/>
        </w:rPr>
      </w:pPr>
      <w:r>
        <w:rPr>
          <w:rFonts w:ascii="宋体" w:hAnsi="宋体" w:hint="eastAsia"/>
          <w:szCs w:val="21"/>
        </w:rPr>
        <w:t>4）该基金投资流通受限证券的投资额度和投资比例控制</w:t>
      </w:r>
    </w:p>
    <w:p w:rsidR="001D0D89" w:rsidRDefault="00F1175F">
      <w:pPr>
        <w:spacing w:after="120" w:line="360" w:lineRule="auto"/>
        <w:ind w:firstLineChars="200" w:firstLine="420"/>
        <w:rPr>
          <w:rFonts w:ascii="宋体" w:hAnsi="宋体"/>
          <w:szCs w:val="21"/>
        </w:rPr>
      </w:pPr>
      <w:r>
        <w:rPr>
          <w:rFonts w:ascii="宋体" w:hAnsi="宋体" w:hint="eastAsia"/>
          <w:szCs w:val="21"/>
        </w:rPr>
        <w:t>5）</w:t>
      </w:r>
      <w:r>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w:t>
      </w:r>
      <w:r w:rsidR="00C14413">
        <w:rPr>
          <w:rFonts w:ascii="宋体" w:hAnsi="宋体" w:hint="eastAsia"/>
          <w:szCs w:val="21"/>
        </w:rPr>
        <w:t>相应</w:t>
      </w:r>
      <w:r>
        <w:rPr>
          <w:rFonts w:ascii="宋体" w:hAnsi="宋体" w:hint="eastAsia"/>
          <w:szCs w:val="21"/>
        </w:rPr>
        <w:t>责任，并有权报告中国证监会。</w:t>
      </w:r>
    </w:p>
    <w:p w:rsidR="001D0D89" w:rsidRDefault="00F1175F">
      <w:pPr>
        <w:spacing w:after="120"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w:t>
      </w:r>
      <w:r w:rsidR="00C14413">
        <w:rPr>
          <w:rFonts w:ascii="宋体" w:hAnsi="宋体" w:hint="eastAsia"/>
          <w:szCs w:val="21"/>
        </w:rPr>
        <w:t>相应</w:t>
      </w:r>
      <w:r>
        <w:rPr>
          <w:rFonts w:ascii="宋体" w:hAnsi="宋体" w:hint="eastAsia"/>
          <w:szCs w:val="21"/>
        </w:rPr>
        <w:t>责任。</w:t>
      </w:r>
    </w:p>
    <w:p w:rsidR="001D0D89" w:rsidRDefault="00F1175F">
      <w:pPr>
        <w:widowControl/>
        <w:spacing w:line="360" w:lineRule="auto"/>
        <w:ind w:firstLineChars="200" w:firstLine="420"/>
        <w:jc w:val="left"/>
        <w:rPr>
          <w:rFonts w:ascii="宋体" w:hAnsi="宋体"/>
          <w:szCs w:val="21"/>
        </w:rPr>
      </w:pPr>
      <w:r>
        <w:rPr>
          <w:rFonts w:ascii="宋体" w:hAnsi="宋体" w:hint="eastAsia"/>
          <w:szCs w:val="21"/>
        </w:rPr>
        <w:t>(5)相关法律法规对基金投资流通受限证券有新规定的，从其规定。</w:t>
      </w:r>
    </w:p>
    <w:p w:rsidR="001D0D89" w:rsidRDefault="00F1175F">
      <w:pPr>
        <w:spacing w:after="120" w:line="360" w:lineRule="auto"/>
        <w:ind w:firstLineChars="200" w:firstLine="420"/>
        <w:rPr>
          <w:rFonts w:ascii="宋体" w:hAnsi="宋体"/>
          <w:szCs w:val="21"/>
        </w:rPr>
      </w:pPr>
      <w:r>
        <w:rPr>
          <w:rFonts w:ascii="宋体" w:hAnsi="宋体" w:hint="eastAsia"/>
          <w:szCs w:val="21"/>
        </w:rPr>
        <w:t>（二）基金托管人应当依照法律法规和基金合同约定，加强对侧袋机制启用、特定资产处置和信息披露等方面的复核和监督。</w:t>
      </w:r>
    </w:p>
    <w:p w:rsidR="001D0D89" w:rsidRDefault="00F1175F">
      <w:pPr>
        <w:spacing w:after="120" w:line="360" w:lineRule="auto"/>
        <w:ind w:firstLineChars="200" w:firstLine="420"/>
        <w:rPr>
          <w:rFonts w:ascii="宋体" w:hAnsi="宋体"/>
          <w:szCs w:val="21"/>
        </w:rPr>
      </w:pPr>
      <w:r>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w:t>
      </w:r>
      <w:r>
        <w:rPr>
          <w:rFonts w:ascii="宋体" w:hAnsi="宋体" w:hint="eastAsia"/>
          <w:szCs w:val="21"/>
        </w:rPr>
        <w:lastRenderedPageBreak/>
        <w:t>法律法规及基金合同的约定启用侧袋机制。如基金托管人经评估认为不满足监管机构规定和基金合同约定实施条件的，基金管理人不得启用侧袋机制。</w:t>
      </w:r>
    </w:p>
    <w:p w:rsidR="001D0D89" w:rsidRDefault="00F1175F">
      <w:pPr>
        <w:spacing w:after="120" w:line="360" w:lineRule="auto"/>
        <w:ind w:firstLineChars="200" w:firstLine="420"/>
        <w:rPr>
          <w:rFonts w:ascii="宋体" w:hAnsi="宋体"/>
          <w:szCs w:val="21"/>
        </w:rPr>
      </w:pPr>
      <w:bookmarkStart w:id="14" w:name="_Toc382819074"/>
      <w:r>
        <w:rPr>
          <w:rFonts w:ascii="宋体" w:hAnsi="宋体" w:hint="eastAsia"/>
          <w:szCs w:val="21"/>
        </w:rPr>
        <w:t>（三）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4"/>
    </w:p>
    <w:p w:rsidR="001D0D89" w:rsidRDefault="00F1175F">
      <w:pPr>
        <w:spacing w:after="120" w:line="360" w:lineRule="auto"/>
        <w:ind w:firstLineChars="200" w:firstLine="420"/>
        <w:rPr>
          <w:rFonts w:ascii="宋体" w:hAnsi="宋体"/>
          <w:szCs w:val="21"/>
        </w:rPr>
      </w:pPr>
      <w:bookmarkStart w:id="15"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w:t>
      </w:r>
      <w:r w:rsidR="00ED59D9">
        <w:rPr>
          <w:rFonts w:ascii="宋体" w:hAnsi="宋体" w:hint="eastAsia"/>
          <w:szCs w:val="21"/>
        </w:rPr>
        <w:t>在规定时间内</w:t>
      </w:r>
      <w:r>
        <w:rPr>
          <w:rFonts w:ascii="宋体" w:hAnsi="宋体" w:hint="eastAsia"/>
          <w:szCs w:val="21"/>
        </w:rPr>
        <w:t>核对，并向基金托管人</w:t>
      </w:r>
      <w:r w:rsidR="00ED59D9">
        <w:rPr>
          <w:rFonts w:ascii="宋体" w:hAnsi="宋体" w:hint="eastAsia"/>
          <w:szCs w:val="21"/>
        </w:rPr>
        <w:t>进行答复，就基金管理人的疑义</w:t>
      </w:r>
      <w:r>
        <w:rPr>
          <w:rFonts w:ascii="宋体" w:hAnsi="宋体" w:hint="eastAsia"/>
          <w:szCs w:val="21"/>
        </w:rPr>
        <w:t>进行解释或举证。</w:t>
      </w:r>
      <w:bookmarkEnd w:id="15"/>
    </w:p>
    <w:p w:rsidR="001D0D89" w:rsidRDefault="00F1175F">
      <w:pPr>
        <w:spacing w:line="360" w:lineRule="auto"/>
        <w:ind w:firstLineChars="200" w:firstLine="420"/>
        <w:rPr>
          <w:rFonts w:ascii="宋体" w:hAnsi="宋体"/>
          <w:szCs w:val="21"/>
        </w:rPr>
      </w:pPr>
      <w:r>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rsidR="001D0D89" w:rsidRDefault="00F1175F">
      <w:pPr>
        <w:spacing w:line="440" w:lineRule="exact"/>
        <w:ind w:firstLineChars="200" w:firstLine="420"/>
        <w:rPr>
          <w:rFonts w:ascii="宋体" w:hAnsi="宋体"/>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1D0D89" w:rsidRDefault="00F1175F">
      <w:pPr>
        <w:spacing w:line="440" w:lineRule="exact"/>
        <w:ind w:firstLineChars="200" w:firstLine="420"/>
        <w:rPr>
          <w:rFonts w:ascii="宋体" w:hAnsi="宋体"/>
          <w:szCs w:val="21"/>
        </w:rPr>
      </w:pPr>
      <w:r>
        <w:rPr>
          <w:rFonts w:ascii="宋体" w:hAnsi="宋体" w:hint="eastAsia"/>
          <w:szCs w:val="21"/>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1D0D89" w:rsidRDefault="00F1175F">
      <w:pPr>
        <w:spacing w:line="440" w:lineRule="exact"/>
        <w:ind w:firstLineChars="200" w:firstLine="420"/>
        <w:rPr>
          <w:rFonts w:ascii="宋体" w:hAnsi="宋体"/>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rsidR="001D0D89" w:rsidRDefault="00F1175F">
      <w:pPr>
        <w:spacing w:line="440" w:lineRule="exact"/>
        <w:ind w:firstLineChars="200" w:firstLine="420"/>
        <w:rPr>
          <w:rFonts w:ascii="宋体" w:hAnsi="宋体"/>
          <w:szCs w:val="21"/>
        </w:rPr>
      </w:pPr>
      <w:r>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rsidR="001D0D89" w:rsidRDefault="00F1175F">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w:t>
      </w:r>
      <w:r>
        <w:rPr>
          <w:rFonts w:ascii="宋体" w:hAnsi="宋体" w:hint="eastAsia"/>
          <w:szCs w:val="21"/>
        </w:rPr>
        <w:lastRenderedPageBreak/>
        <w:t>持有人造成的损失，由基金管理人承担。</w:t>
      </w:r>
    </w:p>
    <w:p w:rsidR="001D0D89" w:rsidRDefault="001D0D89">
      <w:pPr>
        <w:spacing w:line="440" w:lineRule="exact"/>
        <w:ind w:firstLineChars="200" w:firstLine="420"/>
        <w:rPr>
          <w:rFonts w:ascii="宋体" w:hAnsi="宋体"/>
          <w:szCs w:val="21"/>
        </w:rPr>
      </w:pPr>
    </w:p>
    <w:p w:rsidR="001D0D89" w:rsidRDefault="00F1175F">
      <w:pPr>
        <w:spacing w:beforeLines="100" w:before="312" w:afterLines="100" w:after="312" w:line="240" w:lineRule="atLeast"/>
        <w:jc w:val="center"/>
        <w:outlineLvl w:val="0"/>
        <w:rPr>
          <w:rFonts w:ascii="宋体" w:hAnsi="宋体"/>
        </w:rPr>
      </w:pPr>
      <w:bookmarkStart w:id="16" w:name="_Toc382819076"/>
      <w:r>
        <w:rPr>
          <w:rFonts w:ascii="宋体" w:hAnsi="宋体" w:hint="eastAsia"/>
          <w:b/>
          <w:sz w:val="24"/>
        </w:rPr>
        <w:t>三、基金管理人对基金托管人的业务核查</w:t>
      </w:r>
      <w:bookmarkEnd w:id="16"/>
    </w:p>
    <w:p w:rsidR="001D0D89" w:rsidRDefault="00F1175F">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的基金份额净值、是否根据基金管理人指令办理清算交收、进行相关信息披露和监督基金投资运作等行为。</w:t>
      </w:r>
    </w:p>
    <w:p w:rsidR="001D0D89" w:rsidRDefault="00F1175F">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1D0D89" w:rsidRDefault="00F1175F">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基金托管人应积极配合基金管理人的核查行为，包括但不限于：提交相关资料以供基金管理人核查托管财产的完整性和真实性，在规定时间内答复基金管理人并改正。</w:t>
      </w:r>
    </w:p>
    <w:p w:rsidR="001D0D89" w:rsidRDefault="00F1175F">
      <w:pPr>
        <w:spacing w:line="360" w:lineRule="auto"/>
        <w:ind w:firstLineChars="200" w:firstLine="420"/>
        <w:rPr>
          <w:rFonts w:ascii="宋体" w:hAnsi="宋体"/>
          <w:szCs w:val="21"/>
        </w:rPr>
      </w:pPr>
      <w:bookmarkStart w:id="17" w:name="_Toc382818598"/>
      <w:bookmarkStart w:id="18"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rsidR="001D0D89" w:rsidRDefault="00F1175F">
      <w:pPr>
        <w:spacing w:beforeLines="100" w:before="312" w:afterLines="100" w:after="312" w:line="240" w:lineRule="atLeast"/>
        <w:jc w:val="center"/>
        <w:outlineLvl w:val="0"/>
        <w:rPr>
          <w:rFonts w:ascii="宋体" w:hAnsi="宋体"/>
        </w:rPr>
      </w:pPr>
      <w:bookmarkStart w:id="19" w:name="_Toc382819078"/>
      <w:r>
        <w:rPr>
          <w:rFonts w:ascii="宋体" w:hAnsi="宋体" w:hint="eastAsia"/>
          <w:b/>
          <w:sz w:val="24"/>
        </w:rPr>
        <w:t>四、基金财产保管</w:t>
      </w:r>
      <w:bookmarkEnd w:id="19"/>
    </w:p>
    <w:p w:rsidR="001D0D89" w:rsidRDefault="00F1175F">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Pr>
          <w:rFonts w:ascii="宋体" w:eastAsia="宋体" w:hAnsi="宋体" w:hint="eastAsia"/>
          <w:b w:val="0"/>
          <w:bCs w:val="0"/>
          <w:sz w:val="21"/>
          <w:szCs w:val="21"/>
        </w:rPr>
        <w:t>（一）基金财产保管的原则</w:t>
      </w:r>
      <w:bookmarkEnd w:id="20"/>
    </w:p>
    <w:p w:rsidR="001D0D89" w:rsidRDefault="00F1175F">
      <w:pPr>
        <w:spacing w:line="360" w:lineRule="auto"/>
        <w:ind w:firstLineChars="200" w:firstLine="420"/>
        <w:rPr>
          <w:rFonts w:ascii="宋体" w:hAnsi="宋体"/>
          <w:szCs w:val="21"/>
        </w:rPr>
      </w:pPr>
      <w:r>
        <w:rPr>
          <w:rFonts w:ascii="宋体" w:hAnsi="宋体" w:hint="eastAsia"/>
          <w:szCs w:val="21"/>
        </w:rPr>
        <w:t>1.基金财产应独立于基金管理人、基金托管人的固有财产。</w:t>
      </w:r>
    </w:p>
    <w:p w:rsidR="001D0D89" w:rsidRDefault="00F1175F">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rsidR="001D0D89" w:rsidRDefault="00F1175F">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3.基金托管人按照规定为托管的基金财产开设资金账户和证券账户及投资所需其他账户。</w:t>
      </w:r>
    </w:p>
    <w:p w:rsidR="001D0D89" w:rsidRDefault="00F1175F">
      <w:pPr>
        <w:spacing w:line="360" w:lineRule="auto"/>
        <w:ind w:firstLineChars="200" w:firstLine="420"/>
        <w:rPr>
          <w:rFonts w:ascii="宋体" w:hAnsi="宋体"/>
          <w:szCs w:val="21"/>
        </w:rPr>
      </w:pPr>
      <w:r>
        <w:rPr>
          <w:rFonts w:ascii="宋体" w:hAnsi="宋体" w:hint="eastAsia"/>
          <w:szCs w:val="21"/>
        </w:rPr>
        <w:lastRenderedPageBreak/>
        <w:t>4.基金托管人对所托管的不同基金财产分别设置账户，与基金托管人的其他业务和其他基金的托管业务实行严格的分账管理，确保基金财产的完整与独立。</w:t>
      </w:r>
    </w:p>
    <w:p w:rsidR="001D0D89" w:rsidRDefault="00F1175F">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1D0D89" w:rsidRDefault="00F1175F">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rsidR="001D0D89" w:rsidRDefault="00F1175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Pr>
          <w:rFonts w:ascii="宋体" w:eastAsia="宋体" w:hAnsi="宋体" w:hint="eastAsia"/>
          <w:b w:val="0"/>
          <w:bCs w:val="0"/>
          <w:sz w:val="21"/>
          <w:szCs w:val="21"/>
        </w:rPr>
        <w:t>（二）募集资金的验证</w:t>
      </w:r>
      <w:bookmarkEnd w:id="21"/>
    </w:p>
    <w:p w:rsidR="001D0D89" w:rsidRDefault="00F1175F">
      <w:pPr>
        <w:spacing w:line="360" w:lineRule="auto"/>
        <w:ind w:firstLineChars="200" w:firstLine="420"/>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w:t>
      </w:r>
      <w:r w:rsidR="007F04E2">
        <w:rPr>
          <w:rFonts w:ascii="宋体" w:hAnsi="宋体" w:hint="eastAsia"/>
          <w:szCs w:val="21"/>
        </w:rPr>
        <w:t>指定募集</w:t>
      </w:r>
      <w:r w:rsidR="009E7ACF">
        <w:rPr>
          <w:rFonts w:ascii="宋体" w:hAnsi="宋体" w:hint="eastAsia"/>
          <w:szCs w:val="21"/>
        </w:rPr>
        <w:t>账户</w:t>
      </w:r>
      <w:r>
        <w:rPr>
          <w:rFonts w:ascii="宋体" w:hAnsi="宋体" w:hint="eastAsia"/>
          <w:szCs w:val="21"/>
        </w:rPr>
        <w:t>。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1D0D89" w:rsidRDefault="00F1175F">
      <w:pPr>
        <w:spacing w:line="360" w:lineRule="auto"/>
        <w:ind w:firstLineChars="200" w:firstLine="420"/>
        <w:rPr>
          <w:rFonts w:ascii="宋体" w:hAnsi="宋体" w:cs="Arial"/>
          <w:szCs w:val="21"/>
        </w:rPr>
      </w:pPr>
      <w:r>
        <w:rPr>
          <w:rFonts w:ascii="宋体" w:hAnsi="宋体" w:cs="Arial" w:hint="eastAsia"/>
          <w:szCs w:val="21"/>
        </w:rPr>
        <w:t>若基金募集期限届满，未能达到《基金合同》备案的条件，由基金管理人按规定办理退款事宜。</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Pr>
          <w:rFonts w:ascii="宋体" w:eastAsia="宋体" w:hAnsi="宋体" w:hint="eastAsia"/>
          <w:b w:val="0"/>
          <w:bCs w:val="0"/>
          <w:sz w:val="21"/>
          <w:szCs w:val="21"/>
        </w:rPr>
        <w:t>（三）基金资产托管专户的开立和管理</w:t>
      </w:r>
      <w:bookmarkEnd w:id="22"/>
    </w:p>
    <w:p w:rsidR="001D0D89" w:rsidRDefault="00F1175F">
      <w:pPr>
        <w:spacing w:line="360" w:lineRule="auto"/>
        <w:ind w:firstLineChars="200" w:firstLine="420"/>
        <w:rPr>
          <w:rFonts w:ascii="宋体" w:hAnsi="宋体"/>
          <w:szCs w:val="21"/>
        </w:rPr>
      </w:pPr>
      <w:r>
        <w:rPr>
          <w:rFonts w:ascii="宋体" w:hAnsi="宋体" w:hint="eastAsia"/>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rsidR="001D0D89" w:rsidRDefault="00F1175F">
      <w:pPr>
        <w:spacing w:line="360" w:lineRule="auto"/>
        <w:ind w:firstLineChars="200" w:firstLine="420"/>
        <w:rPr>
          <w:rFonts w:ascii="宋体" w:hAnsi="宋体"/>
          <w:szCs w:val="21"/>
        </w:rPr>
      </w:pPr>
      <w:r>
        <w:rPr>
          <w:rFonts w:ascii="宋体" w:hAnsi="宋体" w:hint="eastAsia"/>
          <w:szCs w:val="21"/>
        </w:rPr>
        <w:lastRenderedPageBreak/>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rsidR="001D0D89" w:rsidRDefault="00F1175F">
      <w:pPr>
        <w:spacing w:line="360" w:lineRule="auto"/>
        <w:ind w:firstLineChars="200" w:firstLine="420"/>
        <w:rPr>
          <w:rFonts w:ascii="宋体" w:hAnsi="宋体"/>
          <w:szCs w:val="21"/>
        </w:rPr>
      </w:pPr>
      <w:r>
        <w:rPr>
          <w:rFonts w:ascii="宋体" w:hAnsi="宋体" w:hint="eastAsia"/>
          <w:szCs w:val="21"/>
        </w:rPr>
        <w:t>3.资产托管专户的管理应符合《人民币银行结算账户管理办法》、《人民币利率管理规定》、《利率管理暂行规定》、《支付结算办法》以及银行业监督管理机构的其他有关规定。</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Pr>
          <w:rFonts w:ascii="宋体" w:eastAsia="宋体" w:hAnsi="宋体" w:hint="eastAsia"/>
          <w:b w:val="0"/>
          <w:bCs w:val="0"/>
          <w:sz w:val="21"/>
          <w:szCs w:val="21"/>
        </w:rPr>
        <w:t>（四）基金证券账户与证券交易资金账户的开设和管理</w:t>
      </w:r>
      <w:bookmarkEnd w:id="23"/>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1．基金托管人以基金托管人和本基金联名的方式在中国证券登记结算有限公司上海分公司/深圳分公司</w:t>
      </w:r>
      <w:r w:rsidR="00C14413">
        <w:rPr>
          <w:rFonts w:ascii="宋体" w:hAnsi="宋体" w:hint="eastAsia"/>
          <w:szCs w:val="21"/>
        </w:rPr>
        <w:t>/北京分公司</w:t>
      </w:r>
      <w:r>
        <w:rPr>
          <w:rFonts w:ascii="宋体" w:hAnsi="宋体" w:hint="eastAsia"/>
          <w:szCs w:val="21"/>
        </w:rPr>
        <w:t>开立专门的证券账户。</w:t>
      </w:r>
    </w:p>
    <w:p w:rsidR="001D0D89" w:rsidRDefault="00F1175F">
      <w:pPr>
        <w:spacing w:line="360" w:lineRule="auto"/>
        <w:ind w:firstLineChars="200" w:firstLine="420"/>
        <w:rPr>
          <w:rFonts w:ascii="宋体" w:hAnsi="宋体"/>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1D0D89" w:rsidRDefault="00F1175F">
      <w:pPr>
        <w:spacing w:line="360" w:lineRule="auto"/>
        <w:ind w:firstLineChars="200" w:firstLine="420"/>
        <w:rPr>
          <w:rFonts w:ascii="宋体" w:hAnsi="宋体"/>
          <w:szCs w:val="21"/>
        </w:rPr>
      </w:pPr>
      <w:r>
        <w:rPr>
          <w:rFonts w:ascii="宋体" w:hAnsi="宋体" w:hint="eastAsia"/>
          <w:szCs w:val="21"/>
        </w:rPr>
        <w:t>3.基金证券账户的开立由基金托管人负责，账户资产的管理和运用由基金管理人负责。</w:t>
      </w:r>
    </w:p>
    <w:p w:rsidR="001D0D89" w:rsidRDefault="00F1175F">
      <w:pPr>
        <w:spacing w:line="360" w:lineRule="auto"/>
        <w:ind w:firstLineChars="200" w:firstLine="420"/>
        <w:rPr>
          <w:rFonts w:ascii="宋体" w:hAnsi="宋体"/>
          <w:szCs w:val="21"/>
        </w:rPr>
      </w:pPr>
      <w:r>
        <w:rPr>
          <w:rFonts w:ascii="宋体" w:hAnsi="宋体" w:hint="eastAsia"/>
          <w:szCs w:val="21"/>
        </w:rPr>
        <w:t>4. 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rsidR="001D0D89" w:rsidRDefault="00F1175F">
      <w:pPr>
        <w:spacing w:line="360" w:lineRule="auto"/>
        <w:ind w:firstLineChars="200" w:firstLine="420"/>
        <w:rPr>
          <w:rFonts w:ascii="宋体" w:hAnsi="宋体"/>
          <w:szCs w:val="21"/>
        </w:rPr>
      </w:pPr>
      <w:bookmarkStart w:id="24" w:name="_Toc382819083"/>
      <w:r w:rsidRPr="00ED7D97">
        <w:rPr>
          <w:rFonts w:ascii="宋体" w:hAnsi="宋体" w:hint="eastAsia"/>
          <w:szCs w:val="21"/>
        </w:rPr>
        <w:t>（五）银行间市场债券托管和资金结算专户的开立和管理及市场准入备案</w:t>
      </w:r>
      <w:bookmarkEnd w:id="24"/>
    </w:p>
    <w:p w:rsidR="001D0D89" w:rsidRDefault="00F1175F">
      <w:pPr>
        <w:spacing w:line="360" w:lineRule="auto"/>
        <w:ind w:firstLineChars="200" w:firstLine="420"/>
        <w:rPr>
          <w:rFonts w:ascii="宋体" w:hAnsi="宋体"/>
          <w:szCs w:val="21"/>
        </w:rPr>
      </w:pPr>
      <w:bookmarkStart w:id="25"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（六）其他账户的开设和管理</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Pr>
          <w:rFonts w:ascii="宋体" w:eastAsia="宋体" w:hAnsi="宋体" w:hint="eastAsia"/>
          <w:b w:val="0"/>
          <w:bCs w:val="0"/>
          <w:sz w:val="21"/>
          <w:szCs w:val="21"/>
        </w:rPr>
        <w:t>（七）基金投资银行存款账户的开立和管理</w:t>
      </w:r>
      <w:bookmarkEnd w:id="26"/>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rsidR="001D0D89" w:rsidRDefault="007F04E2">
      <w:pPr>
        <w:tabs>
          <w:tab w:val="left" w:pos="4680"/>
        </w:tabs>
        <w:spacing w:line="360" w:lineRule="auto"/>
        <w:ind w:firstLineChars="200" w:firstLine="420"/>
        <w:rPr>
          <w:rFonts w:ascii="宋体" w:hAnsi="宋体"/>
          <w:szCs w:val="21"/>
        </w:rPr>
      </w:pPr>
      <w:bookmarkStart w:id="27" w:name="_Toc382819086"/>
      <w:r>
        <w:rPr>
          <w:rFonts w:ascii="宋体" w:hAnsi="宋体"/>
          <w:szCs w:val="21"/>
        </w:rPr>
        <w:t>4</w:t>
      </w:r>
      <w:r w:rsidR="00F1175F">
        <w:rPr>
          <w:rFonts w:ascii="宋体" w:hAnsi="宋体"/>
          <w:szCs w:val="21"/>
        </w:rPr>
        <w:t>.</w:t>
      </w:r>
      <w:r w:rsidR="00F1175F">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7"/>
      <w:r>
        <w:rPr>
          <w:rFonts w:ascii="宋体" w:eastAsia="宋体" w:hAnsi="宋体" w:hint="eastAsia"/>
          <w:b w:val="0"/>
          <w:bCs w:val="0"/>
          <w:sz w:val="21"/>
          <w:szCs w:val="21"/>
        </w:rPr>
        <w:t>（八）基金财产投资的有关实物证券、银行定期存款存单等有价凭证的保管</w:t>
      </w:r>
      <w:bookmarkEnd w:id="28"/>
    </w:p>
    <w:p w:rsidR="001D0D89" w:rsidRDefault="00F1175F">
      <w:pPr>
        <w:spacing w:line="360" w:lineRule="auto"/>
        <w:ind w:firstLineChars="200" w:firstLine="420"/>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w:t>
      </w:r>
      <w:r w:rsidR="00C14413">
        <w:rPr>
          <w:rFonts w:ascii="宋体" w:hAnsi="宋体" w:hint="eastAsia"/>
          <w:szCs w:val="21"/>
        </w:rPr>
        <w:t>/北京分公司</w:t>
      </w:r>
      <w:r>
        <w:rPr>
          <w:rFonts w:ascii="宋体" w:hAnsi="宋体" w:hint="eastAsia"/>
          <w:szCs w:val="21"/>
        </w:rPr>
        <w:t>、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（九）与基金财产有关的重大合同的保管</w:t>
      </w:r>
    </w:p>
    <w:p w:rsidR="001D0D89" w:rsidRDefault="00F1175F">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rsidR="001D0D89" w:rsidRDefault="00F1175F">
      <w:pPr>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rsidR="001D0D89" w:rsidRDefault="00F1175F">
      <w:pPr>
        <w:spacing w:beforeLines="100" w:before="312" w:afterLines="100" w:after="312" w:line="240" w:lineRule="atLeast"/>
        <w:jc w:val="center"/>
        <w:outlineLvl w:val="0"/>
        <w:rPr>
          <w:rFonts w:ascii="宋体" w:hAnsi="宋体"/>
        </w:rPr>
      </w:pPr>
      <w:bookmarkStart w:id="29" w:name="_Toc382819088"/>
      <w:r>
        <w:rPr>
          <w:rFonts w:ascii="宋体" w:hAnsi="宋体" w:hint="eastAsia"/>
          <w:b/>
          <w:sz w:val="24"/>
        </w:rPr>
        <w:t>五、指令的发送、确认和执行</w:t>
      </w:r>
      <w:bookmarkEnd w:id="29"/>
    </w:p>
    <w:p w:rsidR="001D0D89" w:rsidRDefault="00F1175F">
      <w:pPr>
        <w:spacing w:line="360" w:lineRule="auto"/>
        <w:ind w:firstLineChars="200" w:firstLine="420"/>
        <w:rPr>
          <w:rFonts w:ascii="宋体" w:hAnsi="宋体"/>
          <w:szCs w:val="21"/>
        </w:rPr>
      </w:pPr>
      <w:bookmarkStart w:id="30" w:name="_Toc382819089"/>
      <w:r>
        <w:rPr>
          <w:rFonts w:ascii="宋体" w:hAnsi="宋体" w:hint="eastAsia"/>
          <w:szCs w:val="21"/>
        </w:rPr>
        <w:t>基金管理人在运用基金财产时</w:t>
      </w:r>
      <w:r w:rsidRPr="00ED7D97">
        <w:rPr>
          <w:rFonts w:ascii="宋体" w:hAnsi="宋体" w:hint="eastAsia"/>
          <w:szCs w:val="21"/>
        </w:rPr>
        <w:t>，在开展场内证券交易前，基金管理人通过基金托管资金账户与证券资金账户已建立的第三方存管系统在基金托管资金账户与证券资金账户之间划</w:t>
      </w:r>
      <w:r w:rsidRPr="00ED7D97">
        <w:rPr>
          <w:rFonts w:ascii="宋体" w:hAnsi="宋体" w:hint="eastAsia"/>
          <w:szCs w:val="21"/>
        </w:rPr>
        <w:lastRenderedPageBreak/>
        <w:t>款，即银证互转。基金管理人</w:t>
      </w:r>
      <w:r>
        <w:rPr>
          <w:rFonts w:ascii="宋体" w:hAnsi="宋体" w:hint="eastAsia"/>
          <w:szCs w:val="21"/>
        </w:rPr>
        <w:t>向基金托管人发送资金划拨及其他款项付款指令，基金托管人执行基金管理人合法合规且符合本协议相关约定的指令、办理基金名下的资金往来等有关事项。</w:t>
      </w:r>
      <w:bookmarkEnd w:id="30"/>
    </w:p>
    <w:p w:rsidR="001D0D89" w:rsidRDefault="00F1175F">
      <w:pPr>
        <w:spacing w:line="360" w:lineRule="auto"/>
        <w:ind w:firstLineChars="200" w:firstLine="420"/>
        <w:rPr>
          <w:rFonts w:ascii="宋体" w:hAnsi="宋体"/>
          <w:szCs w:val="21"/>
        </w:rPr>
      </w:pPr>
      <w:r>
        <w:rPr>
          <w:rFonts w:ascii="宋体" w:hAnsi="宋体" w:hint="eastAsia"/>
          <w:szCs w:val="21"/>
        </w:rPr>
        <w:t>基金管理人发送的指令包括电子指令、纸质指令以及双方约定的其他方式发送的指令。</w:t>
      </w:r>
    </w:p>
    <w:p w:rsidR="001D0D89" w:rsidRDefault="00F1175F">
      <w:pPr>
        <w:spacing w:line="360" w:lineRule="auto"/>
        <w:ind w:firstLineChars="200" w:firstLine="420"/>
        <w:rPr>
          <w:rFonts w:ascii="宋体" w:hAnsi="宋体"/>
          <w:szCs w:val="21"/>
        </w:rPr>
      </w:pPr>
      <w:r>
        <w:rPr>
          <w:rFonts w:ascii="宋体" w:hAnsi="宋体" w:hint="eastAsia"/>
          <w:szCs w:val="21"/>
        </w:rPr>
        <w:t>管理人在启用电子指令前，应与托管人另行签署托管电子指令直连协议或网上托管服务协议。管理人在发送纸质指令前，应根据双方约定的方式提供传真号、发送指令附件的邮箱地址以及指令确认人员及其联系方式。</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Pr>
          <w:rFonts w:ascii="宋体" w:eastAsia="宋体" w:hAnsi="宋体" w:hint="eastAsia"/>
          <w:b w:val="0"/>
          <w:bCs w:val="0"/>
          <w:sz w:val="21"/>
          <w:szCs w:val="21"/>
        </w:rPr>
        <w:t>（一）基金管理人对发送指令人员的书面授权</w:t>
      </w:r>
      <w:bookmarkEnd w:id="31"/>
    </w:p>
    <w:p w:rsidR="001D0D89" w:rsidRDefault="00F1175F">
      <w:pPr>
        <w:spacing w:line="360" w:lineRule="auto"/>
        <w:ind w:firstLineChars="200" w:firstLine="420"/>
        <w:rPr>
          <w:rFonts w:ascii="宋体" w:hAnsi="宋体"/>
          <w:szCs w:val="21"/>
        </w:rPr>
      </w:pPr>
      <w:bookmarkStart w:id="32" w:name="_Toc382818601"/>
      <w:bookmarkStart w:id="33" w:name="_Toc38281909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若由授权代理人签署的，还应附上法定代表人的授权书。基金管理人应保证其提供的划款指令授权书中被授权人个人信息已获得被授权人的同意。基金托管人在收到授权书当日回函或回电向基金管理人确认。划款指令授权书无论是在本基金成立还是后续更新时，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应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被授权人及相关操作人员以外的任何人泄露</w:t>
      </w:r>
      <w:bookmarkEnd w:id="32"/>
      <w:bookmarkEnd w:id="33"/>
      <w:r>
        <w:rPr>
          <w:rFonts w:ascii="宋体" w:hAnsi="宋体" w:hint="eastAsia"/>
          <w:szCs w:val="21"/>
        </w:rPr>
        <w:t>，但法律法规或有权机关另有要求的除外。</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Pr>
          <w:rFonts w:ascii="宋体" w:eastAsia="宋体" w:hAnsi="宋体" w:hint="eastAsia"/>
          <w:b w:val="0"/>
          <w:bCs w:val="0"/>
          <w:sz w:val="21"/>
          <w:szCs w:val="21"/>
        </w:rPr>
        <w:t>（二）指令的内容</w:t>
      </w:r>
      <w:bookmarkEnd w:id="34"/>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w:t>
      </w:r>
      <w:r>
        <w:rPr>
          <w:rFonts w:ascii="宋体" w:hAnsi="宋体" w:hint="eastAsia"/>
          <w:szCs w:val="21"/>
        </w:rPr>
        <w:lastRenderedPageBreak/>
        <w:t>收款户名、开户行、款项事由、支付时间、到账时间、金额、账户等，加盖预留印鉴并有被授权人签字。</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3"/>
      <w:r>
        <w:rPr>
          <w:rFonts w:ascii="宋体" w:eastAsia="宋体" w:hAnsi="宋体" w:hint="eastAsia"/>
          <w:b w:val="0"/>
          <w:bCs w:val="0"/>
          <w:sz w:val="21"/>
          <w:szCs w:val="21"/>
        </w:rPr>
        <w:t>（三）指令的发送、确认和执行的时间和程序</w:t>
      </w:r>
      <w:bookmarkEnd w:id="35"/>
    </w:p>
    <w:p w:rsidR="001D0D89" w:rsidRDefault="00F1175F">
      <w:pPr>
        <w:spacing w:after="120" w:line="360" w:lineRule="auto"/>
        <w:ind w:firstLineChars="200" w:firstLine="420"/>
        <w:rPr>
          <w:rFonts w:ascii="宋体" w:hAnsi="宋体"/>
          <w:szCs w:val="21"/>
        </w:rPr>
      </w:pPr>
      <w:r>
        <w:rPr>
          <w:rFonts w:ascii="宋体" w:hAnsi="宋体" w:hint="eastAsia"/>
          <w:szCs w:val="21"/>
        </w:rPr>
        <w:t>1.指令由基金管理人通过</w:t>
      </w:r>
      <w:r>
        <w:rPr>
          <w:rFonts w:ascii="Tahoma" w:hAnsi="Tahoma" w:cs="Tahoma"/>
          <w:color w:val="000000"/>
          <w:sz w:val="20"/>
          <w:szCs w:val="20"/>
          <w:shd w:val="clear" w:color="auto" w:fill="FFFEF6"/>
        </w:rPr>
        <w:t>电子指令等双方约定的方式</w:t>
      </w:r>
      <w:r>
        <w:rPr>
          <w:rFonts w:ascii="宋体" w:hAnsi="宋体" w:hint="eastAsia"/>
          <w:szCs w:val="21"/>
        </w:rPr>
        <w:t>向基金托管人发送。基金管理人有义务在发送指令后及时与基金托管人进行确认，因基金管理人未能及时与基金托管人进行指令确认,致使资金未能及时到账所造成的损失，基金托管人不承担</w:t>
      </w:r>
      <w:r w:rsidR="00C14413">
        <w:rPr>
          <w:rFonts w:ascii="宋体" w:hAnsi="宋体" w:hint="eastAsia"/>
          <w:szCs w:val="21"/>
        </w:rPr>
        <w:t>相应</w:t>
      </w:r>
      <w:r>
        <w:rPr>
          <w:rFonts w:ascii="宋体" w:hAnsi="宋体" w:hint="eastAsia"/>
          <w:szCs w:val="21"/>
        </w:rPr>
        <w:t>责任。基金托管人依照“授权书”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新股、新债、增发等申购指令）应在15点（指令截止时间）前提交托管人，如基金管理人要求当天某一时点到账，则指令需提前2个工作小时(工作时间9点至11点30分,13点至17点)提交基金托管人。</w:t>
      </w:r>
    </w:p>
    <w:p w:rsidR="001D0D89" w:rsidRDefault="00F1175F">
      <w:pPr>
        <w:spacing w:after="120" w:line="360" w:lineRule="auto"/>
        <w:ind w:firstLineChars="200" w:firstLine="420"/>
        <w:rPr>
          <w:rFonts w:ascii="宋体" w:hAnsi="宋体"/>
          <w:szCs w:val="21"/>
        </w:rPr>
      </w:pPr>
      <w:r>
        <w:rPr>
          <w:rFonts w:ascii="宋体" w:hAnsi="宋体" w:hint="eastAsia"/>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rsidR="001D0D89" w:rsidRDefault="00F1175F">
      <w:pPr>
        <w:spacing w:after="120" w:line="360" w:lineRule="auto"/>
        <w:ind w:firstLineChars="200" w:firstLine="420"/>
        <w:rPr>
          <w:rFonts w:ascii="宋体" w:hAnsi="宋体"/>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rsidR="001D0D89" w:rsidRDefault="00F1175F">
      <w:pPr>
        <w:spacing w:after="120" w:line="360" w:lineRule="auto"/>
        <w:ind w:firstLineChars="200" w:firstLine="420"/>
        <w:rPr>
          <w:rFonts w:ascii="宋体" w:hAnsi="宋体"/>
          <w:szCs w:val="21"/>
        </w:rPr>
      </w:pPr>
      <w:r>
        <w:rPr>
          <w:rFonts w:ascii="宋体" w:hAnsi="宋体" w:hint="eastAsia"/>
          <w:szCs w:val="21"/>
        </w:rPr>
        <w:t>4.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rsidR="001D0D89" w:rsidRDefault="00F1175F">
      <w:pPr>
        <w:spacing w:line="360" w:lineRule="auto"/>
        <w:ind w:firstLineChars="200" w:firstLine="420"/>
        <w:rPr>
          <w:rFonts w:ascii="宋体" w:hAnsi="宋体"/>
          <w:szCs w:val="21"/>
        </w:rPr>
      </w:pPr>
      <w:r>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1D0D89" w:rsidRDefault="00F1175F">
      <w:pPr>
        <w:spacing w:line="360" w:lineRule="auto"/>
        <w:ind w:firstLineChars="200" w:firstLine="420"/>
        <w:rPr>
          <w:rFonts w:ascii="宋体" w:hAnsi="宋体"/>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sidR="00C14413">
        <w:rPr>
          <w:rFonts w:ascii="宋体" w:hAnsi="宋体" w:hint="eastAsia"/>
          <w:szCs w:val="21"/>
        </w:rPr>
        <w:t>相应</w:t>
      </w:r>
      <w:r>
        <w:rPr>
          <w:rFonts w:ascii="宋体" w:hAnsi="宋体" w:hint="eastAsia"/>
          <w:szCs w:val="21"/>
        </w:rPr>
        <w:t>责任。</w:t>
      </w:r>
    </w:p>
    <w:p w:rsidR="001D0D89" w:rsidRDefault="00F1175F">
      <w:pPr>
        <w:spacing w:line="360" w:lineRule="auto"/>
        <w:ind w:firstLineChars="200" w:firstLine="420"/>
        <w:rPr>
          <w:rFonts w:ascii="宋体" w:hAnsi="宋体"/>
          <w:szCs w:val="21"/>
        </w:rPr>
      </w:pPr>
      <w:r>
        <w:rPr>
          <w:rFonts w:ascii="宋体" w:hAnsi="宋体" w:hint="eastAsia"/>
          <w:szCs w:val="21"/>
        </w:rPr>
        <w:t>7</w:t>
      </w:r>
      <w:r w:rsidR="007F04E2">
        <w:rPr>
          <w:rFonts w:ascii="宋体" w:hAnsi="宋体"/>
          <w:szCs w:val="21"/>
        </w:rPr>
        <w:t>.</w:t>
      </w:r>
      <w:r>
        <w:rPr>
          <w:rFonts w:ascii="宋体" w:hAnsi="宋体" w:hint="eastAsia"/>
          <w:szCs w:val="21"/>
        </w:rPr>
        <w:t>指令未执行前基金管理人可以向基金托管人申请撤销，</w:t>
      </w:r>
      <w:r>
        <w:t>基金管理人</w:t>
      </w:r>
      <w:r>
        <w:rPr>
          <w:rFonts w:hint="eastAsia"/>
        </w:rPr>
        <w:t>需</w:t>
      </w:r>
      <w:r>
        <w:t>在原指令上注明</w:t>
      </w:r>
      <w:r>
        <w:lastRenderedPageBreak/>
        <w:t>“</w:t>
      </w:r>
      <w:r>
        <w:t>作废</w:t>
      </w:r>
      <w:r>
        <w:t>”</w:t>
      </w:r>
      <w:r>
        <w:t>并</w:t>
      </w:r>
      <w:r>
        <w:rPr>
          <w:rFonts w:hint="eastAsia"/>
        </w:rPr>
        <w:t>及时</w:t>
      </w:r>
      <w:r>
        <w:t>电话通知基金托管人</w:t>
      </w:r>
      <w:r>
        <w:rPr>
          <w:rFonts w:ascii="宋体" w:hAnsi="宋体" w:hint="eastAsia"/>
          <w:szCs w:val="21"/>
        </w:rPr>
        <w:t>。基金托管人将尽力协助撤销指令，但基金管理人理解且接受受限于客观情况，基金托管人无法保证基金管理人的指令一定可以撤销，基金托管人不承担指令未被撤销的一切责任与后果。</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4"/>
      <w:r>
        <w:rPr>
          <w:rFonts w:ascii="宋体" w:eastAsia="宋体" w:hAnsi="宋体" w:hint="eastAsia"/>
          <w:b w:val="0"/>
          <w:bCs w:val="0"/>
          <w:sz w:val="21"/>
          <w:szCs w:val="21"/>
        </w:rPr>
        <w:t>（四）基金管理人发送错误指令的情形和处理程序</w:t>
      </w:r>
      <w:bookmarkEnd w:id="36"/>
    </w:p>
    <w:p w:rsidR="001D0D89" w:rsidRDefault="00F1175F">
      <w:pPr>
        <w:spacing w:after="120" w:line="360" w:lineRule="auto"/>
        <w:ind w:firstLineChars="200" w:firstLine="420"/>
        <w:rPr>
          <w:rFonts w:ascii="宋体" w:hAnsi="宋体"/>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rsidR="001D0D89" w:rsidRDefault="00F1175F">
      <w:pPr>
        <w:spacing w:line="360" w:lineRule="auto"/>
        <w:ind w:firstLineChars="200" w:firstLine="420"/>
        <w:rPr>
          <w:rFonts w:ascii="宋体" w:hAnsi="宋体"/>
          <w:szCs w:val="21"/>
          <w:lang w:val="zh-CN"/>
        </w:rPr>
      </w:pPr>
      <w:r>
        <w:rPr>
          <w:rFonts w:ascii="宋体" w:hAnsi="宋体" w:hint="eastAsia"/>
          <w:szCs w:val="21"/>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5"/>
      <w:r>
        <w:rPr>
          <w:rFonts w:ascii="宋体" w:eastAsia="宋体" w:hAnsi="宋体" w:hint="eastAsia"/>
          <w:b w:val="0"/>
          <w:bCs w:val="0"/>
          <w:sz w:val="21"/>
          <w:szCs w:val="21"/>
        </w:rPr>
        <w:t>（五）基金托管人未按照基金管理人指令执行的处理方法</w:t>
      </w:r>
      <w:bookmarkEnd w:id="37"/>
    </w:p>
    <w:p w:rsidR="001D0D89" w:rsidRDefault="00F1175F">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6"/>
      <w:r>
        <w:rPr>
          <w:rFonts w:ascii="宋体" w:eastAsia="宋体" w:hAnsi="宋体" w:hint="eastAsia"/>
          <w:b w:val="0"/>
          <w:bCs w:val="0"/>
          <w:sz w:val="21"/>
          <w:szCs w:val="21"/>
        </w:rPr>
        <w:t>（六）更换被授权人的程序</w:t>
      </w:r>
      <w:bookmarkEnd w:id="38"/>
    </w:p>
    <w:p w:rsidR="001D0D89" w:rsidRDefault="00F1175F">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w:t>
      </w:r>
    </w:p>
    <w:p w:rsidR="001D0D89" w:rsidRDefault="00F1175F">
      <w:pPr>
        <w:spacing w:line="360" w:lineRule="auto"/>
        <w:ind w:firstLineChars="200" w:firstLine="420"/>
        <w:rPr>
          <w:rFonts w:ascii="宋体" w:hAnsi="宋体"/>
          <w:szCs w:val="21"/>
        </w:rPr>
      </w:pPr>
      <w:r>
        <w:rPr>
          <w:rFonts w:ascii="宋体" w:hAnsi="宋体" w:hint="eastAsia"/>
          <w:szCs w:val="21"/>
        </w:rPr>
        <w:t>（七）其它事项</w:t>
      </w:r>
    </w:p>
    <w:p w:rsidR="001D0D89" w:rsidRDefault="00F1175F">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w:t>
      </w:r>
      <w:r>
        <w:rPr>
          <w:rFonts w:ascii="宋体" w:hAnsi="宋体" w:hint="eastAsia"/>
          <w:szCs w:val="21"/>
        </w:rPr>
        <w:lastRenderedPageBreak/>
        <w:t>基金托管人对执行基金管理人的按照正常交易程序已经生效的指令对基金财产造成的损失不承担赔偿责任。</w:t>
      </w:r>
    </w:p>
    <w:p w:rsidR="001D0D89" w:rsidRDefault="00F1175F">
      <w:pPr>
        <w:spacing w:beforeLines="100" w:before="312" w:afterLines="100" w:after="312" w:line="240" w:lineRule="atLeast"/>
        <w:jc w:val="center"/>
        <w:outlineLvl w:val="0"/>
        <w:rPr>
          <w:rFonts w:ascii="宋体" w:hAnsi="宋体"/>
        </w:rPr>
      </w:pPr>
      <w:bookmarkStart w:id="39" w:name="_Toc382819097"/>
      <w:r>
        <w:rPr>
          <w:rFonts w:ascii="宋体" w:hAnsi="宋体" w:hint="eastAsia"/>
          <w:b/>
          <w:sz w:val="24"/>
        </w:rPr>
        <w:t>六、交易及清算交收安排</w:t>
      </w:r>
      <w:bookmarkEnd w:id="39"/>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8"/>
      <w:r>
        <w:rPr>
          <w:rFonts w:ascii="宋体" w:eastAsia="宋体" w:hAnsi="宋体" w:hint="eastAsia"/>
          <w:b w:val="0"/>
          <w:bCs w:val="0"/>
          <w:sz w:val="21"/>
          <w:szCs w:val="21"/>
        </w:rPr>
        <w:t>（一）选择代理证券、期货买卖的证券、期货经纪机构的程序</w:t>
      </w:r>
      <w:bookmarkEnd w:id="40"/>
    </w:p>
    <w:p w:rsidR="001D0D89" w:rsidRDefault="00B070AC">
      <w:pPr>
        <w:spacing w:line="360" w:lineRule="auto"/>
        <w:ind w:firstLineChars="200" w:firstLine="420"/>
        <w:rPr>
          <w:rFonts w:ascii="宋体" w:hAnsi="宋体"/>
          <w:szCs w:val="21"/>
        </w:rPr>
      </w:pPr>
      <w:r w:rsidRPr="00B070AC">
        <w:rPr>
          <w:rFonts w:ascii="宋体" w:hAnsi="宋体"/>
          <w:szCs w:val="21"/>
        </w:rPr>
        <w:t>基金管理人负责选择代理本基金证券买卖的证券经纪机构，由基金管理人与基金托管人及证券经纪机构签订本基金的证券经纪服务协议，明确三方在本基金参与场内证券买卖中的各类证券交易、证券交收及相关资金交收过程中的职责和义务。</w:t>
      </w:r>
      <w:r w:rsidR="00F1175F">
        <w:rPr>
          <w:rFonts w:ascii="宋体" w:hAnsi="宋体" w:hint="eastAsia"/>
          <w:szCs w:val="21"/>
        </w:rPr>
        <w:t>基金管理人应根据有关规定，在基金的中期报告和年度报告中将所选证券经纪机构的有关情况及交易信息予以披露，并将该等情况及基金交易单元号、佣金费率等基本信息以及变更情况在基金成立及后续变更时及时以书面形式通知基金托管人。</w:t>
      </w:r>
    </w:p>
    <w:p w:rsidR="001D0D89" w:rsidRDefault="00F1175F">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9"/>
      <w:r>
        <w:rPr>
          <w:rFonts w:ascii="宋体" w:eastAsia="宋体" w:hAnsi="宋体" w:hint="eastAsia"/>
          <w:b w:val="0"/>
          <w:bCs w:val="0"/>
          <w:sz w:val="21"/>
          <w:szCs w:val="21"/>
        </w:rPr>
        <w:t>（二）基金投资证券后的清算交收安排</w:t>
      </w:r>
      <w:bookmarkStart w:id="42" w:name="_Toc382819100"/>
      <w:bookmarkEnd w:id="41"/>
    </w:p>
    <w:p w:rsidR="001D0D89" w:rsidRDefault="00F1175F">
      <w:pPr>
        <w:pStyle w:val="a0"/>
        <w:spacing w:line="360" w:lineRule="auto"/>
        <w:jc w:val="left"/>
        <w:rPr>
          <w:rFonts w:ascii="宋体" w:hAnsi="宋体"/>
          <w:szCs w:val="21"/>
        </w:rPr>
      </w:pPr>
      <w:r>
        <w:rPr>
          <w:rFonts w:ascii="宋体" w:hAnsi="宋体" w:hint="eastAsia"/>
          <w:szCs w:val="21"/>
        </w:rPr>
        <w:t>1、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rsidR="001D0D89" w:rsidRDefault="00F1175F">
      <w:pPr>
        <w:pStyle w:val="a0"/>
        <w:spacing w:line="360" w:lineRule="auto"/>
        <w:jc w:val="left"/>
        <w:rPr>
          <w:rFonts w:ascii="宋体" w:hAnsi="宋体"/>
          <w:szCs w:val="21"/>
        </w:rPr>
      </w:pPr>
      <w:bookmarkStart w:id="43" w:name="_Toc382819101"/>
      <w:bookmarkEnd w:id="42"/>
      <w:r>
        <w:rPr>
          <w:rFonts w:ascii="宋体" w:hAnsi="宋体" w:hint="eastAsia"/>
          <w:szCs w:val="21"/>
        </w:rPr>
        <w:t xml:space="preserve">2、本基金投资于所有场外交易的资金汇划，由基金托管人根据基金管理人的交易划款指令具体办理。 </w:t>
      </w:r>
    </w:p>
    <w:bookmarkEnd w:id="43"/>
    <w:p w:rsidR="001D0D89" w:rsidRDefault="00F1175F">
      <w:pPr>
        <w:pStyle w:val="a0"/>
        <w:spacing w:line="360" w:lineRule="auto"/>
        <w:jc w:val="left"/>
        <w:rPr>
          <w:rFonts w:ascii="宋体" w:hAnsi="宋体"/>
          <w:szCs w:val="21"/>
        </w:rPr>
      </w:pPr>
      <w:r>
        <w:rPr>
          <w:rFonts w:ascii="宋体" w:hAnsi="宋体" w:hint="eastAsia"/>
          <w:szCs w:val="21"/>
        </w:rPr>
        <w:t>3、证券经纪机构代理本基金财产与中登公司完成证券交易及非交易涉及的证券资金结算业务，并承担由证券经纪机构原因造成的正常结算、交收业务无法完成的责任。</w:t>
      </w:r>
    </w:p>
    <w:p w:rsidR="001D0D89" w:rsidRDefault="00F1175F">
      <w:pPr>
        <w:spacing w:line="360" w:lineRule="auto"/>
        <w:ind w:firstLineChars="200" w:firstLine="420"/>
        <w:rPr>
          <w:rFonts w:ascii="宋体" w:hAnsi="宋体"/>
          <w:szCs w:val="21"/>
        </w:rPr>
      </w:pPr>
      <w:r>
        <w:rPr>
          <w:rFonts w:ascii="宋体" w:hAnsi="宋体" w:hint="eastAsia"/>
          <w:szCs w:val="21"/>
        </w:rPr>
        <w:t>4、银行间债券券款对付结算</w:t>
      </w:r>
    </w:p>
    <w:p w:rsidR="001D0D89" w:rsidRDefault="00F1175F">
      <w:pPr>
        <w:spacing w:line="360" w:lineRule="auto"/>
        <w:ind w:firstLineChars="200" w:firstLine="420"/>
        <w:rPr>
          <w:rFonts w:ascii="宋体" w:hAnsi="宋体"/>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 xml:space="preserve">划款指令和成交通知单按相关规定提交基金托管人，基金管理人应为基金托管人留出执行指令所必需的时间。  </w:t>
      </w:r>
    </w:p>
    <w:p w:rsidR="001D0D89" w:rsidRDefault="00F1175F">
      <w:pPr>
        <w:spacing w:line="360" w:lineRule="auto"/>
        <w:ind w:firstLineChars="200" w:firstLine="420"/>
        <w:rPr>
          <w:rFonts w:ascii="宋体" w:hAnsi="宋体"/>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、银行间市场清算所股份有限公司提供的查询功能，实时跟踪交易结算情况、证券与资金到账与余额变动情况，便于监控结算过</w:t>
      </w:r>
      <w:r>
        <w:rPr>
          <w:rFonts w:ascii="宋体" w:hAnsi="宋体" w:hint="eastAsia"/>
          <w:szCs w:val="21"/>
        </w:rPr>
        <w:lastRenderedPageBreak/>
        <w:t>程，做好资金与交易匹配的前端控制。</w:t>
      </w:r>
    </w:p>
    <w:p w:rsidR="001D0D89" w:rsidRDefault="00F1175F">
      <w:pPr>
        <w:spacing w:line="360" w:lineRule="auto"/>
        <w:ind w:firstLineChars="200" w:firstLine="420"/>
        <w:rPr>
          <w:rFonts w:ascii="宋体" w:hAnsi="宋体"/>
          <w:szCs w:val="21"/>
        </w:rPr>
      </w:pPr>
      <w:r>
        <w:rPr>
          <w:rFonts w:ascii="宋体" w:hAnsi="宋体" w:hint="eastAsia"/>
          <w:szCs w:val="21"/>
        </w:rPr>
        <w:t>5、定期投资</w:t>
      </w:r>
    </w:p>
    <w:p w:rsidR="001D0D89" w:rsidRDefault="00F1175F">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rsidR="001D0D89" w:rsidRDefault="00F1175F">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rsidR="001D0D89" w:rsidRDefault="00F1175F">
      <w:pPr>
        <w:spacing w:line="360" w:lineRule="auto"/>
        <w:ind w:firstLineChars="200" w:firstLine="420"/>
        <w:rPr>
          <w:rFonts w:ascii="宋体" w:hAnsi="宋体"/>
          <w:szCs w:val="21"/>
        </w:rPr>
      </w:pPr>
      <w:r>
        <w:rPr>
          <w:rFonts w:ascii="宋体" w:hAnsi="宋体" w:hint="eastAsia"/>
          <w:szCs w:val="21"/>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rsidR="001D0D89" w:rsidRDefault="00F1175F">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1D0D89" w:rsidRDefault="00F1175F">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rsidR="001D0D89" w:rsidRDefault="00F1175F">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rsidR="001D0D89" w:rsidRDefault="00F1175F">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rsidR="001D0D89" w:rsidRDefault="00F1175F">
      <w:pPr>
        <w:spacing w:line="360" w:lineRule="auto"/>
        <w:ind w:firstLineChars="200" w:firstLine="420"/>
        <w:rPr>
          <w:rFonts w:ascii="宋体" w:hAnsi="宋体"/>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rsidR="001D0D89" w:rsidRDefault="00F1175F">
      <w:pPr>
        <w:spacing w:line="360" w:lineRule="auto"/>
        <w:ind w:firstLineChars="200" w:firstLine="420"/>
        <w:rPr>
          <w:rFonts w:ascii="宋体" w:hAnsi="宋体"/>
          <w:szCs w:val="21"/>
        </w:rPr>
      </w:pPr>
      <w:r>
        <w:rPr>
          <w:rFonts w:ascii="宋体" w:hAnsi="宋体" w:hint="eastAsia"/>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rsidR="001D0D89" w:rsidRDefault="00F1175F">
      <w:pPr>
        <w:spacing w:line="360" w:lineRule="auto"/>
        <w:ind w:firstLineChars="200" w:firstLine="420"/>
        <w:rPr>
          <w:rFonts w:ascii="宋体" w:hAnsi="宋体"/>
          <w:szCs w:val="21"/>
        </w:rPr>
      </w:pPr>
      <w:r>
        <w:rPr>
          <w:rFonts w:ascii="宋体" w:hAnsi="宋体" w:hint="eastAsia"/>
          <w:szCs w:val="21"/>
        </w:rPr>
        <w:lastRenderedPageBreak/>
        <w:t>（5）存款银行应为定期存款业务提供定期对账服务。首次对账应不晚于存款资金存入后的一个自然月。除首次对账外，对账频率不少于每半年一次。存款银行应配合基金托管人对“证实书”的书面征询。</w:t>
      </w:r>
    </w:p>
    <w:p w:rsidR="001D0D89" w:rsidRDefault="00F1175F">
      <w:pPr>
        <w:spacing w:line="360" w:lineRule="auto"/>
        <w:ind w:firstLineChars="200" w:firstLine="420"/>
        <w:rPr>
          <w:rFonts w:ascii="宋体" w:hAnsi="宋体"/>
          <w:szCs w:val="21"/>
        </w:rPr>
      </w:pPr>
      <w:r>
        <w:rPr>
          <w:rFonts w:ascii="宋体" w:hAnsi="宋体" w:hint="eastAsia"/>
          <w:szCs w:val="21"/>
        </w:rPr>
        <w:t>（6）在存款存续期内，“证实书”的预留印鉴发生变更的，存款银行应配合办理变更手续。</w:t>
      </w:r>
    </w:p>
    <w:p w:rsidR="001D0D89" w:rsidRDefault="00F1175F">
      <w:pPr>
        <w:spacing w:line="360" w:lineRule="auto"/>
        <w:ind w:firstLineChars="200" w:firstLine="420"/>
        <w:rPr>
          <w:rFonts w:ascii="宋体" w:hAnsi="宋体"/>
          <w:szCs w:val="21"/>
        </w:rPr>
      </w:pPr>
      <w:r>
        <w:rPr>
          <w:rFonts w:ascii="宋体" w:hAnsi="宋体" w:hint="eastAsia"/>
          <w:szCs w:val="21"/>
        </w:rPr>
        <w:t>（7）存款不得被质押，相应存款证明文件不得用于背书和转让。</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2"/>
      <w:r>
        <w:rPr>
          <w:rFonts w:ascii="宋体" w:eastAsia="宋体" w:hAnsi="宋体" w:hint="eastAsia"/>
          <w:b w:val="0"/>
          <w:bCs w:val="0"/>
          <w:sz w:val="21"/>
          <w:szCs w:val="21"/>
        </w:rPr>
        <w:t>（三）可用资金余额的确认</w:t>
      </w:r>
      <w:bookmarkEnd w:id="44"/>
    </w:p>
    <w:p w:rsidR="001D0D89" w:rsidRDefault="00F1175F">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（四）交易记录、资金、证券账目的核对</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基金管理人按日进行交易记录的核对。对外披露净值之前，必须保证当天所有实际交易记录与基金会计账簿上的交易记录一致。</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资金账目包括基金的银行存款等会计资料。资金账目由基金托管人每日进行账实核对，基金管理人复核托管人提供的可用头寸表核对资金余额。银行存款账户每日核对，做到账账相符、账实相符。</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（五）基金申购、赎回、转换业务处理的基本规定</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1、基金管理人自基金合同生效后3个月内开始办理申购赎回，具体办理时间以公告为准。基金份额申购、赎回的确认、清算由基金管理人或其委托的注册登记机构负责。</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15:00 前向基金托管人发送前一开放日的上述有关数据，并保证相关数据的准确、完整。</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w:t>
      </w:r>
      <w:r>
        <w:rPr>
          <w:rFonts w:ascii="宋体" w:hAnsi="宋体" w:hint="eastAsia"/>
          <w:szCs w:val="21"/>
        </w:rPr>
        <w:lastRenderedPageBreak/>
        <w:t>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4、基金管理人应保证其发送的注册登记数据的接口规范与基金托管人的接口规范保持一致。</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rsidR="001D0D89" w:rsidRDefault="00F1175F">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ascii="宋体" w:hAnsi="宋体" w:hint="eastAsia"/>
          <w:szCs w:val="21"/>
        </w:rPr>
        <w:t>基金托管人不承担</w:t>
      </w:r>
      <w:r w:rsidR="00C14413">
        <w:rPr>
          <w:rFonts w:ascii="宋体" w:hAnsi="宋体" w:hint="eastAsia"/>
          <w:szCs w:val="21"/>
        </w:rPr>
        <w:t>相应</w:t>
      </w:r>
      <w:r>
        <w:rPr>
          <w:rFonts w:ascii="宋体" w:hAnsi="宋体" w:hint="eastAsia"/>
          <w:szCs w:val="21"/>
        </w:rPr>
        <w:t>责任</w:t>
      </w:r>
      <w:r>
        <w:rPr>
          <w:rFonts w:ascii="宋体" w:hAnsi="宋体" w:hint="eastAsia"/>
          <w:kern w:val="21"/>
          <w:szCs w:val="21"/>
        </w:rPr>
        <w:t>。</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7、赎回资金的支付</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除申购款项到达基金托管人处的基金账户需双方按约定方式对账外，净额划出、赎回资金支付时，应按照本协议相关规定执行。若本协议没有规定的按双方协商一致内容执行。</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9、暂停赎回和巨额赎回处理</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（六）申购赎回资金结算</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hint="eastAsia"/>
        </w:rPr>
        <w:t>基金管理人应保证本基金（或本基金管理人委托）的注册登记机构每个工作日</w:t>
      </w:r>
      <w:r>
        <w:rPr>
          <w:rFonts w:hint="eastAsia"/>
        </w:rPr>
        <w:t>15</w:t>
      </w:r>
      <w:r>
        <w:rPr>
          <w:rFonts w:hint="eastAsia"/>
        </w:rPr>
        <w:t>：</w:t>
      </w:r>
      <w:r>
        <w:rPr>
          <w:rFonts w:hint="eastAsia"/>
        </w:rPr>
        <w:t>00</w:t>
      </w:r>
      <w:r>
        <w:rPr>
          <w:rFonts w:hint="eastAsia"/>
        </w:rPr>
        <w:t>前向基金托管人发送前一开放日</w:t>
      </w:r>
      <w:r>
        <w:rPr>
          <w:rFonts w:ascii="宋体" w:hAnsi="宋体" w:hint="eastAsia"/>
          <w:szCs w:val="21"/>
        </w:rPr>
        <w:t>投资人申购、赎回、转换等基金的确认数据，并保证相关数据的准确、完整。基金管理人和基金托管人据此进行申购的基金会计处理。</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（七）基金转换</w:t>
      </w:r>
    </w:p>
    <w:p w:rsidR="001D0D89" w:rsidRDefault="00F1175F">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b w:val="0"/>
          <w:bCs w:val="0"/>
          <w:sz w:val="21"/>
          <w:szCs w:val="21"/>
        </w:rPr>
        <w:t>(八)基金出现超买或超卖的责任认定及处理程序</w:t>
      </w:r>
    </w:p>
    <w:p w:rsidR="001D0D89" w:rsidRDefault="00F1175F">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w:t>
      </w:r>
    </w:p>
    <w:p w:rsidR="001D0D89" w:rsidRDefault="00F1175F">
      <w:pPr>
        <w:spacing w:beforeLines="100" w:before="312" w:afterLines="100" w:after="312" w:line="240" w:lineRule="atLeast"/>
        <w:jc w:val="center"/>
        <w:outlineLvl w:val="0"/>
        <w:rPr>
          <w:rFonts w:ascii="宋体" w:hAnsi="宋体"/>
        </w:rPr>
      </w:pPr>
      <w:bookmarkStart w:id="45" w:name="_Toc382819103"/>
      <w:r>
        <w:rPr>
          <w:rFonts w:ascii="宋体" w:hAnsi="宋体" w:hint="eastAsia"/>
          <w:b/>
          <w:sz w:val="24"/>
        </w:rPr>
        <w:t>七、基金资产净值计算和会计核算</w:t>
      </w:r>
      <w:bookmarkEnd w:id="45"/>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6"/>
    </w:p>
    <w:p w:rsidR="001D0D89" w:rsidRDefault="00F1175F">
      <w:pPr>
        <w:spacing w:line="440" w:lineRule="atLeast"/>
        <w:ind w:right="28" w:firstLineChars="200" w:firstLine="420"/>
        <w:rPr>
          <w:rFonts w:ascii="宋体" w:hAnsi="宋体"/>
          <w:szCs w:val="21"/>
        </w:rPr>
      </w:pPr>
      <w:r>
        <w:rPr>
          <w:rFonts w:ascii="宋体" w:hAnsi="宋体" w:hint="eastAsia"/>
          <w:szCs w:val="21"/>
        </w:rPr>
        <w:t>1、各类基金份额的基金份额净值是按照每个工作日闭市后，该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rsidR="001D0D89" w:rsidRDefault="00F1175F">
      <w:pPr>
        <w:spacing w:line="440" w:lineRule="atLeast"/>
        <w:ind w:right="28" w:firstLineChars="200" w:firstLine="420"/>
        <w:rPr>
          <w:rFonts w:ascii="宋体" w:hAnsi="宋体"/>
          <w:szCs w:val="21"/>
        </w:rPr>
      </w:pPr>
      <w:r>
        <w:rPr>
          <w:rFonts w:ascii="宋体" w:hAnsi="宋体" w:hint="eastAsia"/>
          <w:szCs w:val="21"/>
        </w:rPr>
        <w:t>基金管理人每个工作日计算基金资产净值及各类基金份额的基金份额净值，并按规定公告。如遇特殊情况，经履行适当程序，可以适当延迟计算或公告。</w:t>
      </w:r>
    </w:p>
    <w:p w:rsidR="001D0D89" w:rsidRDefault="00F1175F">
      <w:pPr>
        <w:spacing w:line="440" w:lineRule="atLeast"/>
        <w:ind w:right="28" w:firstLineChars="200" w:firstLine="420"/>
        <w:rPr>
          <w:rFonts w:ascii="宋体" w:hAnsi="宋体"/>
          <w:szCs w:val="21"/>
        </w:rPr>
      </w:pPr>
      <w:r>
        <w:rPr>
          <w:rFonts w:ascii="宋体" w:hAnsi="宋体" w:hint="eastAsia"/>
          <w:szCs w:val="21"/>
        </w:rPr>
        <w:t>2、基金管理人应每个工作日对基金资产估值，但基金管理人根据法律法规或基金合同</w:t>
      </w:r>
      <w:r>
        <w:rPr>
          <w:rFonts w:ascii="宋体" w:hAnsi="宋体" w:hint="eastAsia"/>
          <w:szCs w:val="21"/>
        </w:rPr>
        <w:lastRenderedPageBreak/>
        <w:t>的规定暂停估值时除外。基金管理人每个工作日对基金资产估值后，将基金资产净值和各类基金份额的基金份额净值结果发送基金托管人，经基金托管人复核无误后，由基金管理人依据基金合同的约定和相关法律法规的规定对外公布。</w:t>
      </w:r>
    </w:p>
    <w:p w:rsidR="001D0D89" w:rsidRDefault="00F1175F">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估值原则应符合《基金合同》、《证券投资基金会计核算业务指引》及其他法律、法规的规定。</w:t>
      </w:r>
    </w:p>
    <w:p w:rsidR="001D0D89" w:rsidRDefault="00F1175F">
      <w:pPr>
        <w:tabs>
          <w:tab w:val="left"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w:t>
      </w:r>
    </w:p>
    <w:p w:rsidR="001D0D89" w:rsidRDefault="00F1175F">
      <w:pPr>
        <w:tabs>
          <w:tab w:val="left"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rsidR="001D0D89" w:rsidRDefault="00F1175F">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7" w:name="_Toc382819105"/>
      <w:r>
        <w:rPr>
          <w:rFonts w:ascii="宋体" w:eastAsia="宋体" w:hAnsi="宋体" w:hint="eastAsia"/>
          <w:b w:val="0"/>
          <w:bCs w:val="0"/>
          <w:sz w:val="21"/>
          <w:szCs w:val="21"/>
        </w:rPr>
        <w:t>（二）基金资产估值</w:t>
      </w:r>
      <w:bookmarkEnd w:id="47"/>
    </w:p>
    <w:p w:rsidR="001D0D89" w:rsidRDefault="00F1175F">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估值原则应符合《基金合同》、《证券投资基金会计核算业务指引》、《企业会计准则》及其他法律法规的规定的约定。</w:t>
      </w:r>
    </w:p>
    <w:p w:rsidR="001D0D89" w:rsidRDefault="00F1175F">
      <w:pPr>
        <w:spacing w:line="440" w:lineRule="atLeast"/>
        <w:ind w:right="28" w:firstLineChars="200" w:firstLine="420"/>
        <w:rPr>
          <w:rFonts w:ascii="宋体" w:hAnsi="宋体"/>
          <w:szCs w:val="21"/>
        </w:rPr>
      </w:pPr>
      <w:r>
        <w:rPr>
          <w:rFonts w:ascii="宋体" w:hAnsi="宋体" w:hint="eastAsia"/>
          <w:szCs w:val="21"/>
        </w:rPr>
        <w:t>当相关法律法规或《基金合同》规定的估值方法不能客观反映基金财产公允价值时，基金管理人可根据具体情况，并与基金托管人商定后，按最能反映公允价值的价格估值。</w:t>
      </w:r>
    </w:p>
    <w:p w:rsidR="001D0D89" w:rsidRDefault="00F1175F">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Pr>
          <w:rFonts w:ascii="宋体" w:eastAsia="宋体" w:hAnsi="宋体" w:hint="eastAsia"/>
          <w:b w:val="0"/>
          <w:bCs w:val="0"/>
          <w:sz w:val="21"/>
          <w:szCs w:val="21"/>
        </w:rPr>
        <w:t>（三）实施侧袋机制期间的基金资产估值</w:t>
      </w:r>
    </w:p>
    <w:p w:rsidR="001D0D89" w:rsidRDefault="00F1175F">
      <w:pPr>
        <w:spacing w:line="440" w:lineRule="atLeast"/>
        <w:ind w:right="28" w:firstLineChars="200" w:firstLine="420"/>
        <w:rPr>
          <w:rFonts w:ascii="宋体" w:hAnsi="宋体"/>
          <w:szCs w:val="21"/>
        </w:rPr>
      </w:pPr>
      <w:r>
        <w:rPr>
          <w:rFonts w:ascii="宋体" w:hAnsi="宋体" w:hint="eastAsia"/>
          <w:szCs w:val="21"/>
        </w:rPr>
        <w:t>本基金实施侧袋机制的，应根据本部分的约定对主袋账户资产进行估值并披露主袋账户的基金净值信息，暂停披露侧袋账户的基金净值信息。</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6"/>
      <w:r>
        <w:rPr>
          <w:rFonts w:ascii="宋体" w:eastAsia="宋体" w:hAnsi="宋体" w:hint="eastAsia"/>
          <w:b w:val="0"/>
          <w:bCs w:val="0"/>
          <w:sz w:val="21"/>
          <w:szCs w:val="21"/>
        </w:rPr>
        <w:t>（四）估值错误处理</w:t>
      </w:r>
      <w:bookmarkEnd w:id="48"/>
    </w:p>
    <w:p w:rsidR="001D0D89" w:rsidRPr="00ED7D97" w:rsidRDefault="00F1175F" w:rsidP="00ED7D97">
      <w:pPr>
        <w:spacing w:line="440" w:lineRule="atLeast"/>
        <w:ind w:right="28" w:firstLineChars="200" w:firstLine="420"/>
        <w:rPr>
          <w:rFonts w:ascii="宋体" w:hAnsi="宋体"/>
          <w:szCs w:val="21"/>
        </w:rPr>
      </w:pPr>
      <w:bookmarkStart w:id="49" w:name="_Toc382819107"/>
      <w:r w:rsidRPr="00ED7D97">
        <w:rPr>
          <w:rFonts w:ascii="宋体" w:hAnsi="宋体" w:hint="eastAsia"/>
          <w:szCs w:val="21"/>
        </w:rPr>
        <w:t>基金管理人和基金托管人将采取必要、适当、合理的措施确保基金资产估值的准确性、及时性。当任一类基金份额净值小数点后</w:t>
      </w:r>
      <w:r w:rsidRPr="00ED7D97">
        <w:rPr>
          <w:rFonts w:ascii="宋体" w:hAnsi="宋体"/>
          <w:szCs w:val="21"/>
        </w:rPr>
        <w:t>4</w:t>
      </w:r>
      <w:r w:rsidRPr="00ED7D97">
        <w:rPr>
          <w:rFonts w:ascii="宋体" w:hAnsi="宋体" w:hint="eastAsia"/>
          <w:szCs w:val="21"/>
        </w:rPr>
        <w:t>位以内（含第</w:t>
      </w:r>
      <w:r w:rsidRPr="00ED7D97">
        <w:rPr>
          <w:rFonts w:ascii="宋体" w:hAnsi="宋体"/>
          <w:szCs w:val="21"/>
        </w:rPr>
        <w:t>4</w:t>
      </w:r>
      <w:r w:rsidRPr="00ED7D97">
        <w:rPr>
          <w:rFonts w:ascii="宋体" w:hAnsi="宋体" w:hint="eastAsia"/>
          <w:szCs w:val="21"/>
        </w:rPr>
        <w:t>位）发生估值错误时，视为该类基金份额净值错误。</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基金合同的当事人应按照以下约定处理：</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szCs w:val="21"/>
        </w:rPr>
        <w:t>1</w:t>
      </w:r>
      <w:r w:rsidRPr="00ED7D97">
        <w:rPr>
          <w:rFonts w:ascii="宋体" w:hAnsi="宋体" w:hint="eastAsia"/>
          <w:szCs w:val="21"/>
        </w:rPr>
        <w:t>、估值错误类型</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本基金运作过程中，如果由于基金管理人或基金托管人、或证券经纪机构、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上述估值错误的主要类型包括但不限于：资料申报差错、数据传输差错、数据计算差错、系统故障差错、下达指令差错等。</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对于因技术原因引起的差错，若系同行业现有技术水平不能预见、不能避免、不能克服，</w:t>
      </w:r>
      <w:r w:rsidRPr="00ED7D97">
        <w:rPr>
          <w:rFonts w:ascii="宋体" w:hAnsi="宋体" w:hint="eastAsia"/>
          <w:szCs w:val="21"/>
        </w:rPr>
        <w:lastRenderedPageBreak/>
        <w:t>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szCs w:val="21"/>
        </w:rPr>
        <w:t>2</w:t>
      </w:r>
      <w:r w:rsidRPr="00ED7D97">
        <w:rPr>
          <w:rFonts w:ascii="宋体" w:hAnsi="宋体" w:hint="eastAsia"/>
          <w:szCs w:val="21"/>
        </w:rPr>
        <w:t>、估值错误处理原则</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1</w:t>
      </w:r>
      <w:r w:rsidRPr="00ED7D97">
        <w:rPr>
          <w:rFonts w:ascii="宋体" w:hAnsi="宋体"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2</w:t>
      </w:r>
      <w:r w:rsidRPr="00ED7D97">
        <w:rPr>
          <w:rFonts w:ascii="宋体" w:hAnsi="宋体" w:hint="eastAsia"/>
          <w:szCs w:val="21"/>
        </w:rPr>
        <w:t>）估值错误的责任方对有关当事人的直接损失负责，不对间接损失负责，并且仅对估值错误的有关直接当事人负责，不对第三方负责。</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3</w:t>
      </w:r>
      <w:r w:rsidRPr="00ED7D97">
        <w:rPr>
          <w:rFonts w:ascii="宋体" w:hAnsi="宋体"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4</w:t>
      </w:r>
      <w:r w:rsidRPr="00ED7D97">
        <w:rPr>
          <w:rFonts w:ascii="宋体" w:hAnsi="宋体" w:hint="eastAsia"/>
          <w:szCs w:val="21"/>
        </w:rPr>
        <w:t>）估值错误调整采用尽量恢复至假设未发生估值错误的正确情形的方式。</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5</w:t>
      </w:r>
      <w:r w:rsidRPr="00ED7D97">
        <w:rPr>
          <w:rFonts w:ascii="宋体" w:hAnsi="宋体" w:hint="eastAsia"/>
          <w:szCs w:val="21"/>
        </w:rPr>
        <w:t>）按法律法规规定的其他原则处理估值错误。</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szCs w:val="21"/>
        </w:rPr>
        <w:t>3</w:t>
      </w:r>
      <w:r w:rsidRPr="00ED7D97">
        <w:rPr>
          <w:rFonts w:ascii="宋体" w:hAnsi="宋体" w:hint="eastAsia"/>
          <w:szCs w:val="21"/>
        </w:rPr>
        <w:t>、估值错误处理程序</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估值错误被发现后，有关的当事人应当及时进行处理，处理的程序如下：</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1</w:t>
      </w:r>
      <w:r w:rsidRPr="00ED7D97">
        <w:rPr>
          <w:rFonts w:ascii="宋体" w:hAnsi="宋体" w:hint="eastAsia"/>
          <w:szCs w:val="21"/>
        </w:rPr>
        <w:t>）查明估值错误发生的原因，列明所有的当事人，并根据估值错误发生的原因确定估值错误的责任方；</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2</w:t>
      </w:r>
      <w:r w:rsidRPr="00ED7D97">
        <w:rPr>
          <w:rFonts w:ascii="宋体" w:hAnsi="宋体" w:hint="eastAsia"/>
          <w:szCs w:val="21"/>
        </w:rPr>
        <w:t>）根据估值错误处理原则或当事人协商的方法对因估值错误造成的损失进行评估；</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3</w:t>
      </w:r>
      <w:r w:rsidRPr="00ED7D97">
        <w:rPr>
          <w:rFonts w:ascii="宋体" w:hAnsi="宋体" w:hint="eastAsia"/>
          <w:szCs w:val="21"/>
        </w:rPr>
        <w:t>）根据估值错误处理原则或当事人协商的方法由估值错误的责任方进行更正和赔偿损失；</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4</w:t>
      </w:r>
      <w:r w:rsidRPr="00ED7D97">
        <w:rPr>
          <w:rFonts w:ascii="宋体" w:hAnsi="宋体" w:hint="eastAsia"/>
          <w:szCs w:val="21"/>
        </w:rPr>
        <w:t>）根据估值错误处理的方法，需要修改基金登记机构交易数据的，由基金登记机构进行更正，并就估值错误的更正向有关当事人进行确认。</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szCs w:val="21"/>
        </w:rPr>
        <w:t>4</w:t>
      </w:r>
      <w:r w:rsidRPr="00ED7D97">
        <w:rPr>
          <w:rFonts w:ascii="宋体" w:hAnsi="宋体" w:hint="eastAsia"/>
          <w:szCs w:val="21"/>
        </w:rPr>
        <w:t>、基金份额净值估值错误处理的方法如下：</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lastRenderedPageBreak/>
        <w:t>（</w:t>
      </w:r>
      <w:r w:rsidRPr="00ED7D97">
        <w:rPr>
          <w:rFonts w:ascii="宋体" w:hAnsi="宋体"/>
          <w:szCs w:val="21"/>
        </w:rPr>
        <w:t>1</w:t>
      </w:r>
      <w:r w:rsidRPr="00ED7D97">
        <w:rPr>
          <w:rFonts w:ascii="宋体" w:hAnsi="宋体" w:hint="eastAsia"/>
          <w:szCs w:val="21"/>
        </w:rPr>
        <w:t>）基金份额净值计算出现错误时，基金管理人应当立即予以纠正，通报基金托管人，并采取合理的措施防止损失进一步扩大；</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2</w:t>
      </w:r>
      <w:r w:rsidRPr="00ED7D97">
        <w:rPr>
          <w:rFonts w:ascii="宋体" w:hAnsi="宋体" w:hint="eastAsia"/>
          <w:szCs w:val="21"/>
        </w:rPr>
        <w:t>）当估值错误偏差达到或超过该类基金份额净值的</w:t>
      </w:r>
      <w:r w:rsidRPr="00ED7D97">
        <w:rPr>
          <w:rFonts w:ascii="宋体" w:hAnsi="宋体"/>
          <w:szCs w:val="21"/>
        </w:rPr>
        <w:t>0.25%</w:t>
      </w:r>
      <w:r w:rsidRPr="00ED7D97">
        <w:rPr>
          <w:rFonts w:ascii="宋体" w:hAnsi="宋体" w:hint="eastAsia"/>
          <w:szCs w:val="21"/>
        </w:rPr>
        <w:t>时，基金管理人应当通报基金托管人并报中国证监会备案；当估值错误偏差达到或超过该类基金份额净值的</w:t>
      </w:r>
      <w:r w:rsidRPr="00ED7D97">
        <w:rPr>
          <w:rFonts w:ascii="宋体" w:hAnsi="宋体"/>
          <w:szCs w:val="21"/>
        </w:rPr>
        <w:t>0.50%</w:t>
      </w:r>
      <w:r w:rsidRPr="00ED7D97">
        <w:rPr>
          <w:rFonts w:ascii="宋体" w:hAnsi="宋体" w:hint="eastAsia"/>
          <w:szCs w:val="21"/>
        </w:rPr>
        <w:t>时，基金管理人应当公告，并报中国证监会备案；</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3</w:t>
      </w:r>
      <w:r w:rsidRPr="00ED7D97">
        <w:rPr>
          <w:rFonts w:ascii="宋体" w:hAnsi="宋体" w:hint="eastAsia"/>
          <w:szCs w:val="21"/>
        </w:rPr>
        <w:t>）前述内容如法律法规或监管机构另有规定的，从其规定处理。如果行业另有通行做法，基金管理人和基金托管人应本着平等和保护基金份额持有人利益的原则进行协商处理。</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szCs w:val="21"/>
        </w:rPr>
        <w:t>5</w:t>
      </w:r>
      <w:r w:rsidRPr="00ED7D97">
        <w:rPr>
          <w:rFonts w:ascii="宋体" w:hAnsi="宋体" w:hint="eastAsia"/>
          <w:szCs w:val="21"/>
        </w:rPr>
        <w:t>、特殊情况的处理</w:t>
      </w:r>
    </w:p>
    <w:p w:rsidR="001D0D89" w:rsidRPr="00ED7D97" w:rsidRDefault="00F1175F" w:rsidP="00ED7D97">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1</w:t>
      </w:r>
      <w:r w:rsidRPr="00ED7D97">
        <w:rPr>
          <w:rFonts w:ascii="宋体" w:hAnsi="宋体" w:hint="eastAsia"/>
          <w:szCs w:val="21"/>
        </w:rPr>
        <w:t>）基金管理人或基金托管人按基金合同约定的估值方法第</w:t>
      </w:r>
      <w:r w:rsidRPr="00ED7D97">
        <w:rPr>
          <w:rFonts w:ascii="宋体" w:hAnsi="宋体"/>
          <w:szCs w:val="21"/>
        </w:rPr>
        <w:t>11</w:t>
      </w:r>
      <w:r w:rsidRPr="00ED7D97">
        <w:rPr>
          <w:rFonts w:ascii="宋体" w:hAnsi="宋体" w:hint="eastAsia"/>
          <w:szCs w:val="21"/>
        </w:rPr>
        <w:t>项进行估值时，所造成的误差不作为基金资产估值错误处理；</w:t>
      </w:r>
    </w:p>
    <w:p w:rsidR="001D0D89" w:rsidRPr="00A52B76" w:rsidRDefault="00F1175F" w:rsidP="00A52B76">
      <w:pPr>
        <w:spacing w:line="440" w:lineRule="atLeast"/>
        <w:ind w:right="28" w:firstLineChars="200" w:firstLine="420"/>
        <w:rPr>
          <w:rFonts w:ascii="宋体" w:hAnsi="宋体"/>
          <w:szCs w:val="21"/>
        </w:rPr>
      </w:pPr>
      <w:r w:rsidRPr="00ED7D97">
        <w:rPr>
          <w:rFonts w:ascii="宋体" w:hAnsi="宋体" w:hint="eastAsia"/>
          <w:szCs w:val="21"/>
        </w:rPr>
        <w:t>（</w:t>
      </w:r>
      <w:r w:rsidRPr="00ED7D97">
        <w:rPr>
          <w:rFonts w:ascii="宋体" w:hAnsi="宋体"/>
          <w:szCs w:val="21"/>
        </w:rPr>
        <w:t>2</w:t>
      </w:r>
      <w:r w:rsidRPr="00ED7D97">
        <w:rPr>
          <w:rFonts w:ascii="宋体" w:hAnsi="宋体" w:hint="eastAsia"/>
          <w:szCs w:val="21"/>
        </w:rPr>
        <w:t>）由于不可抗力原因，或由于证券交易所、期货交易所、证券经纪机构、登记结算公司及存款银行等第三方机构发送的数据错误，或国家会计政策变更、市场规则变更等非基金管理人与基金托管人原因，基金管理人和基金托管人虽然已经采取必要、适当、合理的措施进行检查，但未能发现错误或虽发现错误但</w:t>
      </w:r>
      <w:bookmarkStart w:id="50" w:name="_Hlk180592359"/>
      <w:r w:rsidRPr="00ED7D97">
        <w:rPr>
          <w:rFonts w:ascii="宋体" w:hAnsi="宋体" w:hint="eastAsia"/>
          <w:szCs w:val="21"/>
        </w:rPr>
        <w:t>因前述原因未能避免或</w:t>
      </w:r>
      <w:bookmarkEnd w:id="50"/>
      <w:r w:rsidRPr="00ED7D97">
        <w:rPr>
          <w:rFonts w:ascii="宋体" w:hAnsi="宋体" w:hint="eastAsia"/>
          <w:szCs w:val="21"/>
        </w:rPr>
        <w:t>无法及时更正的，由此造成的基金资产估值错误，基金管理人和基金托管人免除赔偿责任。但基金管理人、基金托管人应当积极采取必要的措施减轻或消除由此造成的影响。</w:t>
      </w:r>
      <w:bookmarkStart w:id="51" w:name="_Toc382819113"/>
      <w:bookmarkEnd w:id="49"/>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（五）暂停估值与公告基金份额净值的情形</w:t>
      </w:r>
      <w:bookmarkStart w:id="52" w:name="_Toc382819114"/>
      <w:bookmarkEnd w:id="51"/>
    </w:p>
    <w:p w:rsidR="001D0D89" w:rsidRDefault="00F1175F">
      <w:pPr>
        <w:spacing w:line="440" w:lineRule="atLeast"/>
        <w:ind w:right="28" w:firstLineChars="200" w:firstLine="420"/>
        <w:rPr>
          <w:rFonts w:ascii="宋体" w:hAnsi="宋体"/>
          <w:szCs w:val="21"/>
        </w:rPr>
      </w:pPr>
      <w:r>
        <w:rPr>
          <w:rFonts w:ascii="宋体" w:hAnsi="宋体" w:hint="eastAsia"/>
          <w:szCs w:val="21"/>
        </w:rPr>
        <w:t>1、基金投资所涉及的证券、期货交易市场或外汇交易市场遇法定节假日或因其他原因暂停营业时；</w:t>
      </w:r>
    </w:p>
    <w:p w:rsidR="001D0D89" w:rsidRDefault="00F1175F">
      <w:pPr>
        <w:spacing w:line="440" w:lineRule="atLeast"/>
        <w:ind w:right="28" w:firstLineChars="200" w:firstLine="420"/>
        <w:rPr>
          <w:rFonts w:ascii="宋体" w:hAnsi="宋体"/>
          <w:szCs w:val="21"/>
        </w:rPr>
      </w:pPr>
      <w:r>
        <w:rPr>
          <w:rFonts w:ascii="宋体" w:hAnsi="宋体" w:hint="eastAsia"/>
          <w:szCs w:val="21"/>
        </w:rPr>
        <w:t>2、因不可抗力致使基金管理人、基金托管人无法准确评估基金资产价值时；</w:t>
      </w:r>
    </w:p>
    <w:p w:rsidR="001D0D89" w:rsidRDefault="00F1175F">
      <w:pPr>
        <w:spacing w:line="440" w:lineRule="atLeast"/>
        <w:ind w:right="28" w:firstLineChars="200" w:firstLine="420"/>
        <w:rPr>
          <w:rFonts w:ascii="宋体" w:hAnsi="宋体"/>
          <w:szCs w:val="21"/>
        </w:rPr>
      </w:pPr>
      <w:r>
        <w:rPr>
          <w:rFonts w:ascii="宋体" w:hAnsi="宋体" w:hint="eastAsia"/>
          <w:szCs w:val="21"/>
        </w:rPr>
        <w:t>3、当特定资产占前一估值日基金资产净值50%以上的，经与基金托管人协商确认后，基金管理人应当暂停估值；</w:t>
      </w:r>
    </w:p>
    <w:p w:rsidR="001D0D89" w:rsidRDefault="00F1175F">
      <w:pPr>
        <w:spacing w:line="440" w:lineRule="atLeast"/>
        <w:ind w:right="28" w:firstLineChars="200" w:firstLine="420"/>
        <w:rPr>
          <w:rFonts w:ascii="宋体" w:hAnsi="宋体"/>
          <w:szCs w:val="21"/>
        </w:rPr>
      </w:pPr>
      <w:r>
        <w:rPr>
          <w:rFonts w:ascii="宋体" w:hAnsi="宋体" w:hint="eastAsia"/>
          <w:szCs w:val="21"/>
        </w:rPr>
        <w:t>4、法律法规、中国证监会规定和基金合同认定的其它情形。</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3" w:name="_Toc382819116"/>
      <w:bookmarkEnd w:id="52"/>
      <w:r>
        <w:rPr>
          <w:rFonts w:ascii="宋体" w:eastAsia="宋体" w:hAnsi="宋体" w:hint="eastAsia"/>
          <w:b w:val="0"/>
          <w:bCs w:val="0"/>
          <w:sz w:val="21"/>
          <w:szCs w:val="21"/>
        </w:rPr>
        <w:t>（六）基金账册的建立</w:t>
      </w:r>
      <w:bookmarkEnd w:id="53"/>
    </w:p>
    <w:p w:rsidR="001D0D89" w:rsidRDefault="00F1175F">
      <w:pPr>
        <w:spacing w:line="360" w:lineRule="auto"/>
        <w:ind w:firstLineChars="200" w:firstLine="420"/>
        <w:rPr>
          <w:rFonts w:ascii="宋体" w:hAnsi="宋体"/>
          <w:szCs w:val="21"/>
        </w:rPr>
      </w:pPr>
      <w:r>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1D0D89" w:rsidRDefault="00F1175F">
      <w:pPr>
        <w:spacing w:line="360" w:lineRule="auto"/>
        <w:ind w:firstLineChars="200" w:firstLine="420"/>
        <w:rPr>
          <w:rFonts w:ascii="宋体" w:hAnsi="宋体"/>
          <w:szCs w:val="21"/>
        </w:rPr>
      </w:pPr>
      <w:r>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w:t>
      </w:r>
      <w:r>
        <w:rPr>
          <w:rFonts w:ascii="宋体" w:hAnsi="宋体" w:hint="eastAsia"/>
          <w:szCs w:val="21"/>
        </w:rPr>
        <w:lastRenderedPageBreak/>
        <w:t>账的原因而影响到基金资产净值的计算和公告的，以基金管理人的账册为准。</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4" w:name="_Toc382819117"/>
      <w:r>
        <w:rPr>
          <w:rFonts w:ascii="宋体" w:eastAsia="宋体" w:hAnsi="宋体" w:hint="eastAsia"/>
          <w:b w:val="0"/>
          <w:bCs w:val="0"/>
          <w:sz w:val="21"/>
          <w:szCs w:val="21"/>
        </w:rPr>
        <w:t>（七）基金定期报告的编制和复核</w:t>
      </w:r>
      <w:bookmarkEnd w:id="54"/>
    </w:p>
    <w:p w:rsidR="001D0D89" w:rsidRDefault="00F1175F">
      <w:pPr>
        <w:spacing w:line="360" w:lineRule="auto"/>
        <w:ind w:firstLineChars="200" w:firstLine="420"/>
        <w:rPr>
          <w:rFonts w:ascii="宋体" w:hAnsi="宋体"/>
          <w:szCs w:val="21"/>
        </w:rPr>
      </w:pPr>
      <w:r>
        <w:rPr>
          <w:rFonts w:ascii="宋体" w:hAnsi="宋体" w:hint="eastAsia"/>
          <w:szCs w:val="21"/>
        </w:rPr>
        <w:t>1.基金财务报表由基金管理人和基金托管人每月分别独立编制。月度报表的编制，应于每月终了后5个工作日内完成。</w:t>
      </w:r>
    </w:p>
    <w:p w:rsidR="001D0D89" w:rsidRDefault="00F1175F">
      <w:pPr>
        <w:spacing w:line="360" w:lineRule="auto"/>
        <w:ind w:firstLineChars="200" w:firstLine="420"/>
        <w:rPr>
          <w:rFonts w:ascii="宋体" w:hAnsi="宋体"/>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rsidR="001D0D89" w:rsidRDefault="00F1175F">
      <w:pPr>
        <w:spacing w:line="360" w:lineRule="auto"/>
        <w:ind w:firstLineChars="200" w:firstLine="420"/>
        <w:rPr>
          <w:rFonts w:ascii="宋体" w:hAnsi="宋体"/>
          <w:szCs w:val="21"/>
        </w:rPr>
      </w:pPr>
      <w:r>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w:t>
      </w:r>
      <w:r w:rsidR="00096FFC" w:rsidRPr="00096FFC">
        <w:rPr>
          <w:rFonts w:ascii="宋体" w:hAnsi="宋体" w:hint="eastAsia"/>
          <w:szCs w:val="21"/>
        </w:rPr>
        <w:t>在季度结束之日起15个工作日内完成基金季度报告的编制；在上半年结束之日起2个月内完成基金中期报告的编制；在每年结束之日起3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rsidR="001D0D89" w:rsidRDefault="00F1175F">
      <w:pPr>
        <w:spacing w:line="360" w:lineRule="auto"/>
        <w:ind w:firstLineChars="200" w:firstLine="420"/>
        <w:rPr>
          <w:rFonts w:ascii="宋体" w:hAnsi="宋体"/>
          <w:szCs w:val="21"/>
        </w:rPr>
      </w:pPr>
      <w:r>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Pr>
          <w:rFonts w:ascii="宋体" w:hAnsi="宋体" w:hint="eastAsia"/>
          <w:kern w:val="44"/>
          <w:szCs w:val="21"/>
        </w:rPr>
        <w:t>如果基金管理人与基金托管人不能于应当发布公告之日之前就相关报表达成一致，基金管理人有权按照其编制的报表对外发布公告，基金托管人有权就相关情况报中国证监会备案。</w:t>
      </w:r>
    </w:p>
    <w:p w:rsidR="001D0D89" w:rsidRDefault="00F1175F">
      <w:pPr>
        <w:spacing w:line="360" w:lineRule="auto"/>
        <w:ind w:firstLineChars="200" w:firstLine="420"/>
        <w:rPr>
          <w:rFonts w:ascii="宋体" w:hAnsi="宋体"/>
          <w:szCs w:val="21"/>
        </w:rPr>
      </w:pPr>
      <w:r>
        <w:rPr>
          <w:rFonts w:ascii="宋体" w:hAnsi="宋体" w:hint="eastAsia"/>
          <w:szCs w:val="21"/>
        </w:rPr>
        <w:t>5.基金托管人在对财务会计报告、半年中期报告或年度报告复核完毕后，应当将复核结果通知基金管理人，以备有权机构对相关文件审核时提示。</w:t>
      </w:r>
    </w:p>
    <w:p w:rsidR="001D0D89" w:rsidRDefault="00F1175F">
      <w:pPr>
        <w:spacing w:line="500" w:lineRule="atLeast"/>
        <w:jc w:val="center"/>
        <w:outlineLvl w:val="0"/>
        <w:rPr>
          <w:rFonts w:ascii="宋体" w:hAnsi="宋体"/>
        </w:rPr>
      </w:pPr>
      <w:bookmarkStart w:id="55" w:name="_Toc382819118"/>
      <w:r>
        <w:rPr>
          <w:rFonts w:ascii="宋体" w:hAnsi="宋体" w:hint="eastAsia"/>
          <w:b/>
          <w:sz w:val="24"/>
        </w:rPr>
        <w:t>八、基金收益分配</w:t>
      </w:r>
      <w:bookmarkEnd w:id="55"/>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6" w:name="_Toc382819119"/>
      <w:r>
        <w:rPr>
          <w:rFonts w:ascii="宋体" w:eastAsia="宋体" w:hAnsi="宋体" w:hint="eastAsia"/>
          <w:b w:val="0"/>
          <w:bCs w:val="0"/>
          <w:sz w:val="21"/>
          <w:szCs w:val="21"/>
        </w:rPr>
        <w:t>（一）基金收益分配的原则</w:t>
      </w:r>
      <w:bookmarkEnd w:id="56"/>
    </w:p>
    <w:p w:rsidR="001D0D89" w:rsidRDefault="00F1175F">
      <w:pPr>
        <w:spacing w:line="360" w:lineRule="auto"/>
        <w:ind w:firstLineChars="225" w:firstLine="473"/>
        <w:rPr>
          <w:rFonts w:ascii="宋体" w:hAnsi="宋体"/>
          <w:szCs w:val="21"/>
        </w:rPr>
      </w:pPr>
      <w:r>
        <w:rPr>
          <w:rFonts w:ascii="宋体" w:hAnsi="宋体" w:hint="eastAsia"/>
          <w:szCs w:val="21"/>
        </w:rPr>
        <w:t>基金收益分配是指将该基金可供分配利润按收益分配方案确定的分配金额和比例根据持有该基金份额的数量按比例向该基金份额持有人进行分配。</w:t>
      </w:r>
    </w:p>
    <w:p w:rsidR="001D0D89" w:rsidRDefault="00F1175F">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57" w:name="_Toc382819120"/>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57"/>
    </w:p>
    <w:p w:rsidR="001D0D89" w:rsidRDefault="00F1175F">
      <w:pPr>
        <w:spacing w:line="360" w:lineRule="auto"/>
        <w:ind w:firstLineChars="225" w:firstLine="473"/>
        <w:rPr>
          <w:rFonts w:ascii="宋体" w:hAnsi="宋体"/>
          <w:szCs w:val="21"/>
        </w:rPr>
      </w:pPr>
      <w:r>
        <w:rPr>
          <w:rFonts w:ascii="宋体" w:hAnsi="宋体" w:hint="eastAsia"/>
          <w:szCs w:val="21"/>
        </w:rPr>
        <w:lastRenderedPageBreak/>
        <w:t>基金收益分配方案由基金管理人根据《基金合同》的相关规定制定。</w:t>
      </w:r>
    </w:p>
    <w:p w:rsidR="001D0D89" w:rsidRDefault="00F1175F">
      <w:pPr>
        <w:spacing w:line="360" w:lineRule="auto"/>
        <w:ind w:firstLineChars="225" w:firstLine="473"/>
        <w:rPr>
          <w:rFonts w:ascii="宋体" w:hAnsi="宋体"/>
          <w:szCs w:val="21"/>
        </w:rPr>
      </w:pPr>
      <w:r>
        <w:rPr>
          <w:rFonts w:ascii="宋体" w:hAnsi="宋体" w:hint="eastAsia"/>
          <w:szCs w:val="21"/>
        </w:rPr>
        <w:t>本基金收益分配方案由基金管理人拟定，并由基金托管人复核，依照《信息披露办法》的有关规定在规定媒介公告。</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ED7D97">
        <w:rPr>
          <w:rFonts w:ascii="宋体" w:eastAsia="宋体" w:hAnsi="宋体" w:hint="eastAsia"/>
          <w:b w:val="0"/>
          <w:bCs w:val="0"/>
          <w:sz w:val="21"/>
          <w:szCs w:val="21"/>
        </w:rPr>
        <w:t>在收益分配方案公布后，基金管理人依据具体方案的规定就支付的现金红利向基金托管人发送划款指令，基金托管人按照基金管理人的指令及时进行分红资金的划付。</w:t>
      </w:r>
    </w:p>
    <w:p w:rsidR="001D0D89" w:rsidRDefault="00F1175F">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（三）实施侧袋机制期间的收益分配</w:t>
      </w:r>
    </w:p>
    <w:p w:rsidR="001D0D89" w:rsidRDefault="00F1175F">
      <w:pPr>
        <w:spacing w:line="500" w:lineRule="atLeast"/>
        <w:jc w:val="center"/>
        <w:outlineLvl w:val="0"/>
        <w:rPr>
          <w:rFonts w:ascii="宋体" w:hAnsi="宋体"/>
          <w:szCs w:val="21"/>
        </w:rPr>
      </w:pPr>
      <w:r>
        <w:rPr>
          <w:rFonts w:ascii="宋体" w:hAnsi="宋体" w:hint="eastAsia"/>
          <w:szCs w:val="21"/>
        </w:rPr>
        <w:t>本基金实施侧袋机制的，侧袋账户不进行收益分配，详见招募说明书的规定。</w:t>
      </w:r>
      <w:bookmarkStart w:id="58" w:name="_Toc382819121"/>
    </w:p>
    <w:p w:rsidR="001D0D89" w:rsidRDefault="00F1175F">
      <w:pPr>
        <w:spacing w:line="500" w:lineRule="atLeast"/>
        <w:jc w:val="center"/>
        <w:outlineLvl w:val="0"/>
        <w:rPr>
          <w:rFonts w:ascii="宋体" w:hAnsi="宋体"/>
        </w:rPr>
      </w:pPr>
      <w:r>
        <w:rPr>
          <w:rFonts w:ascii="宋体" w:hAnsi="宋体" w:hint="eastAsia"/>
          <w:b/>
          <w:sz w:val="24"/>
        </w:rPr>
        <w:t>九、信息披露</w:t>
      </w:r>
      <w:bookmarkEnd w:id="58"/>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59"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59"/>
    </w:p>
    <w:p w:rsidR="001D0D89" w:rsidRDefault="00F1175F">
      <w:pPr>
        <w:spacing w:line="360" w:lineRule="auto"/>
        <w:ind w:right="28" w:firstLineChars="200" w:firstLine="420"/>
        <w:rPr>
          <w:rFonts w:ascii="宋体" w:hAnsi="宋体"/>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1D0D89" w:rsidRDefault="00F1175F">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rsidR="00096FFC" w:rsidRDefault="00F1175F">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r w:rsidR="00096FFC">
        <w:rPr>
          <w:rFonts w:ascii="宋体" w:hAnsi="宋体" w:hint="eastAsia"/>
          <w:szCs w:val="21"/>
        </w:rPr>
        <w:t>；</w:t>
      </w:r>
    </w:p>
    <w:p w:rsidR="001D0D89" w:rsidRDefault="00096FFC">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sidRPr="00096FFC">
        <w:rPr>
          <w:rFonts w:hint="eastAsia"/>
        </w:rPr>
        <w:t xml:space="preserve"> </w:t>
      </w:r>
      <w:r w:rsidRPr="00096FFC">
        <w:rPr>
          <w:rFonts w:ascii="宋体" w:hAnsi="宋体" w:hint="eastAsia"/>
          <w:szCs w:val="21"/>
        </w:rPr>
        <w:t>向审计、法律等外部专业顾问提供必要信息的情况除外</w:t>
      </w:r>
      <w:r w:rsidR="00F1175F">
        <w:rPr>
          <w:rFonts w:ascii="宋体" w:hAnsi="宋体" w:hint="eastAsia"/>
          <w:szCs w:val="21"/>
        </w:rPr>
        <w:t>。</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2.本基金的信息披露主要包括基金招募说明书、《基金合同》、基金托管协议、基金产品资料概要、基金份额发售公告、《基金合同》生效公告、基金定期报告（包括基金年度报告、基金中期报告和基金季度报告）、临时报告、各类基金份额的基金净值信息、各类基金份额申购、赎回价格、澄清公告、基金份额持有人大会决议、清算报告、投资资产支持证券、国债期货、股指期货和股票期权、非公开发行股票、存托凭证的信息披露、投资港股通标的股票的信息披露、参与融资业务的信息披露、实施侧袋机制期间的信息披露等其他必要的公告文件，由基金管理人拟定并负责公布。</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lastRenderedPageBreak/>
        <w:t>3.基金管理人与基金托管人应严格遵守《基金合同》所规定的信息披露要求。基金净值信息、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rsidR="001D0D89" w:rsidRDefault="00F1175F">
      <w:pPr>
        <w:tabs>
          <w:tab w:val="left" w:pos="4680"/>
        </w:tabs>
        <w:spacing w:line="360" w:lineRule="auto"/>
        <w:ind w:firstLineChars="200" w:firstLine="420"/>
        <w:rPr>
          <w:rFonts w:ascii="宋体" w:hAnsi="宋体"/>
          <w:szCs w:val="21"/>
        </w:rPr>
      </w:pPr>
      <w:bookmarkStart w:id="60" w:name="_Toc382819123"/>
      <w:r>
        <w:rPr>
          <w:rFonts w:ascii="宋体" w:hAnsi="宋体" w:hint="eastAsia"/>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0"/>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1" w:name="_Toc382819124"/>
      <w:r>
        <w:rPr>
          <w:rFonts w:ascii="宋体" w:eastAsia="宋体" w:hAnsi="宋体" w:hint="eastAsia"/>
          <w:b w:val="0"/>
          <w:sz w:val="21"/>
          <w:szCs w:val="21"/>
        </w:rPr>
        <w:t>（三）基金管理人和基金托管人在信息披露中的职责和信息披露程序</w:t>
      </w:r>
      <w:bookmarkEnd w:id="61"/>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1.职责</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2.程序</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1D0D89" w:rsidRDefault="00F1175F">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rsidR="001D0D89" w:rsidRDefault="00F1175F">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依法必须披露的信息发布后，基金管理人、基金托管人应当按照相关法律法规规定将信息置备于各自住所，供社会公众查阅、复制。投资者在支付工本费后可以获得上述文件的复制件或复印件。</w:t>
      </w:r>
    </w:p>
    <w:p w:rsidR="001D0D89" w:rsidRDefault="00F1175F">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1D0D89" w:rsidRDefault="00F1175F">
      <w:pPr>
        <w:adjustRightInd w:val="0"/>
        <w:snapToGrid w:val="0"/>
        <w:spacing w:line="360" w:lineRule="auto"/>
        <w:ind w:firstLineChars="200" w:firstLine="420"/>
        <w:rPr>
          <w:rFonts w:ascii="宋体" w:hAnsi="宋体"/>
          <w:szCs w:val="21"/>
        </w:rPr>
      </w:pPr>
      <w:r>
        <w:rPr>
          <w:rFonts w:ascii="宋体" w:hAnsi="宋体" w:hint="eastAsia"/>
          <w:szCs w:val="21"/>
        </w:rPr>
        <w:t>4.暂停</w:t>
      </w:r>
      <w:r>
        <w:rPr>
          <w:rFonts w:ascii="宋体" w:hAnsi="宋体" w:cs="Arial" w:hint="eastAsia"/>
          <w:szCs w:val="21"/>
        </w:rPr>
        <w:t>或延迟披露基金相关信息</w:t>
      </w:r>
      <w:r>
        <w:rPr>
          <w:rFonts w:ascii="宋体" w:hAnsi="宋体" w:hint="eastAsia"/>
          <w:szCs w:val="21"/>
        </w:rPr>
        <w:t>的情形</w:t>
      </w:r>
    </w:p>
    <w:p w:rsidR="001D0D89" w:rsidRDefault="00F1175F">
      <w:pPr>
        <w:adjustRightInd w:val="0"/>
        <w:snapToGrid w:val="0"/>
        <w:spacing w:line="360" w:lineRule="auto"/>
        <w:ind w:firstLineChars="200" w:firstLine="420"/>
        <w:rPr>
          <w:rFonts w:ascii="宋体" w:hAnsi="宋体"/>
          <w:szCs w:val="21"/>
        </w:rPr>
      </w:pPr>
      <w:r>
        <w:rPr>
          <w:rFonts w:ascii="宋体" w:hAnsi="宋体" w:hint="eastAsia"/>
          <w:szCs w:val="21"/>
        </w:rPr>
        <w:t>当出现下述情况之一时，基金管理人和基金托管人可暂停或延迟披露基金相关信息：</w:t>
      </w:r>
    </w:p>
    <w:p w:rsidR="001D0D89" w:rsidRDefault="00F1175F">
      <w:pPr>
        <w:adjustRightInd w:val="0"/>
        <w:snapToGrid w:val="0"/>
        <w:spacing w:line="360" w:lineRule="auto"/>
        <w:ind w:firstLineChars="200" w:firstLine="420"/>
        <w:rPr>
          <w:rFonts w:ascii="宋体" w:hAnsi="宋体"/>
          <w:szCs w:val="21"/>
        </w:rPr>
      </w:pPr>
      <w:r>
        <w:rPr>
          <w:rFonts w:ascii="宋体" w:hAnsi="宋体" w:hint="eastAsia"/>
          <w:szCs w:val="21"/>
        </w:rPr>
        <w:t>（1）不可抗力；</w:t>
      </w:r>
    </w:p>
    <w:p w:rsidR="001D0D89" w:rsidRDefault="00F1175F">
      <w:pPr>
        <w:adjustRightInd w:val="0"/>
        <w:snapToGrid w:val="0"/>
        <w:spacing w:line="360" w:lineRule="auto"/>
        <w:ind w:firstLineChars="200" w:firstLine="420"/>
        <w:rPr>
          <w:rFonts w:ascii="宋体" w:hAnsi="宋体"/>
          <w:szCs w:val="21"/>
        </w:rPr>
      </w:pPr>
      <w:r>
        <w:rPr>
          <w:rFonts w:ascii="宋体" w:hAnsi="宋体" w:hint="eastAsia"/>
          <w:szCs w:val="21"/>
        </w:rPr>
        <w:t>（2）发生基金合同约定的暂停估值的情形；</w:t>
      </w:r>
    </w:p>
    <w:p w:rsidR="001D0D89" w:rsidRDefault="00F1175F">
      <w:pPr>
        <w:spacing w:line="360" w:lineRule="auto"/>
        <w:ind w:right="28" w:firstLineChars="200" w:firstLine="420"/>
      </w:pPr>
      <w:r>
        <w:rPr>
          <w:rFonts w:ascii="宋体" w:hAnsi="宋体" w:hint="eastAsia"/>
          <w:szCs w:val="21"/>
        </w:rPr>
        <w:lastRenderedPageBreak/>
        <w:t>（3）法律法规、中国证监会规定或基金合同认定的其他情形。</w:t>
      </w:r>
    </w:p>
    <w:p w:rsidR="001D0D89" w:rsidRDefault="00F1175F">
      <w:pPr>
        <w:spacing w:line="500" w:lineRule="atLeast"/>
        <w:jc w:val="center"/>
        <w:outlineLvl w:val="0"/>
        <w:rPr>
          <w:rFonts w:ascii="宋体" w:hAnsi="宋体"/>
        </w:rPr>
      </w:pPr>
      <w:bookmarkStart w:id="62" w:name="_Toc382819125"/>
      <w:r>
        <w:rPr>
          <w:rFonts w:ascii="宋体" w:hAnsi="宋体" w:hint="eastAsia"/>
          <w:b/>
          <w:sz w:val="24"/>
        </w:rPr>
        <w:t>十、基金费用</w:t>
      </w:r>
      <w:bookmarkEnd w:id="62"/>
    </w:p>
    <w:p w:rsidR="001D0D89" w:rsidRDefault="00F1175F">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63" w:name="_Toc382819126"/>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（一）基金管理人的管理费</w:t>
      </w:r>
    </w:p>
    <w:p w:rsidR="001D0D89" w:rsidRDefault="00F1175F">
      <w:pPr>
        <w:spacing w:line="360" w:lineRule="auto"/>
        <w:ind w:firstLineChars="200" w:firstLine="420"/>
        <w:rPr>
          <w:rFonts w:asciiTheme="minorEastAsia" w:eastAsiaTheme="minorEastAsia" w:hAnsiTheme="minorEastAsia"/>
          <w:bCs/>
          <w:szCs w:val="21"/>
        </w:rPr>
      </w:pPr>
      <w:bookmarkStart w:id="64" w:name="_Hlk195865107"/>
      <w:bookmarkStart w:id="65" w:name="_Hlk195864969"/>
      <w:r>
        <w:rPr>
          <w:rFonts w:asciiTheme="minorEastAsia" w:eastAsiaTheme="minorEastAsia" w:hAnsiTheme="minorEastAsia" w:hint="eastAsia"/>
          <w:bCs/>
          <w:szCs w:val="21"/>
        </w:rPr>
        <w:t>本基金根据每一基金份额的持有期限与持有期间年化收益率，在赎回、转换转出基金份额或基金合同终止的情形发生时确定该笔基金份额对应的管理费。当投资者赎回、转换转出基金份额或基金合同终止的情形发生时，持有期限不足一年（即</w:t>
      </w:r>
      <w:r>
        <w:rPr>
          <w:rFonts w:asciiTheme="minorEastAsia" w:eastAsiaTheme="minorEastAsia" w:hAnsiTheme="minorEastAsia"/>
          <w:bCs/>
          <w:szCs w:val="21"/>
        </w:rPr>
        <w:t>365</w:t>
      </w:r>
      <w:r>
        <w:rPr>
          <w:rFonts w:asciiTheme="minorEastAsia" w:eastAsiaTheme="minorEastAsia" w:hAnsiTheme="minorEastAsia" w:hint="eastAsia"/>
          <w:bCs/>
          <w:szCs w:val="21"/>
        </w:rPr>
        <w:t>天，下同），则按</w:t>
      </w:r>
      <w:r>
        <w:rPr>
          <w:rFonts w:asciiTheme="minorEastAsia" w:eastAsiaTheme="minorEastAsia" w:hAnsiTheme="minorEastAsia"/>
          <w:bCs/>
          <w:szCs w:val="21"/>
        </w:rPr>
        <w:t>1.20%</w:t>
      </w:r>
      <w:r>
        <w:rPr>
          <w:rFonts w:asciiTheme="minorEastAsia" w:eastAsiaTheme="minorEastAsia" w:hAnsiTheme="minorEastAsia" w:hint="eastAsia"/>
          <w:bCs/>
          <w:szCs w:val="21"/>
        </w:rPr>
        <w:t>年费率收取管理费；持有期限达到一年及以上，则根据持有期间年化收益率分为以下三种情况，分别确定对应的管理费率档位：</w:t>
      </w:r>
    </w:p>
    <w:p w:rsidR="001D0D89" w:rsidRDefault="00F1175F">
      <w:pPr>
        <w:spacing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若持有期间相对业绩比较基准的年化超额收益率（扣除超额管理费后）超过</w:t>
      </w:r>
      <w:r>
        <w:rPr>
          <w:rFonts w:asciiTheme="minorEastAsia" w:eastAsiaTheme="minorEastAsia" w:hAnsiTheme="minorEastAsia"/>
          <w:bCs/>
          <w:szCs w:val="21"/>
        </w:rPr>
        <w:t>6%</w:t>
      </w:r>
      <w:r>
        <w:rPr>
          <w:rFonts w:asciiTheme="minorEastAsia" w:eastAsiaTheme="minorEastAsia" w:hAnsiTheme="minorEastAsia" w:hint="eastAsia"/>
          <w:bCs/>
          <w:szCs w:val="21"/>
        </w:rPr>
        <w:t>且持有收益率（扣除超额管理费后）为正，按</w:t>
      </w:r>
      <w:r>
        <w:rPr>
          <w:rFonts w:asciiTheme="minorEastAsia" w:eastAsiaTheme="minorEastAsia" w:hAnsiTheme="minorEastAsia"/>
          <w:bCs/>
          <w:szCs w:val="21"/>
        </w:rPr>
        <w:t>1.50%</w:t>
      </w:r>
      <w:r>
        <w:rPr>
          <w:rFonts w:asciiTheme="minorEastAsia" w:eastAsiaTheme="minorEastAsia" w:hAnsiTheme="minorEastAsia" w:hint="eastAsia"/>
          <w:bCs/>
          <w:szCs w:val="21"/>
        </w:rPr>
        <w:t>年费率确认管理费；若持有期间相对业绩比较基准的年化超额收益率在</w:t>
      </w:r>
      <w:r>
        <w:rPr>
          <w:rFonts w:asciiTheme="minorEastAsia" w:eastAsiaTheme="minorEastAsia" w:hAnsiTheme="minorEastAsia"/>
          <w:bCs/>
          <w:szCs w:val="21"/>
        </w:rPr>
        <w:t>-3%</w:t>
      </w:r>
      <w:r>
        <w:rPr>
          <w:rFonts w:asciiTheme="minorEastAsia" w:eastAsiaTheme="minorEastAsia" w:hAnsiTheme="minorEastAsia" w:hint="eastAsia"/>
          <w:bCs/>
          <w:szCs w:val="21"/>
        </w:rPr>
        <w:t>及以下，按</w:t>
      </w:r>
      <w:r>
        <w:rPr>
          <w:rFonts w:asciiTheme="minorEastAsia" w:eastAsiaTheme="minorEastAsia" w:hAnsiTheme="minorEastAsia"/>
          <w:bCs/>
          <w:szCs w:val="21"/>
        </w:rPr>
        <w:t>0.60%</w:t>
      </w:r>
      <w:r>
        <w:rPr>
          <w:rFonts w:asciiTheme="minorEastAsia" w:eastAsiaTheme="minorEastAsia" w:hAnsiTheme="minorEastAsia" w:hint="eastAsia"/>
          <w:bCs/>
          <w:szCs w:val="21"/>
        </w:rPr>
        <w:t>年费率确认管理费；其他情形按</w:t>
      </w:r>
      <w:r>
        <w:rPr>
          <w:rFonts w:asciiTheme="minorEastAsia" w:eastAsiaTheme="minorEastAsia" w:hAnsiTheme="minorEastAsia"/>
          <w:bCs/>
          <w:szCs w:val="21"/>
        </w:rPr>
        <w:t>1.20%</w:t>
      </w:r>
      <w:r>
        <w:rPr>
          <w:rFonts w:asciiTheme="minorEastAsia" w:eastAsiaTheme="minorEastAsia" w:hAnsiTheme="minorEastAsia" w:hint="eastAsia"/>
          <w:bCs/>
          <w:szCs w:val="21"/>
        </w:rPr>
        <w:t>年费率确认管理费。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2831"/>
      </w:tblGrid>
      <w:tr w:rsidR="001D0D89">
        <w:trPr>
          <w:trHeight w:val="510"/>
          <w:jc w:val="center"/>
        </w:trPr>
        <w:tc>
          <w:tcPr>
            <w:tcW w:w="3827" w:type="dxa"/>
            <w:vAlign w:val="center"/>
          </w:tcPr>
          <w:p w:rsidR="001D0D89" w:rsidRDefault="00F1175F">
            <w:pPr>
              <w:spacing w:line="276" w:lineRule="auto"/>
              <w:jc w:val="center"/>
              <w:rPr>
                <w:rFonts w:asciiTheme="minorEastAsia" w:eastAsiaTheme="minorEastAsia" w:hAnsiTheme="minorEastAsia"/>
                <w:b/>
                <w:szCs w:val="21"/>
              </w:rPr>
            </w:pPr>
            <w:r>
              <w:rPr>
                <w:rFonts w:asciiTheme="minorEastAsia" w:eastAsiaTheme="minorEastAsia" w:hAnsiTheme="minorEastAsia" w:hint="eastAsia"/>
                <w:b/>
                <w:szCs w:val="21"/>
              </w:rPr>
              <w:t>持有期间年化收益率（</w:t>
            </w:r>
            <w:r>
              <w:rPr>
                <w:rFonts w:asciiTheme="minorEastAsia" w:eastAsiaTheme="minorEastAsia" w:hAnsiTheme="minorEastAsia"/>
                <w:b/>
                <w:szCs w:val="21"/>
              </w:rPr>
              <w:t>R</w:t>
            </w:r>
            <w:r>
              <w:rPr>
                <w:rFonts w:asciiTheme="minorEastAsia" w:eastAsiaTheme="minorEastAsia" w:hAnsiTheme="minorEastAsia" w:hint="eastAsia"/>
                <w:b/>
                <w:szCs w:val="21"/>
              </w:rPr>
              <w:t>）</w:t>
            </w:r>
          </w:p>
        </w:tc>
        <w:tc>
          <w:tcPr>
            <w:tcW w:w="2831" w:type="dxa"/>
            <w:vAlign w:val="center"/>
          </w:tcPr>
          <w:p w:rsidR="001D0D89" w:rsidRDefault="00F1175F">
            <w:pPr>
              <w:spacing w:line="276" w:lineRule="auto"/>
              <w:jc w:val="center"/>
              <w:rPr>
                <w:rFonts w:asciiTheme="minorEastAsia" w:eastAsiaTheme="minorEastAsia" w:hAnsiTheme="minorEastAsia"/>
                <w:b/>
                <w:szCs w:val="21"/>
              </w:rPr>
            </w:pPr>
            <w:r>
              <w:rPr>
                <w:rFonts w:asciiTheme="minorEastAsia" w:eastAsiaTheme="minorEastAsia" w:hAnsiTheme="minorEastAsia" w:hint="eastAsia"/>
                <w:b/>
                <w:szCs w:val="21"/>
              </w:rPr>
              <w:t>管理费率（年费率）</w:t>
            </w:r>
          </w:p>
        </w:tc>
      </w:tr>
      <w:tr w:rsidR="001D0D89">
        <w:trPr>
          <w:trHeight w:val="510"/>
          <w:jc w:val="center"/>
        </w:trPr>
        <w:tc>
          <w:tcPr>
            <w:tcW w:w="3827" w:type="dxa"/>
            <w:vAlign w:val="center"/>
          </w:tcPr>
          <w:p w:rsidR="001D0D89" w:rsidRDefault="00F1175F">
            <w:pPr>
              <w:spacing w:line="276" w:lineRule="auto"/>
              <w:jc w:val="center"/>
              <w:rPr>
                <w:rFonts w:asciiTheme="minorEastAsia" w:eastAsiaTheme="minorEastAsia" w:hAnsiTheme="minorEastAsia"/>
                <w:b/>
                <w:szCs w:val="21"/>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0</w:t>
            </w:r>
          </w:p>
        </w:tc>
        <w:tc>
          <w:tcPr>
            <w:tcW w:w="2831" w:type="dxa"/>
            <w:vAlign w:val="center"/>
          </w:tcPr>
          <w:p w:rsidR="001D0D89" w:rsidRDefault="00F1175F">
            <w:pPr>
              <w:spacing w:line="276" w:lineRule="auto"/>
              <w:jc w:val="center"/>
              <w:rPr>
                <w:rFonts w:asciiTheme="minorEastAsia" w:eastAsiaTheme="minorEastAsia" w:hAnsiTheme="minorEastAsia"/>
                <w:szCs w:val="21"/>
              </w:rPr>
            </w:pPr>
            <w:r>
              <w:rPr>
                <w:rFonts w:asciiTheme="minorEastAsia" w:eastAsiaTheme="minorEastAsia" w:hAnsiTheme="minorEastAsia"/>
                <w:szCs w:val="21"/>
              </w:rPr>
              <w:t>1.50%/</w:t>
            </w:r>
            <w:r>
              <w:rPr>
                <w:rFonts w:asciiTheme="minorEastAsia" w:eastAsiaTheme="minorEastAsia" w:hAnsiTheme="minorEastAsia" w:hint="eastAsia"/>
                <w:bCs/>
                <w:szCs w:val="21"/>
              </w:rPr>
              <w:t>年</w:t>
            </w:r>
          </w:p>
        </w:tc>
      </w:tr>
      <w:tr w:rsidR="001D0D89">
        <w:trPr>
          <w:trHeight w:val="510"/>
          <w:jc w:val="center"/>
        </w:trPr>
        <w:tc>
          <w:tcPr>
            <w:tcW w:w="3827" w:type="dxa"/>
            <w:vAlign w:val="center"/>
          </w:tcPr>
          <w:p w:rsidR="001D0D89" w:rsidRDefault="00F1175F">
            <w:pPr>
              <w:spacing w:line="276" w:lineRule="auto"/>
              <w:jc w:val="center"/>
              <w:rPr>
                <w:rFonts w:asciiTheme="minorEastAsia" w:eastAsiaTheme="minorEastAsia" w:hAnsiTheme="minorEastAsia"/>
                <w:bCs/>
                <w:szCs w:val="21"/>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-3%</w:t>
            </w:r>
          </w:p>
        </w:tc>
        <w:tc>
          <w:tcPr>
            <w:tcW w:w="2831" w:type="dxa"/>
            <w:vAlign w:val="center"/>
          </w:tcPr>
          <w:p w:rsidR="001D0D89" w:rsidRDefault="00F1175F">
            <w:pPr>
              <w:spacing w:line="276" w:lineRule="auto"/>
              <w:jc w:val="center"/>
              <w:rPr>
                <w:rFonts w:asciiTheme="minorEastAsia" w:eastAsiaTheme="minorEastAsia" w:hAnsiTheme="minorEastAsia"/>
                <w:szCs w:val="21"/>
              </w:rPr>
            </w:pPr>
            <w:r>
              <w:rPr>
                <w:rFonts w:asciiTheme="minorEastAsia" w:eastAsiaTheme="minorEastAsia" w:hAnsiTheme="minorEastAsia"/>
                <w:szCs w:val="21"/>
              </w:rPr>
              <w:t>0.60%/</w:t>
            </w:r>
            <w:r>
              <w:rPr>
                <w:rFonts w:asciiTheme="minorEastAsia" w:eastAsiaTheme="minorEastAsia" w:hAnsiTheme="minorEastAsia" w:hint="eastAsia"/>
                <w:bCs/>
                <w:szCs w:val="21"/>
              </w:rPr>
              <w:t>年</w:t>
            </w:r>
          </w:p>
        </w:tc>
      </w:tr>
      <w:tr w:rsidR="001D0D89">
        <w:trPr>
          <w:trHeight w:val="510"/>
          <w:jc w:val="center"/>
        </w:trPr>
        <w:tc>
          <w:tcPr>
            <w:tcW w:w="3827" w:type="dxa"/>
            <w:vAlign w:val="center"/>
          </w:tcPr>
          <w:p w:rsidR="001D0D89" w:rsidRDefault="00F1175F">
            <w:pPr>
              <w:spacing w:line="276" w:lineRule="auto"/>
              <w:jc w:val="center"/>
              <w:rPr>
                <w:rFonts w:asciiTheme="minorEastAsia" w:eastAsiaTheme="minorEastAsia" w:hAnsiTheme="minorEastAsia"/>
                <w:bCs/>
                <w:szCs w:val="21"/>
              </w:rPr>
            </w:pPr>
            <w:r>
              <w:rPr>
                <w:rFonts w:asciiTheme="minorEastAsia" w:eastAsiaTheme="minorEastAsia" w:hAnsiTheme="minorEastAsia" w:hint="eastAsia"/>
                <w:bCs/>
                <w:szCs w:val="21"/>
              </w:rPr>
              <w:t>其他情形</w:t>
            </w:r>
          </w:p>
        </w:tc>
        <w:tc>
          <w:tcPr>
            <w:tcW w:w="2831" w:type="dxa"/>
            <w:vAlign w:val="center"/>
          </w:tcPr>
          <w:p w:rsidR="001D0D89" w:rsidRDefault="00F1175F">
            <w:pPr>
              <w:spacing w:line="276" w:lineRule="auto"/>
              <w:jc w:val="center"/>
              <w:rPr>
                <w:rFonts w:asciiTheme="minorEastAsia" w:eastAsiaTheme="minorEastAsia" w:hAnsiTheme="minorEastAsia"/>
                <w:szCs w:val="21"/>
              </w:rPr>
            </w:pPr>
            <w:r>
              <w:rPr>
                <w:rFonts w:asciiTheme="minorEastAsia" w:eastAsiaTheme="minorEastAsia" w:hAnsiTheme="minorEastAsia"/>
                <w:szCs w:val="21"/>
              </w:rPr>
              <w:t>1.20%/</w:t>
            </w:r>
            <w:r>
              <w:rPr>
                <w:rFonts w:asciiTheme="minorEastAsia" w:eastAsiaTheme="minorEastAsia" w:hAnsiTheme="minorEastAsia" w:hint="eastAsia"/>
                <w:bCs/>
                <w:szCs w:val="21"/>
              </w:rPr>
              <w:t>年</w:t>
            </w:r>
          </w:p>
        </w:tc>
      </w:tr>
    </w:tbl>
    <w:p w:rsidR="001D0D89" w:rsidRDefault="00F1175F">
      <w:pPr>
        <w:spacing w:line="360" w:lineRule="auto"/>
        <w:ind w:firstLine="480"/>
        <w:rPr>
          <w:rFonts w:asciiTheme="minorEastAsia" w:eastAsiaTheme="minorEastAsia" w:hAnsiTheme="minorEastAsia"/>
          <w:bCs/>
          <w:szCs w:val="21"/>
        </w:rPr>
      </w:pPr>
      <w:r>
        <w:rPr>
          <w:rFonts w:asciiTheme="minorEastAsia" w:eastAsiaTheme="minorEastAsia" w:hAnsiTheme="minorEastAsia" w:hint="eastAsia"/>
          <w:bCs/>
          <w:szCs w:val="21"/>
        </w:rPr>
        <w:t>注：①</w:t>
      </w:r>
      <w:r>
        <w:rPr>
          <w:rFonts w:asciiTheme="minorEastAsia" w:eastAsiaTheme="minorEastAsia" w:hAnsiTheme="minorEastAsia"/>
          <w:bCs/>
          <w:szCs w:val="21"/>
        </w:rPr>
        <w:t>R</w:t>
      </w:r>
      <w:r>
        <w:rPr>
          <w:rFonts w:asciiTheme="minorEastAsia" w:eastAsiaTheme="minorEastAsia" w:hAnsiTheme="minorEastAsia" w:hint="eastAsia"/>
          <w:bCs/>
          <w:szCs w:val="21"/>
        </w:rPr>
        <w:t>为该笔基金份额的年化收益率，</w:t>
      </w:r>
      <w:proofErr w:type="spellStart"/>
      <w:r>
        <w:rPr>
          <w:rFonts w:asciiTheme="minorEastAsia" w:eastAsiaTheme="minorEastAsia" w:hAnsiTheme="minorEastAsia"/>
          <w:bCs/>
          <w:szCs w:val="21"/>
        </w:rPr>
        <w:t>R</w:t>
      </w:r>
      <w:r>
        <w:rPr>
          <w:rFonts w:asciiTheme="minorEastAsia" w:eastAsiaTheme="minorEastAsia" w:hAnsiTheme="minorEastAsia"/>
          <w:bCs/>
          <w:szCs w:val="21"/>
          <w:vertAlign w:val="subscript"/>
        </w:rPr>
        <w:t>b</w:t>
      </w:r>
      <w:proofErr w:type="spellEnd"/>
      <w:r>
        <w:rPr>
          <w:rFonts w:asciiTheme="minorEastAsia" w:eastAsiaTheme="minorEastAsia" w:hAnsiTheme="minorEastAsia" w:hint="eastAsia"/>
          <w:bCs/>
          <w:szCs w:val="21"/>
        </w:rPr>
        <w:t>为本基金业绩比较基准同期年化收益率。</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②特别的，当持有期限达到一年及以上，</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bCs/>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且</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0</w:t>
      </w:r>
      <w:r>
        <w:rPr>
          <w:rFonts w:asciiTheme="minorEastAsia" w:eastAsiaTheme="minorEastAsia" w:hAnsiTheme="minorEastAsia" w:hint="eastAsia"/>
          <w:bCs/>
          <w:szCs w:val="21"/>
        </w:rPr>
        <w:t>的情形下，若拟扣除超额管理费后的年化收益率小于等于</w:t>
      </w:r>
      <w:r>
        <w:rPr>
          <w:rFonts w:asciiTheme="minorEastAsia" w:eastAsiaTheme="minorEastAsia" w:hAnsiTheme="minorEastAsia"/>
          <w:bCs/>
          <w:szCs w:val="21"/>
        </w:rPr>
        <w:t>R</w:t>
      </w:r>
      <w:r>
        <w:rPr>
          <w:rFonts w:asciiTheme="minorEastAsia" w:eastAsiaTheme="minorEastAsia" w:hAnsiTheme="minorEastAsia"/>
          <w:bCs/>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，或小于等于</w:t>
      </w:r>
      <w:r>
        <w:rPr>
          <w:rFonts w:asciiTheme="minorEastAsia" w:eastAsiaTheme="minorEastAsia" w:hAnsiTheme="minorEastAsia"/>
          <w:bCs/>
          <w:szCs w:val="21"/>
        </w:rPr>
        <w:t>0</w:t>
      </w:r>
      <w:r>
        <w:rPr>
          <w:rFonts w:asciiTheme="minorEastAsia" w:eastAsiaTheme="minorEastAsia" w:hAnsiTheme="minorEastAsia" w:hint="eastAsia"/>
          <w:bCs/>
          <w:szCs w:val="21"/>
        </w:rPr>
        <w:t>时，仍按</w:t>
      </w:r>
      <w:r>
        <w:rPr>
          <w:rFonts w:asciiTheme="minorEastAsia" w:eastAsiaTheme="minorEastAsia" w:hAnsiTheme="minorEastAsia"/>
          <w:bCs/>
          <w:szCs w:val="21"/>
        </w:rPr>
        <w:t>1.20%</w:t>
      </w:r>
      <w:r>
        <w:rPr>
          <w:rFonts w:asciiTheme="minorEastAsia" w:eastAsiaTheme="minorEastAsia" w:hAnsiTheme="minorEastAsia" w:hint="eastAsia"/>
          <w:bCs/>
          <w:szCs w:val="21"/>
        </w:rPr>
        <w:t>年费率收取该笔基金份额的管理费，以使得该笔基金份额在扣除超额管理费后的年化收益率仍需满足本基金收取超额管理费的标准。</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具体而言，本基金的管理费包含固定管理费、或有管理费和超额管理费，按以下方式计算和确认。</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w:t>
      </w:r>
      <w:r>
        <w:rPr>
          <w:rFonts w:asciiTheme="minorEastAsia" w:eastAsiaTheme="minorEastAsia" w:hAnsiTheme="minorEastAsia"/>
          <w:bCs/>
          <w:szCs w:val="21"/>
        </w:rPr>
        <w:t>1</w:t>
      </w:r>
      <w:r>
        <w:rPr>
          <w:rFonts w:asciiTheme="minorEastAsia" w:eastAsiaTheme="minorEastAsia" w:hAnsiTheme="minorEastAsia" w:hint="eastAsia"/>
          <w:bCs/>
          <w:szCs w:val="21"/>
        </w:rPr>
        <w:t>）固定管理费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固定管理费按前一日基金资产净值的</w:t>
      </w:r>
      <w:r>
        <w:rPr>
          <w:rFonts w:asciiTheme="minorEastAsia" w:eastAsiaTheme="minorEastAsia" w:hAnsiTheme="minorEastAsia"/>
          <w:bCs/>
          <w:szCs w:val="21"/>
        </w:rPr>
        <w:t>0.60%</w:t>
      </w:r>
      <w:r>
        <w:rPr>
          <w:rFonts w:asciiTheme="minorEastAsia" w:eastAsiaTheme="minorEastAsia" w:hAnsiTheme="minorEastAsia" w:hint="eastAsia"/>
          <w:bCs/>
          <w:szCs w:val="21"/>
        </w:rPr>
        <w:t>年费率每日计提。固定管理费的计算方法如下：</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1</w:t>
      </w:r>
      <w:r>
        <w:rPr>
          <w:rFonts w:asciiTheme="minorEastAsia" w:eastAsiaTheme="minorEastAsia" w:hAnsiTheme="minorEastAsia" w:hint="eastAsia"/>
          <w:bCs/>
          <w:szCs w:val="21"/>
        </w:rPr>
        <w:t>＝</w:t>
      </w:r>
      <w:r>
        <w:rPr>
          <w:rFonts w:asciiTheme="minorEastAsia" w:eastAsiaTheme="minorEastAsia" w:hAnsiTheme="minorEastAsia"/>
          <w:bCs/>
          <w:szCs w:val="21"/>
        </w:rPr>
        <w:t>E</w:t>
      </w:r>
      <w:r>
        <w:rPr>
          <w:rFonts w:asciiTheme="minorEastAsia" w:eastAsiaTheme="minorEastAsia" w:hAnsiTheme="minorEastAsia" w:hint="eastAsia"/>
          <w:bCs/>
          <w:szCs w:val="21"/>
        </w:rPr>
        <w:t>×</w:t>
      </w:r>
      <w:r>
        <w:rPr>
          <w:rFonts w:asciiTheme="minorEastAsia" w:eastAsiaTheme="minorEastAsia" w:hAnsiTheme="minorEastAsia"/>
          <w:bCs/>
          <w:szCs w:val="21"/>
        </w:rPr>
        <w:t>0.60%</w:t>
      </w:r>
      <w:r>
        <w:rPr>
          <w:rFonts w:asciiTheme="minorEastAsia" w:eastAsiaTheme="minorEastAsia" w:hAnsiTheme="minorEastAsia" w:hint="eastAsia"/>
          <w:bCs/>
          <w:szCs w:val="21"/>
        </w:rPr>
        <w:t>÷当年实际天数</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1</w:t>
      </w:r>
      <w:r>
        <w:rPr>
          <w:rFonts w:asciiTheme="minorEastAsia" w:eastAsiaTheme="minorEastAsia" w:hAnsiTheme="minorEastAsia" w:hint="eastAsia"/>
          <w:bCs/>
          <w:szCs w:val="21"/>
        </w:rPr>
        <w:t>为每日应计提的固定管理费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lastRenderedPageBreak/>
        <w:t>E</w:t>
      </w:r>
      <w:r>
        <w:rPr>
          <w:rFonts w:asciiTheme="minorEastAsia" w:eastAsiaTheme="minorEastAsia" w:hAnsiTheme="minorEastAsia" w:hint="eastAsia"/>
          <w:bCs/>
          <w:szCs w:val="21"/>
        </w:rPr>
        <w:t>为前一日的基金资产净值</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固定管理费每日计提，逐日累计至每个月月末，按月支付。经基金管理人与基金托管人核对一致后，由基金托管人按照与基金管理人协商一致的方式于次月首日起5个工作日内</w:t>
      </w:r>
      <w:r>
        <w:rPr>
          <w:rFonts w:asciiTheme="minorEastAsia" w:eastAsiaTheme="minorEastAsia" w:hAnsiTheme="minorEastAsia"/>
          <w:bCs/>
          <w:szCs w:val="21"/>
        </w:rPr>
        <w:t>从基金财产中一次性</w:t>
      </w:r>
      <w:r>
        <w:rPr>
          <w:rFonts w:asciiTheme="minorEastAsia" w:eastAsiaTheme="minorEastAsia" w:hAnsiTheme="minorEastAsia" w:hint="eastAsia"/>
          <w:bCs/>
          <w:szCs w:val="21"/>
        </w:rPr>
        <w:t>支付给基金管理人。若遇法定节假日、公休假或不可抗力等，支付日期顺延。</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w:t>
      </w:r>
      <w:r>
        <w:rPr>
          <w:rFonts w:asciiTheme="minorEastAsia" w:eastAsiaTheme="minorEastAsia" w:hAnsiTheme="minorEastAsia"/>
          <w:bCs/>
          <w:szCs w:val="21"/>
        </w:rPr>
        <w:t>2</w:t>
      </w:r>
      <w:r>
        <w:rPr>
          <w:rFonts w:asciiTheme="minorEastAsia" w:eastAsiaTheme="minorEastAsia" w:hAnsiTheme="minorEastAsia" w:hint="eastAsia"/>
          <w:bCs/>
          <w:szCs w:val="21"/>
        </w:rPr>
        <w:t>）或有管理费和超额管理费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或有管理费按前一日基金资产净值的</w:t>
      </w:r>
      <w:r>
        <w:rPr>
          <w:rFonts w:asciiTheme="minorEastAsia" w:eastAsiaTheme="minorEastAsia" w:hAnsiTheme="minorEastAsia"/>
          <w:bCs/>
          <w:szCs w:val="21"/>
        </w:rPr>
        <w:t>0.60%</w:t>
      </w:r>
      <w:r>
        <w:rPr>
          <w:rFonts w:asciiTheme="minorEastAsia" w:eastAsiaTheme="minorEastAsia" w:hAnsiTheme="minorEastAsia" w:hint="eastAsia"/>
          <w:bCs/>
          <w:szCs w:val="21"/>
        </w:rPr>
        <w:t>年费率每日计提。或有管理费的计算方法如下：</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2</w:t>
      </w:r>
      <w:r>
        <w:rPr>
          <w:rFonts w:asciiTheme="minorEastAsia" w:eastAsiaTheme="minorEastAsia" w:hAnsiTheme="minorEastAsia" w:hint="eastAsia"/>
          <w:bCs/>
          <w:szCs w:val="21"/>
        </w:rPr>
        <w:t>＝</w:t>
      </w:r>
      <w:r>
        <w:rPr>
          <w:rFonts w:asciiTheme="minorEastAsia" w:eastAsiaTheme="minorEastAsia" w:hAnsiTheme="minorEastAsia"/>
          <w:bCs/>
          <w:szCs w:val="21"/>
        </w:rPr>
        <w:t>E</w:t>
      </w:r>
      <w:r>
        <w:rPr>
          <w:rFonts w:asciiTheme="minorEastAsia" w:eastAsiaTheme="minorEastAsia" w:hAnsiTheme="minorEastAsia" w:hint="eastAsia"/>
          <w:bCs/>
          <w:szCs w:val="21"/>
        </w:rPr>
        <w:t>×</w:t>
      </w:r>
      <w:r>
        <w:rPr>
          <w:rFonts w:asciiTheme="minorEastAsia" w:eastAsiaTheme="minorEastAsia" w:hAnsiTheme="minorEastAsia"/>
          <w:bCs/>
          <w:szCs w:val="21"/>
        </w:rPr>
        <w:t>0.60%</w:t>
      </w:r>
      <w:r>
        <w:rPr>
          <w:rFonts w:asciiTheme="minorEastAsia" w:eastAsiaTheme="minorEastAsia" w:hAnsiTheme="minorEastAsia" w:hint="eastAsia"/>
          <w:bCs/>
          <w:szCs w:val="21"/>
        </w:rPr>
        <w:t>÷当年实际天数</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2</w:t>
      </w:r>
      <w:r>
        <w:rPr>
          <w:rFonts w:asciiTheme="minorEastAsia" w:eastAsiaTheme="minorEastAsia" w:hAnsiTheme="minorEastAsia" w:hint="eastAsia"/>
          <w:bCs/>
          <w:szCs w:val="21"/>
        </w:rPr>
        <w:t>为每日应计提的或有管理费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E</w:t>
      </w:r>
      <w:r>
        <w:rPr>
          <w:rFonts w:asciiTheme="minorEastAsia" w:eastAsiaTheme="minorEastAsia" w:hAnsiTheme="minorEastAsia" w:hint="eastAsia"/>
          <w:bCs/>
          <w:szCs w:val="21"/>
        </w:rPr>
        <w:t>为前一日的基金资产净值</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投资者赎回、转换转出基金份额或基金合同终止的情形发生时，若该笔基金份额持有天数达到或超过</w:t>
      </w:r>
      <w:r>
        <w:rPr>
          <w:rFonts w:asciiTheme="minorEastAsia" w:eastAsiaTheme="minorEastAsia" w:hAnsiTheme="minorEastAsia"/>
          <w:bCs/>
          <w:szCs w:val="21"/>
        </w:rPr>
        <w:t>365</w:t>
      </w:r>
      <w:r>
        <w:rPr>
          <w:rFonts w:asciiTheme="minorEastAsia" w:eastAsiaTheme="minorEastAsia" w:hAnsiTheme="minorEastAsia" w:hint="eastAsia"/>
          <w:bCs/>
          <w:szCs w:val="21"/>
        </w:rPr>
        <w:t>天，且该笔基金份额的持有收益率</w:t>
      </w:r>
      <w:r>
        <w:rPr>
          <w:rFonts w:asciiTheme="minorEastAsia" w:eastAsiaTheme="minorEastAsia" w:hAnsiTheme="minorEastAsia"/>
          <w:bCs/>
          <w:szCs w:val="21"/>
        </w:rPr>
        <w:t>R</w:t>
      </w:r>
      <w:r>
        <w:rPr>
          <w:rFonts w:asciiTheme="minorEastAsia" w:eastAsiaTheme="minorEastAsia" w:hAnsiTheme="minorEastAsia" w:hint="eastAsia"/>
          <w:bCs/>
          <w:szCs w:val="21"/>
        </w:rPr>
        <w:t>符合下表“情形一”的收取情形，或有管理费为</w:t>
      </w:r>
      <w:r>
        <w:rPr>
          <w:rFonts w:asciiTheme="minorEastAsia" w:eastAsiaTheme="minorEastAsia" w:hAnsiTheme="minorEastAsia"/>
          <w:bCs/>
          <w:szCs w:val="21"/>
        </w:rPr>
        <w:t>0</w:t>
      </w:r>
      <w:r>
        <w:rPr>
          <w:rFonts w:asciiTheme="minorEastAsia" w:eastAsiaTheme="minorEastAsia" w:hAnsiTheme="minorEastAsia" w:hint="eastAsia"/>
          <w:bCs/>
          <w:szCs w:val="21"/>
        </w:rPr>
        <w:t>，则该笔基金份额持有期内计提的或有管理费将全额随赎回款（或清算款）一并返还给投资者；在其他情形下，该笔基金份额持有期内计提的或有管理费应确认为应由基金管理人收取的管理费。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本基金每日预估计算并记录每笔基金份额的超额管理费，基金超额管理费的预估计算方法如下：</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3</w:t>
      </w:r>
      <w:r>
        <w:rPr>
          <w:rFonts w:asciiTheme="minorEastAsia" w:eastAsiaTheme="minorEastAsia" w:hAnsiTheme="minorEastAsia" w:hint="eastAsia"/>
          <w:bCs/>
          <w:szCs w:val="21"/>
        </w:rPr>
        <w:t>＝</w:t>
      </w:r>
      <w:r>
        <w:rPr>
          <w:rFonts w:asciiTheme="minorEastAsia" w:eastAsiaTheme="minorEastAsia" w:hAnsiTheme="minorEastAsia"/>
          <w:bCs/>
          <w:szCs w:val="21"/>
        </w:rPr>
        <w:t>E</w:t>
      </w:r>
      <w:r>
        <w:rPr>
          <w:rFonts w:asciiTheme="minorEastAsia" w:eastAsiaTheme="minorEastAsia" w:hAnsiTheme="minorEastAsia" w:hint="eastAsia"/>
          <w:bCs/>
          <w:szCs w:val="21"/>
        </w:rPr>
        <w:t>×</w:t>
      </w:r>
      <w:r>
        <w:rPr>
          <w:rFonts w:asciiTheme="minorEastAsia" w:eastAsiaTheme="minorEastAsia" w:hAnsiTheme="minorEastAsia"/>
          <w:bCs/>
          <w:szCs w:val="21"/>
        </w:rPr>
        <w:t>0.30%</w:t>
      </w:r>
      <w:r>
        <w:rPr>
          <w:rFonts w:asciiTheme="minorEastAsia" w:eastAsiaTheme="minorEastAsia" w:hAnsiTheme="minorEastAsia" w:hint="eastAsia"/>
          <w:bCs/>
          <w:szCs w:val="21"/>
        </w:rPr>
        <w:t>÷当年实际天数</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H</w:t>
      </w:r>
      <w:r>
        <w:rPr>
          <w:rFonts w:asciiTheme="minorEastAsia" w:eastAsiaTheme="minorEastAsia" w:hAnsiTheme="minorEastAsia"/>
          <w:bCs/>
          <w:szCs w:val="21"/>
          <w:vertAlign w:val="subscript"/>
        </w:rPr>
        <w:t>3</w:t>
      </w:r>
      <w:r>
        <w:rPr>
          <w:rFonts w:asciiTheme="minorEastAsia" w:eastAsiaTheme="minorEastAsia" w:hAnsiTheme="minorEastAsia" w:hint="eastAsia"/>
          <w:bCs/>
          <w:szCs w:val="21"/>
        </w:rPr>
        <w:t>为每日预估计算的基金超额管理费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E</w:t>
      </w:r>
      <w:r>
        <w:rPr>
          <w:rFonts w:asciiTheme="minorEastAsia" w:eastAsiaTheme="minorEastAsia" w:hAnsiTheme="minorEastAsia" w:hint="eastAsia"/>
          <w:bCs/>
          <w:szCs w:val="21"/>
        </w:rPr>
        <w:t>为前一日的基金资产净值</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每笔基金份额的超额管理费每日预估计算，但不从基金资产中实际计提，逐日累计。投资者赎回、转换转出基金份额或基金合同终止的情形发生时，当且仅当该笔基金份额持有天数达到或超过</w:t>
      </w:r>
      <w:r>
        <w:rPr>
          <w:rFonts w:asciiTheme="minorEastAsia" w:eastAsiaTheme="minorEastAsia" w:hAnsiTheme="minorEastAsia"/>
          <w:bCs/>
          <w:szCs w:val="21"/>
        </w:rPr>
        <w:t>365</w:t>
      </w:r>
      <w:r>
        <w:rPr>
          <w:rFonts w:asciiTheme="minorEastAsia" w:eastAsiaTheme="minorEastAsia" w:hAnsiTheme="minorEastAsia" w:hint="eastAsia"/>
          <w:bCs/>
          <w:szCs w:val="21"/>
        </w:rPr>
        <w:t>天，且该笔基金份额的年化收益率（</w:t>
      </w:r>
      <w:r>
        <w:rPr>
          <w:rFonts w:asciiTheme="minorEastAsia" w:eastAsiaTheme="minorEastAsia" w:hAnsiTheme="minorEastAsia"/>
          <w:bCs/>
          <w:szCs w:val="21"/>
        </w:rPr>
        <w:t>R</w:t>
      </w:r>
      <w:r>
        <w:rPr>
          <w:rFonts w:asciiTheme="minorEastAsia" w:eastAsiaTheme="minorEastAsia" w:hAnsiTheme="minorEastAsia" w:hint="eastAsia"/>
          <w:bCs/>
          <w:szCs w:val="21"/>
        </w:rPr>
        <w:t>）符合下表“情形三”的收取情形，将从该笔基金份额的赎回款（或清算款）中扣除</w:t>
      </w:r>
      <w:r>
        <w:rPr>
          <w:rFonts w:asciiTheme="minorEastAsia" w:eastAsiaTheme="minorEastAsia" w:hAnsiTheme="minorEastAsia"/>
          <w:bCs/>
          <w:szCs w:val="21"/>
        </w:rPr>
        <w:t>0.30%</w:t>
      </w:r>
      <w:r>
        <w:rPr>
          <w:rFonts w:asciiTheme="minorEastAsia" w:eastAsiaTheme="minorEastAsia" w:hAnsiTheme="minorEastAsia" w:hint="eastAsia"/>
          <w:bCs/>
          <w:szCs w:val="21"/>
        </w:rPr>
        <w:t>年费率的超额管理费，并随已计提的或有管理费一同确认为应由基金管理人收取的管理费。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当基金份额持有天数达到或超过365天，投资者赎回、转换转出基金份额或基金合同终止的情形发生时，本基金根据以下三种情形确认应实际收取的或有管理费和超额管理费：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933"/>
        <w:gridCol w:w="1701"/>
        <w:gridCol w:w="1701"/>
      </w:tblGrid>
      <w:tr w:rsidR="001D0D89">
        <w:trPr>
          <w:trHeight w:val="454"/>
          <w:jc w:val="center"/>
        </w:trPr>
        <w:tc>
          <w:tcPr>
            <w:tcW w:w="1247" w:type="dxa"/>
            <w:vAlign w:val="center"/>
          </w:tcPr>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收取情形</w:t>
            </w:r>
          </w:p>
        </w:tc>
        <w:tc>
          <w:tcPr>
            <w:tcW w:w="2933" w:type="dxa"/>
            <w:vAlign w:val="center"/>
          </w:tcPr>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年化收益率（</w:t>
            </w:r>
            <w:r>
              <w:rPr>
                <w:rFonts w:asciiTheme="minorEastAsia" w:eastAsiaTheme="minorEastAsia" w:hAnsiTheme="minorEastAsia"/>
                <w:b/>
                <w:bCs/>
                <w:szCs w:val="21"/>
              </w:rPr>
              <w:t>R）</w:t>
            </w:r>
          </w:p>
        </w:tc>
        <w:tc>
          <w:tcPr>
            <w:tcW w:w="1701" w:type="dxa"/>
            <w:vAlign w:val="center"/>
          </w:tcPr>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或有管理费</w:t>
            </w:r>
          </w:p>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（年费率）</w:t>
            </w:r>
          </w:p>
        </w:tc>
        <w:tc>
          <w:tcPr>
            <w:tcW w:w="1701" w:type="dxa"/>
            <w:vAlign w:val="center"/>
          </w:tcPr>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超额管理费</w:t>
            </w:r>
          </w:p>
          <w:p w:rsidR="001D0D89" w:rsidRDefault="00F1175F">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（年费率）</w:t>
            </w:r>
          </w:p>
        </w:tc>
      </w:tr>
      <w:tr w:rsidR="001D0D89">
        <w:trPr>
          <w:trHeight w:val="454"/>
          <w:jc w:val="center"/>
        </w:trPr>
        <w:tc>
          <w:tcPr>
            <w:tcW w:w="1247"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hint="eastAsia"/>
                <w:bCs/>
                <w:szCs w:val="21"/>
              </w:rPr>
              <w:lastRenderedPageBreak/>
              <w:t>情形</w:t>
            </w:r>
            <w:r>
              <w:rPr>
                <w:rFonts w:asciiTheme="minorEastAsia" w:eastAsiaTheme="minorEastAsia" w:hAnsiTheme="minorEastAsia" w:hint="eastAsia"/>
                <w:szCs w:val="21"/>
              </w:rPr>
              <w:t>一</w:t>
            </w:r>
          </w:p>
        </w:tc>
        <w:tc>
          <w:tcPr>
            <w:tcW w:w="2933" w:type="dxa"/>
            <w:vAlign w:val="center"/>
          </w:tcPr>
          <w:p w:rsidR="001D0D89" w:rsidRDefault="00F1175F">
            <w:pPr>
              <w:jc w:val="center"/>
              <w:rPr>
                <w:rFonts w:asciiTheme="minorEastAsia" w:eastAsiaTheme="minorEastAsia" w:hAnsiTheme="minorEastAsia"/>
                <w:i/>
                <w:szCs w:val="21"/>
              </w:rPr>
            </w:pPr>
            <w:r>
              <w:rPr>
                <w:rFonts w:asciiTheme="minorEastAsia" w:eastAsiaTheme="minorEastAsia" w:hAnsiTheme="minorEastAsia" w:hint="eastAsia"/>
                <w:szCs w:val="21"/>
              </w:rPr>
              <w:t>R≤R</w:t>
            </w:r>
            <w:r>
              <w:rPr>
                <w:rFonts w:asciiTheme="minorEastAsia" w:eastAsiaTheme="minorEastAsia" w:hAnsiTheme="minorEastAsia" w:hint="eastAsia"/>
                <w:szCs w:val="21"/>
                <w:vertAlign w:val="subscript"/>
              </w:rPr>
              <w:t>b</w:t>
            </w:r>
            <w:r>
              <w:rPr>
                <w:rFonts w:asciiTheme="minorEastAsia" w:eastAsiaTheme="minorEastAsia" w:hAnsiTheme="minorEastAsia" w:hint="eastAsia"/>
                <w:szCs w:val="21"/>
              </w:rPr>
              <w:t>-3%</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w:t>
            </w:r>
          </w:p>
        </w:tc>
      </w:tr>
      <w:tr w:rsidR="001D0D89">
        <w:trPr>
          <w:trHeight w:val="454"/>
          <w:jc w:val="center"/>
        </w:trPr>
        <w:tc>
          <w:tcPr>
            <w:tcW w:w="1247"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hint="eastAsia"/>
                <w:bCs/>
                <w:szCs w:val="21"/>
              </w:rPr>
              <w:t>情形</w:t>
            </w:r>
            <w:r>
              <w:rPr>
                <w:rFonts w:asciiTheme="minorEastAsia" w:eastAsiaTheme="minorEastAsia" w:hAnsiTheme="minorEastAsia" w:hint="eastAsia"/>
                <w:szCs w:val="21"/>
              </w:rPr>
              <w:t>二</w:t>
            </w:r>
          </w:p>
        </w:tc>
        <w:tc>
          <w:tcPr>
            <w:tcW w:w="2933"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hint="eastAsia"/>
                <w:bCs/>
                <w:szCs w:val="21"/>
              </w:rPr>
              <w:t>其他情形</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0.60%</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w:t>
            </w:r>
          </w:p>
        </w:tc>
      </w:tr>
      <w:tr w:rsidR="001D0D89">
        <w:trPr>
          <w:trHeight w:val="454"/>
          <w:jc w:val="center"/>
        </w:trPr>
        <w:tc>
          <w:tcPr>
            <w:tcW w:w="1247"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hint="eastAsia"/>
                <w:szCs w:val="21"/>
              </w:rPr>
              <w:t>情形三</w:t>
            </w:r>
          </w:p>
        </w:tc>
        <w:tc>
          <w:tcPr>
            <w:tcW w:w="2933" w:type="dxa"/>
            <w:vAlign w:val="center"/>
          </w:tcPr>
          <w:p w:rsidR="001D0D89" w:rsidRDefault="00F1175F">
            <w:pPr>
              <w:spacing w:line="276" w:lineRule="auto"/>
              <w:jc w:val="center"/>
              <w:rPr>
                <w:rFonts w:asciiTheme="minorEastAsia" w:eastAsiaTheme="minorEastAsia" w:hAnsiTheme="minorEastAsia"/>
                <w:b/>
                <w:bCs/>
                <w:szCs w:val="21"/>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0</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0.60%</w:t>
            </w:r>
          </w:p>
        </w:tc>
        <w:tc>
          <w:tcPr>
            <w:tcW w:w="1701" w:type="dxa"/>
            <w:vAlign w:val="center"/>
          </w:tcPr>
          <w:p w:rsidR="001D0D89" w:rsidRDefault="00F1175F">
            <w:pPr>
              <w:jc w:val="center"/>
              <w:rPr>
                <w:rFonts w:asciiTheme="minorEastAsia" w:eastAsiaTheme="minorEastAsia" w:hAnsiTheme="minorEastAsia"/>
                <w:szCs w:val="21"/>
              </w:rPr>
            </w:pPr>
            <w:r>
              <w:rPr>
                <w:rFonts w:asciiTheme="minorEastAsia" w:eastAsiaTheme="minorEastAsia" w:hAnsiTheme="minorEastAsia"/>
                <w:szCs w:val="21"/>
              </w:rPr>
              <w:t>0.30%</w:t>
            </w:r>
          </w:p>
        </w:tc>
      </w:tr>
    </w:tbl>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对于“情形三”，若拟扣除超额管理费后的年化收益率小于等于</w:t>
      </w:r>
      <w:proofErr w:type="spellStart"/>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proofErr w:type="spellEnd"/>
      <w:r>
        <w:rPr>
          <w:rFonts w:asciiTheme="minorEastAsia" w:eastAsiaTheme="minorEastAsia" w:hAnsiTheme="minorEastAsia"/>
          <w:bCs/>
          <w:szCs w:val="21"/>
        </w:rPr>
        <w:t xml:space="preserve"> +6%</w:t>
      </w:r>
      <w:r>
        <w:rPr>
          <w:rFonts w:asciiTheme="minorEastAsia" w:eastAsiaTheme="minorEastAsia" w:hAnsiTheme="minorEastAsia" w:hint="eastAsia"/>
          <w:bCs/>
          <w:szCs w:val="21"/>
        </w:rPr>
        <w:t>，或小于等于</w:t>
      </w:r>
      <w:r>
        <w:rPr>
          <w:rFonts w:asciiTheme="minorEastAsia" w:eastAsiaTheme="minorEastAsia" w:hAnsiTheme="minorEastAsia"/>
          <w:bCs/>
          <w:szCs w:val="21"/>
        </w:rPr>
        <w:t>0</w:t>
      </w:r>
      <w:r>
        <w:rPr>
          <w:rFonts w:asciiTheme="minorEastAsia" w:eastAsiaTheme="minorEastAsia" w:hAnsiTheme="minorEastAsia" w:hint="eastAsia"/>
          <w:bCs/>
          <w:szCs w:val="21"/>
        </w:rPr>
        <w:t>时，仍按</w:t>
      </w:r>
      <w:r>
        <w:rPr>
          <w:rFonts w:asciiTheme="minorEastAsia" w:eastAsiaTheme="minorEastAsia" w:hAnsiTheme="minorEastAsia"/>
          <w:bCs/>
          <w:szCs w:val="21"/>
        </w:rPr>
        <w:t>1.20%</w:t>
      </w:r>
      <w:r>
        <w:rPr>
          <w:rFonts w:asciiTheme="minorEastAsia" w:eastAsiaTheme="minorEastAsia" w:hAnsiTheme="minorEastAsia" w:hint="eastAsia"/>
          <w:bCs/>
          <w:szCs w:val="21"/>
        </w:rPr>
        <w:t>年费率收取该笔基金份额的管理费，以使得该笔基金份额在扣除超额管理费后的年化收益率仍需满足本基金收取超额管理费的标准。</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每笔基金份额的年化收益率（</w:t>
      </w:r>
      <w:r>
        <w:rPr>
          <w:rFonts w:asciiTheme="minorEastAsia" w:eastAsiaTheme="minorEastAsia" w:hAnsiTheme="minorEastAsia"/>
          <w:bCs/>
          <w:szCs w:val="21"/>
        </w:rPr>
        <w:t>R</w:t>
      </w:r>
      <w:r>
        <w:rPr>
          <w:rFonts w:asciiTheme="minorEastAsia" w:eastAsiaTheme="minorEastAsia" w:hAnsiTheme="minorEastAsia" w:hint="eastAsia"/>
          <w:bCs/>
          <w:szCs w:val="21"/>
        </w:rPr>
        <w:t>）计算方法如下：</w:t>
      </w:r>
    </w:p>
    <w:p w:rsidR="001D0D89" w:rsidRDefault="00F1175F">
      <w:pPr>
        <w:ind w:firstLine="480"/>
        <w:rPr>
          <w:rFonts w:asciiTheme="minorEastAsia" w:eastAsiaTheme="minorEastAsia" w:hAnsiTheme="minorEastAsia" w:cs="Arial"/>
          <w:iCs/>
          <w:szCs w:val="21"/>
        </w:rPr>
      </w:pPr>
      <w:r>
        <w:rPr>
          <w:rFonts w:asciiTheme="minorEastAsia" w:eastAsiaTheme="minorEastAsia" w:hAnsiTheme="minorEastAsia" w:cs="Arial"/>
          <w:iCs/>
          <w:szCs w:val="21"/>
        </w:rPr>
        <w:t xml:space="preserve">                  </w:t>
      </w:r>
      <w:r w:rsidRPr="00ED7D97">
        <w:rPr>
          <w:rFonts w:asciiTheme="minorEastAsia" w:eastAsiaTheme="minorEastAsia" w:hAnsiTheme="minorEastAsia" w:cs="Arial"/>
          <w:iCs/>
          <w:noProof/>
          <w:szCs w:val="21"/>
        </w:rPr>
        <w:drawing>
          <wp:inline distT="0" distB="0" distL="0" distR="0">
            <wp:extent cx="167640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76400" cy="400050"/>
                    </a:xfrm>
                    <a:prstGeom prst="rect">
                      <a:avLst/>
                    </a:prstGeom>
                    <a:noFill/>
                    <a:ln>
                      <a:noFill/>
                    </a:ln>
                  </pic:spPr>
                </pic:pic>
              </a:graphicData>
            </a:graphic>
          </wp:inline>
        </w:drawing>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拟扣除超额管理费后的年化收益率（</w:t>
      </w:r>
      <w:r>
        <w:rPr>
          <w:rFonts w:asciiTheme="minorEastAsia" w:eastAsiaTheme="minorEastAsia" w:hAnsiTheme="minorEastAsia"/>
          <w:bCs/>
          <w:szCs w:val="21"/>
        </w:rPr>
        <w:t>R*</w:t>
      </w:r>
      <w:r>
        <w:rPr>
          <w:rFonts w:asciiTheme="minorEastAsia" w:eastAsiaTheme="minorEastAsia" w:hAnsiTheme="minorEastAsia" w:hint="eastAsia"/>
          <w:bCs/>
          <w:szCs w:val="21"/>
        </w:rPr>
        <w:t>）的计算方法如下：</w:t>
      </w:r>
    </w:p>
    <w:p w:rsidR="001D0D89" w:rsidRDefault="00F1175F">
      <w:pPr>
        <w:spacing w:line="360" w:lineRule="auto"/>
        <w:ind w:firstLineChars="200" w:firstLine="420"/>
        <w:jc w:val="center"/>
        <w:rPr>
          <w:rFonts w:asciiTheme="minorEastAsia" w:eastAsiaTheme="minorEastAsia" w:hAnsiTheme="minorEastAsia"/>
          <w:bCs/>
          <w:szCs w:val="21"/>
        </w:rPr>
      </w:pPr>
      <w:r w:rsidRPr="00ED7D97">
        <w:rPr>
          <w:rFonts w:asciiTheme="minorEastAsia" w:eastAsiaTheme="minorEastAsia" w:hAnsiTheme="minorEastAsia"/>
          <w:bCs/>
          <w:noProof/>
          <w:szCs w:val="21"/>
        </w:rPr>
        <w:drawing>
          <wp:inline distT="0" distB="0" distL="0" distR="0">
            <wp:extent cx="251460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14600" cy="400050"/>
                    </a:xfrm>
                    <a:prstGeom prst="rect">
                      <a:avLst/>
                    </a:prstGeom>
                    <a:noFill/>
                    <a:ln>
                      <a:noFill/>
                    </a:ln>
                  </pic:spPr>
                </pic:pic>
              </a:graphicData>
            </a:graphic>
          </wp:inline>
        </w:drawing>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R</w:t>
      </w:r>
      <w:r>
        <w:rPr>
          <w:rFonts w:asciiTheme="minorEastAsia" w:eastAsiaTheme="minorEastAsia" w:hAnsiTheme="minorEastAsia" w:hint="eastAsia"/>
          <w:bCs/>
          <w:szCs w:val="21"/>
        </w:rPr>
        <w:t>为该笔基金份额的年化收益率；</w:t>
      </w:r>
      <w:proofErr w:type="spellStart"/>
      <w:r>
        <w:rPr>
          <w:rFonts w:asciiTheme="minorEastAsia" w:eastAsiaTheme="minorEastAsia" w:hAnsiTheme="minorEastAsia"/>
          <w:bCs/>
          <w:szCs w:val="21"/>
        </w:rPr>
        <w:t>R</w:t>
      </w:r>
      <w:r>
        <w:rPr>
          <w:rFonts w:asciiTheme="minorEastAsia" w:eastAsiaTheme="minorEastAsia" w:hAnsiTheme="minorEastAsia"/>
          <w:bCs/>
          <w:szCs w:val="21"/>
          <w:vertAlign w:val="subscript"/>
        </w:rPr>
        <w:t>b</w:t>
      </w:r>
      <w:proofErr w:type="spellEnd"/>
      <w:r>
        <w:rPr>
          <w:rFonts w:asciiTheme="minorEastAsia" w:eastAsiaTheme="minorEastAsia" w:hAnsiTheme="minorEastAsia" w:hint="eastAsia"/>
          <w:bCs/>
          <w:szCs w:val="21"/>
        </w:rPr>
        <w:t>为本基金业绩比较基准同期年化收益率；</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A</w:t>
      </w:r>
      <w:r>
        <w:rPr>
          <w:rFonts w:asciiTheme="minorEastAsia" w:eastAsiaTheme="minorEastAsia" w:hAnsiTheme="minorEastAsia" w:hint="eastAsia"/>
          <w:bCs/>
          <w:szCs w:val="21"/>
        </w:rPr>
        <w:t>为该笔基金份额赎回日、转换转出日或基金合同终止情形发生日的基金份额累计净值；</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B</w:t>
      </w:r>
      <w:r>
        <w:rPr>
          <w:rFonts w:asciiTheme="minorEastAsia" w:eastAsiaTheme="minorEastAsia" w:hAnsiTheme="minorEastAsia" w:hint="eastAsia"/>
          <w:bCs/>
          <w:szCs w:val="21"/>
        </w:rPr>
        <w:t>为该笔基金份额认购</w:t>
      </w:r>
      <w:r>
        <w:rPr>
          <w:rFonts w:asciiTheme="minorEastAsia" w:eastAsiaTheme="minorEastAsia" w:hAnsiTheme="minorEastAsia"/>
          <w:bCs/>
          <w:szCs w:val="21"/>
        </w:rPr>
        <w:t>/</w:t>
      </w:r>
      <w:r>
        <w:rPr>
          <w:rFonts w:asciiTheme="minorEastAsia" w:eastAsiaTheme="minorEastAsia" w:hAnsiTheme="minorEastAsia" w:hint="eastAsia"/>
          <w:bCs/>
          <w:szCs w:val="21"/>
        </w:rPr>
        <w:t>申购</w:t>
      </w:r>
      <w:r>
        <w:rPr>
          <w:rFonts w:asciiTheme="minorEastAsia" w:eastAsiaTheme="minorEastAsia" w:hAnsiTheme="minorEastAsia"/>
          <w:bCs/>
          <w:szCs w:val="21"/>
        </w:rPr>
        <w:t>/</w:t>
      </w:r>
      <w:r>
        <w:rPr>
          <w:rFonts w:asciiTheme="minorEastAsia" w:eastAsiaTheme="minorEastAsia" w:hAnsiTheme="minorEastAsia" w:hint="eastAsia"/>
          <w:bCs/>
          <w:szCs w:val="21"/>
        </w:rPr>
        <w:t>转换转入日的基金份额累计净值，其中份额认购日的基金份额（累计）净值为</w:t>
      </w:r>
      <w:r>
        <w:rPr>
          <w:rFonts w:asciiTheme="minorEastAsia" w:eastAsiaTheme="minorEastAsia" w:hAnsiTheme="minorEastAsia"/>
          <w:bCs/>
          <w:szCs w:val="21"/>
        </w:rPr>
        <w:t>1.00</w:t>
      </w:r>
      <w:r>
        <w:rPr>
          <w:rFonts w:asciiTheme="minorEastAsia" w:eastAsiaTheme="minorEastAsia" w:hAnsiTheme="minorEastAsia" w:hint="eastAsia"/>
          <w:bCs/>
          <w:szCs w:val="21"/>
        </w:rPr>
        <w:t>元；</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C</w:t>
      </w:r>
      <w:r>
        <w:rPr>
          <w:rFonts w:asciiTheme="minorEastAsia" w:eastAsiaTheme="minorEastAsia" w:hAnsiTheme="minorEastAsia" w:hint="eastAsia"/>
          <w:bCs/>
          <w:szCs w:val="21"/>
        </w:rPr>
        <w:t>为该笔基金份额认购</w:t>
      </w:r>
      <w:r>
        <w:rPr>
          <w:rFonts w:asciiTheme="minorEastAsia" w:eastAsiaTheme="minorEastAsia" w:hAnsiTheme="minorEastAsia"/>
          <w:bCs/>
          <w:szCs w:val="21"/>
        </w:rPr>
        <w:t>/</w:t>
      </w:r>
      <w:r>
        <w:rPr>
          <w:rFonts w:asciiTheme="minorEastAsia" w:eastAsiaTheme="minorEastAsia" w:hAnsiTheme="minorEastAsia" w:hint="eastAsia"/>
          <w:bCs/>
          <w:szCs w:val="21"/>
        </w:rPr>
        <w:t>申购</w:t>
      </w:r>
      <w:r>
        <w:rPr>
          <w:rFonts w:asciiTheme="minorEastAsia" w:eastAsiaTheme="minorEastAsia" w:hAnsiTheme="minorEastAsia"/>
          <w:bCs/>
          <w:szCs w:val="21"/>
        </w:rPr>
        <w:t>/</w:t>
      </w:r>
      <w:r>
        <w:rPr>
          <w:rFonts w:asciiTheme="minorEastAsia" w:eastAsiaTheme="minorEastAsia" w:hAnsiTheme="minorEastAsia" w:hint="eastAsia"/>
          <w:bCs/>
          <w:szCs w:val="21"/>
        </w:rPr>
        <w:t>转换转入日的基金份额净值，其中份额认购日的基金份额净值为</w:t>
      </w:r>
      <w:r>
        <w:rPr>
          <w:rFonts w:asciiTheme="minorEastAsia" w:eastAsiaTheme="minorEastAsia" w:hAnsiTheme="minorEastAsia"/>
          <w:bCs/>
          <w:szCs w:val="21"/>
        </w:rPr>
        <w:t>1.00</w:t>
      </w:r>
      <w:r>
        <w:rPr>
          <w:rFonts w:asciiTheme="minorEastAsia" w:eastAsiaTheme="minorEastAsia" w:hAnsiTheme="minorEastAsia" w:hint="eastAsia"/>
          <w:bCs/>
          <w:szCs w:val="21"/>
        </w:rPr>
        <w:t>元；</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D</w:t>
      </w:r>
      <w:r>
        <w:rPr>
          <w:rFonts w:asciiTheme="minorEastAsia" w:eastAsiaTheme="minorEastAsia" w:hAnsiTheme="minorEastAsia" w:hint="eastAsia"/>
          <w:bCs/>
          <w:szCs w:val="21"/>
        </w:rPr>
        <w:t>为基金合同生效日（针对募集期内认购的基金份额）或该笔基金份额申购/转换转入确认日与赎回/转换转出确认日或基金合同终止情形发生日下一工作日的间隔天数；</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F</w:t>
      </w:r>
      <w:r>
        <w:rPr>
          <w:rFonts w:asciiTheme="minorEastAsia" w:eastAsiaTheme="minorEastAsia" w:hAnsiTheme="minorEastAsia" w:hint="eastAsia"/>
          <w:bCs/>
          <w:szCs w:val="21"/>
        </w:rPr>
        <w:t>为该笔基金份额的份额数；</w:t>
      </w:r>
    </w:p>
    <w:p w:rsidR="001D0D89" w:rsidRDefault="00F1175F">
      <w:pPr>
        <w:spacing w:line="360" w:lineRule="auto"/>
        <w:ind w:firstLineChars="200" w:firstLine="420"/>
        <w:rPr>
          <w:rFonts w:asciiTheme="minorEastAsia" w:eastAsiaTheme="minorEastAsia" w:hAnsiTheme="minorEastAsia"/>
          <w:bCs/>
          <w:szCs w:val="21"/>
        </w:rPr>
      </w:pPr>
      <w:r>
        <w:rPr>
          <w:rFonts w:ascii="Cambria Math" w:eastAsiaTheme="minorEastAsia" w:hAnsi="Cambria Math" w:cs="Cambria Math"/>
          <w:bCs/>
          <w:szCs w:val="21"/>
        </w:rPr>
        <w:t>𝑀𝑐</w:t>
      </w:r>
      <w:r>
        <w:rPr>
          <w:rFonts w:asciiTheme="minorEastAsia" w:eastAsiaTheme="minorEastAsia" w:hAnsiTheme="minorEastAsia" w:hint="eastAsia"/>
          <w:bCs/>
          <w:szCs w:val="21"/>
        </w:rPr>
        <w:t>为该笔基金份额持有期内累计计算的超额管理费。</w:t>
      </w:r>
    </w:p>
    <w:p w:rsidR="001D0D89" w:rsidRDefault="00F1175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对于已经确认为基金管理人收入的或有管理费和超额管理费，经基金管理人与基金托管人核对一致后，由基金托管人按照与基金管理人协商一致的方式于次月首日起5个工作日内</w:t>
      </w:r>
      <w:r>
        <w:rPr>
          <w:rFonts w:asciiTheme="minorEastAsia" w:eastAsiaTheme="minorEastAsia" w:hAnsiTheme="minorEastAsia"/>
          <w:bCs/>
          <w:szCs w:val="21"/>
        </w:rPr>
        <w:t>从基金财产中一次性</w:t>
      </w:r>
      <w:r>
        <w:rPr>
          <w:rFonts w:asciiTheme="minorEastAsia" w:eastAsiaTheme="minorEastAsia" w:hAnsiTheme="minorEastAsia" w:hint="eastAsia"/>
          <w:bCs/>
          <w:szCs w:val="21"/>
        </w:rPr>
        <w:t>支付给基金管理人。若遇法定节假日、公休假或不可抗力等，支付日期顺延。</w:t>
      </w:r>
    </w:p>
    <w:p w:rsidR="001D0D89" w:rsidRDefault="00F1175F">
      <w:pPr>
        <w:spacing w:line="360" w:lineRule="auto"/>
        <w:ind w:right="28"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64"/>
      <w:bookmarkEnd w:id="65"/>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（二）基金托管人的托管费</w:t>
      </w:r>
    </w:p>
    <w:p w:rsidR="001D0D89" w:rsidRPr="00ED7D97" w:rsidRDefault="00F1175F">
      <w:pPr>
        <w:spacing w:line="360" w:lineRule="auto"/>
        <w:ind w:firstLineChars="200" w:firstLine="420"/>
        <w:rPr>
          <w:rFonts w:ascii="宋体" w:hAnsi="宋体"/>
          <w:szCs w:val="21"/>
        </w:rPr>
      </w:pPr>
      <w:r w:rsidRPr="00ED7D97">
        <w:rPr>
          <w:rFonts w:ascii="宋体" w:hAnsi="宋体" w:hint="eastAsia"/>
          <w:szCs w:val="21"/>
        </w:rPr>
        <w:lastRenderedPageBreak/>
        <w:t>本基金的托管费按前一日基金资产净值的</w:t>
      </w:r>
      <w:r w:rsidRPr="00ED7D97">
        <w:rPr>
          <w:rFonts w:ascii="宋体" w:hAnsi="宋体"/>
          <w:szCs w:val="21"/>
        </w:rPr>
        <w:t>0.20%</w:t>
      </w:r>
      <w:r w:rsidRPr="00ED7D97">
        <w:rPr>
          <w:rFonts w:ascii="宋体" w:hAnsi="宋体" w:hint="eastAsia"/>
          <w:szCs w:val="21"/>
        </w:rPr>
        <w:t>年费率计提。托管费的计算方法如下：</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H</w:t>
      </w:r>
      <w:r w:rsidRPr="00ED7D97">
        <w:rPr>
          <w:rFonts w:ascii="宋体" w:hAnsi="宋体" w:hint="eastAsia"/>
          <w:szCs w:val="21"/>
        </w:rPr>
        <w:t>＝</w:t>
      </w:r>
      <w:r w:rsidRPr="00ED7D97">
        <w:rPr>
          <w:rFonts w:ascii="宋体" w:hAnsi="宋体"/>
          <w:szCs w:val="21"/>
        </w:rPr>
        <w:t>E×0.20%</w:t>
      </w:r>
      <w:r w:rsidRPr="00ED7D97">
        <w:rPr>
          <w:rFonts w:ascii="宋体" w:hAnsi="宋体" w:hint="eastAsia"/>
          <w:szCs w:val="21"/>
        </w:rPr>
        <w:t>÷当年实际天数</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H</w:t>
      </w:r>
      <w:r w:rsidRPr="00ED7D97">
        <w:rPr>
          <w:rFonts w:ascii="宋体" w:hAnsi="宋体" w:hint="eastAsia"/>
          <w:szCs w:val="21"/>
        </w:rPr>
        <w:t>为每日应计提的基金托管费</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E</w:t>
      </w:r>
      <w:r w:rsidRPr="00ED7D97">
        <w:rPr>
          <w:rFonts w:ascii="宋体" w:hAnsi="宋体" w:hint="eastAsia"/>
          <w:szCs w:val="21"/>
        </w:rPr>
        <w:t>为前一日的基金资产净值</w:t>
      </w:r>
    </w:p>
    <w:p w:rsidR="001D0D89" w:rsidRPr="00ED7D97" w:rsidRDefault="00F1175F">
      <w:pPr>
        <w:spacing w:line="360" w:lineRule="auto"/>
        <w:ind w:firstLineChars="200" w:firstLine="420"/>
        <w:rPr>
          <w:rFonts w:ascii="宋体" w:hAnsi="宋体"/>
          <w:szCs w:val="21"/>
        </w:rPr>
      </w:pPr>
      <w:r w:rsidRPr="00ED7D97">
        <w:rPr>
          <w:rFonts w:ascii="宋体" w:hAnsi="宋体" w:hint="eastAsia"/>
          <w:szCs w:val="21"/>
        </w:rPr>
        <w:t>基金托管费每日计提，逐日累计至每月月末，按月支付。</w:t>
      </w:r>
      <w:r w:rsidR="0010262A" w:rsidRPr="0010262A">
        <w:rPr>
          <w:rFonts w:ascii="宋体" w:hAnsi="宋体" w:hint="eastAsia"/>
          <w:szCs w:val="21"/>
        </w:rPr>
        <w:t>经基金管理人与基金托管人</w:t>
      </w:r>
      <w:r w:rsidRPr="00ED7D97">
        <w:rPr>
          <w:rFonts w:ascii="宋体" w:hAnsi="宋体" w:hint="eastAsia"/>
          <w:szCs w:val="21"/>
        </w:rPr>
        <w:t>核对一致后，由基金托管人按照与基金管理人协商一致的方式于次月首日起</w:t>
      </w:r>
      <w:r w:rsidRPr="00ED7D97">
        <w:rPr>
          <w:rFonts w:ascii="宋体" w:hAnsi="宋体"/>
          <w:szCs w:val="21"/>
        </w:rPr>
        <w:t>5</w:t>
      </w:r>
      <w:r w:rsidRPr="00ED7D97">
        <w:rPr>
          <w:rFonts w:ascii="宋体" w:hAnsi="宋体" w:hint="eastAsia"/>
          <w:szCs w:val="21"/>
        </w:rPr>
        <w:t>个工作日内从基金财产中一次性支取。若遇法定节假日、公休假或不可抗力等，支付日期顺延。</w:t>
      </w:r>
    </w:p>
    <w:p w:rsidR="001D0D89" w:rsidRPr="00ED7D97" w:rsidRDefault="00F1175F">
      <w:pPr>
        <w:spacing w:line="360" w:lineRule="auto"/>
        <w:ind w:firstLineChars="200" w:firstLine="420"/>
        <w:rPr>
          <w:rFonts w:ascii="宋体" w:hAnsi="宋体"/>
          <w:szCs w:val="21"/>
        </w:rPr>
      </w:pPr>
      <w:r>
        <w:rPr>
          <w:rFonts w:ascii="宋体" w:hAnsi="宋体" w:hint="eastAsia"/>
          <w:szCs w:val="21"/>
        </w:rPr>
        <w:t>（三）</w:t>
      </w:r>
      <w:r w:rsidRPr="00ED7D97">
        <w:rPr>
          <w:rFonts w:ascii="宋体" w:hAnsi="宋体"/>
          <w:szCs w:val="21"/>
        </w:rPr>
        <w:t>C</w:t>
      </w:r>
      <w:r w:rsidRPr="00ED7D97">
        <w:rPr>
          <w:rFonts w:ascii="宋体" w:hAnsi="宋体" w:hint="eastAsia"/>
          <w:szCs w:val="21"/>
        </w:rPr>
        <w:t>类基金份额的销售服务费</w:t>
      </w:r>
    </w:p>
    <w:p w:rsidR="001D0D89" w:rsidRPr="00ED7D97" w:rsidRDefault="00F1175F">
      <w:pPr>
        <w:spacing w:line="360" w:lineRule="auto"/>
        <w:ind w:firstLineChars="200" w:firstLine="420"/>
        <w:rPr>
          <w:rFonts w:ascii="宋体" w:hAnsi="宋体"/>
          <w:szCs w:val="21"/>
        </w:rPr>
      </w:pPr>
      <w:r w:rsidRPr="00ED7D97">
        <w:rPr>
          <w:rFonts w:ascii="宋体" w:hAnsi="宋体" w:hint="eastAsia"/>
          <w:szCs w:val="21"/>
        </w:rPr>
        <w:t>本基金</w:t>
      </w:r>
      <w:r w:rsidRPr="00ED7D97">
        <w:rPr>
          <w:rFonts w:ascii="宋体" w:hAnsi="宋体"/>
          <w:szCs w:val="21"/>
        </w:rPr>
        <w:t>A</w:t>
      </w:r>
      <w:r w:rsidRPr="00ED7D97">
        <w:rPr>
          <w:rFonts w:ascii="宋体" w:hAnsi="宋体" w:hint="eastAsia"/>
          <w:szCs w:val="21"/>
        </w:rPr>
        <w:t>类基金份额不收取销售服务费，</w:t>
      </w:r>
      <w:r w:rsidRPr="00ED7D97">
        <w:rPr>
          <w:rFonts w:ascii="宋体" w:hAnsi="宋体"/>
          <w:szCs w:val="21"/>
        </w:rPr>
        <w:t>C</w:t>
      </w:r>
      <w:r w:rsidRPr="00ED7D97">
        <w:rPr>
          <w:rFonts w:ascii="宋体" w:hAnsi="宋体" w:hint="eastAsia"/>
          <w:szCs w:val="21"/>
        </w:rPr>
        <w:t>类基金份额收取销售服务费。</w:t>
      </w:r>
      <w:r w:rsidRPr="00ED7D97">
        <w:rPr>
          <w:rFonts w:ascii="宋体" w:hAnsi="宋体"/>
          <w:szCs w:val="21"/>
        </w:rPr>
        <w:t>C</w:t>
      </w:r>
      <w:r w:rsidRPr="00ED7D97">
        <w:rPr>
          <w:rFonts w:ascii="宋体" w:hAnsi="宋体" w:hint="eastAsia"/>
          <w:szCs w:val="21"/>
        </w:rPr>
        <w:t>类基金份额的销售服务费按前一日</w:t>
      </w:r>
      <w:r w:rsidRPr="00ED7D97">
        <w:rPr>
          <w:rFonts w:ascii="宋体" w:hAnsi="宋体"/>
          <w:szCs w:val="21"/>
        </w:rPr>
        <w:t>C</w:t>
      </w:r>
      <w:r w:rsidRPr="00ED7D97">
        <w:rPr>
          <w:rFonts w:ascii="宋体" w:hAnsi="宋体" w:hint="eastAsia"/>
          <w:szCs w:val="21"/>
        </w:rPr>
        <w:t>类基金份额基金资产净值的</w:t>
      </w:r>
      <w:r w:rsidRPr="00ED7D97">
        <w:rPr>
          <w:rFonts w:ascii="宋体" w:hAnsi="宋体"/>
          <w:szCs w:val="21"/>
        </w:rPr>
        <w:t>0.60%</w:t>
      </w:r>
      <w:r w:rsidRPr="00ED7D97">
        <w:rPr>
          <w:rFonts w:ascii="宋体" w:hAnsi="宋体" w:hint="eastAsia"/>
          <w:szCs w:val="21"/>
        </w:rPr>
        <w:t>的年费率计提，计算方法如下：</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H=E×0.60%</w:t>
      </w:r>
      <w:r w:rsidRPr="00ED7D97">
        <w:rPr>
          <w:rFonts w:ascii="宋体" w:hAnsi="宋体" w:hint="eastAsia"/>
          <w:szCs w:val="21"/>
        </w:rPr>
        <w:t>÷当年实际天数</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H</w:t>
      </w:r>
      <w:r w:rsidRPr="00ED7D97">
        <w:rPr>
          <w:rFonts w:ascii="宋体" w:hAnsi="宋体" w:hint="eastAsia"/>
          <w:szCs w:val="21"/>
        </w:rPr>
        <w:t>为</w:t>
      </w:r>
      <w:r w:rsidRPr="00ED7D97">
        <w:rPr>
          <w:rFonts w:ascii="宋体" w:hAnsi="宋体"/>
          <w:szCs w:val="21"/>
        </w:rPr>
        <w:t>C</w:t>
      </w:r>
      <w:r w:rsidRPr="00ED7D97">
        <w:rPr>
          <w:rFonts w:ascii="宋体" w:hAnsi="宋体" w:hint="eastAsia"/>
          <w:szCs w:val="21"/>
        </w:rPr>
        <w:t>类基金份额每日应计提的销售服务费</w:t>
      </w:r>
    </w:p>
    <w:p w:rsidR="001D0D89" w:rsidRPr="00ED7D97" w:rsidRDefault="00F1175F">
      <w:pPr>
        <w:spacing w:line="360" w:lineRule="auto"/>
        <w:ind w:firstLineChars="200" w:firstLine="420"/>
        <w:rPr>
          <w:rFonts w:ascii="宋体" w:hAnsi="宋体"/>
          <w:szCs w:val="21"/>
        </w:rPr>
      </w:pPr>
      <w:r w:rsidRPr="00ED7D97">
        <w:rPr>
          <w:rFonts w:ascii="宋体" w:hAnsi="宋体"/>
          <w:szCs w:val="21"/>
        </w:rPr>
        <w:t>E</w:t>
      </w:r>
      <w:r w:rsidRPr="00ED7D97">
        <w:rPr>
          <w:rFonts w:ascii="宋体" w:hAnsi="宋体" w:hint="eastAsia"/>
          <w:szCs w:val="21"/>
        </w:rPr>
        <w:t>为</w:t>
      </w:r>
      <w:r w:rsidRPr="00ED7D97">
        <w:rPr>
          <w:rFonts w:ascii="宋体" w:hAnsi="宋体"/>
          <w:szCs w:val="21"/>
        </w:rPr>
        <w:t>C</w:t>
      </w:r>
      <w:r w:rsidRPr="00ED7D97">
        <w:rPr>
          <w:rFonts w:ascii="宋体" w:hAnsi="宋体" w:hint="eastAsia"/>
          <w:szCs w:val="21"/>
        </w:rPr>
        <w:t>类基金份额前一日的基金资产净值</w:t>
      </w:r>
    </w:p>
    <w:p w:rsidR="001D0D89" w:rsidRDefault="00F1175F" w:rsidP="00ED7D97">
      <w:pPr>
        <w:adjustRightInd w:val="0"/>
        <w:spacing w:line="360" w:lineRule="auto"/>
        <w:ind w:firstLineChars="200" w:firstLine="420"/>
        <w:rPr>
          <w:rFonts w:ascii="宋体" w:hAnsi="宋体"/>
          <w:szCs w:val="21"/>
        </w:rPr>
      </w:pPr>
      <w:r w:rsidRPr="00ED7D97">
        <w:rPr>
          <w:rFonts w:ascii="宋体" w:hAnsi="宋体" w:hint="eastAsia"/>
          <w:szCs w:val="21"/>
        </w:rPr>
        <w:t>基金销售服务费每日计提，逐日累计至每月月末，按月</w:t>
      </w:r>
      <w:r w:rsidR="0010262A" w:rsidRPr="0010262A">
        <w:rPr>
          <w:rFonts w:ascii="宋体" w:hAnsi="宋体" w:hint="eastAsia"/>
          <w:szCs w:val="21"/>
        </w:rPr>
        <w:t>支付。经基金管理人与基金托管人</w:t>
      </w:r>
      <w:r w:rsidRPr="00ED7D97">
        <w:rPr>
          <w:rFonts w:ascii="宋体" w:hAnsi="宋体" w:hint="eastAsia"/>
          <w:szCs w:val="21"/>
        </w:rPr>
        <w:t>核对一致后，由基金托管人按照与基金管理人协商一致的方式于次月首日起</w:t>
      </w:r>
      <w:r w:rsidRPr="00ED7D97">
        <w:rPr>
          <w:rFonts w:ascii="宋体" w:hAnsi="宋体"/>
          <w:szCs w:val="21"/>
        </w:rPr>
        <w:t>5</w:t>
      </w:r>
      <w:r w:rsidRPr="00ED7D97">
        <w:rPr>
          <w:rFonts w:ascii="宋体" w:hAnsi="宋体" w:hint="eastAsia"/>
          <w:szCs w:val="21"/>
        </w:rPr>
        <w:t>个工作日内从基金财产中一次性支付给基金管理人，由基金管理人支付给基金销售机构。若遇法定节假日、公休假或不可抗力等，支付日期顺延。</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（四）实施侧袋机制期间的基金费用</w:t>
      </w:r>
    </w:p>
    <w:p w:rsidR="001D0D89" w:rsidRDefault="00F1175F">
      <w:pPr>
        <w:spacing w:line="360" w:lineRule="auto"/>
        <w:ind w:right="28" w:firstLineChars="200" w:firstLine="420"/>
        <w:rPr>
          <w:rFonts w:ascii="宋体" w:hAnsi="宋体"/>
          <w:szCs w:val="21"/>
        </w:rPr>
      </w:pPr>
      <w:r>
        <w:rPr>
          <w:rFonts w:ascii="宋体" w:hAnsi="宋体" w:hint="eastAsia"/>
          <w:szCs w:val="21"/>
        </w:rPr>
        <w:t>本基金实施侧袋机制的，与侧袋账户有关的费用可以从侧袋账户中列支，但应待侧袋账户资产变现后方可列支，有关费用可酌情收取或减免，但不得收取管理费（包含固定管理费、或有管理费和超额管理费），其他费用详见招募说明书的规定或相关公告。</w:t>
      </w:r>
    </w:p>
    <w:p w:rsidR="001D0D89" w:rsidRDefault="00F1175F">
      <w:pPr>
        <w:spacing w:line="500" w:lineRule="atLeast"/>
        <w:jc w:val="center"/>
        <w:outlineLvl w:val="0"/>
        <w:rPr>
          <w:rFonts w:ascii="宋体" w:hAnsi="宋体"/>
        </w:rPr>
      </w:pPr>
      <w:r>
        <w:rPr>
          <w:rFonts w:ascii="宋体" w:hAnsi="宋体" w:hint="eastAsia"/>
          <w:b/>
          <w:sz w:val="24"/>
        </w:rPr>
        <w:t>十一、基金份额持有人名册的保管</w:t>
      </w:r>
      <w:bookmarkEnd w:id="63"/>
    </w:p>
    <w:p w:rsidR="001D0D89" w:rsidRDefault="00F1175F">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1D0D89" w:rsidRDefault="00F1175F">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，基金管理人应按照目前相关规则保管基金份额持有人名册。保管方式可以采用电子或文档的形式。保管期限不低于法律法规规定的最低年限。</w:t>
      </w:r>
    </w:p>
    <w:p w:rsidR="001D0D89" w:rsidRDefault="00F1175F">
      <w:pPr>
        <w:spacing w:line="360" w:lineRule="auto"/>
        <w:ind w:firstLineChars="200" w:firstLine="420"/>
        <w:rPr>
          <w:rFonts w:ascii="宋体" w:hAnsi="宋体" w:cs="Arial"/>
          <w:szCs w:val="21"/>
        </w:rPr>
      </w:pPr>
      <w:r>
        <w:rPr>
          <w:rFonts w:ascii="宋体" w:hAnsi="宋体" w:hint="eastAsia"/>
          <w:szCs w:val="21"/>
        </w:rPr>
        <w:t>在基金托管人编制中期报告和年报前，基金管理人应将每年6月30日、12月31日的</w:t>
      </w:r>
      <w:r>
        <w:rPr>
          <w:rFonts w:ascii="宋体" w:hAnsi="宋体" w:hint="eastAsia"/>
          <w:szCs w:val="21"/>
        </w:rPr>
        <w:lastRenderedPageBreak/>
        <w:t>基金份额持有人名册送交基金托管人，文件方式可以采用电子或文档的形式并且保证其的真实、准确、完整。基金托管人应妥善保管，不得将持有人名册用于基金托管业务以外的其他用途。</w:t>
      </w:r>
    </w:p>
    <w:p w:rsidR="001D0D89" w:rsidRDefault="00F1175F">
      <w:pPr>
        <w:spacing w:line="500" w:lineRule="atLeast"/>
        <w:jc w:val="center"/>
        <w:outlineLvl w:val="0"/>
        <w:rPr>
          <w:rFonts w:ascii="宋体" w:hAnsi="宋体"/>
        </w:rPr>
      </w:pPr>
      <w:bookmarkStart w:id="66" w:name="_Toc382819127"/>
      <w:r>
        <w:rPr>
          <w:rFonts w:ascii="宋体" w:hAnsi="宋体" w:hint="eastAsia"/>
          <w:b/>
          <w:sz w:val="24"/>
        </w:rPr>
        <w:t>十二、基金有关文件和档案的保存</w:t>
      </w:r>
      <w:bookmarkEnd w:id="66"/>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rsidR="001D0D89" w:rsidRDefault="00F1175F">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（二）合同档案的建立</w:t>
      </w:r>
    </w:p>
    <w:p w:rsidR="001D0D89" w:rsidRDefault="00F1175F">
      <w:pPr>
        <w:spacing w:line="360" w:lineRule="auto"/>
        <w:ind w:firstLineChars="200" w:firstLine="420"/>
        <w:rPr>
          <w:rFonts w:ascii="宋体" w:hAnsi="宋体" w:cs="Arial"/>
          <w:szCs w:val="21"/>
        </w:rPr>
      </w:pPr>
      <w:r>
        <w:rPr>
          <w:rFonts w:ascii="宋体" w:hAnsi="宋体" w:cs="Arial" w:hint="eastAsia"/>
          <w:szCs w:val="21"/>
        </w:rPr>
        <w:t>1、</w:t>
      </w:r>
      <w:r w:rsidR="004E452A">
        <w:rPr>
          <w:rFonts w:ascii="宋体" w:hAnsi="宋体" w:cs="Arial" w:hint="eastAsia"/>
          <w:szCs w:val="21"/>
        </w:rPr>
        <w:t>除本协议另有约定外，</w:t>
      </w:r>
      <w:r>
        <w:rPr>
          <w:rFonts w:ascii="宋体" w:hAnsi="宋体" w:cs="Arial" w:hint="eastAsia"/>
          <w:szCs w:val="21"/>
        </w:rPr>
        <w:t>基金管理人或基金托管人在签署与本基金有关的合同文本后，应及时按相关法律法规及本协议的规定将合同正本或副本提交对方。</w:t>
      </w:r>
    </w:p>
    <w:p w:rsidR="001D0D89" w:rsidRDefault="00F1175F">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（三）变更与协助</w:t>
      </w:r>
    </w:p>
    <w:p w:rsidR="001D0D89" w:rsidRDefault="00F1175F">
      <w:pPr>
        <w:spacing w:line="360" w:lineRule="auto"/>
        <w:ind w:firstLineChars="200" w:firstLine="420"/>
        <w:rPr>
          <w:rFonts w:ascii="宋体" w:hAnsi="宋体"/>
          <w:szCs w:val="21"/>
        </w:rPr>
      </w:pPr>
      <w:r>
        <w:rPr>
          <w:rFonts w:ascii="宋体" w:hAnsi="宋体" w:cs="Arial" w:hint="eastAsia"/>
          <w:szCs w:val="21"/>
        </w:rPr>
        <w:t>若基金管理人和基金托管人发生变更，未变更的一方有义务协助变更后的接任人接收相应文件。</w:t>
      </w:r>
    </w:p>
    <w:p w:rsidR="001D0D89" w:rsidRDefault="00F1175F">
      <w:pPr>
        <w:spacing w:line="500" w:lineRule="atLeast"/>
        <w:jc w:val="center"/>
        <w:outlineLvl w:val="0"/>
        <w:rPr>
          <w:rFonts w:ascii="宋体" w:hAnsi="宋体"/>
        </w:rPr>
      </w:pPr>
      <w:bookmarkStart w:id="67" w:name="_Toc382819128"/>
      <w:r>
        <w:rPr>
          <w:rFonts w:ascii="宋体" w:hAnsi="宋体" w:hint="eastAsia"/>
          <w:b/>
          <w:sz w:val="24"/>
        </w:rPr>
        <w:t>十三、基金管理人和基金托管人的更换</w:t>
      </w:r>
      <w:bookmarkEnd w:id="67"/>
    </w:p>
    <w:p w:rsidR="001D0D89" w:rsidRDefault="00F1175F">
      <w:pPr>
        <w:spacing w:line="360" w:lineRule="auto"/>
        <w:ind w:firstLineChars="200" w:firstLine="420"/>
        <w:rPr>
          <w:rFonts w:ascii="宋体" w:hAnsi="宋体"/>
          <w:szCs w:val="21"/>
        </w:rPr>
      </w:pPr>
      <w:r>
        <w:rPr>
          <w:rFonts w:ascii="宋体" w:hAnsi="宋体" w:hint="eastAsia"/>
          <w:szCs w:val="21"/>
        </w:rPr>
        <w:t>（一）基金管理人和基金托管人职责终止的情形</w:t>
      </w:r>
    </w:p>
    <w:p w:rsidR="001D0D89" w:rsidRDefault="00F1175F">
      <w:pPr>
        <w:spacing w:line="360" w:lineRule="auto"/>
        <w:ind w:firstLineChars="200" w:firstLine="420"/>
        <w:rPr>
          <w:rFonts w:ascii="宋体" w:hAnsi="宋体"/>
          <w:szCs w:val="21"/>
        </w:rPr>
      </w:pPr>
      <w:r>
        <w:rPr>
          <w:rFonts w:ascii="宋体" w:hAnsi="宋体" w:hint="eastAsia"/>
          <w:szCs w:val="21"/>
        </w:rPr>
        <w:t>1、基金管理人职责终止的情形</w:t>
      </w:r>
    </w:p>
    <w:p w:rsidR="001D0D89" w:rsidRDefault="00F1175F">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1D0D89" w:rsidRDefault="00F1175F">
      <w:pPr>
        <w:spacing w:line="360" w:lineRule="auto"/>
        <w:ind w:firstLineChars="200" w:firstLine="420"/>
        <w:rPr>
          <w:rFonts w:ascii="宋体" w:hAnsi="宋体"/>
          <w:szCs w:val="21"/>
        </w:rPr>
      </w:pPr>
      <w:r>
        <w:rPr>
          <w:rFonts w:ascii="宋体" w:hAnsi="宋体" w:hint="eastAsia"/>
          <w:szCs w:val="21"/>
        </w:rPr>
        <w:t>（1）被依法取消基金管理资格；</w:t>
      </w:r>
    </w:p>
    <w:p w:rsidR="001D0D89" w:rsidRDefault="00F1175F">
      <w:pPr>
        <w:spacing w:line="360" w:lineRule="auto"/>
        <w:ind w:firstLineChars="200" w:firstLine="420"/>
        <w:rPr>
          <w:rFonts w:ascii="宋体" w:hAnsi="宋体"/>
          <w:szCs w:val="21"/>
        </w:rPr>
      </w:pPr>
      <w:r>
        <w:rPr>
          <w:rFonts w:ascii="宋体" w:hAnsi="宋体" w:hint="eastAsia"/>
          <w:szCs w:val="21"/>
        </w:rPr>
        <w:t>（2）被基金份额持有人大会解任；</w:t>
      </w:r>
    </w:p>
    <w:p w:rsidR="001D0D89" w:rsidRDefault="00F1175F">
      <w:pPr>
        <w:spacing w:line="360" w:lineRule="auto"/>
        <w:ind w:firstLineChars="200" w:firstLine="420"/>
        <w:rPr>
          <w:rFonts w:ascii="宋体" w:hAnsi="宋体"/>
          <w:szCs w:val="21"/>
        </w:rPr>
      </w:pPr>
      <w:r>
        <w:rPr>
          <w:rFonts w:ascii="宋体" w:hAnsi="宋体" w:hint="eastAsia"/>
          <w:szCs w:val="21"/>
        </w:rPr>
        <w:t>（3）依法解散、被依法撤销或被依法宣告破产；</w:t>
      </w:r>
    </w:p>
    <w:p w:rsidR="001D0D89" w:rsidRDefault="00F1175F">
      <w:pPr>
        <w:spacing w:line="360" w:lineRule="auto"/>
        <w:ind w:firstLineChars="200" w:firstLine="420"/>
        <w:rPr>
          <w:rFonts w:ascii="宋体" w:hAnsi="宋体"/>
          <w:szCs w:val="21"/>
        </w:rPr>
      </w:pPr>
      <w:r>
        <w:rPr>
          <w:rFonts w:ascii="宋体" w:hAnsi="宋体" w:hint="eastAsia"/>
          <w:szCs w:val="21"/>
        </w:rPr>
        <w:t>（4）法律法规及中国证监会规定的和基金合同约定的其他情形。</w:t>
      </w:r>
    </w:p>
    <w:p w:rsidR="001D0D89" w:rsidRDefault="00F1175F">
      <w:pPr>
        <w:spacing w:line="360" w:lineRule="auto"/>
        <w:ind w:firstLineChars="200" w:firstLine="420"/>
        <w:rPr>
          <w:rFonts w:ascii="宋体" w:hAnsi="宋体"/>
          <w:szCs w:val="21"/>
        </w:rPr>
      </w:pPr>
      <w:r>
        <w:rPr>
          <w:rFonts w:ascii="宋体" w:hAnsi="宋体" w:hint="eastAsia"/>
          <w:szCs w:val="21"/>
        </w:rPr>
        <w:t>2、基金托管人职责终止的情形</w:t>
      </w:r>
    </w:p>
    <w:p w:rsidR="001D0D89" w:rsidRDefault="00F1175F">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1D0D89" w:rsidRDefault="00F1175F">
      <w:pPr>
        <w:spacing w:line="360" w:lineRule="auto"/>
        <w:ind w:firstLineChars="200" w:firstLine="420"/>
        <w:rPr>
          <w:rFonts w:ascii="宋体" w:hAnsi="宋体"/>
          <w:szCs w:val="21"/>
        </w:rPr>
      </w:pPr>
      <w:r>
        <w:rPr>
          <w:rFonts w:ascii="宋体" w:hAnsi="宋体" w:hint="eastAsia"/>
          <w:szCs w:val="21"/>
        </w:rPr>
        <w:t>（1）被依法取消基金托管资格；</w:t>
      </w:r>
    </w:p>
    <w:p w:rsidR="001D0D89" w:rsidRDefault="00F1175F">
      <w:pPr>
        <w:spacing w:line="360" w:lineRule="auto"/>
        <w:ind w:firstLineChars="200" w:firstLine="420"/>
        <w:rPr>
          <w:rFonts w:ascii="宋体" w:hAnsi="宋体"/>
          <w:szCs w:val="21"/>
        </w:rPr>
      </w:pPr>
      <w:r>
        <w:rPr>
          <w:rFonts w:ascii="宋体" w:hAnsi="宋体" w:hint="eastAsia"/>
          <w:szCs w:val="21"/>
        </w:rPr>
        <w:t>（2）被基金份额持有人大会解任；</w:t>
      </w:r>
    </w:p>
    <w:p w:rsidR="001D0D89" w:rsidRDefault="00F1175F">
      <w:pPr>
        <w:spacing w:line="360" w:lineRule="auto"/>
        <w:ind w:firstLineChars="200" w:firstLine="420"/>
        <w:rPr>
          <w:rFonts w:ascii="宋体" w:hAnsi="宋体"/>
          <w:szCs w:val="21"/>
        </w:rPr>
      </w:pPr>
      <w:r>
        <w:rPr>
          <w:rFonts w:ascii="宋体" w:hAnsi="宋体" w:hint="eastAsia"/>
          <w:szCs w:val="21"/>
        </w:rPr>
        <w:lastRenderedPageBreak/>
        <w:t>（3）依法解散、被依法撤销或被依法宣告破产；</w:t>
      </w:r>
    </w:p>
    <w:p w:rsidR="001D0D89" w:rsidRDefault="00F1175F">
      <w:pPr>
        <w:spacing w:line="360" w:lineRule="auto"/>
        <w:ind w:firstLineChars="200" w:firstLine="420"/>
        <w:rPr>
          <w:rFonts w:ascii="宋体" w:hAnsi="宋体"/>
          <w:szCs w:val="21"/>
        </w:rPr>
      </w:pPr>
      <w:r>
        <w:rPr>
          <w:rFonts w:ascii="宋体" w:hAnsi="宋体" w:hint="eastAsia"/>
          <w:szCs w:val="21"/>
        </w:rPr>
        <w:t>（4）法律法规及中国证监会规定的和基金合同约定的其他情形。</w:t>
      </w:r>
    </w:p>
    <w:p w:rsidR="001D0D89" w:rsidRDefault="00F1175F">
      <w:pPr>
        <w:spacing w:line="360" w:lineRule="auto"/>
        <w:ind w:firstLineChars="200" w:firstLine="420"/>
        <w:rPr>
          <w:rFonts w:ascii="宋体" w:hAnsi="宋体"/>
          <w:szCs w:val="21"/>
        </w:rPr>
      </w:pPr>
      <w:r>
        <w:rPr>
          <w:rFonts w:ascii="宋体" w:hAnsi="宋体" w:hint="eastAsia"/>
          <w:szCs w:val="21"/>
        </w:rPr>
        <w:t>（二）基金管理人和基金托管人的更换程序</w:t>
      </w:r>
    </w:p>
    <w:p w:rsidR="001D0D89" w:rsidRDefault="00F1175F">
      <w:pPr>
        <w:spacing w:line="360" w:lineRule="auto"/>
        <w:ind w:firstLineChars="200" w:firstLine="420"/>
        <w:rPr>
          <w:rFonts w:ascii="宋体" w:hAnsi="宋体"/>
          <w:szCs w:val="21"/>
        </w:rPr>
      </w:pPr>
      <w:r>
        <w:rPr>
          <w:rFonts w:ascii="宋体" w:hAnsi="宋体" w:hint="eastAsia"/>
          <w:szCs w:val="21"/>
        </w:rPr>
        <w:t>1、基金管理人的更换程序</w:t>
      </w:r>
    </w:p>
    <w:p w:rsidR="001D0D89" w:rsidRDefault="00F1175F">
      <w:pPr>
        <w:spacing w:line="360" w:lineRule="auto"/>
        <w:ind w:firstLineChars="200" w:firstLine="420"/>
        <w:rPr>
          <w:rFonts w:ascii="宋体" w:hAnsi="宋体"/>
          <w:szCs w:val="21"/>
        </w:rPr>
      </w:pPr>
      <w:r>
        <w:rPr>
          <w:rFonts w:ascii="宋体" w:hAnsi="宋体" w:hint="eastAsia"/>
          <w:szCs w:val="21"/>
        </w:rPr>
        <w:t>（1）提名：新任基金管理人由基金托管人或由单独或合计持有10%以上（含10%）基金份额的基金份额持有人提名；</w:t>
      </w:r>
    </w:p>
    <w:p w:rsidR="001D0D89" w:rsidRDefault="00F1175F">
      <w:pPr>
        <w:spacing w:line="360" w:lineRule="auto"/>
        <w:ind w:firstLineChars="200" w:firstLine="420"/>
        <w:rPr>
          <w:rFonts w:ascii="宋体" w:hAnsi="宋体"/>
          <w:szCs w:val="21"/>
        </w:rPr>
      </w:pPr>
      <w:r>
        <w:rPr>
          <w:rFonts w:ascii="宋体" w:hAnsi="宋体" w:hint="eastAsia"/>
          <w:szCs w:val="21"/>
        </w:rPr>
        <w:t xml:space="preserve">（2）决议：基金份额持有人大会在基金管理人职责终止后6个月内对被提名的基金管理人形成决议，该决议需经参加大会的基金份额持有人所持表决权的三分之二以上（含三分之二）表决通过，决议自表决通过之日起生效； </w:t>
      </w:r>
    </w:p>
    <w:p w:rsidR="001D0D89" w:rsidRDefault="00F1175F">
      <w:pPr>
        <w:spacing w:line="360" w:lineRule="auto"/>
        <w:ind w:firstLineChars="200" w:firstLine="420"/>
        <w:rPr>
          <w:rFonts w:ascii="宋体" w:hAnsi="宋体"/>
          <w:szCs w:val="21"/>
        </w:rPr>
      </w:pPr>
      <w:r>
        <w:rPr>
          <w:rFonts w:ascii="宋体" w:hAnsi="宋体" w:hint="eastAsia"/>
          <w:szCs w:val="21"/>
        </w:rPr>
        <w:t>（3）临时基金管理人：新任基金管理人产生之前，由中国证监会指定临时基金管理人；</w:t>
      </w:r>
    </w:p>
    <w:p w:rsidR="001D0D89" w:rsidRDefault="00F1175F">
      <w:pPr>
        <w:spacing w:line="360" w:lineRule="auto"/>
        <w:ind w:firstLineChars="200" w:firstLine="420"/>
        <w:rPr>
          <w:rFonts w:ascii="宋体" w:hAnsi="宋体"/>
          <w:szCs w:val="21"/>
        </w:rPr>
      </w:pPr>
      <w:r>
        <w:rPr>
          <w:rFonts w:ascii="宋体" w:hAnsi="宋体" w:hint="eastAsia"/>
          <w:szCs w:val="21"/>
        </w:rPr>
        <w:t>（4）备案：基金份额持有人大会更换基金管理人的决议须报中国证监会备案；</w:t>
      </w:r>
    </w:p>
    <w:p w:rsidR="001D0D89" w:rsidRDefault="00F1175F">
      <w:pPr>
        <w:spacing w:line="360" w:lineRule="auto"/>
        <w:ind w:firstLineChars="200" w:firstLine="420"/>
        <w:rPr>
          <w:rFonts w:ascii="宋体" w:hAnsi="宋体"/>
          <w:szCs w:val="21"/>
        </w:rPr>
      </w:pPr>
      <w:r>
        <w:rPr>
          <w:rFonts w:ascii="宋体" w:hAnsi="宋体" w:hint="eastAsia"/>
          <w:szCs w:val="21"/>
        </w:rPr>
        <w:t>（5）公告：基金管理人更换后，由基金托管人在更换基金管理人的基金份额持有人大会决议生效后依照《信息披露办法》的有关规定在规定媒介公告；</w:t>
      </w:r>
    </w:p>
    <w:p w:rsidR="001D0D89" w:rsidRDefault="00F1175F">
      <w:pPr>
        <w:spacing w:line="360" w:lineRule="auto"/>
        <w:ind w:firstLineChars="200" w:firstLine="420"/>
        <w:rPr>
          <w:rFonts w:ascii="宋体" w:hAnsi="宋体"/>
          <w:szCs w:val="21"/>
        </w:rPr>
      </w:pPr>
      <w:r>
        <w:rPr>
          <w:rFonts w:ascii="宋体" w:hAnsi="宋体" w:hint="eastAsia"/>
          <w:szCs w:val="21"/>
        </w:rPr>
        <w:t>（6）交接：原任基金管理人职责终止的，原任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rsidR="001D0D89" w:rsidRDefault="00F1175F">
      <w:pPr>
        <w:spacing w:line="360" w:lineRule="auto"/>
        <w:ind w:firstLineChars="200" w:firstLine="420"/>
        <w:rPr>
          <w:rFonts w:ascii="宋体" w:hAnsi="宋体"/>
          <w:szCs w:val="21"/>
        </w:rPr>
      </w:pPr>
      <w:r>
        <w:rPr>
          <w:rFonts w:ascii="宋体" w:hAnsi="宋体" w:hint="eastAsia"/>
          <w:szCs w:val="21"/>
        </w:rPr>
        <w:t>（7）审计：原任基金管理人职责终止的，应当按照法律法规规定聘请符合《中华人民共和国证券法》规定的会计师事务所对基金财产进行审计，并将审计结果予以公告，同时报中国证监会备案，审计费用从基金财产中列支；</w:t>
      </w:r>
    </w:p>
    <w:p w:rsidR="001D0D89" w:rsidRDefault="00F1175F">
      <w:pPr>
        <w:spacing w:line="360" w:lineRule="auto"/>
        <w:ind w:firstLineChars="200" w:firstLine="420"/>
        <w:rPr>
          <w:rFonts w:ascii="宋体" w:hAnsi="宋体"/>
          <w:szCs w:val="21"/>
        </w:rPr>
      </w:pPr>
      <w:r>
        <w:rPr>
          <w:rFonts w:ascii="宋体" w:hAnsi="宋体" w:hint="eastAsia"/>
          <w:szCs w:val="21"/>
        </w:rPr>
        <w:t>（8）基金名称变更：基金管理人更换后，如果原任或新任基金管理人要求，应按其要求替换或删除基金名称中与原任基金管理人有关的名称或商号字样。</w:t>
      </w:r>
    </w:p>
    <w:p w:rsidR="001D0D89" w:rsidRDefault="00F1175F">
      <w:pPr>
        <w:spacing w:line="360" w:lineRule="auto"/>
        <w:ind w:firstLineChars="200" w:firstLine="420"/>
        <w:rPr>
          <w:rFonts w:ascii="宋体" w:hAnsi="宋体"/>
          <w:szCs w:val="21"/>
        </w:rPr>
      </w:pPr>
      <w:r>
        <w:rPr>
          <w:rFonts w:ascii="宋体" w:hAnsi="宋体" w:hint="eastAsia"/>
          <w:szCs w:val="21"/>
        </w:rPr>
        <w:t>2、基金托管人的更换程序</w:t>
      </w:r>
    </w:p>
    <w:p w:rsidR="001D0D89" w:rsidRDefault="00F1175F">
      <w:pPr>
        <w:spacing w:line="360" w:lineRule="auto"/>
        <w:ind w:firstLineChars="200" w:firstLine="420"/>
        <w:rPr>
          <w:rFonts w:ascii="宋体" w:hAnsi="宋体"/>
          <w:szCs w:val="21"/>
        </w:rPr>
      </w:pPr>
      <w:r>
        <w:rPr>
          <w:rFonts w:ascii="宋体" w:hAnsi="宋体" w:hint="eastAsia"/>
          <w:szCs w:val="21"/>
        </w:rPr>
        <w:t>（1）提名：新任基金托管人由基金管理人或由单独或合计持有10%以上（含10%）基金份额的基金份额持有人提名；</w:t>
      </w:r>
    </w:p>
    <w:p w:rsidR="001D0D89" w:rsidRDefault="00F1175F">
      <w:pPr>
        <w:spacing w:line="360" w:lineRule="auto"/>
        <w:ind w:firstLineChars="200" w:firstLine="420"/>
        <w:rPr>
          <w:rFonts w:ascii="宋体" w:hAnsi="宋体"/>
          <w:szCs w:val="21"/>
        </w:rPr>
      </w:pPr>
      <w:r>
        <w:rPr>
          <w:rFonts w:ascii="宋体" w:hAnsi="宋体" w:hint="eastAsia"/>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1D0D89" w:rsidRDefault="00F1175F">
      <w:pPr>
        <w:spacing w:line="360" w:lineRule="auto"/>
        <w:ind w:firstLineChars="200" w:firstLine="420"/>
        <w:rPr>
          <w:rFonts w:ascii="宋体" w:hAnsi="宋体"/>
          <w:szCs w:val="21"/>
        </w:rPr>
      </w:pPr>
      <w:r>
        <w:rPr>
          <w:rFonts w:ascii="宋体" w:hAnsi="宋体" w:hint="eastAsia"/>
          <w:szCs w:val="21"/>
        </w:rPr>
        <w:t>（3）临时基金托管人：新任基金托管人产生之前，由中国证监会指定临时基金托管人；</w:t>
      </w:r>
    </w:p>
    <w:p w:rsidR="001D0D89" w:rsidRDefault="00F1175F">
      <w:pPr>
        <w:spacing w:line="360" w:lineRule="auto"/>
        <w:ind w:firstLineChars="200" w:firstLine="420"/>
        <w:rPr>
          <w:rFonts w:ascii="宋体" w:hAnsi="宋体"/>
          <w:szCs w:val="21"/>
        </w:rPr>
      </w:pPr>
      <w:r>
        <w:rPr>
          <w:rFonts w:ascii="宋体" w:hAnsi="宋体" w:hint="eastAsia"/>
          <w:szCs w:val="21"/>
        </w:rPr>
        <w:t>（4）备案：基金份额持有人大会更换基金托管人的决议须报中国证监会备案；</w:t>
      </w:r>
    </w:p>
    <w:p w:rsidR="001D0D89" w:rsidRDefault="00F1175F">
      <w:pPr>
        <w:spacing w:line="360" w:lineRule="auto"/>
        <w:ind w:firstLineChars="200" w:firstLine="420"/>
        <w:rPr>
          <w:rFonts w:ascii="宋体" w:hAnsi="宋体"/>
          <w:szCs w:val="21"/>
        </w:rPr>
      </w:pPr>
      <w:r>
        <w:rPr>
          <w:rFonts w:ascii="宋体" w:hAnsi="宋体" w:hint="eastAsia"/>
          <w:szCs w:val="21"/>
        </w:rPr>
        <w:lastRenderedPageBreak/>
        <w:t>（5）公告：基金托管人更换后，由基金管理人在更换基金托管人的基金份额持有人大会决议生效后依照《信息披露办法》的有关规定在规定媒介公告；</w:t>
      </w:r>
    </w:p>
    <w:p w:rsidR="001D0D89" w:rsidRDefault="00F1175F">
      <w:pPr>
        <w:spacing w:line="360" w:lineRule="auto"/>
        <w:ind w:firstLineChars="200" w:firstLine="420"/>
        <w:rPr>
          <w:rFonts w:ascii="宋体" w:hAnsi="宋体"/>
          <w:szCs w:val="21"/>
        </w:rPr>
      </w:pPr>
      <w:r>
        <w:rPr>
          <w:rFonts w:ascii="宋体" w:hAnsi="宋体" w:hint="eastAsia"/>
          <w:szCs w:val="21"/>
        </w:rPr>
        <w:t xml:space="preserve">（6）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 </w:t>
      </w:r>
    </w:p>
    <w:p w:rsidR="001D0D89" w:rsidRDefault="00F1175F">
      <w:pPr>
        <w:spacing w:line="360" w:lineRule="auto"/>
        <w:ind w:firstLineChars="200" w:firstLine="420"/>
        <w:rPr>
          <w:rFonts w:ascii="宋体" w:hAnsi="宋体"/>
          <w:szCs w:val="21"/>
        </w:rPr>
      </w:pPr>
      <w:r>
        <w:rPr>
          <w:rFonts w:ascii="宋体" w:hAnsi="宋体" w:hint="eastAsia"/>
          <w:szCs w:val="21"/>
        </w:rPr>
        <w:t>（7）审计：原任基金托管人职责终止的，应当按照法律法规规定聘请符合《中华人民共和国证券法》规定的会计师事务所对基金财产进行审计，并将审计结果予以公告，同时报中国证监会备案，审计费用从基金财产中列支。</w:t>
      </w:r>
    </w:p>
    <w:p w:rsidR="001D0D89" w:rsidRDefault="00F1175F">
      <w:pPr>
        <w:spacing w:line="360" w:lineRule="auto"/>
        <w:ind w:firstLineChars="200" w:firstLine="420"/>
        <w:rPr>
          <w:rFonts w:ascii="宋体" w:hAnsi="宋体"/>
          <w:szCs w:val="21"/>
        </w:rPr>
      </w:pPr>
      <w:r>
        <w:rPr>
          <w:rFonts w:ascii="宋体" w:hAnsi="宋体" w:hint="eastAsia"/>
          <w:szCs w:val="21"/>
        </w:rPr>
        <w:t>3、基金管理人与基金托管人同时更换的条件和程序</w:t>
      </w:r>
    </w:p>
    <w:p w:rsidR="001D0D89" w:rsidRDefault="00F1175F">
      <w:pPr>
        <w:spacing w:line="360" w:lineRule="auto"/>
        <w:ind w:firstLineChars="200" w:firstLine="420"/>
        <w:rPr>
          <w:rFonts w:ascii="宋体" w:hAnsi="宋体"/>
          <w:szCs w:val="21"/>
        </w:rPr>
      </w:pPr>
      <w:r>
        <w:rPr>
          <w:rFonts w:ascii="宋体" w:hAnsi="宋体" w:hint="eastAsia"/>
          <w:szCs w:val="21"/>
        </w:rPr>
        <w:t>（1）提名：如果基金管理人和基金托管人同时更换，由单独或合计持有基金总份额10%以上（含10%）的基金份额持有人提名新的基金管理人和基金托管人；</w:t>
      </w:r>
    </w:p>
    <w:p w:rsidR="001D0D89" w:rsidRDefault="00F1175F">
      <w:pPr>
        <w:spacing w:line="360" w:lineRule="auto"/>
        <w:ind w:firstLineChars="200" w:firstLine="420"/>
        <w:rPr>
          <w:rFonts w:ascii="宋体" w:hAnsi="宋体"/>
          <w:szCs w:val="21"/>
        </w:rPr>
      </w:pPr>
      <w:r>
        <w:rPr>
          <w:rFonts w:ascii="宋体" w:hAnsi="宋体" w:hint="eastAsia"/>
          <w:szCs w:val="21"/>
        </w:rPr>
        <w:t>（2）基金管理人和基金托管人的更换分别按上述程序进行；</w:t>
      </w:r>
    </w:p>
    <w:p w:rsidR="001D0D89" w:rsidRDefault="00F1175F">
      <w:pPr>
        <w:spacing w:line="360" w:lineRule="auto"/>
        <w:ind w:firstLineChars="200" w:firstLine="420"/>
        <w:rPr>
          <w:rFonts w:ascii="宋体" w:hAnsi="宋体"/>
          <w:szCs w:val="21"/>
        </w:rPr>
      </w:pPr>
      <w:r>
        <w:rPr>
          <w:rFonts w:ascii="宋体" w:hAnsi="宋体" w:hint="eastAsia"/>
          <w:szCs w:val="21"/>
        </w:rPr>
        <w:t>（3）公告：新任基金管理人和新任基金托管人应在更换基金管理人和基金托管人的基金份额持有人大会决议生效后依照《信息披露办法》的有关规定在规定媒介上联合公告。</w:t>
      </w:r>
    </w:p>
    <w:p w:rsidR="001D0D89" w:rsidRDefault="00F1175F">
      <w:pPr>
        <w:spacing w:line="360" w:lineRule="auto"/>
        <w:ind w:firstLineChars="200" w:firstLine="420"/>
        <w:rPr>
          <w:rFonts w:ascii="宋体" w:hAnsi="宋体"/>
          <w:szCs w:val="21"/>
        </w:rPr>
      </w:pPr>
      <w:r>
        <w:rPr>
          <w:rFonts w:ascii="宋体" w:hAnsi="宋体" w:hint="eastAsia"/>
          <w:szCs w:val="21"/>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包括固定管理费、或有管理费和超额管理费）或基金托管费。</w:t>
      </w:r>
    </w:p>
    <w:p w:rsidR="001D0D89" w:rsidRDefault="00F1175F">
      <w:pPr>
        <w:spacing w:line="360" w:lineRule="auto"/>
        <w:ind w:firstLineChars="200" w:firstLine="420"/>
        <w:rPr>
          <w:rFonts w:ascii="宋体" w:hAnsi="宋体"/>
          <w:szCs w:val="21"/>
        </w:rPr>
      </w:pPr>
      <w:r>
        <w:rPr>
          <w:rFonts w:ascii="宋体" w:hAnsi="宋体" w:hint="eastAsia"/>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1D0D89" w:rsidRDefault="001D0D89">
      <w:pPr>
        <w:spacing w:line="360" w:lineRule="auto"/>
        <w:ind w:firstLineChars="225" w:firstLine="473"/>
        <w:rPr>
          <w:rFonts w:ascii="宋体" w:hAnsi="宋体"/>
          <w:szCs w:val="21"/>
        </w:rPr>
      </w:pPr>
    </w:p>
    <w:p w:rsidR="001D0D89" w:rsidRDefault="00F1175F">
      <w:pPr>
        <w:spacing w:line="500" w:lineRule="atLeast"/>
        <w:jc w:val="center"/>
        <w:outlineLvl w:val="0"/>
        <w:rPr>
          <w:rFonts w:ascii="宋体" w:hAnsi="宋体"/>
        </w:rPr>
      </w:pPr>
      <w:bookmarkStart w:id="68" w:name="_Toc382819131"/>
      <w:r>
        <w:rPr>
          <w:rFonts w:ascii="宋体" w:hAnsi="宋体" w:hint="eastAsia"/>
          <w:b/>
          <w:sz w:val="24"/>
        </w:rPr>
        <w:t>十四、禁止行为</w:t>
      </w:r>
      <w:bookmarkEnd w:id="68"/>
    </w:p>
    <w:p w:rsidR="001D0D89" w:rsidRDefault="00F1175F">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rsidR="001D0D89" w:rsidRDefault="00F1175F">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1D0D89" w:rsidRDefault="00F1175F">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1D0D89" w:rsidRDefault="00F1175F">
      <w:pPr>
        <w:spacing w:line="360" w:lineRule="auto"/>
        <w:ind w:firstLineChars="225" w:firstLine="473"/>
        <w:rPr>
          <w:rFonts w:ascii="宋体" w:hAnsi="宋体"/>
          <w:szCs w:val="21"/>
        </w:rPr>
      </w:pPr>
      <w:r>
        <w:rPr>
          <w:rFonts w:ascii="宋体" w:hAnsi="宋体" w:hint="eastAsia"/>
          <w:szCs w:val="21"/>
        </w:rPr>
        <w:lastRenderedPageBreak/>
        <w:t>（三）基金管理人、基金托管人利用基金财产为基金份额持有人以外的第三人牟取利益。</w:t>
      </w:r>
    </w:p>
    <w:p w:rsidR="001D0D89" w:rsidRDefault="00F1175F">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1D0D89" w:rsidRDefault="00F1175F">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rsidR="001D0D89" w:rsidRDefault="00F1175F">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1D0D89" w:rsidRDefault="00F1175F">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1D0D89" w:rsidRDefault="00F1175F">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rsidR="001D0D89" w:rsidRDefault="00F1175F">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rsidR="001D0D89" w:rsidRDefault="00F1175F">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承销证券；</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违反规定向他人贷款或者提供担保；</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从事承担无限责任的投资；</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买卖其他基金份额，但是中国证监会另有规定的除外；</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向其基金管理人、基金托管人出资；</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从事内幕交易、操纵证券交易价格及其他不正当的证券交易活动；</w:t>
      </w:r>
    </w:p>
    <w:p w:rsidR="001D0D89" w:rsidRDefault="00F1175F">
      <w:pPr>
        <w:pStyle w:val="af5"/>
        <w:numPr>
          <w:ilvl w:val="0"/>
          <w:numId w:val="2"/>
        </w:numPr>
        <w:spacing w:line="360" w:lineRule="auto"/>
        <w:ind w:firstLineChars="0"/>
        <w:rPr>
          <w:rFonts w:ascii="宋体" w:hAnsi="宋体"/>
          <w:szCs w:val="21"/>
        </w:rPr>
      </w:pPr>
      <w:r>
        <w:rPr>
          <w:rFonts w:ascii="宋体" w:hAnsi="宋体" w:hint="eastAsia"/>
          <w:szCs w:val="21"/>
        </w:rPr>
        <w:t>法律、行政法规和中国证监会规定禁止的其他活动。</w:t>
      </w:r>
    </w:p>
    <w:p w:rsidR="001D0D89" w:rsidRDefault="00F1175F">
      <w:pPr>
        <w:spacing w:line="360" w:lineRule="auto"/>
        <w:ind w:firstLineChars="225" w:firstLine="473"/>
        <w:rPr>
          <w:rFonts w:ascii="宋体" w:hAnsi="宋体"/>
          <w:szCs w:val="21"/>
        </w:rPr>
      </w:pPr>
      <w:r>
        <w:rPr>
          <w:rFonts w:ascii="宋体" w:hAnsi="宋体" w:hint="eastAsia"/>
          <w:szCs w:val="21"/>
        </w:rPr>
        <w:t>（十一）法律法规或监管部门取消上述禁止行为规定的条件和要求，本基金可不受相关限制，且无需召开基金份额持有人大会审议。法律法规或监管部门对上述禁止行为规定的条件和要求进行变更的，本基金可以变更后的规定为准。经与基金托管人协商一致，基金管理人可依据法律法规或监管部门规定直接对基金合同进行变更，该变更无须召开基金份额持有人大会审议。</w:t>
      </w:r>
    </w:p>
    <w:p w:rsidR="001D0D89" w:rsidRDefault="00F1175F">
      <w:pPr>
        <w:spacing w:line="500" w:lineRule="atLeast"/>
        <w:jc w:val="center"/>
        <w:outlineLvl w:val="0"/>
        <w:rPr>
          <w:rFonts w:ascii="宋体" w:hAnsi="宋体"/>
        </w:rPr>
      </w:pPr>
      <w:bookmarkStart w:id="69" w:name="_Toc382819132"/>
      <w:r>
        <w:rPr>
          <w:rFonts w:ascii="宋体" w:hAnsi="宋体" w:hint="eastAsia"/>
          <w:b/>
          <w:sz w:val="24"/>
        </w:rPr>
        <w:t>十五、基金托管协议的变更、终止与基金财产的清算</w:t>
      </w:r>
      <w:bookmarkEnd w:id="69"/>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（一）托管协议的变更与终止</w:t>
      </w:r>
    </w:p>
    <w:p w:rsidR="001D0D89" w:rsidRDefault="00F1175F">
      <w:pPr>
        <w:spacing w:line="360" w:lineRule="auto"/>
        <w:ind w:firstLineChars="200" w:firstLine="420"/>
        <w:rPr>
          <w:rFonts w:ascii="宋体" w:hAnsi="宋体"/>
          <w:szCs w:val="21"/>
        </w:rPr>
      </w:pPr>
      <w:r>
        <w:rPr>
          <w:rFonts w:ascii="宋体" w:hAnsi="宋体" w:hint="eastAsia"/>
          <w:szCs w:val="21"/>
        </w:rPr>
        <w:t>1.托管协议的变更程序</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w:t>
      </w:r>
      <w:r>
        <w:rPr>
          <w:rFonts w:ascii="宋体" w:hAnsi="宋体" w:hint="eastAsia"/>
          <w:spacing w:val="6"/>
          <w:szCs w:val="21"/>
        </w:rPr>
        <w:lastRenderedPageBreak/>
        <w:t>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。基金托管协议的变更报中国证监会备案。</w:t>
      </w:r>
    </w:p>
    <w:p w:rsidR="001D0D89" w:rsidRDefault="00F1175F">
      <w:pPr>
        <w:spacing w:line="360" w:lineRule="auto"/>
        <w:ind w:firstLineChars="200" w:firstLine="420"/>
        <w:rPr>
          <w:rFonts w:ascii="宋体" w:hAnsi="宋体"/>
          <w:szCs w:val="21"/>
        </w:rPr>
      </w:pPr>
      <w:r>
        <w:rPr>
          <w:rFonts w:ascii="宋体" w:hAnsi="宋体" w:hint="eastAsia"/>
          <w:szCs w:val="21"/>
        </w:rPr>
        <w:t>2.基金托管协议终止的情形</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w:t>
      </w:r>
    </w:p>
    <w:p w:rsidR="001D0D89" w:rsidRDefault="00F1175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（二）基金财产的清算</w:t>
      </w:r>
    </w:p>
    <w:p w:rsidR="001D0D89" w:rsidRDefault="00F1175F">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1.基金财产清算小组：自出现《基金合同》终止事由之日起30个工作日内成立基金财产清算小组，基金管理人组织基金财产清算小组并在中国证监会的监督下进行基金清算。</w:t>
      </w:r>
    </w:p>
    <w:p w:rsidR="001D0D89" w:rsidRDefault="00F1175F">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rsidR="001D0D89" w:rsidRDefault="00F1175F">
      <w:pPr>
        <w:spacing w:line="360" w:lineRule="auto"/>
        <w:ind w:firstLineChars="200" w:firstLine="420"/>
        <w:rPr>
          <w:rFonts w:ascii="宋体" w:hAnsi="宋体"/>
          <w:szCs w:val="21"/>
        </w:rPr>
      </w:pPr>
      <w:r>
        <w:rPr>
          <w:rFonts w:ascii="宋体" w:hAnsi="宋体" w:hint="eastAsia"/>
          <w:szCs w:val="21"/>
        </w:rPr>
        <w:t>3.基金财产清算小组组成：基金财产清算小组成员由基金管理人、基金托管人、符合《中华人民共和国证券法》规定的的注册会计师、律师以及中国证监会指定的人员组成。基金财产清算小组可以聘用必要的工作人员。</w:t>
      </w:r>
    </w:p>
    <w:p w:rsidR="001D0D89" w:rsidRDefault="00F1175F">
      <w:pPr>
        <w:spacing w:line="360" w:lineRule="auto"/>
        <w:ind w:firstLineChars="200" w:firstLine="420"/>
        <w:rPr>
          <w:rFonts w:ascii="宋体" w:hAnsi="宋体"/>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rsidR="001D0D89" w:rsidRDefault="00F1175F">
      <w:pPr>
        <w:tabs>
          <w:tab w:val="left" w:pos="6435"/>
        </w:tabs>
        <w:spacing w:line="360" w:lineRule="auto"/>
        <w:ind w:firstLineChars="200" w:firstLine="420"/>
        <w:rPr>
          <w:rFonts w:ascii="宋体" w:hAnsi="宋体"/>
          <w:szCs w:val="21"/>
        </w:rPr>
      </w:pPr>
      <w:r>
        <w:rPr>
          <w:rFonts w:ascii="宋体" w:hAnsi="宋体" w:hint="eastAsia"/>
          <w:szCs w:val="21"/>
        </w:rPr>
        <w:t>5.基金财产清算程序：</w:t>
      </w:r>
      <w:r>
        <w:rPr>
          <w:rFonts w:ascii="宋体" w:hAnsi="宋体" w:hint="eastAsia"/>
          <w:szCs w:val="21"/>
        </w:rPr>
        <w:tab/>
      </w:r>
    </w:p>
    <w:p w:rsidR="001D0D89" w:rsidRDefault="00F1175F">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（1）《基金合同》终止情形出现时，由基金财产清算小组统一接管基金财产；</w:t>
      </w:r>
    </w:p>
    <w:p w:rsidR="001D0D89" w:rsidRDefault="00F1175F">
      <w:pPr>
        <w:spacing w:line="360" w:lineRule="auto"/>
        <w:ind w:firstLineChars="200" w:firstLine="420"/>
        <w:rPr>
          <w:rFonts w:ascii="宋体" w:hAnsi="宋体"/>
          <w:szCs w:val="21"/>
        </w:rPr>
      </w:pPr>
      <w:r>
        <w:rPr>
          <w:rFonts w:ascii="宋体" w:hAnsi="宋体" w:hint="eastAsia"/>
          <w:szCs w:val="21"/>
        </w:rPr>
        <w:t>（2）对基金财产和债权债务进行清理和确认；</w:t>
      </w:r>
    </w:p>
    <w:p w:rsidR="001D0D89" w:rsidRDefault="00F1175F">
      <w:pPr>
        <w:spacing w:line="360" w:lineRule="auto"/>
        <w:ind w:firstLineChars="200" w:firstLine="420"/>
        <w:rPr>
          <w:rFonts w:ascii="宋体" w:hAnsi="宋体"/>
          <w:szCs w:val="21"/>
        </w:rPr>
      </w:pPr>
      <w:r>
        <w:rPr>
          <w:rFonts w:ascii="宋体" w:hAnsi="宋体" w:hint="eastAsia"/>
          <w:szCs w:val="21"/>
        </w:rPr>
        <w:t>（3）对基金财产进行估值和变现；</w:t>
      </w:r>
    </w:p>
    <w:p w:rsidR="001D0D89" w:rsidRDefault="00F1175F">
      <w:pPr>
        <w:spacing w:line="360" w:lineRule="auto"/>
        <w:ind w:firstLineChars="200" w:firstLine="420"/>
        <w:rPr>
          <w:rFonts w:ascii="宋体" w:hAnsi="宋体"/>
          <w:szCs w:val="21"/>
        </w:rPr>
      </w:pPr>
      <w:r>
        <w:rPr>
          <w:rFonts w:ascii="宋体" w:hAnsi="宋体" w:hint="eastAsia"/>
          <w:szCs w:val="21"/>
        </w:rPr>
        <w:t>（4）制作清算报告；</w:t>
      </w:r>
    </w:p>
    <w:p w:rsidR="001D0D89" w:rsidRDefault="00F1175F">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聘请会计师事务所对清算报告进行外部审计，聘请律师事务所对清算报告出具法律意见书；</w:t>
      </w:r>
    </w:p>
    <w:p w:rsidR="001D0D89" w:rsidRDefault="00F1175F">
      <w:pPr>
        <w:spacing w:line="360" w:lineRule="auto"/>
        <w:ind w:firstLineChars="200" w:firstLine="420"/>
        <w:rPr>
          <w:rFonts w:ascii="宋体" w:hAnsi="宋体"/>
          <w:kern w:val="0"/>
          <w:szCs w:val="21"/>
        </w:rPr>
      </w:pPr>
      <w:r>
        <w:rPr>
          <w:rFonts w:ascii="宋体" w:hAnsi="宋体" w:hint="eastAsia"/>
          <w:szCs w:val="21"/>
        </w:rPr>
        <w:t>（6）将清算报告报中国证监会备案并公告；</w:t>
      </w:r>
    </w:p>
    <w:p w:rsidR="001D0D89" w:rsidRDefault="00F1175F">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对基金剩余财产进行分配。</w:t>
      </w:r>
    </w:p>
    <w:p w:rsidR="001D0D89" w:rsidRDefault="00F1175F">
      <w:pPr>
        <w:adjustRightInd w:val="0"/>
        <w:snapToGrid w:val="0"/>
        <w:spacing w:line="360" w:lineRule="auto"/>
        <w:ind w:firstLineChars="200" w:firstLine="420"/>
        <w:rPr>
          <w:rFonts w:ascii="宋体" w:hAnsi="宋体" w:cs="Arial"/>
          <w:szCs w:val="21"/>
        </w:rPr>
      </w:pPr>
      <w:r>
        <w:rPr>
          <w:rFonts w:ascii="宋体" w:hAnsi="宋体" w:cs="Arial"/>
          <w:szCs w:val="21"/>
        </w:rPr>
        <w:t>6.</w:t>
      </w:r>
      <w:r>
        <w:rPr>
          <w:rFonts w:ascii="宋体" w:hAnsi="宋体" w:cs="Arial" w:hint="eastAsia"/>
          <w:szCs w:val="21"/>
        </w:rPr>
        <w:t>基金财产清算的期限为6个月，但因本基金所持证券的流动性受到限制而不能及时</w:t>
      </w:r>
      <w:r>
        <w:rPr>
          <w:rFonts w:ascii="宋体" w:hAnsi="宋体" w:cs="Arial" w:hint="eastAsia"/>
          <w:szCs w:val="21"/>
        </w:rPr>
        <w:lastRenderedPageBreak/>
        <w:t>变现的，清算期限可相应顺延。</w:t>
      </w:r>
    </w:p>
    <w:p w:rsidR="001D0D89" w:rsidRDefault="00F1175F">
      <w:pPr>
        <w:adjustRightInd w:val="0"/>
        <w:snapToGrid w:val="0"/>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szCs w:val="21"/>
        </w:rPr>
        <w:t>.</w:t>
      </w:r>
      <w:r>
        <w:rPr>
          <w:rFonts w:ascii="宋体" w:hAnsi="宋体" w:cs="Arial" w:hint="eastAsia"/>
          <w:szCs w:val="21"/>
        </w:rPr>
        <w:t>清算费用</w:t>
      </w:r>
    </w:p>
    <w:p w:rsidR="001D0D89" w:rsidRDefault="00F1175F">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清算费用是指基金财产清算小组在进行基金财产清算过程中发生的所有合理费用，清算费用由基金财产清算小组优先从基金剩余财产中支付。</w:t>
      </w:r>
    </w:p>
    <w:p w:rsidR="001D0D89" w:rsidRDefault="00F1175F">
      <w:pPr>
        <w:adjustRightInd w:val="0"/>
        <w:snapToGrid w:val="0"/>
        <w:spacing w:line="360" w:lineRule="auto"/>
        <w:ind w:firstLineChars="200" w:firstLine="420"/>
        <w:rPr>
          <w:rFonts w:ascii="宋体" w:hAnsi="宋体" w:cs="Arial"/>
          <w:szCs w:val="21"/>
        </w:rPr>
      </w:pPr>
      <w:r>
        <w:rPr>
          <w:rFonts w:ascii="宋体" w:hAnsi="宋体" w:cs="Arial" w:hint="eastAsia"/>
          <w:szCs w:val="21"/>
        </w:rPr>
        <w:t>8</w:t>
      </w:r>
      <w:r>
        <w:rPr>
          <w:rFonts w:ascii="宋体" w:hAnsi="宋体" w:cs="Arial"/>
          <w:szCs w:val="21"/>
        </w:rPr>
        <w:t>.</w:t>
      </w:r>
      <w:r>
        <w:rPr>
          <w:rFonts w:ascii="宋体" w:hAnsi="宋体" w:cs="Arial" w:hint="eastAsia"/>
          <w:szCs w:val="21"/>
        </w:rPr>
        <w:t>基金财产清算剩余资产的分配</w:t>
      </w:r>
    </w:p>
    <w:p w:rsidR="001D0D89" w:rsidRDefault="00F1175F">
      <w:pPr>
        <w:spacing w:line="360" w:lineRule="auto"/>
        <w:ind w:firstLine="200"/>
        <w:rPr>
          <w:rFonts w:ascii="宋体" w:hAnsi="宋体" w:cs="Arial"/>
          <w:szCs w:val="21"/>
        </w:rPr>
      </w:pPr>
      <w:r>
        <w:rPr>
          <w:rFonts w:ascii="宋体" w:hAnsi="宋体" w:cs="Arial" w:hint="eastAsia"/>
          <w:szCs w:val="21"/>
        </w:rPr>
        <w:t>依据基金财产清算的分配方案，将基金财产清算后的全部剩余资产扣除基金财产清算费用、交纳所欠税款并清偿基金债务后，按各类基金份额持有人持有的该类基金份额比例进行分配，并加上返还基金份额持有人的或有管理费（如有）或扣除相应的超额管理费（如有）。</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（三）基金财产清算的公告</w:t>
      </w:r>
    </w:p>
    <w:p w:rsidR="001D0D89" w:rsidRDefault="00F1175F">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1D0D89" w:rsidRDefault="00F1175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（四）基金财产清算账册及文件的保存</w:t>
      </w:r>
    </w:p>
    <w:p w:rsidR="001D0D89" w:rsidRDefault="00F1175F">
      <w:pPr>
        <w:spacing w:line="360" w:lineRule="auto"/>
        <w:ind w:firstLine="200"/>
        <w:rPr>
          <w:rFonts w:ascii="宋体" w:hAnsi="宋体"/>
          <w:szCs w:val="21"/>
        </w:rPr>
      </w:pPr>
      <w:r>
        <w:rPr>
          <w:rFonts w:ascii="宋体" w:hAnsi="宋体" w:hint="eastAsia"/>
          <w:szCs w:val="21"/>
        </w:rPr>
        <w:t>基金财产清算账册及有关文件由基金托管人保存,保存期限不低于法律</w:t>
      </w:r>
      <w:r>
        <w:rPr>
          <w:rFonts w:ascii="宋体" w:hAnsi="宋体"/>
          <w:szCs w:val="21"/>
        </w:rPr>
        <w:t>法规规定的最低期限</w:t>
      </w:r>
      <w:r>
        <w:rPr>
          <w:rFonts w:ascii="宋体" w:hAnsi="宋体" w:hint="eastAsia"/>
          <w:szCs w:val="21"/>
        </w:rPr>
        <w:t>。</w:t>
      </w:r>
    </w:p>
    <w:p w:rsidR="001D0D89" w:rsidRDefault="00F1175F">
      <w:pPr>
        <w:spacing w:line="500" w:lineRule="atLeast"/>
        <w:jc w:val="center"/>
        <w:outlineLvl w:val="0"/>
        <w:rPr>
          <w:rFonts w:ascii="宋体" w:hAnsi="宋体"/>
        </w:rPr>
      </w:pPr>
      <w:bookmarkStart w:id="70" w:name="_Toc382819133"/>
      <w:r>
        <w:rPr>
          <w:rFonts w:ascii="宋体" w:hAnsi="宋体" w:hint="eastAsia"/>
          <w:b/>
          <w:sz w:val="24"/>
        </w:rPr>
        <w:t>十六、违约责任</w:t>
      </w:r>
      <w:bookmarkEnd w:id="70"/>
    </w:p>
    <w:p w:rsidR="001D0D89" w:rsidRDefault="00F1175F">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w:t>
      </w:r>
      <w:r w:rsidR="001D561D">
        <w:rPr>
          <w:rFonts w:hint="eastAsia"/>
          <w:bCs/>
          <w:szCs w:val="21"/>
        </w:rPr>
        <w:t>经济</w:t>
      </w:r>
      <w:r>
        <w:rPr>
          <w:rFonts w:hint="eastAsia"/>
          <w:bCs/>
          <w:szCs w:val="21"/>
        </w:rPr>
        <w:t>损失。</w:t>
      </w:r>
      <w:r>
        <w:rPr>
          <w:rFonts w:ascii="宋体" w:hAnsi="宋体" w:hint="eastAsia"/>
          <w:szCs w:val="21"/>
        </w:rPr>
        <w:t>但是发生下列情况</w:t>
      </w:r>
      <w:r w:rsidR="001D561D">
        <w:rPr>
          <w:rFonts w:ascii="宋体" w:hAnsi="宋体" w:hint="eastAsia"/>
          <w:szCs w:val="21"/>
        </w:rPr>
        <w:t>之一的</w:t>
      </w:r>
      <w:r>
        <w:rPr>
          <w:rFonts w:ascii="宋体" w:hAnsi="宋体" w:hint="eastAsia"/>
          <w:szCs w:val="21"/>
        </w:rPr>
        <w:t>，当事人免责：</w:t>
      </w:r>
    </w:p>
    <w:p w:rsidR="001D561D" w:rsidRPr="001D561D" w:rsidRDefault="001D561D" w:rsidP="001D561D">
      <w:pPr>
        <w:spacing w:line="360" w:lineRule="auto"/>
        <w:ind w:firstLineChars="200" w:firstLine="420"/>
        <w:rPr>
          <w:rFonts w:ascii="宋体" w:hAnsi="宋体"/>
          <w:szCs w:val="21"/>
        </w:rPr>
      </w:pPr>
      <w:r w:rsidRPr="001D561D">
        <w:rPr>
          <w:rFonts w:ascii="宋体" w:hAnsi="宋体" w:hint="eastAsia"/>
          <w:szCs w:val="21"/>
        </w:rPr>
        <w:t>1、不可抗力；</w:t>
      </w:r>
    </w:p>
    <w:p w:rsidR="001D561D" w:rsidRPr="001D561D" w:rsidRDefault="001D561D" w:rsidP="001D561D">
      <w:pPr>
        <w:spacing w:line="360" w:lineRule="auto"/>
        <w:ind w:firstLineChars="200" w:firstLine="420"/>
        <w:rPr>
          <w:rFonts w:ascii="宋体" w:hAnsi="宋体"/>
          <w:szCs w:val="21"/>
        </w:rPr>
      </w:pPr>
      <w:r w:rsidRPr="001D561D">
        <w:rPr>
          <w:rFonts w:ascii="宋体" w:hAnsi="宋体" w:hint="eastAsia"/>
          <w:szCs w:val="21"/>
        </w:rPr>
        <w:t>2、基金管理人及/或基金托管人按照当时有效的法律法规、交易市场规则或中国证监会的规定作为或不作为而造成的损失等；</w:t>
      </w:r>
    </w:p>
    <w:p w:rsidR="001D0D89" w:rsidRDefault="001D561D">
      <w:pPr>
        <w:spacing w:line="360" w:lineRule="auto"/>
        <w:ind w:firstLineChars="200" w:firstLine="420"/>
        <w:rPr>
          <w:rFonts w:ascii="宋体" w:hAnsi="宋体"/>
          <w:szCs w:val="21"/>
        </w:rPr>
      </w:pPr>
      <w:r w:rsidRPr="001D561D">
        <w:rPr>
          <w:rFonts w:ascii="宋体" w:hAnsi="宋体" w:hint="eastAsia"/>
          <w:szCs w:val="21"/>
        </w:rPr>
        <w:t>3、基金管理人由于按照基金合同规定的投资原则而行使或不行使其投资权而造成的损失等。</w:t>
      </w:r>
    </w:p>
    <w:p w:rsidR="001D0D89" w:rsidRDefault="00F1175F">
      <w:pPr>
        <w:spacing w:line="360" w:lineRule="auto"/>
        <w:ind w:firstLineChars="200" w:firstLine="420"/>
        <w:rPr>
          <w:bCs/>
          <w:szCs w:val="21"/>
        </w:rPr>
      </w:pPr>
      <w:r>
        <w:rPr>
          <w:rFonts w:ascii="宋体" w:hAnsi="宋体" w:hint="eastAsia"/>
          <w:szCs w:val="21"/>
        </w:rPr>
        <w:t>（三）</w:t>
      </w:r>
      <w:r>
        <w:rPr>
          <w:rFonts w:hint="eastAsia"/>
          <w:bCs/>
          <w:szCs w:val="21"/>
        </w:rPr>
        <w:t>在发生一方或多方违约的情况下，在最大限度地保护基金份额持有人利益的前提</w:t>
      </w:r>
      <w:r>
        <w:rPr>
          <w:rFonts w:hint="eastAsia"/>
          <w:bCs/>
          <w:szCs w:val="21"/>
        </w:rPr>
        <w:lastRenderedPageBreak/>
        <w:t>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D0D89" w:rsidRDefault="00F1175F">
      <w:pPr>
        <w:spacing w:line="360" w:lineRule="auto"/>
        <w:ind w:firstLineChars="200" w:firstLine="420"/>
        <w:rPr>
          <w:rFonts w:ascii="宋体" w:hAnsi="宋体"/>
          <w:szCs w:val="21"/>
          <w:lang w:val="zh-CN"/>
        </w:rPr>
      </w:pPr>
      <w:r>
        <w:rPr>
          <w:rFonts w:ascii="宋体" w:hAnsi="宋体" w:hint="eastAsia"/>
          <w:szCs w:val="21"/>
          <w:lang w:val="zh-CN"/>
        </w:rPr>
        <w:t>（四）由于基金管理人、基金托管人不可控制的因素导致业务出现差错，基金管理人和基金托管人虽然已经采取必要、适当、合理的措施进行检查，但是未能发现错误</w:t>
      </w:r>
      <w:r w:rsidR="001D561D" w:rsidRPr="001D561D">
        <w:rPr>
          <w:rFonts w:ascii="宋体" w:hAnsi="宋体" w:hint="eastAsia"/>
          <w:szCs w:val="21"/>
          <w:lang w:val="zh-CN"/>
        </w:rPr>
        <w:t>或未能避免错误发生或虽发现错误但因前述原因无法及时更正</w:t>
      </w:r>
      <w:r>
        <w:rPr>
          <w:rFonts w:ascii="宋体" w:hAnsi="宋体" w:hint="eastAsia"/>
          <w:szCs w:val="21"/>
          <w:lang w:val="zh-CN"/>
        </w:rPr>
        <w:t>的，由此造成基金财产或投资人损失，基金管理人和基金托管人免除赔偿责任。但是基金管理人和基金托管人应积极采取必要的措施消除或减轻由此造成的影响。</w:t>
      </w:r>
    </w:p>
    <w:p w:rsidR="001D0D89" w:rsidRDefault="00F1175F">
      <w:pPr>
        <w:spacing w:line="500" w:lineRule="atLeast"/>
        <w:jc w:val="center"/>
        <w:outlineLvl w:val="0"/>
        <w:rPr>
          <w:rFonts w:ascii="宋体" w:hAnsi="宋体"/>
        </w:rPr>
      </w:pPr>
      <w:bookmarkStart w:id="71" w:name="_Toc382819134"/>
      <w:r>
        <w:rPr>
          <w:rFonts w:ascii="宋体" w:hAnsi="宋体" w:hint="eastAsia"/>
          <w:b/>
          <w:sz w:val="24"/>
        </w:rPr>
        <w:t>十七、适用法律及争议解决方式</w:t>
      </w:r>
      <w:bookmarkEnd w:id="71"/>
    </w:p>
    <w:p w:rsidR="001D0D89" w:rsidRDefault="00F1175F">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本协议适用中华人民共和国法律（为本协议之目的，在此不包括香港特别行政区、澳门特别行政区和台湾地区法律），并从其解释。</w:t>
      </w:r>
    </w:p>
    <w:p w:rsidR="001D0D89" w:rsidRDefault="00F1175F">
      <w:pPr>
        <w:spacing w:line="360" w:lineRule="auto"/>
        <w:ind w:firstLineChars="200" w:firstLine="420"/>
        <w:rPr>
          <w:rFonts w:ascii="宋体" w:hAnsi="宋体"/>
          <w:szCs w:val="21"/>
        </w:rPr>
      </w:pPr>
      <w:r>
        <w:rPr>
          <w:rFonts w:ascii="宋体" w:hAnsi="宋体" w:hint="eastAsia"/>
          <w:szCs w:val="21"/>
        </w:rPr>
        <w:t>（二）双方当事人同意，因本协议而产生的或与本协议有关的一切争议，除经友好协商可以解决的，应提交上海国际经济贸易仲裁委员会</w:t>
      </w:r>
      <w:r w:rsidR="001D561D" w:rsidRPr="001D561D">
        <w:rPr>
          <w:rFonts w:ascii="宋体" w:hAnsi="宋体" w:hint="eastAsia"/>
          <w:szCs w:val="21"/>
        </w:rPr>
        <w:t>（上海国际仲裁中心）</w:t>
      </w:r>
      <w:r>
        <w:rPr>
          <w:rFonts w:ascii="宋体" w:hAnsi="宋体" w:hint="eastAsia"/>
          <w:szCs w:val="21"/>
        </w:rPr>
        <w:t>，根据该会届时有效的仲裁规则进行仲裁，仲裁的地点在</w:t>
      </w:r>
      <w:r>
        <w:rPr>
          <w:rFonts w:ascii="宋体" w:hAnsi="宋体" w:hint="eastAsia"/>
          <w:b/>
          <w:szCs w:val="21"/>
          <w:u w:val="single"/>
        </w:rPr>
        <w:t>上海</w:t>
      </w:r>
      <w:r>
        <w:rPr>
          <w:rFonts w:ascii="宋体" w:hAnsi="宋体" w:hint="eastAsia"/>
          <w:szCs w:val="21"/>
        </w:rPr>
        <w:t>，仲裁裁决是终局性的并对相关各方均有约束力，</w:t>
      </w:r>
      <w:r w:rsidR="001D561D" w:rsidRPr="001D561D">
        <w:rPr>
          <w:rFonts w:ascii="宋体" w:hAnsi="宋体" w:hint="eastAsia"/>
          <w:szCs w:val="21"/>
        </w:rPr>
        <w:t>除非仲裁裁决另有规定，</w:t>
      </w:r>
      <w:r>
        <w:rPr>
          <w:rFonts w:ascii="宋体" w:hAnsi="宋体" w:hint="eastAsia"/>
          <w:szCs w:val="21"/>
        </w:rPr>
        <w:t>仲裁费用由败诉方承担。</w:t>
      </w:r>
    </w:p>
    <w:p w:rsidR="001D0D89" w:rsidRDefault="00F1175F">
      <w:pPr>
        <w:spacing w:line="360" w:lineRule="auto"/>
        <w:ind w:firstLineChars="200" w:firstLine="420"/>
        <w:rPr>
          <w:rFonts w:ascii="宋体" w:hAnsi="宋体"/>
          <w:szCs w:val="21"/>
        </w:rPr>
      </w:pPr>
      <w:r>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rsidR="001D0D89" w:rsidRDefault="00F1175F">
      <w:pPr>
        <w:spacing w:line="500" w:lineRule="atLeast"/>
        <w:jc w:val="center"/>
        <w:outlineLvl w:val="0"/>
        <w:rPr>
          <w:rFonts w:ascii="宋体" w:hAnsi="宋体"/>
        </w:rPr>
      </w:pPr>
      <w:bookmarkStart w:id="72" w:name="_Toc382819135"/>
      <w:r>
        <w:rPr>
          <w:rFonts w:ascii="宋体" w:hAnsi="宋体" w:hint="eastAsia"/>
          <w:b/>
          <w:sz w:val="24"/>
        </w:rPr>
        <w:t>十八、基金托管协议的效力和文本</w:t>
      </w:r>
      <w:bookmarkEnd w:id="72"/>
    </w:p>
    <w:p w:rsidR="001D0D89" w:rsidRDefault="00F1175F">
      <w:pPr>
        <w:pStyle w:val="a7"/>
        <w:rPr>
          <w:rFonts w:ascii="宋体" w:hAnsi="宋体"/>
          <w:szCs w:val="21"/>
        </w:rPr>
      </w:pPr>
      <w:r>
        <w:rPr>
          <w:rFonts w:ascii="宋体" w:hAnsi="宋体" w:hint="eastAsia"/>
          <w:szCs w:val="21"/>
        </w:rPr>
        <w:t>（一）</w:t>
      </w:r>
      <w:r w:rsidR="00E252DA" w:rsidRPr="00E252DA">
        <w:rPr>
          <w:rFonts w:ascii="宋体" w:hAnsi="宋体" w:cs="Arial" w:hint="eastAsia"/>
          <w:kern w:val="44"/>
          <w:szCs w:val="21"/>
        </w:rPr>
        <w:t>基金管理人在向中国证监会申请发售基金份额时提交的托管协议草案，应经托管协议当事人双方盖章以及双方法定代表人或授权代表签章，协议当事人双方根据中国证监会的意见修改托管协议草案。</w:t>
      </w:r>
      <w:r>
        <w:rPr>
          <w:rFonts w:ascii="宋体" w:hAnsi="宋体" w:hint="eastAsia"/>
          <w:szCs w:val="21"/>
        </w:rPr>
        <w:t>本协议以中国证监会注册的文本为正式文本。基金管理人应确保报送证监会注册/备案的文本与双方签署的文本一致</w:t>
      </w:r>
    </w:p>
    <w:p w:rsidR="001D0D89" w:rsidRDefault="00F1175F">
      <w:pPr>
        <w:pStyle w:val="a7"/>
        <w:rPr>
          <w:rFonts w:ascii="宋体" w:hAnsi="宋体"/>
          <w:szCs w:val="21"/>
        </w:rPr>
      </w:pPr>
      <w:r>
        <w:rPr>
          <w:rFonts w:ascii="宋体" w:hAnsi="宋体" w:hint="eastAsia"/>
          <w:szCs w:val="21"/>
        </w:rPr>
        <w:t>（二）本协议自本协议成立且《基金合同》生效之日起生效，有效期自其生效之日起至该基金财产清算结果报中国证监会备案并公告之日止。</w:t>
      </w:r>
    </w:p>
    <w:p w:rsidR="001D0D89" w:rsidRDefault="00F1175F">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1D0D89" w:rsidRDefault="00F1175F">
      <w:pPr>
        <w:spacing w:line="360" w:lineRule="auto"/>
        <w:ind w:firstLineChars="200" w:firstLine="420"/>
        <w:rPr>
          <w:rFonts w:ascii="宋体" w:hAnsi="宋体"/>
          <w:szCs w:val="21"/>
        </w:rPr>
      </w:pPr>
      <w:r>
        <w:rPr>
          <w:rFonts w:ascii="宋体" w:hAnsi="宋体" w:hint="eastAsia"/>
          <w:szCs w:val="21"/>
        </w:rPr>
        <w:t>（四）本协议正本一式三份，除上报有关监管机构一份外，基金管理人、基金托管人各持有一份，每份具有同等的法律效力。</w:t>
      </w:r>
    </w:p>
    <w:p w:rsidR="001D0D89" w:rsidRDefault="00F1175F">
      <w:pPr>
        <w:spacing w:line="500" w:lineRule="atLeast"/>
        <w:jc w:val="center"/>
        <w:outlineLvl w:val="0"/>
        <w:rPr>
          <w:rFonts w:ascii="宋体" w:hAnsi="宋体"/>
        </w:rPr>
      </w:pPr>
      <w:bookmarkStart w:id="73" w:name="_Toc382819136"/>
      <w:r>
        <w:rPr>
          <w:rFonts w:ascii="宋体" w:hAnsi="宋体" w:hint="eastAsia"/>
          <w:b/>
          <w:sz w:val="24"/>
        </w:rPr>
        <w:t>十九、其他事项</w:t>
      </w:r>
      <w:bookmarkEnd w:id="73"/>
    </w:p>
    <w:p w:rsidR="001D0D89" w:rsidRDefault="00F1175F">
      <w:pPr>
        <w:pStyle w:val="a7"/>
        <w:rPr>
          <w:rFonts w:ascii="宋体" w:hAnsi="宋体"/>
          <w:szCs w:val="21"/>
        </w:rPr>
      </w:pPr>
      <w:r>
        <w:rPr>
          <w:rFonts w:ascii="宋体" w:hAnsi="宋体" w:hint="eastAsia"/>
          <w:szCs w:val="21"/>
        </w:rPr>
        <w:t>（一）双方在此确认，双方均已充分了解和知悉各方反对其员工利用职务之便谋取任何</w:t>
      </w:r>
      <w:r>
        <w:rPr>
          <w:rFonts w:ascii="宋体" w:hAnsi="宋体" w:hint="eastAsia"/>
          <w:szCs w:val="21"/>
        </w:rPr>
        <w:lastRenderedPageBreak/>
        <w:t>形式利益之立场，并承诺将本着廉洁公平原则避免此类情形，不向对方的员工私自提供任何形式的回扣、礼金、有价证券、贵重物品、各种奖励、私人费用补偿、私人旅游、高消费娱乐等不当利益。</w:t>
      </w:r>
    </w:p>
    <w:p w:rsidR="001D0D89" w:rsidRDefault="00F1175F">
      <w:pPr>
        <w:pStyle w:val="a7"/>
        <w:rPr>
          <w:rFonts w:ascii="宋体" w:hAnsi="宋体"/>
          <w:szCs w:val="21"/>
        </w:rPr>
      </w:pPr>
      <w:r>
        <w:rPr>
          <w:rFonts w:ascii="宋体" w:hAnsi="宋体" w:hint="eastAsia"/>
          <w:szCs w:val="21"/>
        </w:rPr>
        <w:t>（二）反洗钱义务</w:t>
      </w:r>
    </w:p>
    <w:p w:rsidR="001D0D89" w:rsidRDefault="00F1175F">
      <w:pPr>
        <w:pStyle w:val="a7"/>
        <w:rPr>
          <w:rFonts w:ascii="宋体" w:hAnsi="宋体"/>
          <w:szCs w:val="21"/>
        </w:rPr>
      </w:pPr>
      <w:r>
        <w:rPr>
          <w:rFonts w:ascii="宋体" w:hAnsi="宋体" w:hint="eastAsia"/>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基金托管人若具备合理</w:t>
      </w:r>
      <w:r w:rsidR="00E252DA">
        <w:rPr>
          <w:rFonts w:ascii="宋体" w:hAnsi="宋体" w:hint="eastAsia"/>
          <w:szCs w:val="21"/>
        </w:rPr>
        <w:t>且充分</w:t>
      </w:r>
      <w:r>
        <w:rPr>
          <w:rFonts w:ascii="宋体" w:hAnsi="宋体" w:hint="eastAsia"/>
          <w:szCs w:val="21"/>
        </w:rPr>
        <w:t>理由怀疑基金管理人涉嫌洗钱、恐怖融资的，有权按照中国人民银行反洗钱监管规定采取必要管控措施，或单方面终止本合同本协议且不执行基金管理人的交易指令。</w:t>
      </w:r>
    </w:p>
    <w:p w:rsidR="001D0D89" w:rsidRDefault="00F1175F">
      <w:pPr>
        <w:pStyle w:val="a7"/>
        <w:rPr>
          <w:rFonts w:ascii="宋体" w:hAnsi="宋体"/>
          <w:szCs w:val="21"/>
        </w:rPr>
      </w:pPr>
      <w:r>
        <w:rPr>
          <w:rFonts w:ascii="宋体" w:hAnsi="宋体" w:hint="eastAsia"/>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w:t>
      </w:r>
      <w:r w:rsidR="00E252DA">
        <w:rPr>
          <w:rFonts w:ascii="宋体" w:hAnsi="宋体" w:hint="eastAsia"/>
          <w:szCs w:val="21"/>
        </w:rPr>
        <w:t>且充分</w:t>
      </w:r>
      <w:r>
        <w:rPr>
          <w:rFonts w:ascii="宋体" w:hAnsi="宋体" w:hint="eastAsia"/>
          <w:szCs w:val="21"/>
        </w:rPr>
        <w:t>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p>
    <w:p w:rsidR="001D0D89" w:rsidRDefault="00F1175F">
      <w:pPr>
        <w:pStyle w:val="a7"/>
        <w:rPr>
          <w:rFonts w:ascii="宋体" w:hAnsi="宋体"/>
          <w:szCs w:val="21"/>
        </w:rPr>
      </w:pPr>
      <w:r>
        <w:rPr>
          <w:rFonts w:ascii="宋体" w:hAnsi="宋体" w:hint="eastAsia"/>
          <w:szCs w:val="21"/>
        </w:rPr>
        <w:t>（三）通知</w:t>
      </w:r>
    </w:p>
    <w:p w:rsidR="001D0D89" w:rsidRDefault="00F1175F">
      <w:pPr>
        <w:spacing w:line="360" w:lineRule="auto"/>
        <w:ind w:firstLineChars="171" w:firstLine="359"/>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除本协议另有约定外，其他与本协议有关的通知应以书面形式作出，并送达至协议约定的地址，如果相关信息发生变动，变动的一方应当在变动发生之日起五（5）日书面通知其他各方。</w:t>
      </w:r>
    </w:p>
    <w:p w:rsidR="001D0D89" w:rsidRDefault="00F1175F">
      <w:pPr>
        <w:spacing w:line="360" w:lineRule="auto"/>
        <w:ind w:firstLineChars="171" w:firstLine="359"/>
        <w:rPr>
          <w:rFonts w:ascii="宋体" w:hAnsi="宋体"/>
          <w:szCs w:val="21"/>
        </w:rPr>
      </w:pPr>
      <w:r>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rsidR="001D0D89" w:rsidRDefault="00F1175F">
      <w:pPr>
        <w:spacing w:line="360" w:lineRule="auto"/>
        <w:ind w:firstLineChars="171" w:firstLine="359"/>
        <w:rPr>
          <w:rFonts w:ascii="宋体" w:hAnsi="宋体"/>
          <w:szCs w:val="21"/>
        </w:rPr>
      </w:pPr>
      <w:r>
        <w:rPr>
          <w:rFonts w:ascii="宋体" w:hAnsi="宋体" w:hint="eastAsia"/>
          <w:szCs w:val="21"/>
        </w:rPr>
        <w:t>3任何一方在任何时间改变接收通知所用的地址立即将该变更通过本协议约定的邮箱或各方认可的方式通知另一方；如果该变更通知未能送达，递交给上述收件人或地址的通知或联络应视为被正常发送和接收。</w:t>
      </w:r>
    </w:p>
    <w:p w:rsidR="001D0D89" w:rsidRDefault="00F1175F">
      <w:pPr>
        <w:spacing w:line="360" w:lineRule="auto"/>
        <w:ind w:firstLineChars="171" w:firstLine="359"/>
        <w:rPr>
          <w:rFonts w:ascii="宋体" w:hAnsi="宋体"/>
          <w:szCs w:val="21"/>
        </w:rPr>
      </w:pPr>
      <w:r>
        <w:rPr>
          <w:rFonts w:ascii="宋体" w:hAnsi="宋体" w:hint="eastAsia"/>
          <w:szCs w:val="21"/>
        </w:rPr>
        <w:t>4各方确认，本协议首页列明的各方地址为其有效的送达地址。对本协议项下所发生的任何</w:t>
      </w:r>
      <w:r w:rsidR="00366EC7">
        <w:rPr>
          <w:rFonts w:ascii="宋体" w:hAnsi="宋体" w:hint="eastAsia"/>
          <w:szCs w:val="21"/>
        </w:rPr>
        <w:t>仲裁或</w:t>
      </w:r>
      <w:r>
        <w:rPr>
          <w:rFonts w:ascii="宋体" w:hAnsi="宋体" w:hint="eastAsia"/>
          <w:szCs w:val="21"/>
        </w:rPr>
        <w:t>诉讼（包括一审、二审和再审等任何诉讼程序和执行程序）过程中对其发出的函</w:t>
      </w:r>
      <w:r>
        <w:rPr>
          <w:rFonts w:ascii="宋体" w:hAnsi="宋体" w:hint="eastAsia"/>
          <w:szCs w:val="21"/>
        </w:rPr>
        <w:lastRenderedPageBreak/>
        <w:t>件、传票、通知等法律文书，只要以邮寄或以本协议约定或各方认可的方式发送至本协议首页列明的送达地址即视为送达，具体送达日期适用《民事诉讼法》中关于送达日期的规定。上述送达地址的变更非经提前通知另一方，不发生法律效力，本协议中确认的送达地址仍然视为有效的送达地址。</w:t>
      </w:r>
    </w:p>
    <w:p w:rsidR="001D0D89" w:rsidRDefault="00F1175F">
      <w:pPr>
        <w:pStyle w:val="a7"/>
        <w:rPr>
          <w:rFonts w:ascii="宋体" w:hAnsi="宋体"/>
          <w:szCs w:val="21"/>
        </w:rPr>
      </w:pPr>
      <w:r>
        <w:rPr>
          <w:rFonts w:ascii="宋体" w:hAnsi="宋体" w:hint="eastAsia"/>
          <w:szCs w:val="21"/>
        </w:rPr>
        <w:t>（三）本协议未尽事宜，当事人依据《基金合同》以及有关法律、法规和规定协商办理。</w:t>
      </w:r>
    </w:p>
    <w:p w:rsidR="001D0D89" w:rsidRDefault="00F1175F">
      <w:pPr>
        <w:pStyle w:val="a7"/>
        <w:ind w:firstLineChars="0" w:firstLine="0"/>
        <w:rPr>
          <w:rFonts w:ascii="宋体" w:hAnsi="宋体"/>
          <w:szCs w:val="21"/>
        </w:rPr>
      </w:pPr>
      <w:r>
        <w:rPr>
          <w:rFonts w:ascii="宋体" w:hAnsi="宋体" w:hint="eastAsia"/>
          <w:szCs w:val="21"/>
        </w:rPr>
        <w:t>（本页以下无正文）</w:t>
      </w:r>
    </w:p>
    <w:p w:rsidR="001D0D89" w:rsidRDefault="001D0D89">
      <w:pPr>
        <w:widowControl/>
        <w:spacing w:beforeAutospacing="1" w:line="360" w:lineRule="auto"/>
        <w:jc w:val="left"/>
        <w:rPr>
          <w:rFonts w:ascii="宋体" w:hAnsi="宋体"/>
          <w:szCs w:val="21"/>
          <w:lang w:val="zh-CN"/>
        </w:rPr>
        <w:sectPr w:rsidR="001D0D89">
          <w:footerReference w:type="default" r:id="rId12"/>
          <w:pgSz w:w="11906" w:h="16838"/>
          <w:pgMar w:top="1440" w:right="1800" w:bottom="1440" w:left="1800" w:header="851" w:footer="992" w:gutter="0"/>
          <w:pgNumType w:start="1"/>
          <w:cols w:space="720"/>
          <w:docGrid w:type="lines" w:linePitch="312"/>
        </w:sectPr>
      </w:pPr>
    </w:p>
    <w:p w:rsidR="001D0D89" w:rsidRDefault="00F1175F">
      <w:pPr>
        <w:spacing w:after="120" w:line="360" w:lineRule="auto"/>
        <w:ind w:firstLineChars="200" w:firstLine="420"/>
        <w:rPr>
          <w:rFonts w:ascii="宋体" w:hAnsi="宋体"/>
          <w:szCs w:val="21"/>
        </w:rPr>
      </w:pPr>
      <w:r>
        <w:rPr>
          <w:rFonts w:ascii="宋体" w:hAnsi="宋体" w:hint="eastAsia"/>
          <w:szCs w:val="21"/>
        </w:rPr>
        <w:lastRenderedPageBreak/>
        <w:t>（本页为</w:t>
      </w:r>
      <w:proofErr w:type="gramStart"/>
      <w:r>
        <w:rPr>
          <w:rFonts w:ascii="宋体" w:hAnsi="宋体" w:hint="eastAsia"/>
          <w:szCs w:val="21"/>
        </w:rPr>
        <w:t>永赢价值</w:t>
      </w:r>
      <w:proofErr w:type="gramEnd"/>
      <w:r>
        <w:rPr>
          <w:rFonts w:ascii="宋体" w:hAnsi="宋体" w:hint="eastAsia"/>
          <w:szCs w:val="21"/>
        </w:rPr>
        <w:t>核心混合型证券投资基金托管协议签署页，无正文）</w:t>
      </w:r>
    </w:p>
    <w:p w:rsidR="001D0D89" w:rsidRDefault="001D0D89">
      <w:pPr>
        <w:spacing w:line="360" w:lineRule="auto"/>
        <w:ind w:right="26"/>
        <w:rPr>
          <w:rFonts w:ascii="宋体" w:hAnsi="宋体"/>
          <w:b/>
          <w:bCs/>
          <w:szCs w:val="21"/>
        </w:rPr>
      </w:pPr>
    </w:p>
    <w:p w:rsidR="001D0D89" w:rsidRDefault="00F1175F">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rsidR="001D0D89" w:rsidRDefault="001D0D89">
      <w:pPr>
        <w:spacing w:line="360" w:lineRule="auto"/>
        <w:ind w:right="26"/>
        <w:rPr>
          <w:rFonts w:ascii="宋体" w:hAnsi="宋体"/>
          <w:szCs w:val="21"/>
        </w:rPr>
      </w:pPr>
    </w:p>
    <w:p w:rsidR="001D0D89" w:rsidRDefault="001D0D89">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1D0D89">
        <w:tc>
          <w:tcPr>
            <w:tcW w:w="4261" w:type="dxa"/>
            <w:shd w:val="clear" w:color="auto" w:fill="auto"/>
          </w:tcPr>
          <w:p w:rsidR="001D0D89" w:rsidRDefault="00F1175F">
            <w:pPr>
              <w:spacing w:line="360" w:lineRule="auto"/>
              <w:ind w:right="26"/>
              <w:rPr>
                <w:rFonts w:ascii="宋体" w:hAnsi="宋体"/>
                <w:b/>
                <w:bCs/>
                <w:szCs w:val="21"/>
              </w:rPr>
            </w:pPr>
            <w:r>
              <w:rPr>
                <w:rFonts w:ascii="宋体" w:hAnsi="宋体" w:hint="eastAsia"/>
                <w:b/>
                <w:szCs w:val="21"/>
              </w:rPr>
              <w:t>基金管理人</w:t>
            </w:r>
            <w:r>
              <w:rPr>
                <w:rFonts w:ascii="宋体" w:hAnsi="宋体" w:hint="eastAsia"/>
                <w:b/>
                <w:bCs/>
                <w:szCs w:val="21"/>
              </w:rPr>
              <w:t>：</w:t>
            </w:r>
          </w:p>
          <w:p w:rsidR="001D0D89" w:rsidRPr="00ED7D97" w:rsidRDefault="00F1175F">
            <w:pPr>
              <w:spacing w:line="360" w:lineRule="auto"/>
              <w:ind w:right="26"/>
              <w:rPr>
                <w:rFonts w:ascii="宋体" w:hAnsi="宋体"/>
                <w:b/>
                <w:szCs w:val="21"/>
              </w:rPr>
            </w:pPr>
            <w:r w:rsidRPr="00ED7D97">
              <w:rPr>
                <w:rFonts w:ascii="宋体" w:hAnsi="宋体" w:hint="eastAsia"/>
                <w:b/>
                <w:szCs w:val="21"/>
              </w:rPr>
              <w:t>永赢基金管理有限公司</w:t>
            </w:r>
          </w:p>
        </w:tc>
        <w:tc>
          <w:tcPr>
            <w:tcW w:w="4261" w:type="dxa"/>
            <w:shd w:val="clear" w:color="auto" w:fill="auto"/>
          </w:tcPr>
          <w:p w:rsidR="001D0D89" w:rsidRDefault="00F1175F">
            <w:pPr>
              <w:spacing w:line="360" w:lineRule="auto"/>
              <w:ind w:right="26"/>
              <w:rPr>
                <w:rFonts w:ascii="宋体" w:hAnsi="宋体"/>
                <w:b/>
                <w:szCs w:val="21"/>
              </w:rPr>
            </w:pPr>
            <w:r>
              <w:rPr>
                <w:rFonts w:ascii="宋体" w:hAnsi="宋体" w:hint="eastAsia"/>
                <w:b/>
                <w:szCs w:val="21"/>
              </w:rPr>
              <w:t>基金托管人：</w:t>
            </w:r>
          </w:p>
          <w:p w:rsidR="001D0D89" w:rsidRDefault="00F1175F">
            <w:pPr>
              <w:spacing w:line="360" w:lineRule="auto"/>
              <w:ind w:right="26"/>
              <w:rPr>
                <w:rFonts w:ascii="宋体" w:hAnsi="宋体"/>
                <w:szCs w:val="21"/>
              </w:rPr>
            </w:pPr>
            <w:r>
              <w:rPr>
                <w:rFonts w:ascii="宋体" w:hAnsi="宋体" w:hint="eastAsia"/>
                <w:b/>
                <w:szCs w:val="21"/>
              </w:rPr>
              <w:t>上海浦东发展银行股份有限公司</w:t>
            </w:r>
          </w:p>
        </w:tc>
      </w:tr>
      <w:tr w:rsidR="001D0D89">
        <w:tc>
          <w:tcPr>
            <w:tcW w:w="4261" w:type="dxa"/>
            <w:shd w:val="clear" w:color="auto" w:fill="auto"/>
          </w:tcPr>
          <w:p w:rsidR="001D0D89" w:rsidRDefault="00F1175F">
            <w:pPr>
              <w:spacing w:line="360" w:lineRule="auto"/>
              <w:ind w:right="26"/>
              <w:rPr>
                <w:rFonts w:ascii="宋体" w:hAnsi="宋体"/>
                <w:b/>
                <w:szCs w:val="21"/>
              </w:rPr>
            </w:pPr>
            <w:r>
              <w:rPr>
                <w:rFonts w:ascii="宋体" w:hAnsi="宋体" w:hint="eastAsia"/>
                <w:b/>
                <w:szCs w:val="21"/>
              </w:rPr>
              <w:t>（公章或合同专用章）</w:t>
            </w:r>
          </w:p>
          <w:p w:rsidR="001D0D89" w:rsidRDefault="001D0D89">
            <w:pPr>
              <w:spacing w:line="360" w:lineRule="auto"/>
              <w:ind w:right="26"/>
              <w:rPr>
                <w:rFonts w:ascii="宋体" w:hAnsi="宋体"/>
                <w:szCs w:val="21"/>
              </w:rPr>
            </w:pPr>
          </w:p>
          <w:p w:rsidR="001D0D89" w:rsidRDefault="001D0D89">
            <w:pPr>
              <w:spacing w:line="360" w:lineRule="auto"/>
              <w:ind w:right="26"/>
              <w:rPr>
                <w:rFonts w:ascii="宋体" w:hAnsi="宋体"/>
                <w:szCs w:val="21"/>
              </w:rPr>
            </w:pPr>
          </w:p>
        </w:tc>
        <w:tc>
          <w:tcPr>
            <w:tcW w:w="4261" w:type="dxa"/>
            <w:shd w:val="clear" w:color="auto" w:fill="auto"/>
          </w:tcPr>
          <w:p w:rsidR="001D0D89" w:rsidRDefault="00F1175F">
            <w:pPr>
              <w:spacing w:line="360" w:lineRule="auto"/>
              <w:ind w:right="26"/>
              <w:rPr>
                <w:rFonts w:ascii="宋体" w:hAnsi="宋体"/>
                <w:b/>
                <w:szCs w:val="21"/>
              </w:rPr>
            </w:pPr>
            <w:r>
              <w:rPr>
                <w:rFonts w:ascii="宋体" w:hAnsi="宋体" w:hint="eastAsia"/>
                <w:b/>
                <w:szCs w:val="21"/>
              </w:rPr>
              <w:t>（公章或合同专用章）</w:t>
            </w:r>
          </w:p>
          <w:p w:rsidR="001D0D89" w:rsidRDefault="001D0D89">
            <w:pPr>
              <w:spacing w:line="360" w:lineRule="auto"/>
              <w:ind w:right="26"/>
              <w:rPr>
                <w:rFonts w:ascii="宋体" w:hAnsi="宋体"/>
                <w:szCs w:val="21"/>
              </w:rPr>
            </w:pPr>
          </w:p>
          <w:p w:rsidR="001D0D89" w:rsidRDefault="001D0D89">
            <w:pPr>
              <w:spacing w:line="360" w:lineRule="auto"/>
              <w:ind w:right="26"/>
              <w:rPr>
                <w:rFonts w:ascii="宋体" w:hAnsi="宋体"/>
                <w:szCs w:val="21"/>
              </w:rPr>
            </w:pPr>
          </w:p>
        </w:tc>
      </w:tr>
      <w:tr w:rsidR="001D0D89">
        <w:tc>
          <w:tcPr>
            <w:tcW w:w="4261" w:type="dxa"/>
            <w:shd w:val="clear" w:color="auto" w:fill="auto"/>
          </w:tcPr>
          <w:p w:rsidR="001D0D89" w:rsidRDefault="00F1175F">
            <w:pPr>
              <w:spacing w:line="360" w:lineRule="auto"/>
              <w:ind w:right="26"/>
              <w:rPr>
                <w:rFonts w:ascii="宋体" w:hAnsi="宋体"/>
                <w:szCs w:val="21"/>
              </w:rPr>
            </w:pPr>
            <w:r>
              <w:rPr>
                <w:rFonts w:ascii="宋体" w:hAnsi="宋体" w:hint="eastAsia"/>
                <w:b/>
                <w:szCs w:val="21"/>
              </w:rPr>
              <w:t>法定代表人或授权代表：</w:t>
            </w:r>
          </w:p>
        </w:tc>
        <w:tc>
          <w:tcPr>
            <w:tcW w:w="4261" w:type="dxa"/>
            <w:shd w:val="clear" w:color="auto" w:fill="auto"/>
          </w:tcPr>
          <w:p w:rsidR="001D0D89" w:rsidRDefault="00F1175F">
            <w:pPr>
              <w:spacing w:line="360" w:lineRule="auto"/>
              <w:ind w:right="26"/>
              <w:rPr>
                <w:rFonts w:ascii="宋体" w:hAnsi="宋体"/>
                <w:szCs w:val="21"/>
              </w:rPr>
            </w:pPr>
            <w:r>
              <w:rPr>
                <w:rFonts w:ascii="宋体" w:hAnsi="宋体" w:hint="eastAsia"/>
                <w:b/>
                <w:szCs w:val="21"/>
              </w:rPr>
              <w:t>法定代表人或授权代表：</w:t>
            </w:r>
          </w:p>
        </w:tc>
      </w:tr>
      <w:tr w:rsidR="001D0D89">
        <w:tc>
          <w:tcPr>
            <w:tcW w:w="4261" w:type="dxa"/>
            <w:shd w:val="clear" w:color="auto" w:fill="auto"/>
          </w:tcPr>
          <w:p w:rsidR="001D0D89" w:rsidRDefault="00F1175F">
            <w:pPr>
              <w:spacing w:line="360" w:lineRule="auto"/>
              <w:ind w:right="26"/>
              <w:rPr>
                <w:rFonts w:ascii="宋体" w:hAnsi="宋体"/>
                <w:b/>
                <w:szCs w:val="21"/>
              </w:rPr>
            </w:pPr>
            <w:r>
              <w:rPr>
                <w:rFonts w:ascii="宋体" w:hAnsi="宋体" w:hint="eastAsia"/>
                <w:b/>
                <w:szCs w:val="21"/>
              </w:rPr>
              <w:t>（签字或盖章）</w:t>
            </w:r>
          </w:p>
          <w:p w:rsidR="001D0D89" w:rsidRDefault="001D0D89">
            <w:pPr>
              <w:spacing w:line="360" w:lineRule="auto"/>
              <w:ind w:right="26"/>
              <w:rPr>
                <w:rFonts w:ascii="宋体" w:hAnsi="宋体"/>
                <w:szCs w:val="21"/>
              </w:rPr>
            </w:pPr>
          </w:p>
        </w:tc>
        <w:tc>
          <w:tcPr>
            <w:tcW w:w="4261" w:type="dxa"/>
            <w:shd w:val="clear" w:color="auto" w:fill="auto"/>
          </w:tcPr>
          <w:p w:rsidR="001D0D89" w:rsidRDefault="00F1175F">
            <w:pPr>
              <w:spacing w:line="360" w:lineRule="auto"/>
              <w:ind w:right="26"/>
              <w:rPr>
                <w:rFonts w:ascii="宋体" w:hAnsi="宋体"/>
                <w:b/>
                <w:szCs w:val="21"/>
              </w:rPr>
            </w:pPr>
            <w:r>
              <w:rPr>
                <w:rFonts w:ascii="宋体" w:hAnsi="宋体" w:hint="eastAsia"/>
                <w:b/>
                <w:szCs w:val="21"/>
              </w:rPr>
              <w:t>（签字或盖章）</w:t>
            </w:r>
          </w:p>
          <w:p w:rsidR="001D0D89" w:rsidRDefault="001D0D89">
            <w:pPr>
              <w:spacing w:line="360" w:lineRule="auto"/>
              <w:ind w:right="26"/>
              <w:rPr>
                <w:rFonts w:ascii="宋体" w:hAnsi="宋体"/>
                <w:szCs w:val="21"/>
              </w:rPr>
            </w:pPr>
          </w:p>
        </w:tc>
      </w:tr>
      <w:tr w:rsidR="001D0D89">
        <w:tc>
          <w:tcPr>
            <w:tcW w:w="4261" w:type="dxa"/>
            <w:shd w:val="clear" w:color="auto" w:fill="auto"/>
          </w:tcPr>
          <w:p w:rsidR="001D0D89" w:rsidRDefault="001D0D89">
            <w:pPr>
              <w:spacing w:line="360" w:lineRule="auto"/>
              <w:ind w:right="26"/>
              <w:rPr>
                <w:rFonts w:ascii="宋体" w:hAnsi="宋体"/>
                <w:szCs w:val="21"/>
              </w:rPr>
            </w:pPr>
          </w:p>
        </w:tc>
        <w:tc>
          <w:tcPr>
            <w:tcW w:w="4261" w:type="dxa"/>
            <w:shd w:val="clear" w:color="auto" w:fill="auto"/>
          </w:tcPr>
          <w:p w:rsidR="001D0D89" w:rsidRDefault="001D0D89">
            <w:pPr>
              <w:spacing w:line="360" w:lineRule="auto"/>
              <w:ind w:right="26"/>
              <w:rPr>
                <w:rFonts w:ascii="宋体" w:hAnsi="宋体"/>
                <w:szCs w:val="21"/>
              </w:rPr>
            </w:pPr>
          </w:p>
        </w:tc>
      </w:tr>
    </w:tbl>
    <w:p w:rsidR="001D0D89" w:rsidRDefault="001D0D89">
      <w:pPr>
        <w:spacing w:line="360" w:lineRule="auto"/>
        <w:ind w:right="26"/>
        <w:rPr>
          <w:rFonts w:ascii="宋体" w:hAnsi="宋体"/>
          <w:szCs w:val="21"/>
        </w:rPr>
      </w:pPr>
    </w:p>
    <w:p w:rsidR="001D0D89" w:rsidRDefault="001D0D89">
      <w:pPr>
        <w:spacing w:line="360" w:lineRule="auto"/>
        <w:ind w:right="26"/>
        <w:rPr>
          <w:rFonts w:ascii="宋体" w:hAnsi="宋体"/>
          <w:szCs w:val="21"/>
        </w:rPr>
      </w:pPr>
    </w:p>
    <w:p w:rsidR="001D0D89" w:rsidRDefault="001D0D89"/>
    <w:sectPr w:rsidR="001D0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0E" w:rsidRDefault="00F6140E">
      <w:r>
        <w:separator/>
      </w:r>
    </w:p>
  </w:endnote>
  <w:endnote w:type="continuationSeparator" w:id="0">
    <w:p w:rsidR="00F6140E" w:rsidRDefault="00F6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ACF" w:rsidRDefault="009E7ACF">
    <w:pPr>
      <w:pStyle w:val="ae"/>
      <w:jc w:val="center"/>
    </w:pPr>
  </w:p>
  <w:p w:rsidR="009E7ACF" w:rsidRDefault="009E7ACF">
    <w:pPr>
      <w:pStyle w:val="a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ACF" w:rsidRDefault="009E7ACF">
    <w:pPr>
      <w:pStyle w:val="ae"/>
      <w:jc w:val="center"/>
    </w:pPr>
    <w:r>
      <w:fldChar w:fldCharType="begin"/>
    </w:r>
    <w:r>
      <w:instrText>PAGE   \* MERGEFORMAT</w:instrText>
    </w:r>
    <w:r>
      <w:fldChar w:fldCharType="separate"/>
    </w:r>
    <w:r w:rsidR="00165D15" w:rsidRPr="00165D15">
      <w:rPr>
        <w:noProof/>
        <w:lang w:val="zh-CN"/>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0E" w:rsidRDefault="00F6140E">
      <w:r>
        <w:separator/>
      </w:r>
    </w:p>
  </w:footnote>
  <w:footnote w:type="continuationSeparator" w:id="0">
    <w:p w:rsidR="00F6140E" w:rsidRDefault="00F614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ACF" w:rsidRDefault="009E7ACF">
    <w:pPr>
      <w:pStyle w:val="af0"/>
      <w:ind w:right="84"/>
      <w:jc w:val="both"/>
    </w:pPr>
    <w:proofErr w:type="gramStart"/>
    <w:r>
      <w:rPr>
        <w:rFonts w:hint="eastAsia"/>
      </w:rPr>
      <w:t>永赢价值</w:t>
    </w:r>
    <w:proofErr w:type="gramEnd"/>
    <w:r>
      <w:rPr>
        <w:rFonts w:hint="eastAsia"/>
      </w:rPr>
      <w:t>核心混合型证券投资基金</w:t>
    </w:r>
    <w:r>
      <w:rPr>
        <w:rFonts w:hint="eastAsia"/>
      </w:rPr>
      <w:t xml:space="preserve">    </w:t>
    </w:r>
    <w:r>
      <w:t xml:space="preserve">              </w:t>
    </w:r>
    <w:r>
      <w:rPr>
        <w:rFonts w:hint="eastAsia"/>
      </w:rPr>
      <w:t xml:space="preserve"> </w:t>
    </w:r>
    <w:r>
      <w:t xml:space="preserve">      </w:t>
    </w:r>
    <w:r w:rsidR="00D3692A">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DM1OTZiZDdlMmFiMWQ0YmJkYTBlOGJlYTEwNzkifQ=="/>
  </w:docVars>
  <w:rsids>
    <w:rsidRoot w:val="003A2B06"/>
    <w:rsid w:val="AFB79C68"/>
    <w:rsid w:val="DAC8346C"/>
    <w:rsid w:val="F89F340E"/>
    <w:rsid w:val="000024EF"/>
    <w:rsid w:val="00014998"/>
    <w:rsid w:val="000246AC"/>
    <w:rsid w:val="00024DDA"/>
    <w:rsid w:val="00050C79"/>
    <w:rsid w:val="00053197"/>
    <w:rsid w:val="00063928"/>
    <w:rsid w:val="0006509E"/>
    <w:rsid w:val="00070C46"/>
    <w:rsid w:val="00080622"/>
    <w:rsid w:val="0008166B"/>
    <w:rsid w:val="00090B2E"/>
    <w:rsid w:val="00096FFC"/>
    <w:rsid w:val="0009788B"/>
    <w:rsid w:val="000A061E"/>
    <w:rsid w:val="000C0815"/>
    <w:rsid w:val="000E7AE1"/>
    <w:rsid w:val="000F1EB1"/>
    <w:rsid w:val="000F581B"/>
    <w:rsid w:val="0010262A"/>
    <w:rsid w:val="00106548"/>
    <w:rsid w:val="00111856"/>
    <w:rsid w:val="001142CF"/>
    <w:rsid w:val="00126AE4"/>
    <w:rsid w:val="00135B9F"/>
    <w:rsid w:val="0014246D"/>
    <w:rsid w:val="00162C4A"/>
    <w:rsid w:val="0016302A"/>
    <w:rsid w:val="00163E01"/>
    <w:rsid w:val="00165D15"/>
    <w:rsid w:val="00170D13"/>
    <w:rsid w:val="00177C69"/>
    <w:rsid w:val="00190962"/>
    <w:rsid w:val="001A1969"/>
    <w:rsid w:val="001A7674"/>
    <w:rsid w:val="001B5B01"/>
    <w:rsid w:val="001C483E"/>
    <w:rsid w:val="001C5433"/>
    <w:rsid w:val="001C7B75"/>
    <w:rsid w:val="001D0D89"/>
    <w:rsid w:val="001D561D"/>
    <w:rsid w:val="001E0A82"/>
    <w:rsid w:val="001F013E"/>
    <w:rsid w:val="001F4291"/>
    <w:rsid w:val="001F5830"/>
    <w:rsid w:val="001F7684"/>
    <w:rsid w:val="001F7C9B"/>
    <w:rsid w:val="00203F42"/>
    <w:rsid w:val="00221B2B"/>
    <w:rsid w:val="002226C4"/>
    <w:rsid w:val="00230CA9"/>
    <w:rsid w:val="0023482D"/>
    <w:rsid w:val="002400B3"/>
    <w:rsid w:val="002571C9"/>
    <w:rsid w:val="002618B2"/>
    <w:rsid w:val="002755B8"/>
    <w:rsid w:val="00276C95"/>
    <w:rsid w:val="002900A8"/>
    <w:rsid w:val="002947E2"/>
    <w:rsid w:val="00296AF1"/>
    <w:rsid w:val="002A29FD"/>
    <w:rsid w:val="002A6287"/>
    <w:rsid w:val="002A6BEC"/>
    <w:rsid w:val="002C1EAB"/>
    <w:rsid w:val="002C7C71"/>
    <w:rsid w:val="002D31DA"/>
    <w:rsid w:val="002E6A48"/>
    <w:rsid w:val="002F42EB"/>
    <w:rsid w:val="003033B4"/>
    <w:rsid w:val="00320345"/>
    <w:rsid w:val="00325B47"/>
    <w:rsid w:val="00325DFF"/>
    <w:rsid w:val="00327DA9"/>
    <w:rsid w:val="0036635C"/>
    <w:rsid w:val="00366EC7"/>
    <w:rsid w:val="00382975"/>
    <w:rsid w:val="003A140B"/>
    <w:rsid w:val="003A2B06"/>
    <w:rsid w:val="003B7EFD"/>
    <w:rsid w:val="003C0C16"/>
    <w:rsid w:val="003C3043"/>
    <w:rsid w:val="003C79A0"/>
    <w:rsid w:val="003D2FA5"/>
    <w:rsid w:val="003E1C92"/>
    <w:rsid w:val="003E6A91"/>
    <w:rsid w:val="00411554"/>
    <w:rsid w:val="00420F01"/>
    <w:rsid w:val="004315E0"/>
    <w:rsid w:val="004418E6"/>
    <w:rsid w:val="004421E3"/>
    <w:rsid w:val="0044266C"/>
    <w:rsid w:val="00455CE2"/>
    <w:rsid w:val="00465CC2"/>
    <w:rsid w:val="00485F0F"/>
    <w:rsid w:val="004863D2"/>
    <w:rsid w:val="0048757C"/>
    <w:rsid w:val="004A6884"/>
    <w:rsid w:val="004B443C"/>
    <w:rsid w:val="004C3AF6"/>
    <w:rsid w:val="004C5AC8"/>
    <w:rsid w:val="004E452A"/>
    <w:rsid w:val="004E4CB4"/>
    <w:rsid w:val="004E6AE3"/>
    <w:rsid w:val="004F1E31"/>
    <w:rsid w:val="004F25BD"/>
    <w:rsid w:val="004F5CDF"/>
    <w:rsid w:val="00501D87"/>
    <w:rsid w:val="00505A18"/>
    <w:rsid w:val="00512CAB"/>
    <w:rsid w:val="005134AB"/>
    <w:rsid w:val="00525E69"/>
    <w:rsid w:val="00526218"/>
    <w:rsid w:val="00542EBE"/>
    <w:rsid w:val="0054532E"/>
    <w:rsid w:val="00546387"/>
    <w:rsid w:val="00546A35"/>
    <w:rsid w:val="00552857"/>
    <w:rsid w:val="0056355B"/>
    <w:rsid w:val="00567448"/>
    <w:rsid w:val="005771A4"/>
    <w:rsid w:val="00581466"/>
    <w:rsid w:val="0058195E"/>
    <w:rsid w:val="00587F80"/>
    <w:rsid w:val="005A24B0"/>
    <w:rsid w:val="005A4382"/>
    <w:rsid w:val="005B5D51"/>
    <w:rsid w:val="005C2F8E"/>
    <w:rsid w:val="005D72AE"/>
    <w:rsid w:val="005E0FA7"/>
    <w:rsid w:val="005F314E"/>
    <w:rsid w:val="00606F78"/>
    <w:rsid w:val="00611313"/>
    <w:rsid w:val="00616AE9"/>
    <w:rsid w:val="006208B9"/>
    <w:rsid w:val="0062565D"/>
    <w:rsid w:val="0063373E"/>
    <w:rsid w:val="006359A9"/>
    <w:rsid w:val="00641021"/>
    <w:rsid w:val="006442DD"/>
    <w:rsid w:val="00651247"/>
    <w:rsid w:val="00656078"/>
    <w:rsid w:val="00656926"/>
    <w:rsid w:val="006601A1"/>
    <w:rsid w:val="00674801"/>
    <w:rsid w:val="00674863"/>
    <w:rsid w:val="006835B2"/>
    <w:rsid w:val="0069592C"/>
    <w:rsid w:val="006A512E"/>
    <w:rsid w:val="006B1820"/>
    <w:rsid w:val="006D1965"/>
    <w:rsid w:val="006D569E"/>
    <w:rsid w:val="006E01CF"/>
    <w:rsid w:val="006E5EB7"/>
    <w:rsid w:val="006F70AF"/>
    <w:rsid w:val="007005B8"/>
    <w:rsid w:val="007005FB"/>
    <w:rsid w:val="007034DC"/>
    <w:rsid w:val="0070524E"/>
    <w:rsid w:val="00711591"/>
    <w:rsid w:val="0071414A"/>
    <w:rsid w:val="00724CC6"/>
    <w:rsid w:val="007331B8"/>
    <w:rsid w:val="00741F1B"/>
    <w:rsid w:val="00755471"/>
    <w:rsid w:val="00775D65"/>
    <w:rsid w:val="00777FFE"/>
    <w:rsid w:val="007809E2"/>
    <w:rsid w:val="00782CF6"/>
    <w:rsid w:val="007903A2"/>
    <w:rsid w:val="007926B2"/>
    <w:rsid w:val="00796B7F"/>
    <w:rsid w:val="007A362D"/>
    <w:rsid w:val="007A7711"/>
    <w:rsid w:val="007B0332"/>
    <w:rsid w:val="007B315F"/>
    <w:rsid w:val="007D5F9E"/>
    <w:rsid w:val="007E28AE"/>
    <w:rsid w:val="007F04E2"/>
    <w:rsid w:val="008050F2"/>
    <w:rsid w:val="00825061"/>
    <w:rsid w:val="00826455"/>
    <w:rsid w:val="0082736C"/>
    <w:rsid w:val="00836247"/>
    <w:rsid w:val="008434C1"/>
    <w:rsid w:val="008450D5"/>
    <w:rsid w:val="00852EFA"/>
    <w:rsid w:val="0085435B"/>
    <w:rsid w:val="0086710E"/>
    <w:rsid w:val="0087186C"/>
    <w:rsid w:val="008873C4"/>
    <w:rsid w:val="008923C7"/>
    <w:rsid w:val="00894054"/>
    <w:rsid w:val="008A5111"/>
    <w:rsid w:val="008C1C0E"/>
    <w:rsid w:val="008D4C0E"/>
    <w:rsid w:val="008D5899"/>
    <w:rsid w:val="008E08D6"/>
    <w:rsid w:val="008E5DC6"/>
    <w:rsid w:val="008F0CBE"/>
    <w:rsid w:val="008F1D70"/>
    <w:rsid w:val="008F50CD"/>
    <w:rsid w:val="008F6BF4"/>
    <w:rsid w:val="00900C4A"/>
    <w:rsid w:val="009342DB"/>
    <w:rsid w:val="009656CC"/>
    <w:rsid w:val="0097139B"/>
    <w:rsid w:val="00972139"/>
    <w:rsid w:val="00977A77"/>
    <w:rsid w:val="00980631"/>
    <w:rsid w:val="00984090"/>
    <w:rsid w:val="0098487C"/>
    <w:rsid w:val="00987044"/>
    <w:rsid w:val="00987871"/>
    <w:rsid w:val="00990CB5"/>
    <w:rsid w:val="0099659A"/>
    <w:rsid w:val="009A0394"/>
    <w:rsid w:val="009A402C"/>
    <w:rsid w:val="009C08CC"/>
    <w:rsid w:val="009C5F6A"/>
    <w:rsid w:val="009D2D46"/>
    <w:rsid w:val="009E7ACF"/>
    <w:rsid w:val="00A01962"/>
    <w:rsid w:val="00A040BD"/>
    <w:rsid w:val="00A04D17"/>
    <w:rsid w:val="00A131DE"/>
    <w:rsid w:val="00A16100"/>
    <w:rsid w:val="00A16F02"/>
    <w:rsid w:val="00A265EC"/>
    <w:rsid w:val="00A3622A"/>
    <w:rsid w:val="00A436B5"/>
    <w:rsid w:val="00A44596"/>
    <w:rsid w:val="00A45E01"/>
    <w:rsid w:val="00A52B76"/>
    <w:rsid w:val="00A53663"/>
    <w:rsid w:val="00A53930"/>
    <w:rsid w:val="00A64890"/>
    <w:rsid w:val="00A72A03"/>
    <w:rsid w:val="00A74322"/>
    <w:rsid w:val="00A84C96"/>
    <w:rsid w:val="00A85CB5"/>
    <w:rsid w:val="00A90925"/>
    <w:rsid w:val="00A916A3"/>
    <w:rsid w:val="00A96512"/>
    <w:rsid w:val="00AA13D2"/>
    <w:rsid w:val="00AB0AD2"/>
    <w:rsid w:val="00AB6852"/>
    <w:rsid w:val="00AD6C2F"/>
    <w:rsid w:val="00AE4EE3"/>
    <w:rsid w:val="00AF5BE0"/>
    <w:rsid w:val="00AF62E7"/>
    <w:rsid w:val="00AF7082"/>
    <w:rsid w:val="00B03E07"/>
    <w:rsid w:val="00B05A74"/>
    <w:rsid w:val="00B070AC"/>
    <w:rsid w:val="00B168BB"/>
    <w:rsid w:val="00B16C4A"/>
    <w:rsid w:val="00B209C8"/>
    <w:rsid w:val="00B44094"/>
    <w:rsid w:val="00B513AA"/>
    <w:rsid w:val="00B91981"/>
    <w:rsid w:val="00B935B0"/>
    <w:rsid w:val="00B972AD"/>
    <w:rsid w:val="00BA076E"/>
    <w:rsid w:val="00BB171D"/>
    <w:rsid w:val="00BC061C"/>
    <w:rsid w:val="00BC37EA"/>
    <w:rsid w:val="00BD0108"/>
    <w:rsid w:val="00BD1528"/>
    <w:rsid w:val="00BD2902"/>
    <w:rsid w:val="00BE312E"/>
    <w:rsid w:val="00C01A19"/>
    <w:rsid w:val="00C06704"/>
    <w:rsid w:val="00C14413"/>
    <w:rsid w:val="00C36C35"/>
    <w:rsid w:val="00C41C25"/>
    <w:rsid w:val="00C543EC"/>
    <w:rsid w:val="00C5461D"/>
    <w:rsid w:val="00C61BA6"/>
    <w:rsid w:val="00C62ACD"/>
    <w:rsid w:val="00C66FF3"/>
    <w:rsid w:val="00C70DAB"/>
    <w:rsid w:val="00C7684F"/>
    <w:rsid w:val="00C820A3"/>
    <w:rsid w:val="00C8335D"/>
    <w:rsid w:val="00C838D1"/>
    <w:rsid w:val="00C83AA3"/>
    <w:rsid w:val="00C93AE8"/>
    <w:rsid w:val="00CA1B32"/>
    <w:rsid w:val="00CA22EF"/>
    <w:rsid w:val="00CA328F"/>
    <w:rsid w:val="00CB50D4"/>
    <w:rsid w:val="00CB77FA"/>
    <w:rsid w:val="00CC1BDA"/>
    <w:rsid w:val="00CE27A6"/>
    <w:rsid w:val="00CE6F27"/>
    <w:rsid w:val="00CF371D"/>
    <w:rsid w:val="00CF5ACD"/>
    <w:rsid w:val="00CF6712"/>
    <w:rsid w:val="00D04E6C"/>
    <w:rsid w:val="00D14F24"/>
    <w:rsid w:val="00D2332F"/>
    <w:rsid w:val="00D30E3A"/>
    <w:rsid w:val="00D3236A"/>
    <w:rsid w:val="00D32C3A"/>
    <w:rsid w:val="00D3667B"/>
    <w:rsid w:val="00D3692A"/>
    <w:rsid w:val="00D47104"/>
    <w:rsid w:val="00D50B05"/>
    <w:rsid w:val="00D57194"/>
    <w:rsid w:val="00D606A2"/>
    <w:rsid w:val="00D62185"/>
    <w:rsid w:val="00D67C93"/>
    <w:rsid w:val="00D751D5"/>
    <w:rsid w:val="00D81DB2"/>
    <w:rsid w:val="00D83120"/>
    <w:rsid w:val="00D85EAE"/>
    <w:rsid w:val="00D8649A"/>
    <w:rsid w:val="00DB17EC"/>
    <w:rsid w:val="00DC1A7A"/>
    <w:rsid w:val="00DD330D"/>
    <w:rsid w:val="00DD3FBE"/>
    <w:rsid w:val="00DD4D55"/>
    <w:rsid w:val="00DE29E8"/>
    <w:rsid w:val="00DE5D3B"/>
    <w:rsid w:val="00DF1989"/>
    <w:rsid w:val="00DF3A51"/>
    <w:rsid w:val="00E13468"/>
    <w:rsid w:val="00E13A3C"/>
    <w:rsid w:val="00E252DA"/>
    <w:rsid w:val="00E3001C"/>
    <w:rsid w:val="00E34742"/>
    <w:rsid w:val="00E37EE4"/>
    <w:rsid w:val="00E44CB0"/>
    <w:rsid w:val="00E47959"/>
    <w:rsid w:val="00E64669"/>
    <w:rsid w:val="00E64FEC"/>
    <w:rsid w:val="00E650E1"/>
    <w:rsid w:val="00E657FD"/>
    <w:rsid w:val="00E65EC9"/>
    <w:rsid w:val="00E710CD"/>
    <w:rsid w:val="00E7288F"/>
    <w:rsid w:val="00E72BEB"/>
    <w:rsid w:val="00E770D7"/>
    <w:rsid w:val="00E851A7"/>
    <w:rsid w:val="00E86DC0"/>
    <w:rsid w:val="00EA2610"/>
    <w:rsid w:val="00ED4041"/>
    <w:rsid w:val="00ED47D6"/>
    <w:rsid w:val="00ED59D9"/>
    <w:rsid w:val="00ED7D97"/>
    <w:rsid w:val="00EE757F"/>
    <w:rsid w:val="00EF244B"/>
    <w:rsid w:val="00F1175F"/>
    <w:rsid w:val="00F12D7B"/>
    <w:rsid w:val="00F1377D"/>
    <w:rsid w:val="00F17853"/>
    <w:rsid w:val="00F20269"/>
    <w:rsid w:val="00F260D2"/>
    <w:rsid w:val="00F27F0F"/>
    <w:rsid w:val="00F4628E"/>
    <w:rsid w:val="00F557EF"/>
    <w:rsid w:val="00F6140E"/>
    <w:rsid w:val="00F66BB0"/>
    <w:rsid w:val="00F7127B"/>
    <w:rsid w:val="00F7735B"/>
    <w:rsid w:val="00F8532B"/>
    <w:rsid w:val="00F911FA"/>
    <w:rsid w:val="00F97575"/>
    <w:rsid w:val="00FA542D"/>
    <w:rsid w:val="00FA55E5"/>
    <w:rsid w:val="00FA77A2"/>
    <w:rsid w:val="00FC0797"/>
    <w:rsid w:val="00FC708A"/>
    <w:rsid w:val="00FC7D76"/>
    <w:rsid w:val="00FD3C76"/>
    <w:rsid w:val="00FE3FE0"/>
    <w:rsid w:val="00FE6FE9"/>
    <w:rsid w:val="00FF4C78"/>
    <w:rsid w:val="3F9FF9AA"/>
    <w:rsid w:val="3FCFF509"/>
    <w:rsid w:val="55D6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67FCD9C-3D13-4132-A68C-CF9D30EB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Balloon Text"/>
    <w:basedOn w:val="a"/>
    <w:link w:val="a6"/>
    <w:uiPriority w:val="99"/>
    <w:semiHidden/>
    <w:unhideWhenUsed/>
    <w:rPr>
      <w:sz w:val="18"/>
      <w:szCs w:val="18"/>
    </w:rPr>
  </w:style>
  <w:style w:type="paragraph" w:styleId="a7">
    <w:name w:val="Body Text Indent"/>
    <w:basedOn w:val="a"/>
    <w:link w:val="a8"/>
    <w:pPr>
      <w:spacing w:line="360" w:lineRule="auto"/>
      <w:ind w:firstLineChars="171" w:firstLine="359"/>
    </w:pPr>
    <w:rPr>
      <w:lang w:val="zh-CN"/>
    </w:rPr>
  </w:style>
  <w:style w:type="paragraph" w:styleId="21">
    <w:name w:val="Body Text Indent 2"/>
    <w:basedOn w:val="a"/>
    <w:link w:val="22"/>
    <w:pPr>
      <w:spacing w:line="360" w:lineRule="auto"/>
      <w:ind w:firstLine="480"/>
      <w:outlineLvl w:val="0"/>
    </w:pPr>
    <w:rPr>
      <w:rFonts w:ascii="仿宋_GB2312" w:eastAsia="仿宋_GB2312" w:hAnsi="Calibri"/>
      <w:sz w:val="24"/>
      <w:szCs w:val="20"/>
    </w:rPr>
  </w:style>
  <w:style w:type="character" w:styleId="a9">
    <w:name w:val="annotation reference"/>
    <w:basedOn w:val="a1"/>
    <w:unhideWhenUsed/>
    <w:qFormat/>
    <w:rPr>
      <w:sz w:val="21"/>
      <w:szCs w:val="21"/>
    </w:rPr>
  </w:style>
  <w:style w:type="paragraph" w:styleId="aa">
    <w:name w:val="annotation text"/>
    <w:basedOn w:val="a"/>
    <w:link w:val="ab"/>
    <w:unhideWhenUsed/>
    <w:qFormat/>
    <w:pPr>
      <w:jc w:val="left"/>
    </w:pPr>
  </w:style>
  <w:style w:type="paragraph" w:styleId="ac">
    <w:name w:val="annotation subject"/>
    <w:basedOn w:val="aa"/>
    <w:next w:val="aa"/>
    <w:link w:val="ad"/>
    <w:uiPriority w:val="99"/>
    <w:semiHidden/>
    <w:unhideWhenUsed/>
    <w:rPr>
      <w:b/>
      <w:bCs/>
    </w:rPr>
  </w:style>
  <w:style w:type="paragraph" w:styleId="ae">
    <w:name w:val="footer"/>
    <w:basedOn w:val="a"/>
    <w:link w:val="af"/>
    <w:uiPriority w:val="99"/>
    <w:unhideWhenUsed/>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character" w:styleId="af2">
    <w:name w:val="Hyperlink"/>
    <w:uiPriority w:val="99"/>
    <w:rPr>
      <w:color w:val="0000FF"/>
      <w:u w:val="single"/>
    </w:r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11">
    <w:name w:val="toc 1"/>
    <w:basedOn w:val="a"/>
    <w:next w:val="a"/>
    <w:autoRedefine/>
    <w:uiPriority w:val="39"/>
    <w:qFormat/>
  </w:style>
  <w:style w:type="character" w:customStyle="1" w:styleId="af1">
    <w:name w:val="页眉 字符"/>
    <w:basedOn w:val="a1"/>
    <w:link w:val="af0"/>
    <w:uiPriority w:val="99"/>
    <w:rPr>
      <w:sz w:val="18"/>
      <w:szCs w:val="18"/>
    </w:rPr>
  </w:style>
  <w:style w:type="character" w:customStyle="1" w:styleId="af">
    <w:name w:val="页脚 字符"/>
    <w:basedOn w:val="a1"/>
    <w:link w:val="ae"/>
    <w:uiPriority w:val="99"/>
    <w:rPr>
      <w:sz w:val="18"/>
      <w:szCs w:val="18"/>
    </w:rPr>
  </w:style>
  <w:style w:type="character" w:customStyle="1" w:styleId="10">
    <w:name w:val="标题 1 字符"/>
    <w:basedOn w:val="a1"/>
    <w:link w:val="1"/>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rPr>
      <w:rFonts w:ascii="Arial" w:eastAsia="仿宋_GB2312" w:hAnsi="Arial" w:cs="Times New Roman"/>
      <w:b/>
      <w:sz w:val="24"/>
      <w:szCs w:val="20"/>
      <w:lang w:val="zh-CN" w:eastAsia="zh-CN"/>
    </w:rPr>
  </w:style>
  <w:style w:type="character" w:customStyle="1" w:styleId="40">
    <w:name w:val="标题 4 字符"/>
    <w:basedOn w:val="a1"/>
    <w:link w:val="4"/>
    <w:rPr>
      <w:rFonts w:ascii="Arial" w:eastAsia="仿宋_GB2312" w:hAnsi="Arial" w:cs="Times New Roman"/>
      <w:sz w:val="24"/>
      <w:szCs w:val="20"/>
      <w:lang w:val="zh-CN" w:eastAsia="zh-CN"/>
    </w:rPr>
  </w:style>
  <w:style w:type="character" w:customStyle="1" w:styleId="50">
    <w:name w:val="标题 5 字符"/>
    <w:basedOn w:val="a1"/>
    <w:link w:val="5"/>
    <w:rPr>
      <w:rFonts w:ascii="Arial" w:eastAsia="仿宋_GB2312" w:hAnsi="Arial" w:cs="Times New Roman"/>
      <w:sz w:val="24"/>
      <w:szCs w:val="20"/>
      <w:lang w:val="zh-CN" w:eastAsia="zh-CN"/>
    </w:rPr>
  </w:style>
  <w:style w:type="character" w:customStyle="1" w:styleId="60">
    <w:name w:val="标题 6 字符"/>
    <w:basedOn w:val="a1"/>
    <w:link w:val="6"/>
    <w:rPr>
      <w:rFonts w:ascii="Arial" w:eastAsia="仿宋_GB2312" w:hAnsi="Arial" w:cs="Times New Roman"/>
      <w:sz w:val="24"/>
      <w:szCs w:val="20"/>
      <w:lang w:val="zh-CN" w:eastAsia="zh-CN"/>
    </w:rPr>
  </w:style>
  <w:style w:type="character" w:customStyle="1" w:styleId="70">
    <w:name w:val="标题 7 字符"/>
    <w:basedOn w:val="a1"/>
    <w:link w:val="7"/>
    <w:rPr>
      <w:rFonts w:ascii="仿宋_GB2312" w:eastAsia="仿宋_GB2312" w:hAnsi="Times New Roman" w:cs="Times New Roman"/>
      <w:sz w:val="24"/>
      <w:szCs w:val="20"/>
      <w:lang w:val="zh-CN" w:eastAsia="zh-CN"/>
    </w:rPr>
  </w:style>
  <w:style w:type="character" w:customStyle="1" w:styleId="22">
    <w:name w:val="正文文本缩进 2 字符"/>
    <w:basedOn w:val="a1"/>
    <w:link w:val="21"/>
    <w:rPr>
      <w:rFonts w:ascii="仿宋_GB2312" w:eastAsia="仿宋_GB2312" w:hAnsi="Calibri" w:cs="Times New Roman"/>
      <w:sz w:val="24"/>
      <w:szCs w:val="20"/>
    </w:rPr>
  </w:style>
  <w:style w:type="character" w:customStyle="1" w:styleId="a8">
    <w:name w:val="正文文本缩进 字符"/>
    <w:basedOn w:val="a1"/>
    <w:link w:val="a7"/>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pPr>
      <w:spacing w:afterLines="25" w:after="25" w:line="360" w:lineRule="auto"/>
      <w:ind w:firstLineChars="200" w:firstLine="200"/>
    </w:pPr>
    <w:rPr>
      <w:sz w:val="24"/>
    </w:rPr>
  </w:style>
  <w:style w:type="character" w:customStyle="1" w:styleId="a6">
    <w:name w:val="批注框文本 字符"/>
    <w:basedOn w:val="a1"/>
    <w:link w:val="a5"/>
    <w:uiPriority w:val="99"/>
    <w:semiHidden/>
    <w:rPr>
      <w:rFonts w:ascii="Times New Roman" w:eastAsia="宋体" w:hAnsi="Times New Roman" w:cs="Times New Roman"/>
      <w:sz w:val="18"/>
      <w:szCs w:val="18"/>
    </w:rPr>
  </w:style>
  <w:style w:type="character" w:customStyle="1" w:styleId="ab">
    <w:name w:val="批注文字 字符"/>
    <w:basedOn w:val="a1"/>
    <w:link w:val="aa"/>
    <w:uiPriority w:val="99"/>
    <w:semiHidden/>
    <w:qFormat/>
    <w:rPr>
      <w:rFonts w:ascii="Times New Roman" w:eastAsia="宋体" w:hAnsi="Times New Roman" w:cs="Times New Roman"/>
      <w:szCs w:val="24"/>
    </w:rPr>
  </w:style>
  <w:style w:type="character" w:customStyle="1" w:styleId="ad">
    <w:name w:val="批注主题 字符"/>
    <w:basedOn w:val="ab"/>
    <w:link w:val="ac"/>
    <w:uiPriority w:val="99"/>
    <w:semiHidden/>
    <w:rPr>
      <w:rFonts w:ascii="Times New Roman" w:eastAsia="宋体" w:hAnsi="Times New Roman" w:cs="Times New Roman"/>
      <w:b/>
      <w:bCs/>
      <w:szCs w:val="24"/>
    </w:rPr>
  </w:style>
  <w:style w:type="paragraph" w:customStyle="1" w:styleId="12">
    <w:name w:val="修订1"/>
    <w:hidden/>
    <w:uiPriority w:val="99"/>
    <w:semiHidden/>
    <w:rPr>
      <w:rFonts w:ascii="Times New Roman" w:eastAsia="宋体" w:hAnsi="Times New Roman" w:cs="Times New Roman"/>
      <w:kern w:val="2"/>
      <w:sz w:val="21"/>
      <w:szCs w:val="24"/>
    </w:rPr>
  </w:style>
  <w:style w:type="paragraph" w:styleId="af5">
    <w:name w:val="List Paragraph"/>
    <w:basedOn w:val="a"/>
    <w:uiPriority w:val="34"/>
    <w:qFormat/>
    <w:pPr>
      <w:ind w:firstLineChars="200" w:firstLine="420"/>
    </w:pPr>
  </w:style>
  <w:style w:type="character" w:customStyle="1" w:styleId="Char">
    <w:name w:val="批注文字 Char"/>
    <w:qFormat/>
    <w:rPr>
      <w:rFonts w:ascii="Times New Roman" w:eastAsia="宋体" w:hAnsi="Times New Roman" w:cs="Times New Roman"/>
      <w:szCs w:val="24"/>
    </w:rPr>
  </w:style>
  <w:style w:type="paragraph" w:styleId="af6">
    <w:name w:val="Revision"/>
    <w:hidden/>
    <w:uiPriority w:val="99"/>
    <w:semiHidden/>
    <w:rsid w:val="002A628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44</Pages>
  <Words>5619</Words>
  <Characters>32033</Characters>
  <Application>Microsoft Office Word</Application>
  <DocSecurity>0</DocSecurity>
  <Lines>266</Lines>
  <Paragraphs>75</Paragraphs>
  <ScaleCrop>false</ScaleCrop>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沈望琦</cp:lastModifiedBy>
  <cp:revision>18</cp:revision>
  <cp:lastPrinted>2025-11-19T07:17:00Z</cp:lastPrinted>
  <dcterms:created xsi:type="dcterms:W3CDTF">2025-11-05T10:02:00Z</dcterms:created>
  <dcterms:modified xsi:type="dcterms:W3CDTF">2025-12-22T08:11:00Z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TemplateDocerSaveRecord">
    <vt:lpwstr>eyJoZGlkIjoiNTllNDFmNmE1MDJiODRhNjBjMGE3MDRjMDQ0MjVkZGQiLCJ1c2VySWQiOiIxOTc0MTYyODcifQ==</vt:lpwstr>
  </property>
  <property fmtid="{D5CDD505-2E9C-101B-9397-08002B2CF9AE}" pid="4" name="KSOProductBuildVer">
    <vt:lpwstr>1033-6.12.0.8899</vt:lpwstr>
  </property>
  <property fmtid="{D5CDD505-2E9C-101B-9397-08002B2CF9AE}" pid="5" name="ICV">
    <vt:lpwstr>7EAE9DEAD84B4ABF9DB115860FA18163_12</vt:lpwstr>
  </property>
</Properties>
</file>