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CA1F807"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6CB50C8B"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78AF0ED4"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6ED8CF3A"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0E92D9C9" w14:textId="77777777" w:rsidR="00721099" w:rsidRDefault="00721099">
      <w:pPr>
        <w:spacing w:line="360" w:lineRule="auto"/>
        <w:ind w:firstLineChars="200" w:firstLine="643"/>
        <w:jc w:val="both"/>
        <w:rPr>
          <w:rFonts w:asciiTheme="minorEastAsia" w:eastAsiaTheme="minorEastAsia" w:hAnsiTheme="minorEastAsia" w:cstheme="minorEastAsia"/>
          <w:b/>
          <w:bCs/>
          <w:sz w:val="32"/>
          <w:szCs w:val="32"/>
        </w:rPr>
      </w:pPr>
    </w:p>
    <w:p w14:paraId="32B9B549" w14:textId="77777777" w:rsidR="00721099" w:rsidRDefault="006B4706">
      <w:pPr>
        <w:autoSpaceDE/>
        <w:autoSpaceDN/>
        <w:adjustRightInd w:val="0"/>
        <w:snapToGrid w:val="0"/>
        <w:spacing w:line="360" w:lineRule="auto"/>
        <w:jc w:val="center"/>
        <w:rPr>
          <w:rFonts w:asciiTheme="minorEastAsia" w:eastAsiaTheme="minorEastAsia" w:hAnsiTheme="minorEastAsia" w:cstheme="minorEastAsia"/>
          <w:b/>
          <w:bCs/>
          <w:sz w:val="40"/>
          <w:szCs w:val="40"/>
          <w:lang w:eastAsia="zh-CN"/>
        </w:rPr>
      </w:pPr>
      <w:r>
        <w:rPr>
          <w:rFonts w:asciiTheme="minorEastAsia" w:eastAsiaTheme="minorEastAsia" w:hAnsiTheme="minorEastAsia" w:cstheme="minorEastAsia" w:hint="eastAsia"/>
          <w:b/>
          <w:bCs/>
          <w:sz w:val="40"/>
          <w:szCs w:val="40"/>
          <w:lang w:eastAsia="zh-CN"/>
        </w:rPr>
        <w:t>平安基金管理有限公司</w:t>
      </w:r>
    </w:p>
    <w:p w14:paraId="196C6D04" w14:textId="77777777" w:rsidR="00721099" w:rsidRDefault="00721099">
      <w:pPr>
        <w:spacing w:line="360" w:lineRule="auto"/>
        <w:ind w:firstLineChars="200" w:firstLine="803"/>
        <w:jc w:val="center"/>
        <w:rPr>
          <w:rFonts w:asciiTheme="minorEastAsia" w:eastAsiaTheme="minorEastAsia" w:hAnsiTheme="minorEastAsia" w:cstheme="minorEastAsia"/>
          <w:b/>
          <w:bCs/>
          <w:sz w:val="40"/>
          <w:szCs w:val="40"/>
          <w:lang w:eastAsia="zh-CN"/>
        </w:rPr>
      </w:pPr>
    </w:p>
    <w:p w14:paraId="6F9EEE78" w14:textId="77777777" w:rsidR="00721099" w:rsidRDefault="006B4706">
      <w:pPr>
        <w:autoSpaceDE/>
        <w:autoSpaceDN/>
        <w:adjustRightInd w:val="0"/>
        <w:snapToGrid w:val="0"/>
        <w:spacing w:line="360" w:lineRule="auto"/>
        <w:jc w:val="center"/>
        <w:rPr>
          <w:rFonts w:asciiTheme="minorEastAsia" w:eastAsiaTheme="minorEastAsia" w:hAnsiTheme="minorEastAsia" w:cstheme="minorEastAsia"/>
          <w:b/>
          <w:bCs/>
          <w:sz w:val="40"/>
          <w:szCs w:val="40"/>
          <w:lang w:eastAsia="zh-CN"/>
        </w:rPr>
      </w:pPr>
      <w:r>
        <w:rPr>
          <w:rFonts w:asciiTheme="minorEastAsia" w:eastAsiaTheme="minorEastAsia" w:hAnsiTheme="minorEastAsia" w:cstheme="minorEastAsia" w:hint="eastAsia"/>
          <w:b/>
          <w:bCs/>
          <w:sz w:val="40"/>
          <w:szCs w:val="40"/>
          <w:lang w:eastAsia="zh-CN"/>
        </w:rPr>
        <w:t>平安港股医疗优选股票型证券投资基金（QDII）</w:t>
      </w:r>
    </w:p>
    <w:p w14:paraId="3F2F5E64" w14:textId="3E099F31" w:rsidR="00721099" w:rsidRDefault="006B4706">
      <w:pPr>
        <w:autoSpaceDE/>
        <w:autoSpaceDN/>
        <w:adjustRightInd w:val="0"/>
        <w:snapToGrid w:val="0"/>
        <w:spacing w:line="360" w:lineRule="auto"/>
        <w:jc w:val="center"/>
        <w:rPr>
          <w:rFonts w:asciiTheme="minorEastAsia" w:eastAsiaTheme="minorEastAsia" w:hAnsiTheme="minorEastAsia" w:cstheme="minorEastAsia"/>
          <w:b/>
          <w:bCs/>
          <w:sz w:val="40"/>
          <w:szCs w:val="40"/>
          <w:lang w:eastAsia="zh-CN"/>
        </w:rPr>
      </w:pPr>
      <w:r>
        <w:rPr>
          <w:rFonts w:asciiTheme="minorEastAsia" w:eastAsiaTheme="minorEastAsia" w:hAnsiTheme="minorEastAsia" w:cstheme="minorEastAsia" w:hint="eastAsia"/>
          <w:b/>
          <w:bCs/>
          <w:sz w:val="40"/>
          <w:szCs w:val="40"/>
          <w:lang w:eastAsia="zh-CN"/>
        </w:rPr>
        <w:t>基金合同</w:t>
      </w:r>
    </w:p>
    <w:p w14:paraId="1744F248" w14:textId="77777777" w:rsidR="00721099" w:rsidRDefault="00721099">
      <w:pPr>
        <w:spacing w:line="360" w:lineRule="auto"/>
        <w:ind w:firstLineChars="200" w:firstLine="640"/>
        <w:jc w:val="center"/>
        <w:rPr>
          <w:rFonts w:asciiTheme="minorEastAsia" w:eastAsiaTheme="minorEastAsia" w:hAnsiTheme="minorEastAsia" w:cstheme="minorEastAsia"/>
          <w:sz w:val="32"/>
          <w:szCs w:val="32"/>
          <w:lang w:eastAsia="zh-CN"/>
        </w:rPr>
      </w:pPr>
    </w:p>
    <w:p w14:paraId="4B0F605D" w14:textId="77777777" w:rsidR="00721099" w:rsidRDefault="00721099">
      <w:pPr>
        <w:spacing w:line="360" w:lineRule="auto"/>
        <w:ind w:firstLineChars="200" w:firstLine="640"/>
        <w:jc w:val="center"/>
        <w:rPr>
          <w:rFonts w:asciiTheme="minorEastAsia" w:eastAsiaTheme="minorEastAsia" w:hAnsiTheme="minorEastAsia" w:cstheme="minorEastAsia"/>
          <w:sz w:val="32"/>
          <w:szCs w:val="32"/>
          <w:lang w:eastAsia="zh-CN"/>
        </w:rPr>
      </w:pPr>
    </w:p>
    <w:p w14:paraId="27F0B012" w14:textId="77777777" w:rsidR="00721099" w:rsidRDefault="00721099">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p>
    <w:p w14:paraId="579F65AC" w14:textId="77777777" w:rsidR="00721099" w:rsidRDefault="00721099">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p>
    <w:p w14:paraId="190C6E19" w14:textId="77777777" w:rsidR="00721099" w:rsidRDefault="00721099">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p>
    <w:p w14:paraId="0CE87D2B" w14:textId="77777777" w:rsidR="00721099" w:rsidRDefault="00721099">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p>
    <w:p w14:paraId="4E16840E" w14:textId="77777777" w:rsidR="00721099" w:rsidRDefault="006B4706">
      <w:pPr>
        <w:autoSpaceDE/>
        <w:autoSpaceDN/>
        <w:adjustRightInd w:val="0"/>
        <w:snapToGrid w:val="0"/>
        <w:spacing w:line="360" w:lineRule="auto"/>
        <w:ind w:firstLineChars="400" w:firstLine="1280"/>
        <w:rPr>
          <w:rFonts w:asciiTheme="minorEastAsia" w:eastAsiaTheme="minorEastAsia" w:hAnsiTheme="minorEastAsia" w:cstheme="minorEastAsia"/>
          <w:bCs/>
          <w:sz w:val="32"/>
          <w:szCs w:val="40"/>
          <w:lang w:eastAsia="zh-CN"/>
        </w:rPr>
      </w:pPr>
      <w:r>
        <w:rPr>
          <w:rFonts w:asciiTheme="minorEastAsia" w:eastAsiaTheme="minorEastAsia" w:hAnsiTheme="minorEastAsia" w:cstheme="minorEastAsia" w:hint="eastAsia"/>
          <w:bCs/>
          <w:sz w:val="32"/>
          <w:szCs w:val="40"/>
          <w:lang w:eastAsia="zh-CN"/>
        </w:rPr>
        <w:t>基金管理人：平安基金管理有限公司</w:t>
      </w:r>
    </w:p>
    <w:p w14:paraId="50D4F815" w14:textId="77777777" w:rsidR="00721099" w:rsidRDefault="006B4706">
      <w:pPr>
        <w:autoSpaceDE/>
        <w:autoSpaceDN/>
        <w:adjustRightInd w:val="0"/>
        <w:snapToGrid w:val="0"/>
        <w:spacing w:line="360" w:lineRule="auto"/>
        <w:ind w:firstLineChars="400" w:firstLine="1280"/>
        <w:rPr>
          <w:rFonts w:asciiTheme="minorEastAsia" w:eastAsiaTheme="minorEastAsia" w:hAnsiTheme="minorEastAsia" w:cstheme="minorEastAsia"/>
          <w:bCs/>
          <w:sz w:val="32"/>
          <w:szCs w:val="40"/>
          <w:lang w:eastAsia="zh-CN"/>
        </w:rPr>
      </w:pPr>
      <w:r>
        <w:rPr>
          <w:rFonts w:asciiTheme="minorEastAsia" w:eastAsiaTheme="minorEastAsia" w:hAnsiTheme="minorEastAsia" w:cstheme="minorEastAsia" w:hint="eastAsia"/>
          <w:bCs/>
          <w:sz w:val="32"/>
          <w:szCs w:val="40"/>
          <w:lang w:eastAsia="zh-CN"/>
        </w:rPr>
        <w:t>基金托管人：上海浦东发展银行股份有限公司</w:t>
      </w:r>
    </w:p>
    <w:p w14:paraId="153E2628" w14:textId="77777777" w:rsidR="00721099" w:rsidRDefault="00721099">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p>
    <w:p w14:paraId="0C4A8EEC" w14:textId="77777777" w:rsidR="00721099" w:rsidRDefault="00721099">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p>
    <w:p w14:paraId="2359A4AA" w14:textId="7FED6950" w:rsidR="00721099" w:rsidRDefault="006B4706">
      <w:pPr>
        <w:autoSpaceDE/>
        <w:autoSpaceDN/>
        <w:adjustRightInd w:val="0"/>
        <w:snapToGrid w:val="0"/>
        <w:spacing w:line="360" w:lineRule="auto"/>
        <w:jc w:val="center"/>
        <w:rPr>
          <w:rFonts w:asciiTheme="minorEastAsia" w:eastAsiaTheme="minorEastAsia" w:hAnsiTheme="minorEastAsia" w:cstheme="minorEastAsia"/>
          <w:bCs/>
          <w:sz w:val="32"/>
          <w:szCs w:val="40"/>
          <w:lang w:eastAsia="zh-CN"/>
        </w:rPr>
      </w:pPr>
      <w:r>
        <w:rPr>
          <w:rFonts w:asciiTheme="minorEastAsia" w:eastAsiaTheme="minorEastAsia" w:hAnsiTheme="minorEastAsia" w:cstheme="minorEastAsia" w:hint="eastAsia"/>
          <w:bCs/>
          <w:sz w:val="32"/>
          <w:szCs w:val="40"/>
          <w:lang w:eastAsia="zh-CN"/>
        </w:rPr>
        <w:t>二零二</w:t>
      </w:r>
      <w:r w:rsidR="00541193">
        <w:rPr>
          <w:rFonts w:asciiTheme="minorEastAsia" w:eastAsiaTheme="minorEastAsia" w:hAnsiTheme="minorEastAsia" w:cstheme="minorEastAsia" w:hint="eastAsia"/>
          <w:bCs/>
          <w:sz w:val="32"/>
          <w:szCs w:val="40"/>
          <w:lang w:eastAsia="zh-CN"/>
        </w:rPr>
        <w:t>五年十二</w:t>
      </w:r>
      <w:r>
        <w:rPr>
          <w:rFonts w:asciiTheme="minorEastAsia" w:eastAsiaTheme="minorEastAsia" w:hAnsiTheme="minorEastAsia" w:cstheme="minorEastAsia" w:hint="eastAsia"/>
          <w:bCs/>
          <w:sz w:val="32"/>
          <w:szCs w:val="40"/>
          <w:lang w:eastAsia="zh-CN"/>
        </w:rPr>
        <w:t>月</w:t>
      </w:r>
    </w:p>
    <w:p w14:paraId="410ED8B0"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type w:val="continuous"/>
          <w:pgSz w:w="11910" w:h="16840"/>
          <w:pgMar w:top="1060" w:right="1440" w:bottom="280" w:left="1660" w:header="720" w:footer="720" w:gutter="0"/>
          <w:cols w:space="720"/>
        </w:sectPr>
      </w:pPr>
    </w:p>
    <w:p w14:paraId="719BA3FD" w14:textId="77777777" w:rsidR="00721099" w:rsidRDefault="006B4706">
      <w:pPr>
        <w:spacing w:line="360" w:lineRule="auto"/>
        <w:ind w:firstLineChars="200" w:firstLine="48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目</w:t>
      </w:r>
      <w:r>
        <w:rPr>
          <w:rFonts w:asciiTheme="minorEastAsia" w:eastAsiaTheme="minorEastAsia" w:hAnsiTheme="minorEastAsia" w:cstheme="minorEastAsia" w:hint="eastAsia"/>
          <w:sz w:val="24"/>
          <w:szCs w:val="24"/>
          <w:lang w:eastAsia="zh-CN"/>
        </w:rPr>
        <w:tab/>
        <w:t>录</w:t>
      </w:r>
    </w:p>
    <w:p w14:paraId="7AEF08C2" w14:textId="19DA1A17" w:rsidR="00721099" w:rsidRDefault="006B4706">
      <w:pPr>
        <w:pStyle w:val="11"/>
        <w:tabs>
          <w:tab w:val="right" w:leader="dot" w:pos="8810"/>
        </w:tabs>
        <w:rPr>
          <w:noProof/>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TOC \o "1-1" \h \z \u </w:instrText>
      </w:r>
      <w:r>
        <w:rPr>
          <w:rFonts w:asciiTheme="minorEastAsia" w:eastAsiaTheme="minorEastAsia" w:hAnsiTheme="minorEastAsia" w:cstheme="minorEastAsia" w:hint="eastAsia"/>
          <w:sz w:val="24"/>
          <w:szCs w:val="24"/>
        </w:rPr>
        <w:fldChar w:fldCharType="separate"/>
      </w:r>
      <w:hyperlink w:anchor="_Toc10178" w:history="1">
        <w:r>
          <w:rPr>
            <w:rFonts w:asciiTheme="minorEastAsia" w:eastAsiaTheme="minorEastAsia" w:hAnsiTheme="minorEastAsia" w:cstheme="minorEastAsia" w:hint="eastAsia"/>
            <w:bCs/>
            <w:noProof/>
            <w:szCs w:val="24"/>
            <w:lang w:eastAsia="zh-CN"/>
          </w:rPr>
          <w:t>第一部分  前言</w:t>
        </w:r>
        <w:r>
          <w:rPr>
            <w:noProof/>
          </w:rPr>
          <w:tab/>
        </w:r>
        <w:r>
          <w:rPr>
            <w:noProof/>
          </w:rPr>
          <w:fldChar w:fldCharType="begin"/>
        </w:r>
        <w:r>
          <w:rPr>
            <w:noProof/>
          </w:rPr>
          <w:instrText xml:space="preserve"> PAGEREF _Toc10178 \h </w:instrText>
        </w:r>
        <w:r>
          <w:rPr>
            <w:noProof/>
          </w:rPr>
        </w:r>
        <w:r>
          <w:rPr>
            <w:noProof/>
          </w:rPr>
          <w:fldChar w:fldCharType="separate"/>
        </w:r>
        <w:r w:rsidR="001918E5">
          <w:rPr>
            <w:noProof/>
          </w:rPr>
          <w:t>3</w:t>
        </w:r>
        <w:r>
          <w:rPr>
            <w:noProof/>
          </w:rPr>
          <w:fldChar w:fldCharType="end"/>
        </w:r>
      </w:hyperlink>
    </w:p>
    <w:p w14:paraId="3F2FF163" w14:textId="13C02941" w:rsidR="00721099" w:rsidRDefault="007E0638">
      <w:pPr>
        <w:pStyle w:val="11"/>
        <w:tabs>
          <w:tab w:val="right" w:leader="dot" w:pos="8810"/>
        </w:tabs>
        <w:rPr>
          <w:noProof/>
        </w:rPr>
      </w:pPr>
      <w:hyperlink w:anchor="_Toc25474" w:history="1">
        <w:r w:rsidR="006B4706">
          <w:rPr>
            <w:rFonts w:asciiTheme="minorEastAsia" w:eastAsiaTheme="minorEastAsia" w:hAnsiTheme="minorEastAsia" w:cstheme="minorEastAsia" w:hint="eastAsia"/>
            <w:bCs/>
            <w:noProof/>
            <w:szCs w:val="24"/>
            <w:lang w:eastAsia="zh-CN"/>
          </w:rPr>
          <w:t>第二部分  释义</w:t>
        </w:r>
        <w:r w:rsidR="006B4706">
          <w:rPr>
            <w:noProof/>
          </w:rPr>
          <w:tab/>
        </w:r>
        <w:r w:rsidR="006B4706">
          <w:rPr>
            <w:noProof/>
          </w:rPr>
          <w:fldChar w:fldCharType="begin"/>
        </w:r>
        <w:r w:rsidR="006B4706">
          <w:rPr>
            <w:noProof/>
          </w:rPr>
          <w:instrText xml:space="preserve"> PAGEREF _Toc25474 \h </w:instrText>
        </w:r>
        <w:r w:rsidR="006B4706">
          <w:rPr>
            <w:noProof/>
          </w:rPr>
        </w:r>
        <w:r w:rsidR="006B4706">
          <w:rPr>
            <w:noProof/>
          </w:rPr>
          <w:fldChar w:fldCharType="separate"/>
        </w:r>
        <w:r w:rsidR="001918E5">
          <w:rPr>
            <w:noProof/>
          </w:rPr>
          <w:t>6</w:t>
        </w:r>
        <w:r w:rsidR="006B4706">
          <w:rPr>
            <w:noProof/>
          </w:rPr>
          <w:fldChar w:fldCharType="end"/>
        </w:r>
      </w:hyperlink>
    </w:p>
    <w:p w14:paraId="2D4C46FF" w14:textId="2CE06486" w:rsidR="00721099" w:rsidRDefault="007E0638">
      <w:pPr>
        <w:pStyle w:val="11"/>
        <w:tabs>
          <w:tab w:val="right" w:leader="dot" w:pos="8810"/>
        </w:tabs>
        <w:rPr>
          <w:noProof/>
        </w:rPr>
      </w:pPr>
      <w:hyperlink w:anchor="_Toc25719" w:history="1">
        <w:r w:rsidR="006B4706">
          <w:rPr>
            <w:rFonts w:asciiTheme="minorEastAsia" w:eastAsiaTheme="minorEastAsia" w:hAnsiTheme="minorEastAsia" w:cstheme="minorEastAsia" w:hint="eastAsia"/>
            <w:bCs/>
            <w:noProof/>
            <w:szCs w:val="24"/>
            <w:lang w:eastAsia="zh-CN"/>
          </w:rPr>
          <w:t>第三部分  基金的基本情况</w:t>
        </w:r>
        <w:r w:rsidR="006B4706">
          <w:rPr>
            <w:noProof/>
          </w:rPr>
          <w:tab/>
        </w:r>
        <w:r w:rsidR="006B4706">
          <w:rPr>
            <w:noProof/>
          </w:rPr>
          <w:fldChar w:fldCharType="begin"/>
        </w:r>
        <w:r w:rsidR="006B4706">
          <w:rPr>
            <w:noProof/>
          </w:rPr>
          <w:instrText xml:space="preserve"> PAGEREF _Toc25719 \h </w:instrText>
        </w:r>
        <w:r w:rsidR="006B4706">
          <w:rPr>
            <w:noProof/>
          </w:rPr>
        </w:r>
        <w:r w:rsidR="006B4706">
          <w:rPr>
            <w:noProof/>
          </w:rPr>
          <w:fldChar w:fldCharType="separate"/>
        </w:r>
        <w:r w:rsidR="001918E5">
          <w:rPr>
            <w:noProof/>
          </w:rPr>
          <w:t>12</w:t>
        </w:r>
        <w:r w:rsidR="006B4706">
          <w:rPr>
            <w:noProof/>
          </w:rPr>
          <w:fldChar w:fldCharType="end"/>
        </w:r>
      </w:hyperlink>
    </w:p>
    <w:p w14:paraId="624C6AEB" w14:textId="1059DA22" w:rsidR="00721099" w:rsidRDefault="007E0638">
      <w:pPr>
        <w:pStyle w:val="11"/>
        <w:tabs>
          <w:tab w:val="right" w:leader="dot" w:pos="8810"/>
        </w:tabs>
        <w:rPr>
          <w:noProof/>
        </w:rPr>
      </w:pPr>
      <w:hyperlink w:anchor="_Toc28136" w:history="1">
        <w:r w:rsidR="006B4706">
          <w:rPr>
            <w:rFonts w:asciiTheme="minorEastAsia" w:eastAsiaTheme="minorEastAsia" w:hAnsiTheme="minorEastAsia" w:cstheme="minorEastAsia" w:hint="eastAsia"/>
            <w:bCs/>
            <w:noProof/>
            <w:szCs w:val="24"/>
            <w:lang w:eastAsia="zh-CN"/>
          </w:rPr>
          <w:t>第四部分  基金份额的发售</w:t>
        </w:r>
        <w:r w:rsidR="006B4706">
          <w:rPr>
            <w:noProof/>
          </w:rPr>
          <w:tab/>
        </w:r>
        <w:r w:rsidR="006B4706">
          <w:rPr>
            <w:noProof/>
          </w:rPr>
          <w:fldChar w:fldCharType="begin"/>
        </w:r>
        <w:r w:rsidR="006B4706">
          <w:rPr>
            <w:noProof/>
          </w:rPr>
          <w:instrText xml:space="preserve"> PAGEREF _Toc28136 \h </w:instrText>
        </w:r>
        <w:r w:rsidR="006B4706">
          <w:rPr>
            <w:noProof/>
          </w:rPr>
        </w:r>
        <w:r w:rsidR="006B4706">
          <w:rPr>
            <w:noProof/>
          </w:rPr>
          <w:fldChar w:fldCharType="separate"/>
        </w:r>
        <w:r w:rsidR="001918E5">
          <w:rPr>
            <w:noProof/>
          </w:rPr>
          <w:t>14</w:t>
        </w:r>
        <w:r w:rsidR="006B4706">
          <w:rPr>
            <w:noProof/>
          </w:rPr>
          <w:fldChar w:fldCharType="end"/>
        </w:r>
      </w:hyperlink>
    </w:p>
    <w:p w14:paraId="28AEA1BF" w14:textId="5A5BC881" w:rsidR="00721099" w:rsidRDefault="007E0638">
      <w:pPr>
        <w:pStyle w:val="11"/>
        <w:tabs>
          <w:tab w:val="right" w:leader="dot" w:pos="8810"/>
        </w:tabs>
        <w:rPr>
          <w:noProof/>
        </w:rPr>
      </w:pPr>
      <w:hyperlink w:anchor="_Toc29142" w:history="1">
        <w:r w:rsidR="006B4706">
          <w:rPr>
            <w:rFonts w:asciiTheme="minorEastAsia" w:eastAsiaTheme="minorEastAsia" w:hAnsiTheme="minorEastAsia" w:cstheme="minorEastAsia" w:hint="eastAsia"/>
            <w:bCs/>
            <w:noProof/>
            <w:szCs w:val="24"/>
            <w:lang w:eastAsia="zh-CN"/>
          </w:rPr>
          <w:t>第五部分  基金备案</w:t>
        </w:r>
        <w:r w:rsidR="006B4706">
          <w:rPr>
            <w:noProof/>
          </w:rPr>
          <w:tab/>
        </w:r>
        <w:r w:rsidR="006B4706">
          <w:rPr>
            <w:noProof/>
          </w:rPr>
          <w:fldChar w:fldCharType="begin"/>
        </w:r>
        <w:r w:rsidR="006B4706">
          <w:rPr>
            <w:noProof/>
          </w:rPr>
          <w:instrText xml:space="preserve"> PAGEREF _Toc29142 \h </w:instrText>
        </w:r>
        <w:r w:rsidR="006B4706">
          <w:rPr>
            <w:noProof/>
          </w:rPr>
        </w:r>
        <w:r w:rsidR="006B4706">
          <w:rPr>
            <w:noProof/>
          </w:rPr>
          <w:fldChar w:fldCharType="separate"/>
        </w:r>
        <w:r w:rsidR="001918E5">
          <w:rPr>
            <w:noProof/>
          </w:rPr>
          <w:t>16</w:t>
        </w:r>
        <w:r w:rsidR="006B4706">
          <w:rPr>
            <w:noProof/>
          </w:rPr>
          <w:fldChar w:fldCharType="end"/>
        </w:r>
      </w:hyperlink>
    </w:p>
    <w:p w14:paraId="4E7FF733" w14:textId="51A03C05" w:rsidR="00721099" w:rsidRDefault="007E0638">
      <w:pPr>
        <w:pStyle w:val="11"/>
        <w:tabs>
          <w:tab w:val="right" w:leader="dot" w:pos="8810"/>
        </w:tabs>
        <w:rPr>
          <w:noProof/>
        </w:rPr>
      </w:pPr>
      <w:hyperlink w:anchor="_Toc30136" w:history="1">
        <w:r w:rsidR="006B4706">
          <w:rPr>
            <w:rFonts w:asciiTheme="minorEastAsia" w:eastAsiaTheme="minorEastAsia" w:hAnsiTheme="minorEastAsia" w:cstheme="minorEastAsia" w:hint="eastAsia"/>
            <w:bCs/>
            <w:noProof/>
            <w:szCs w:val="24"/>
            <w:lang w:eastAsia="zh-CN"/>
          </w:rPr>
          <w:t>第六部分  基金份额的申购与赎回</w:t>
        </w:r>
        <w:r w:rsidR="006B4706">
          <w:rPr>
            <w:noProof/>
          </w:rPr>
          <w:tab/>
        </w:r>
        <w:r w:rsidR="006B4706">
          <w:rPr>
            <w:noProof/>
          </w:rPr>
          <w:fldChar w:fldCharType="begin"/>
        </w:r>
        <w:r w:rsidR="006B4706">
          <w:rPr>
            <w:noProof/>
          </w:rPr>
          <w:instrText xml:space="preserve"> PAGEREF _Toc30136 \h </w:instrText>
        </w:r>
        <w:r w:rsidR="006B4706">
          <w:rPr>
            <w:noProof/>
          </w:rPr>
        </w:r>
        <w:r w:rsidR="006B4706">
          <w:rPr>
            <w:noProof/>
          </w:rPr>
          <w:fldChar w:fldCharType="separate"/>
        </w:r>
        <w:r w:rsidR="001918E5">
          <w:rPr>
            <w:noProof/>
          </w:rPr>
          <w:t>17</w:t>
        </w:r>
        <w:r w:rsidR="006B4706">
          <w:rPr>
            <w:noProof/>
          </w:rPr>
          <w:fldChar w:fldCharType="end"/>
        </w:r>
      </w:hyperlink>
    </w:p>
    <w:p w14:paraId="1E3B3F10" w14:textId="376097CD" w:rsidR="00721099" w:rsidRDefault="007E0638">
      <w:pPr>
        <w:pStyle w:val="11"/>
        <w:tabs>
          <w:tab w:val="right" w:leader="dot" w:pos="8810"/>
        </w:tabs>
        <w:rPr>
          <w:noProof/>
        </w:rPr>
      </w:pPr>
      <w:hyperlink w:anchor="_Toc10688" w:history="1">
        <w:r w:rsidR="006B4706">
          <w:rPr>
            <w:rFonts w:asciiTheme="minorEastAsia" w:eastAsiaTheme="minorEastAsia" w:hAnsiTheme="minorEastAsia" w:cstheme="minorEastAsia" w:hint="eastAsia"/>
            <w:bCs/>
            <w:noProof/>
            <w:szCs w:val="24"/>
            <w:lang w:eastAsia="zh-CN"/>
          </w:rPr>
          <w:t>第七部分  基金合同当事人及权利义务</w:t>
        </w:r>
        <w:r w:rsidR="006B4706">
          <w:rPr>
            <w:noProof/>
          </w:rPr>
          <w:tab/>
        </w:r>
        <w:r w:rsidR="006B4706">
          <w:rPr>
            <w:noProof/>
          </w:rPr>
          <w:fldChar w:fldCharType="begin"/>
        </w:r>
        <w:r w:rsidR="006B4706">
          <w:rPr>
            <w:noProof/>
          </w:rPr>
          <w:instrText xml:space="preserve"> PAGEREF _Toc10688 \h </w:instrText>
        </w:r>
        <w:r w:rsidR="006B4706">
          <w:rPr>
            <w:noProof/>
          </w:rPr>
        </w:r>
        <w:r w:rsidR="006B4706">
          <w:rPr>
            <w:noProof/>
          </w:rPr>
          <w:fldChar w:fldCharType="separate"/>
        </w:r>
        <w:r w:rsidR="001918E5">
          <w:rPr>
            <w:noProof/>
          </w:rPr>
          <w:t>26</w:t>
        </w:r>
        <w:r w:rsidR="006B4706">
          <w:rPr>
            <w:noProof/>
          </w:rPr>
          <w:fldChar w:fldCharType="end"/>
        </w:r>
      </w:hyperlink>
    </w:p>
    <w:p w14:paraId="61EF12FD" w14:textId="788985B4" w:rsidR="00721099" w:rsidRDefault="007E0638">
      <w:pPr>
        <w:pStyle w:val="11"/>
        <w:tabs>
          <w:tab w:val="right" w:leader="dot" w:pos="8810"/>
        </w:tabs>
        <w:rPr>
          <w:noProof/>
        </w:rPr>
      </w:pPr>
      <w:hyperlink w:anchor="_Toc17041" w:history="1">
        <w:r w:rsidR="006B4706">
          <w:rPr>
            <w:rFonts w:asciiTheme="minorEastAsia" w:eastAsiaTheme="minorEastAsia" w:hAnsiTheme="minorEastAsia" w:cstheme="minorEastAsia" w:hint="eastAsia"/>
            <w:bCs/>
            <w:noProof/>
            <w:szCs w:val="24"/>
            <w:lang w:eastAsia="zh-CN"/>
          </w:rPr>
          <w:t>第八部分  基金份额持有人大会</w:t>
        </w:r>
        <w:r w:rsidR="006B4706">
          <w:rPr>
            <w:noProof/>
          </w:rPr>
          <w:tab/>
        </w:r>
        <w:r w:rsidR="006B4706">
          <w:rPr>
            <w:noProof/>
          </w:rPr>
          <w:fldChar w:fldCharType="begin"/>
        </w:r>
        <w:r w:rsidR="006B4706">
          <w:rPr>
            <w:noProof/>
          </w:rPr>
          <w:instrText xml:space="preserve"> PAGEREF _Toc17041 \h </w:instrText>
        </w:r>
        <w:r w:rsidR="006B4706">
          <w:rPr>
            <w:noProof/>
          </w:rPr>
        </w:r>
        <w:r w:rsidR="006B4706">
          <w:rPr>
            <w:noProof/>
          </w:rPr>
          <w:fldChar w:fldCharType="separate"/>
        </w:r>
        <w:r w:rsidR="001918E5">
          <w:rPr>
            <w:noProof/>
          </w:rPr>
          <w:t>34</w:t>
        </w:r>
        <w:r w:rsidR="006B4706">
          <w:rPr>
            <w:noProof/>
          </w:rPr>
          <w:fldChar w:fldCharType="end"/>
        </w:r>
      </w:hyperlink>
    </w:p>
    <w:p w14:paraId="2BB86D5F" w14:textId="3406BA10" w:rsidR="00721099" w:rsidRDefault="007E0638">
      <w:pPr>
        <w:pStyle w:val="11"/>
        <w:tabs>
          <w:tab w:val="right" w:leader="dot" w:pos="8810"/>
        </w:tabs>
        <w:rPr>
          <w:noProof/>
        </w:rPr>
      </w:pPr>
      <w:hyperlink w:anchor="_Toc15757" w:history="1">
        <w:r w:rsidR="006B4706">
          <w:rPr>
            <w:rFonts w:asciiTheme="minorEastAsia" w:eastAsiaTheme="minorEastAsia" w:hAnsiTheme="minorEastAsia" w:cstheme="minorEastAsia" w:hint="eastAsia"/>
            <w:bCs/>
            <w:noProof/>
            <w:szCs w:val="24"/>
            <w:lang w:eastAsia="zh-CN"/>
          </w:rPr>
          <w:t>第九部分  基金管理人</w:t>
        </w:r>
        <w:bookmarkStart w:id="0" w:name="_GoBack"/>
        <w:bookmarkEnd w:id="0"/>
        <w:r w:rsidR="006B4706">
          <w:rPr>
            <w:rFonts w:asciiTheme="minorEastAsia" w:eastAsiaTheme="minorEastAsia" w:hAnsiTheme="minorEastAsia" w:cstheme="minorEastAsia" w:hint="eastAsia"/>
            <w:bCs/>
            <w:noProof/>
            <w:szCs w:val="24"/>
            <w:lang w:eastAsia="zh-CN"/>
          </w:rPr>
          <w:t>、基金托管人的更换条件和程序</w:t>
        </w:r>
        <w:r w:rsidR="006B4706">
          <w:rPr>
            <w:noProof/>
          </w:rPr>
          <w:tab/>
        </w:r>
        <w:r w:rsidR="006B4706">
          <w:rPr>
            <w:noProof/>
          </w:rPr>
          <w:fldChar w:fldCharType="begin"/>
        </w:r>
        <w:r w:rsidR="006B4706">
          <w:rPr>
            <w:noProof/>
          </w:rPr>
          <w:instrText xml:space="preserve"> PAGEREF _Toc15757 \h </w:instrText>
        </w:r>
        <w:r w:rsidR="006B4706">
          <w:rPr>
            <w:noProof/>
          </w:rPr>
        </w:r>
        <w:r w:rsidR="006B4706">
          <w:rPr>
            <w:noProof/>
          </w:rPr>
          <w:fldChar w:fldCharType="separate"/>
        </w:r>
        <w:r w:rsidR="001918E5">
          <w:rPr>
            <w:noProof/>
          </w:rPr>
          <w:t>42</w:t>
        </w:r>
        <w:r w:rsidR="006B4706">
          <w:rPr>
            <w:noProof/>
          </w:rPr>
          <w:fldChar w:fldCharType="end"/>
        </w:r>
      </w:hyperlink>
    </w:p>
    <w:p w14:paraId="5D4899D8" w14:textId="46319B88" w:rsidR="00721099" w:rsidRDefault="007E0638">
      <w:pPr>
        <w:pStyle w:val="11"/>
        <w:tabs>
          <w:tab w:val="right" w:leader="dot" w:pos="8810"/>
        </w:tabs>
        <w:rPr>
          <w:noProof/>
        </w:rPr>
      </w:pPr>
      <w:hyperlink w:anchor="_Toc4032" w:history="1">
        <w:r w:rsidR="006B4706">
          <w:rPr>
            <w:rFonts w:asciiTheme="minorEastAsia" w:eastAsiaTheme="minorEastAsia" w:hAnsiTheme="minorEastAsia" w:cstheme="minorEastAsia" w:hint="eastAsia"/>
            <w:bCs/>
            <w:noProof/>
            <w:szCs w:val="24"/>
            <w:lang w:eastAsia="zh-CN"/>
          </w:rPr>
          <w:t>第十部分  基金的托管</w:t>
        </w:r>
        <w:r w:rsidR="006B4706">
          <w:rPr>
            <w:noProof/>
          </w:rPr>
          <w:tab/>
        </w:r>
        <w:r w:rsidR="006B4706">
          <w:rPr>
            <w:noProof/>
          </w:rPr>
          <w:fldChar w:fldCharType="begin"/>
        </w:r>
        <w:r w:rsidR="006B4706">
          <w:rPr>
            <w:noProof/>
          </w:rPr>
          <w:instrText xml:space="preserve"> PAGEREF _Toc4032 \h </w:instrText>
        </w:r>
        <w:r w:rsidR="006B4706">
          <w:rPr>
            <w:noProof/>
          </w:rPr>
        </w:r>
        <w:r w:rsidR="006B4706">
          <w:rPr>
            <w:noProof/>
          </w:rPr>
          <w:fldChar w:fldCharType="separate"/>
        </w:r>
        <w:r w:rsidR="001918E5">
          <w:rPr>
            <w:noProof/>
          </w:rPr>
          <w:t>45</w:t>
        </w:r>
        <w:r w:rsidR="006B4706">
          <w:rPr>
            <w:noProof/>
          </w:rPr>
          <w:fldChar w:fldCharType="end"/>
        </w:r>
      </w:hyperlink>
    </w:p>
    <w:p w14:paraId="4542E67C" w14:textId="1B21C55E" w:rsidR="00721099" w:rsidRDefault="007E0638">
      <w:pPr>
        <w:pStyle w:val="11"/>
        <w:tabs>
          <w:tab w:val="right" w:leader="dot" w:pos="8810"/>
        </w:tabs>
        <w:rPr>
          <w:noProof/>
        </w:rPr>
      </w:pPr>
      <w:hyperlink w:anchor="_Toc21860" w:history="1">
        <w:r w:rsidR="006B4706">
          <w:rPr>
            <w:rFonts w:asciiTheme="minorEastAsia" w:eastAsiaTheme="minorEastAsia" w:hAnsiTheme="minorEastAsia" w:cstheme="minorEastAsia" w:hint="eastAsia"/>
            <w:bCs/>
            <w:noProof/>
            <w:szCs w:val="24"/>
            <w:lang w:eastAsia="zh-CN"/>
          </w:rPr>
          <w:t>第十一部分  基金份额的登记</w:t>
        </w:r>
        <w:r w:rsidR="006B4706">
          <w:rPr>
            <w:noProof/>
          </w:rPr>
          <w:tab/>
        </w:r>
        <w:r w:rsidR="006B4706">
          <w:rPr>
            <w:noProof/>
          </w:rPr>
          <w:fldChar w:fldCharType="begin"/>
        </w:r>
        <w:r w:rsidR="006B4706">
          <w:rPr>
            <w:noProof/>
          </w:rPr>
          <w:instrText xml:space="preserve"> PAGEREF _Toc21860 \h </w:instrText>
        </w:r>
        <w:r w:rsidR="006B4706">
          <w:rPr>
            <w:noProof/>
          </w:rPr>
        </w:r>
        <w:r w:rsidR="006B4706">
          <w:rPr>
            <w:noProof/>
          </w:rPr>
          <w:fldChar w:fldCharType="separate"/>
        </w:r>
        <w:r w:rsidR="001918E5">
          <w:rPr>
            <w:noProof/>
          </w:rPr>
          <w:t>46</w:t>
        </w:r>
        <w:r w:rsidR="006B4706">
          <w:rPr>
            <w:noProof/>
          </w:rPr>
          <w:fldChar w:fldCharType="end"/>
        </w:r>
      </w:hyperlink>
    </w:p>
    <w:p w14:paraId="3290F5EB" w14:textId="33337892" w:rsidR="00721099" w:rsidRDefault="007E0638">
      <w:pPr>
        <w:pStyle w:val="11"/>
        <w:tabs>
          <w:tab w:val="right" w:leader="dot" w:pos="8810"/>
        </w:tabs>
        <w:rPr>
          <w:noProof/>
        </w:rPr>
      </w:pPr>
      <w:hyperlink w:anchor="_Toc32427" w:history="1">
        <w:r w:rsidR="006B4706">
          <w:rPr>
            <w:rFonts w:asciiTheme="minorEastAsia" w:eastAsiaTheme="minorEastAsia" w:hAnsiTheme="minorEastAsia" w:cstheme="minorEastAsia" w:hint="eastAsia"/>
            <w:bCs/>
            <w:noProof/>
            <w:szCs w:val="24"/>
            <w:lang w:eastAsia="zh-CN"/>
          </w:rPr>
          <w:t>第十二部分  基金的投资</w:t>
        </w:r>
        <w:r w:rsidR="006B4706">
          <w:rPr>
            <w:noProof/>
          </w:rPr>
          <w:tab/>
        </w:r>
        <w:r w:rsidR="006B4706">
          <w:rPr>
            <w:noProof/>
          </w:rPr>
          <w:fldChar w:fldCharType="begin"/>
        </w:r>
        <w:r w:rsidR="006B4706">
          <w:rPr>
            <w:noProof/>
          </w:rPr>
          <w:instrText xml:space="preserve"> PAGEREF _Toc32427 \h </w:instrText>
        </w:r>
        <w:r w:rsidR="006B4706">
          <w:rPr>
            <w:noProof/>
          </w:rPr>
        </w:r>
        <w:r w:rsidR="006B4706">
          <w:rPr>
            <w:noProof/>
          </w:rPr>
          <w:fldChar w:fldCharType="separate"/>
        </w:r>
        <w:r w:rsidR="001918E5">
          <w:rPr>
            <w:noProof/>
          </w:rPr>
          <w:t>48</w:t>
        </w:r>
        <w:r w:rsidR="006B4706">
          <w:rPr>
            <w:noProof/>
          </w:rPr>
          <w:fldChar w:fldCharType="end"/>
        </w:r>
      </w:hyperlink>
    </w:p>
    <w:p w14:paraId="7E370E29" w14:textId="32DDF33D" w:rsidR="00721099" w:rsidRDefault="007E0638">
      <w:pPr>
        <w:pStyle w:val="11"/>
        <w:tabs>
          <w:tab w:val="right" w:leader="dot" w:pos="8810"/>
        </w:tabs>
        <w:rPr>
          <w:noProof/>
        </w:rPr>
      </w:pPr>
      <w:hyperlink w:anchor="_Toc18285" w:history="1">
        <w:r w:rsidR="006B4706">
          <w:rPr>
            <w:rFonts w:asciiTheme="minorEastAsia" w:eastAsiaTheme="minorEastAsia" w:hAnsiTheme="minorEastAsia" w:cstheme="minorEastAsia" w:hint="eastAsia"/>
            <w:bCs/>
            <w:noProof/>
            <w:szCs w:val="24"/>
            <w:lang w:eastAsia="zh-CN"/>
          </w:rPr>
          <w:t>第十三部分  基金的财产</w:t>
        </w:r>
        <w:r w:rsidR="006B4706">
          <w:rPr>
            <w:noProof/>
          </w:rPr>
          <w:tab/>
        </w:r>
        <w:r w:rsidR="006B4706">
          <w:rPr>
            <w:noProof/>
          </w:rPr>
          <w:fldChar w:fldCharType="begin"/>
        </w:r>
        <w:r w:rsidR="006B4706">
          <w:rPr>
            <w:noProof/>
          </w:rPr>
          <w:instrText xml:space="preserve"> PAGEREF _Toc18285 \h </w:instrText>
        </w:r>
        <w:r w:rsidR="006B4706">
          <w:rPr>
            <w:noProof/>
          </w:rPr>
        </w:r>
        <w:r w:rsidR="006B4706">
          <w:rPr>
            <w:noProof/>
          </w:rPr>
          <w:fldChar w:fldCharType="separate"/>
        </w:r>
        <w:r w:rsidR="001918E5">
          <w:rPr>
            <w:noProof/>
          </w:rPr>
          <w:t>61</w:t>
        </w:r>
        <w:r w:rsidR="006B4706">
          <w:rPr>
            <w:noProof/>
          </w:rPr>
          <w:fldChar w:fldCharType="end"/>
        </w:r>
      </w:hyperlink>
    </w:p>
    <w:p w14:paraId="21273A46" w14:textId="2407AE55" w:rsidR="00721099" w:rsidRDefault="007E0638">
      <w:pPr>
        <w:pStyle w:val="11"/>
        <w:tabs>
          <w:tab w:val="right" w:leader="dot" w:pos="8810"/>
        </w:tabs>
        <w:rPr>
          <w:noProof/>
        </w:rPr>
      </w:pPr>
      <w:hyperlink w:anchor="_Toc17876" w:history="1">
        <w:r w:rsidR="006B4706">
          <w:rPr>
            <w:rFonts w:asciiTheme="minorEastAsia" w:eastAsiaTheme="minorEastAsia" w:hAnsiTheme="minorEastAsia" w:cstheme="minorEastAsia" w:hint="eastAsia"/>
            <w:bCs/>
            <w:noProof/>
            <w:szCs w:val="24"/>
            <w:lang w:eastAsia="zh-CN"/>
          </w:rPr>
          <w:t>第十四部分  基金资产估值</w:t>
        </w:r>
        <w:r w:rsidR="006B4706">
          <w:rPr>
            <w:noProof/>
          </w:rPr>
          <w:tab/>
        </w:r>
        <w:r w:rsidR="006B4706">
          <w:rPr>
            <w:noProof/>
          </w:rPr>
          <w:fldChar w:fldCharType="begin"/>
        </w:r>
        <w:r w:rsidR="006B4706">
          <w:rPr>
            <w:noProof/>
          </w:rPr>
          <w:instrText xml:space="preserve"> PAGEREF _Toc17876 \h </w:instrText>
        </w:r>
        <w:r w:rsidR="006B4706">
          <w:rPr>
            <w:noProof/>
          </w:rPr>
        </w:r>
        <w:r w:rsidR="006B4706">
          <w:rPr>
            <w:noProof/>
          </w:rPr>
          <w:fldChar w:fldCharType="separate"/>
        </w:r>
        <w:r w:rsidR="001918E5">
          <w:rPr>
            <w:noProof/>
          </w:rPr>
          <w:t>63</w:t>
        </w:r>
        <w:r w:rsidR="006B4706">
          <w:rPr>
            <w:noProof/>
          </w:rPr>
          <w:fldChar w:fldCharType="end"/>
        </w:r>
      </w:hyperlink>
    </w:p>
    <w:p w14:paraId="78F3612C" w14:textId="239022A0" w:rsidR="00721099" w:rsidRDefault="007E0638">
      <w:pPr>
        <w:pStyle w:val="11"/>
        <w:tabs>
          <w:tab w:val="right" w:leader="dot" w:pos="8810"/>
        </w:tabs>
        <w:rPr>
          <w:noProof/>
        </w:rPr>
      </w:pPr>
      <w:hyperlink w:anchor="_Toc3405" w:history="1">
        <w:r w:rsidR="006B4706">
          <w:rPr>
            <w:rFonts w:asciiTheme="minorEastAsia" w:eastAsiaTheme="minorEastAsia" w:hAnsiTheme="minorEastAsia" w:cstheme="minorEastAsia" w:hint="eastAsia"/>
            <w:bCs/>
            <w:noProof/>
            <w:szCs w:val="24"/>
            <w:lang w:eastAsia="zh-CN"/>
          </w:rPr>
          <w:t>第十五部分  基金费用与税收</w:t>
        </w:r>
        <w:r w:rsidR="006B4706">
          <w:rPr>
            <w:noProof/>
          </w:rPr>
          <w:tab/>
        </w:r>
        <w:r w:rsidR="006B4706">
          <w:rPr>
            <w:noProof/>
          </w:rPr>
          <w:fldChar w:fldCharType="begin"/>
        </w:r>
        <w:r w:rsidR="006B4706">
          <w:rPr>
            <w:noProof/>
          </w:rPr>
          <w:instrText xml:space="preserve"> PAGEREF _Toc3405 \h </w:instrText>
        </w:r>
        <w:r w:rsidR="006B4706">
          <w:rPr>
            <w:noProof/>
          </w:rPr>
        </w:r>
        <w:r w:rsidR="006B4706">
          <w:rPr>
            <w:noProof/>
          </w:rPr>
          <w:fldChar w:fldCharType="separate"/>
        </w:r>
        <w:r w:rsidR="001918E5">
          <w:rPr>
            <w:noProof/>
          </w:rPr>
          <w:t>71</w:t>
        </w:r>
        <w:r w:rsidR="006B4706">
          <w:rPr>
            <w:noProof/>
          </w:rPr>
          <w:fldChar w:fldCharType="end"/>
        </w:r>
      </w:hyperlink>
    </w:p>
    <w:p w14:paraId="2BE3DBB5" w14:textId="70058099" w:rsidR="00721099" w:rsidRDefault="007E0638">
      <w:pPr>
        <w:pStyle w:val="11"/>
        <w:tabs>
          <w:tab w:val="right" w:leader="dot" w:pos="8810"/>
        </w:tabs>
        <w:rPr>
          <w:noProof/>
        </w:rPr>
      </w:pPr>
      <w:hyperlink w:anchor="_Toc18633" w:history="1">
        <w:r w:rsidR="006B4706">
          <w:rPr>
            <w:rFonts w:asciiTheme="minorEastAsia" w:eastAsiaTheme="minorEastAsia" w:hAnsiTheme="minorEastAsia" w:cstheme="minorEastAsia" w:hint="eastAsia"/>
            <w:bCs/>
            <w:noProof/>
            <w:szCs w:val="24"/>
            <w:lang w:eastAsia="zh-CN"/>
          </w:rPr>
          <w:t>第十六部分  基金的收益与分配</w:t>
        </w:r>
        <w:r w:rsidR="006B4706">
          <w:rPr>
            <w:noProof/>
          </w:rPr>
          <w:tab/>
        </w:r>
        <w:r w:rsidR="006B4706">
          <w:rPr>
            <w:noProof/>
          </w:rPr>
          <w:fldChar w:fldCharType="begin"/>
        </w:r>
        <w:r w:rsidR="006B4706">
          <w:rPr>
            <w:noProof/>
          </w:rPr>
          <w:instrText xml:space="preserve"> PAGEREF _Toc18633 \h </w:instrText>
        </w:r>
        <w:r w:rsidR="006B4706">
          <w:rPr>
            <w:noProof/>
          </w:rPr>
        </w:r>
        <w:r w:rsidR="006B4706">
          <w:rPr>
            <w:noProof/>
          </w:rPr>
          <w:fldChar w:fldCharType="separate"/>
        </w:r>
        <w:r w:rsidR="001918E5">
          <w:rPr>
            <w:noProof/>
          </w:rPr>
          <w:t>74</w:t>
        </w:r>
        <w:r w:rsidR="006B4706">
          <w:rPr>
            <w:noProof/>
          </w:rPr>
          <w:fldChar w:fldCharType="end"/>
        </w:r>
      </w:hyperlink>
    </w:p>
    <w:p w14:paraId="5F707902" w14:textId="33535B72" w:rsidR="00721099" w:rsidRDefault="007E0638">
      <w:pPr>
        <w:pStyle w:val="11"/>
        <w:tabs>
          <w:tab w:val="right" w:leader="dot" w:pos="8810"/>
        </w:tabs>
        <w:rPr>
          <w:noProof/>
        </w:rPr>
      </w:pPr>
      <w:hyperlink w:anchor="_Toc4816" w:history="1">
        <w:r w:rsidR="006B4706">
          <w:rPr>
            <w:rFonts w:asciiTheme="minorEastAsia" w:eastAsiaTheme="minorEastAsia" w:hAnsiTheme="minorEastAsia" w:cstheme="minorEastAsia" w:hint="eastAsia"/>
            <w:bCs/>
            <w:noProof/>
            <w:szCs w:val="24"/>
            <w:lang w:eastAsia="zh-CN"/>
          </w:rPr>
          <w:t>第十七部分  基金的会计与审计</w:t>
        </w:r>
        <w:r w:rsidR="006B4706">
          <w:rPr>
            <w:noProof/>
          </w:rPr>
          <w:tab/>
        </w:r>
        <w:r w:rsidR="006B4706">
          <w:rPr>
            <w:noProof/>
          </w:rPr>
          <w:fldChar w:fldCharType="begin"/>
        </w:r>
        <w:r w:rsidR="006B4706">
          <w:rPr>
            <w:noProof/>
          </w:rPr>
          <w:instrText xml:space="preserve"> PAGEREF _Toc4816 \h </w:instrText>
        </w:r>
        <w:r w:rsidR="006B4706">
          <w:rPr>
            <w:noProof/>
          </w:rPr>
        </w:r>
        <w:r w:rsidR="006B4706">
          <w:rPr>
            <w:noProof/>
          </w:rPr>
          <w:fldChar w:fldCharType="separate"/>
        </w:r>
        <w:r w:rsidR="001918E5">
          <w:rPr>
            <w:noProof/>
          </w:rPr>
          <w:t>76</w:t>
        </w:r>
        <w:r w:rsidR="006B4706">
          <w:rPr>
            <w:noProof/>
          </w:rPr>
          <w:fldChar w:fldCharType="end"/>
        </w:r>
      </w:hyperlink>
    </w:p>
    <w:p w14:paraId="78DF1BCA" w14:textId="0F5777B2" w:rsidR="00721099" w:rsidRDefault="007E0638">
      <w:pPr>
        <w:pStyle w:val="11"/>
        <w:tabs>
          <w:tab w:val="right" w:leader="dot" w:pos="8810"/>
        </w:tabs>
        <w:rPr>
          <w:noProof/>
        </w:rPr>
      </w:pPr>
      <w:hyperlink w:anchor="_Toc26809" w:history="1">
        <w:r w:rsidR="006B4706">
          <w:rPr>
            <w:rFonts w:asciiTheme="minorEastAsia" w:eastAsiaTheme="minorEastAsia" w:hAnsiTheme="minorEastAsia" w:cstheme="minorEastAsia" w:hint="eastAsia"/>
            <w:bCs/>
            <w:noProof/>
            <w:szCs w:val="24"/>
            <w:lang w:eastAsia="zh-CN"/>
          </w:rPr>
          <w:t>第十八部分  基金的信息披露</w:t>
        </w:r>
        <w:r w:rsidR="006B4706">
          <w:rPr>
            <w:noProof/>
          </w:rPr>
          <w:tab/>
        </w:r>
        <w:r w:rsidR="006B4706">
          <w:rPr>
            <w:noProof/>
          </w:rPr>
          <w:fldChar w:fldCharType="begin"/>
        </w:r>
        <w:r w:rsidR="006B4706">
          <w:rPr>
            <w:noProof/>
          </w:rPr>
          <w:instrText xml:space="preserve"> PAGEREF _Toc26809 \h </w:instrText>
        </w:r>
        <w:r w:rsidR="006B4706">
          <w:rPr>
            <w:noProof/>
          </w:rPr>
        </w:r>
        <w:r w:rsidR="006B4706">
          <w:rPr>
            <w:noProof/>
          </w:rPr>
          <w:fldChar w:fldCharType="separate"/>
        </w:r>
        <w:r w:rsidR="001918E5">
          <w:rPr>
            <w:noProof/>
          </w:rPr>
          <w:t>77</w:t>
        </w:r>
        <w:r w:rsidR="006B4706">
          <w:rPr>
            <w:noProof/>
          </w:rPr>
          <w:fldChar w:fldCharType="end"/>
        </w:r>
      </w:hyperlink>
    </w:p>
    <w:p w14:paraId="2239FAF6" w14:textId="41655301" w:rsidR="00721099" w:rsidRDefault="007E0638">
      <w:pPr>
        <w:pStyle w:val="11"/>
        <w:tabs>
          <w:tab w:val="right" w:leader="dot" w:pos="8810"/>
        </w:tabs>
        <w:rPr>
          <w:noProof/>
        </w:rPr>
      </w:pPr>
      <w:hyperlink w:anchor="_Toc3766" w:history="1">
        <w:r w:rsidR="006B4706">
          <w:rPr>
            <w:rFonts w:asciiTheme="minorEastAsia" w:eastAsiaTheme="minorEastAsia" w:hAnsiTheme="minorEastAsia" w:cstheme="minorEastAsia" w:hint="eastAsia"/>
            <w:bCs/>
            <w:noProof/>
            <w:szCs w:val="24"/>
            <w:lang w:eastAsia="zh-CN"/>
          </w:rPr>
          <w:t>第十九部分  基金合同的变更、终止与基金财产的清算</w:t>
        </w:r>
        <w:r w:rsidR="006B4706">
          <w:rPr>
            <w:noProof/>
          </w:rPr>
          <w:tab/>
        </w:r>
        <w:r w:rsidR="006B4706">
          <w:rPr>
            <w:noProof/>
          </w:rPr>
          <w:fldChar w:fldCharType="begin"/>
        </w:r>
        <w:r w:rsidR="006B4706">
          <w:rPr>
            <w:noProof/>
          </w:rPr>
          <w:instrText xml:space="preserve"> PAGEREF _Toc3766 \h </w:instrText>
        </w:r>
        <w:r w:rsidR="006B4706">
          <w:rPr>
            <w:noProof/>
          </w:rPr>
        </w:r>
        <w:r w:rsidR="006B4706">
          <w:rPr>
            <w:noProof/>
          </w:rPr>
          <w:fldChar w:fldCharType="separate"/>
        </w:r>
        <w:r w:rsidR="001918E5">
          <w:rPr>
            <w:noProof/>
          </w:rPr>
          <w:t>85</w:t>
        </w:r>
        <w:r w:rsidR="006B4706">
          <w:rPr>
            <w:noProof/>
          </w:rPr>
          <w:fldChar w:fldCharType="end"/>
        </w:r>
      </w:hyperlink>
    </w:p>
    <w:p w14:paraId="255D7C78" w14:textId="4904C1F6" w:rsidR="00721099" w:rsidRDefault="007E0638">
      <w:pPr>
        <w:pStyle w:val="11"/>
        <w:tabs>
          <w:tab w:val="right" w:leader="dot" w:pos="8810"/>
        </w:tabs>
        <w:rPr>
          <w:noProof/>
        </w:rPr>
      </w:pPr>
      <w:hyperlink w:anchor="_Toc6790" w:history="1">
        <w:r w:rsidR="006B4706">
          <w:rPr>
            <w:rFonts w:asciiTheme="minorEastAsia" w:eastAsiaTheme="minorEastAsia" w:hAnsiTheme="minorEastAsia" w:cstheme="minorEastAsia" w:hint="eastAsia"/>
            <w:bCs/>
            <w:noProof/>
            <w:szCs w:val="24"/>
            <w:lang w:eastAsia="zh-CN"/>
          </w:rPr>
          <w:t>第二十部分  违约责任</w:t>
        </w:r>
        <w:r w:rsidR="006B4706">
          <w:rPr>
            <w:noProof/>
          </w:rPr>
          <w:tab/>
        </w:r>
        <w:r w:rsidR="006B4706">
          <w:rPr>
            <w:noProof/>
          </w:rPr>
          <w:fldChar w:fldCharType="begin"/>
        </w:r>
        <w:r w:rsidR="006B4706">
          <w:rPr>
            <w:noProof/>
          </w:rPr>
          <w:instrText xml:space="preserve"> PAGEREF _Toc6790 \h </w:instrText>
        </w:r>
        <w:r w:rsidR="006B4706">
          <w:rPr>
            <w:noProof/>
          </w:rPr>
        </w:r>
        <w:r w:rsidR="006B4706">
          <w:rPr>
            <w:noProof/>
          </w:rPr>
          <w:fldChar w:fldCharType="separate"/>
        </w:r>
        <w:r w:rsidR="001918E5">
          <w:rPr>
            <w:noProof/>
          </w:rPr>
          <w:t>87</w:t>
        </w:r>
        <w:r w:rsidR="006B4706">
          <w:rPr>
            <w:noProof/>
          </w:rPr>
          <w:fldChar w:fldCharType="end"/>
        </w:r>
      </w:hyperlink>
    </w:p>
    <w:p w14:paraId="0E7CDDEA" w14:textId="62953693" w:rsidR="00721099" w:rsidRDefault="007E0638">
      <w:pPr>
        <w:pStyle w:val="11"/>
        <w:tabs>
          <w:tab w:val="right" w:leader="dot" w:pos="8810"/>
        </w:tabs>
        <w:rPr>
          <w:noProof/>
        </w:rPr>
      </w:pPr>
      <w:hyperlink w:anchor="_Toc24306" w:history="1">
        <w:r w:rsidR="006B4706">
          <w:rPr>
            <w:rFonts w:asciiTheme="minorEastAsia" w:eastAsiaTheme="minorEastAsia" w:hAnsiTheme="minorEastAsia" w:cstheme="minorEastAsia" w:hint="eastAsia"/>
            <w:bCs/>
            <w:noProof/>
            <w:szCs w:val="24"/>
            <w:lang w:eastAsia="zh-CN"/>
          </w:rPr>
          <w:t>第二十一部分  争议的处理和适用的法律</w:t>
        </w:r>
        <w:r w:rsidR="006B4706">
          <w:rPr>
            <w:noProof/>
          </w:rPr>
          <w:tab/>
        </w:r>
        <w:r w:rsidR="006B4706">
          <w:rPr>
            <w:noProof/>
          </w:rPr>
          <w:fldChar w:fldCharType="begin"/>
        </w:r>
        <w:r w:rsidR="006B4706">
          <w:rPr>
            <w:noProof/>
          </w:rPr>
          <w:instrText xml:space="preserve"> PAGEREF _Toc24306 \h </w:instrText>
        </w:r>
        <w:r w:rsidR="006B4706">
          <w:rPr>
            <w:noProof/>
          </w:rPr>
        </w:r>
        <w:r w:rsidR="006B4706">
          <w:rPr>
            <w:noProof/>
          </w:rPr>
          <w:fldChar w:fldCharType="separate"/>
        </w:r>
        <w:r w:rsidR="001918E5">
          <w:rPr>
            <w:noProof/>
          </w:rPr>
          <w:t>88</w:t>
        </w:r>
        <w:r w:rsidR="006B4706">
          <w:rPr>
            <w:noProof/>
          </w:rPr>
          <w:fldChar w:fldCharType="end"/>
        </w:r>
      </w:hyperlink>
    </w:p>
    <w:p w14:paraId="675A1713" w14:textId="441A44FB" w:rsidR="00721099" w:rsidRDefault="007E0638">
      <w:pPr>
        <w:pStyle w:val="11"/>
        <w:tabs>
          <w:tab w:val="right" w:leader="dot" w:pos="8810"/>
        </w:tabs>
        <w:rPr>
          <w:noProof/>
        </w:rPr>
      </w:pPr>
      <w:hyperlink w:anchor="_Toc30345" w:history="1">
        <w:r w:rsidR="006B4706">
          <w:rPr>
            <w:rFonts w:asciiTheme="minorEastAsia" w:eastAsiaTheme="minorEastAsia" w:hAnsiTheme="minorEastAsia" w:cstheme="minorEastAsia" w:hint="eastAsia"/>
            <w:bCs/>
            <w:noProof/>
            <w:szCs w:val="24"/>
            <w:lang w:eastAsia="zh-CN"/>
          </w:rPr>
          <w:t>第二十二部分  基金合同的效力</w:t>
        </w:r>
        <w:r w:rsidR="006B4706">
          <w:rPr>
            <w:noProof/>
          </w:rPr>
          <w:tab/>
        </w:r>
        <w:r w:rsidR="006B4706">
          <w:rPr>
            <w:noProof/>
          </w:rPr>
          <w:fldChar w:fldCharType="begin"/>
        </w:r>
        <w:r w:rsidR="006B4706">
          <w:rPr>
            <w:noProof/>
          </w:rPr>
          <w:instrText xml:space="preserve"> PAGEREF _Toc30345 \h </w:instrText>
        </w:r>
        <w:r w:rsidR="006B4706">
          <w:rPr>
            <w:noProof/>
          </w:rPr>
        </w:r>
        <w:r w:rsidR="006B4706">
          <w:rPr>
            <w:noProof/>
          </w:rPr>
          <w:fldChar w:fldCharType="separate"/>
        </w:r>
        <w:r w:rsidR="001918E5">
          <w:rPr>
            <w:noProof/>
          </w:rPr>
          <w:t>89</w:t>
        </w:r>
        <w:r w:rsidR="006B4706">
          <w:rPr>
            <w:noProof/>
          </w:rPr>
          <w:fldChar w:fldCharType="end"/>
        </w:r>
      </w:hyperlink>
    </w:p>
    <w:p w14:paraId="06340F2B" w14:textId="7C4EF8D2" w:rsidR="00721099" w:rsidRDefault="007E0638">
      <w:pPr>
        <w:pStyle w:val="11"/>
        <w:tabs>
          <w:tab w:val="right" w:leader="dot" w:pos="8810"/>
        </w:tabs>
        <w:rPr>
          <w:noProof/>
        </w:rPr>
      </w:pPr>
      <w:hyperlink w:anchor="_Toc27618" w:history="1">
        <w:r w:rsidR="006B4706">
          <w:rPr>
            <w:rFonts w:asciiTheme="minorEastAsia" w:eastAsiaTheme="minorEastAsia" w:hAnsiTheme="minorEastAsia" w:cstheme="minorEastAsia" w:hint="eastAsia"/>
            <w:bCs/>
            <w:noProof/>
            <w:szCs w:val="24"/>
            <w:lang w:eastAsia="zh-CN"/>
          </w:rPr>
          <w:t>第二十三部分  其他事项</w:t>
        </w:r>
        <w:r w:rsidR="006B4706">
          <w:rPr>
            <w:noProof/>
          </w:rPr>
          <w:tab/>
        </w:r>
        <w:r w:rsidR="006B4706">
          <w:rPr>
            <w:noProof/>
          </w:rPr>
          <w:fldChar w:fldCharType="begin"/>
        </w:r>
        <w:r w:rsidR="006B4706">
          <w:rPr>
            <w:noProof/>
          </w:rPr>
          <w:instrText xml:space="preserve"> PAGEREF _Toc27618 \h </w:instrText>
        </w:r>
        <w:r w:rsidR="006B4706">
          <w:rPr>
            <w:noProof/>
          </w:rPr>
        </w:r>
        <w:r w:rsidR="006B4706">
          <w:rPr>
            <w:noProof/>
          </w:rPr>
          <w:fldChar w:fldCharType="separate"/>
        </w:r>
        <w:r w:rsidR="001918E5">
          <w:rPr>
            <w:noProof/>
          </w:rPr>
          <w:t>90</w:t>
        </w:r>
        <w:r w:rsidR="006B4706">
          <w:rPr>
            <w:noProof/>
          </w:rPr>
          <w:fldChar w:fldCharType="end"/>
        </w:r>
      </w:hyperlink>
    </w:p>
    <w:p w14:paraId="1636A13E" w14:textId="4C164F26" w:rsidR="00721099" w:rsidRDefault="007E0638">
      <w:pPr>
        <w:pStyle w:val="11"/>
        <w:tabs>
          <w:tab w:val="right" w:leader="dot" w:pos="8810"/>
        </w:tabs>
        <w:rPr>
          <w:noProof/>
        </w:rPr>
      </w:pPr>
      <w:hyperlink w:anchor="_Toc22379" w:history="1">
        <w:r w:rsidR="006B4706">
          <w:rPr>
            <w:rFonts w:asciiTheme="minorEastAsia" w:eastAsiaTheme="minorEastAsia" w:hAnsiTheme="minorEastAsia" w:cstheme="minorEastAsia" w:hint="eastAsia"/>
            <w:bCs/>
            <w:noProof/>
            <w:szCs w:val="24"/>
            <w:lang w:eastAsia="zh-CN"/>
          </w:rPr>
          <w:t>第二十四部分  基金合同内容摘要</w:t>
        </w:r>
        <w:r w:rsidR="006B4706">
          <w:rPr>
            <w:noProof/>
          </w:rPr>
          <w:tab/>
        </w:r>
        <w:r w:rsidR="006B4706">
          <w:rPr>
            <w:noProof/>
          </w:rPr>
          <w:fldChar w:fldCharType="begin"/>
        </w:r>
        <w:r w:rsidR="006B4706">
          <w:rPr>
            <w:noProof/>
          </w:rPr>
          <w:instrText xml:space="preserve"> PAGEREF _Toc22379 \h </w:instrText>
        </w:r>
        <w:r w:rsidR="006B4706">
          <w:rPr>
            <w:noProof/>
          </w:rPr>
        </w:r>
        <w:r w:rsidR="006B4706">
          <w:rPr>
            <w:noProof/>
          </w:rPr>
          <w:fldChar w:fldCharType="separate"/>
        </w:r>
        <w:r w:rsidR="001918E5">
          <w:rPr>
            <w:noProof/>
          </w:rPr>
          <w:t>91</w:t>
        </w:r>
        <w:r w:rsidR="006B4706">
          <w:rPr>
            <w:noProof/>
          </w:rPr>
          <w:fldChar w:fldCharType="end"/>
        </w:r>
      </w:hyperlink>
    </w:p>
    <w:p w14:paraId="48D478F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end"/>
      </w:r>
    </w:p>
    <w:p w14:paraId="1A31E42B"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rPr>
        <w:sectPr w:rsidR="00721099">
          <w:headerReference w:type="default" r:id="rId9"/>
          <w:footerReference w:type="default" r:id="rId10"/>
          <w:pgSz w:w="11910" w:h="16840"/>
          <w:pgMar w:top="1340" w:right="1440" w:bottom="1400" w:left="1660" w:header="880" w:footer="1201" w:gutter="0"/>
          <w:cols w:space="720"/>
        </w:sectPr>
      </w:pPr>
    </w:p>
    <w:p w14:paraId="070AF4D4"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 w:name="第一部分__前言"/>
      <w:bookmarkStart w:id="2" w:name="_Toc26738"/>
      <w:bookmarkStart w:id="3" w:name="_Toc10178"/>
      <w:bookmarkStart w:id="4" w:name="_Toc156822873"/>
      <w:bookmarkStart w:id="5" w:name="_Toc20727"/>
      <w:bookmarkStart w:id="6" w:name="_Toc26023"/>
      <w:bookmarkEnd w:id="1"/>
      <w:r>
        <w:rPr>
          <w:rFonts w:asciiTheme="minorEastAsia" w:eastAsiaTheme="minorEastAsia" w:hAnsiTheme="minorEastAsia" w:cstheme="minorEastAsia" w:hint="eastAsia"/>
          <w:b/>
          <w:bCs/>
          <w:sz w:val="24"/>
          <w:szCs w:val="24"/>
          <w:lang w:eastAsia="zh-CN"/>
        </w:rPr>
        <w:lastRenderedPageBreak/>
        <w:t>第一部分  前言</w:t>
      </w:r>
      <w:bookmarkEnd w:id="2"/>
      <w:bookmarkEnd w:id="3"/>
      <w:bookmarkEnd w:id="4"/>
      <w:bookmarkEnd w:id="5"/>
      <w:bookmarkEnd w:id="6"/>
    </w:p>
    <w:p w14:paraId="4A5F2D20"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05302B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一、订立本基金合同的目的、依据和原则</w:t>
      </w:r>
    </w:p>
    <w:p w14:paraId="4B9CC58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1、订立本基金合同的目的是保护投资人合法权益，明确基金合同当事人的权利义务，规范基金运作。</w:t>
      </w:r>
    </w:p>
    <w:p w14:paraId="5852C71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合格境内机构投资者境外证券投资管理试行办法》（以下简称“《试行办法》”）、《关于实施&lt;合格境内机构投资者境外证券投资管理试行办法&gt;有关问题的通知》（以下简称“《通知》”）和其他有关法律法规。</w:t>
      </w:r>
    </w:p>
    <w:p w14:paraId="7AAC077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3、订立本基金合同的原则是平等自愿、诚实信用、充分保护投资人合法权益。</w:t>
      </w:r>
    </w:p>
    <w:p w14:paraId="34A7E2E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7B7D2D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52205AA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三、平安港股医疗优选股票型证券投资基金（QDII）由基金管理人依照《基金法》、基金合同及其他有关规定募集，并经中国证券监督管理委员会（以下简称“中国证监会”）注册。</w:t>
      </w:r>
    </w:p>
    <w:p w14:paraId="3E4346C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中国证监会对本基金募集的注册，并不表明其对本基金的投资价值和市场前景做出实质性判断或保证，也不表明投资于本基金没有风险。</w:t>
      </w:r>
    </w:p>
    <w:p w14:paraId="35FF5FB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基金管理人依照恪尽职守、诚实信用、谨慎勤勉的原则管理和运用基金财产，但不保证投资于本基金一定盈利，也不保证最低收益或投资本金不受损失。</w:t>
      </w:r>
    </w:p>
    <w:p w14:paraId="2108C3E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投资者应当认真阅读基金招募说明书、基金合同、基金产品资料概要等信息披</w:t>
      </w:r>
      <w:r>
        <w:rPr>
          <w:rFonts w:asciiTheme="minorEastAsia" w:eastAsiaTheme="minorEastAsia" w:hAnsiTheme="minorEastAsia" w:cstheme="minorEastAsia" w:hint="eastAsia"/>
          <w:sz w:val="24"/>
          <w:szCs w:val="24"/>
          <w:lang w:eastAsia="zh-CN"/>
        </w:rPr>
        <w:lastRenderedPageBreak/>
        <w:t>露文件，自主判断基金的投资价值，自主做出投资决策，自行承担投资风险。</w:t>
      </w:r>
    </w:p>
    <w:p w14:paraId="684F6FF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四、基金管理人、基金托管人在本基金合同之外披露涉及本基金的信息，其内容涉及界定基金合同当事人之间权利义务关系的，如与基金合同有冲突，以基金合同为准。</w:t>
      </w:r>
    </w:p>
    <w:p w14:paraId="4A885AA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五、本基金按照中国法律法规成立并运作，若基金合同的内容与届时有效的法律法规的强制性规定不一致，应当以届时有效的法律法规的规定为准。</w:t>
      </w:r>
    </w:p>
    <w:p w14:paraId="6C09E04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w:t>
      </w:r>
      <w:bookmarkStart w:id="7" w:name="_Hlk156641059"/>
      <w:r>
        <w:rPr>
          <w:rFonts w:asciiTheme="minorEastAsia" w:eastAsiaTheme="minorEastAsia" w:hAnsiTheme="minorEastAsia" w:cstheme="minorEastAsia" w:hint="eastAsia"/>
          <w:sz w:val="24"/>
          <w:szCs w:val="24"/>
          <w:lang w:eastAsia="zh-CN"/>
        </w:rPr>
        <w:t>本基金投资港股，将承担港股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交易日不连贯可能带来的风险（在内地开市香港休市的情形下，港股不能正常交易，港股不能及时卖出，可能带来一定的流动性风险）等，详见本基金招募说明书“风险揭示”章节。</w:t>
      </w:r>
    </w:p>
    <w:bookmarkEnd w:id="7"/>
    <w:p w14:paraId="51ECEA9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七、本基金的投资范围包括存托凭证，除与其他仅投资于境内市场股票的基金所面临的共同风险外，本基金还将面临投资存托凭证的特殊风险，详见本基金招募说明书“风险揭示”章节。</w:t>
      </w:r>
    </w:p>
    <w:p w14:paraId="08EF852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八、本基金资产投资于境外证券，除了需要承担与境内证券投资基金类似的市 场波动风险等一般投资风险之外，本基金还面临汇率风险、股价波动风险等境外证 券市场投资所面临的特别投资风险，详见本基金招募说明书“风险揭示”章节。</w:t>
      </w:r>
    </w:p>
    <w:p w14:paraId="67D335A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九、投资人认购、申购本基金的，在本基金存续期间，由投资人自行承担汇率 变动风险。在本基金存续期间，基金管理人不承担基金销售、基金投资等运作环节 中的任何汇率变动风险。 </w:t>
      </w:r>
    </w:p>
    <w:p w14:paraId="2CBD37E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十、为对冲信用风险，本基金可能投资于信用衍生品。信用衍生品的投资可能面临流动性风险、偿付风险以及价格波动风险等。具体请参见本基金招募说明书关于“风险揭示”的相关内容。</w:t>
      </w:r>
    </w:p>
    <w:p w14:paraId="227F0A2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一、本基金可投资于科创板股票，可能会面临科创板机制下因投资标的、市场制度以及交易规则等差异带来的特有风险，包括但不限于流动性风险、退市风险和投资集中风险等。本基金可根据投资策略需要或市场环境的变化，选择将部分资产投资于科创板股票或选择不将基金资产投资于科创板股票，基金资产并非必然投资科创板股票。</w:t>
      </w:r>
    </w:p>
    <w:p w14:paraId="72159D22" w14:textId="4A3C0A2A" w:rsidR="00721099" w:rsidRPr="00476BA4"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十二、基金管理人根据境外股票投资需要及市场情况，有权决定是否聘请境外</w:t>
      </w:r>
      <w:r>
        <w:rPr>
          <w:rFonts w:asciiTheme="minorEastAsia" w:eastAsiaTheme="minorEastAsia" w:hAnsiTheme="minorEastAsia" w:cstheme="minorEastAsia" w:hint="eastAsia"/>
          <w:sz w:val="24"/>
          <w:szCs w:val="24"/>
          <w:lang w:eastAsia="zh-CN"/>
        </w:rPr>
        <w:lastRenderedPageBreak/>
        <w:t>投资顾问为本基金的境外股票投资部分提供投资建议服务，使用境外投资顾问的情况具体见本基金招募说明</w:t>
      </w:r>
      <w:r w:rsidR="00476BA4">
        <w:rPr>
          <w:rFonts w:asciiTheme="minorEastAsia" w:eastAsiaTheme="minorEastAsia" w:hAnsiTheme="minorEastAsia" w:cstheme="minorEastAsia" w:hint="eastAsia"/>
          <w:sz w:val="24"/>
          <w:szCs w:val="24"/>
          <w:lang w:eastAsia="zh-CN"/>
        </w:rPr>
        <w:t>书，聘请境外投资顾问可能产生的风险详见本基金招募说明书“风险揭示”章节。</w:t>
      </w:r>
    </w:p>
    <w:p w14:paraId="423A1ED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三、投资者确认知晓并同意认/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申购申请，认/申购申请已经确认的，基金管理人有权强制赎回相应的基金份额。</w:t>
      </w:r>
    </w:p>
    <w:p w14:paraId="4ABE9AF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sectPr w:rsidR="00721099">
          <w:footerReference w:type="default" r:id="rId11"/>
          <w:pgSz w:w="11910" w:h="16840"/>
          <w:pgMar w:top="1340" w:right="1440" w:bottom="1400" w:left="1660" w:header="880" w:footer="1182" w:gutter="0"/>
          <w:cols w:space="720"/>
        </w:sectPr>
      </w:pPr>
      <w:r>
        <w:rPr>
          <w:rFonts w:asciiTheme="minorEastAsia" w:eastAsiaTheme="minorEastAsia" w:hAnsiTheme="minorEastAsia" w:cstheme="minorEastAsia" w:hint="eastAsia"/>
          <w:sz w:val="24"/>
          <w:szCs w:val="24"/>
          <w:lang w:eastAsia="zh-CN"/>
        </w:rPr>
        <w:t>十四、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份额持有人承诺，其不属于联合国、中国有权机关或其他司法管辖区有权机关制裁名单内的企业或个人，不位于被联合国、中国有权机关或其他司法管辖区有权机关制裁的国家和地区。</w:t>
      </w:r>
    </w:p>
    <w:p w14:paraId="0D4CB72D"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8" w:name="第二部分__释义"/>
      <w:bookmarkStart w:id="9" w:name="_Toc156822874"/>
      <w:bookmarkStart w:id="10" w:name="_Toc26207"/>
      <w:bookmarkStart w:id="11" w:name="_Toc932"/>
      <w:bookmarkStart w:id="12" w:name="_Toc7958"/>
      <w:bookmarkStart w:id="13" w:name="_Toc25474"/>
      <w:bookmarkEnd w:id="8"/>
      <w:r>
        <w:rPr>
          <w:rFonts w:asciiTheme="minorEastAsia" w:eastAsiaTheme="minorEastAsia" w:hAnsiTheme="minorEastAsia" w:cstheme="minorEastAsia" w:hint="eastAsia"/>
          <w:b/>
          <w:bCs/>
          <w:sz w:val="24"/>
          <w:szCs w:val="24"/>
          <w:lang w:eastAsia="zh-CN"/>
        </w:rPr>
        <w:lastRenderedPageBreak/>
        <w:t>第二部分  释义</w:t>
      </w:r>
      <w:bookmarkEnd w:id="9"/>
      <w:bookmarkEnd w:id="10"/>
      <w:bookmarkEnd w:id="11"/>
      <w:bookmarkEnd w:id="12"/>
      <w:bookmarkEnd w:id="13"/>
    </w:p>
    <w:p w14:paraId="531BF5F7"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72B7DC8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在本基金合同中，除非文意另有所指，下列词语或简称具有如下含义：</w:t>
      </w:r>
    </w:p>
    <w:p w14:paraId="1294BC3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1、基金或本基金：指平安港股医疗优选股票型证券投资基金（QDII）</w:t>
      </w:r>
    </w:p>
    <w:p w14:paraId="6F04EC8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2、基金管理人：指平安基金管理有限公司</w:t>
      </w:r>
    </w:p>
    <w:p w14:paraId="2AF30ED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3、基金托管人：指上海浦东发展银行股份有限公司</w:t>
      </w:r>
    </w:p>
    <w:p w14:paraId="498D74F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4、基金合同、《基金合同》或本基金合同：指《平安港股医疗优选股票型证券投资基金（QDII）基金合同》及对本基金合同的任何有效修订和补充</w:t>
      </w:r>
    </w:p>
    <w:p w14:paraId="52CD3BA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5、托管协议：指基金管理人与基金托管人就本基金签订之《平安港股医疗优选股票型证券投资基金（QDII）托管协议》及对该托管协议的任何有效修订和补充</w:t>
      </w:r>
    </w:p>
    <w:p w14:paraId="2675CB7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6、招募说明书：指《平安港股医疗优选股票型证券投资基金（QDII）招募说明书》及其更新</w:t>
      </w:r>
    </w:p>
    <w:p w14:paraId="100C23C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7、基金产品资料概要：指《平安港股医疗优选股票型证券投资基金（QDII）基金产品资料概要》及其更新</w:t>
      </w:r>
    </w:p>
    <w:p w14:paraId="3CC5209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8、基金份额发售公告：指《平安港股医疗优选股票型证券投资基金（QDII）基金份额发售公告》</w:t>
      </w:r>
    </w:p>
    <w:p w14:paraId="718053D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9、法律法规：指中国现行有效并公布实施的法律、行政法规、规范性文件、司法解释、行政规章以及其他对基金合同当事人有约束力的决定、决议、通知等，以及对于该等法律法规的不时修改和补充</w:t>
      </w:r>
    </w:p>
    <w:p w14:paraId="631E2DA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7CA874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11、《销售办法》：指中国证监会2020年8月28日颁布、同年10月1日实施的《公开募集证券投资基金销售机构监督管理办法》及颁布机关对其不时做出的修订</w:t>
      </w:r>
    </w:p>
    <w:p w14:paraId="4FB4BBA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6390087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13、《运作办法》：指中国证监会2014年7月7日颁布、同年8月8日实施的《公开募集证券投资基金运作管理办法》及颁布机关对其不时做出的修订</w:t>
      </w:r>
    </w:p>
    <w:p w14:paraId="27A11D9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14、《流动性风险管理规定》：指中国证监会2017年8月31日颁布、同年10月1日实施的《公开募集开放式证券投资基金流动性风险管理规定》及颁布机关对其不时做出的修订</w:t>
      </w:r>
    </w:p>
    <w:p w14:paraId="0CCDF33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15、《试行办法》：指中国证监会2007年6月18日颁布、同年7月5日实施的《合格境内机构投资者境外证券投资管理试行办法》及颁布机关对其不时做出的修订</w:t>
      </w:r>
    </w:p>
    <w:p w14:paraId="53F9664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、《通知》：指中国证监会2007年6月18日公布、同年7月5日实施的《关于实施&lt;合格境内机构投资者境外证券投资管理试行办法&gt;有关问题的通知》及颁布机关对其不时做出的修订</w:t>
      </w:r>
    </w:p>
    <w:p w14:paraId="21D5294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7</w:t>
      </w:r>
      <w:r>
        <w:rPr>
          <w:rFonts w:asciiTheme="minorEastAsia" w:eastAsiaTheme="minorEastAsia" w:hAnsiTheme="minorEastAsia" w:cstheme="minorEastAsia" w:hint="eastAsia"/>
          <w:sz w:val="24"/>
          <w:szCs w:val="24"/>
          <w:lang w:eastAsia="zh-CN"/>
        </w:rPr>
        <w:t>、中国证监会：指中国证券监督管理委员会</w:t>
      </w:r>
    </w:p>
    <w:p w14:paraId="099C615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8</w:t>
      </w:r>
      <w:r>
        <w:rPr>
          <w:rFonts w:asciiTheme="minorEastAsia" w:eastAsiaTheme="minorEastAsia" w:hAnsiTheme="minorEastAsia" w:cstheme="minorEastAsia" w:hint="eastAsia"/>
          <w:sz w:val="24"/>
          <w:szCs w:val="24"/>
          <w:lang w:eastAsia="zh-CN"/>
        </w:rPr>
        <w:t>、银行业监督管理机构：指中国人民银行和/或国家金融监督管理总局</w:t>
      </w:r>
    </w:p>
    <w:p w14:paraId="4F4EAEA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19</w:t>
      </w:r>
      <w:r>
        <w:rPr>
          <w:rFonts w:asciiTheme="minorEastAsia" w:eastAsiaTheme="minorEastAsia" w:hAnsiTheme="minorEastAsia" w:cstheme="minorEastAsia" w:hint="eastAsia"/>
          <w:sz w:val="24"/>
          <w:szCs w:val="24"/>
          <w:lang w:eastAsia="zh-CN"/>
        </w:rPr>
        <w:t>、基金合同当事人：指受基金合同约束，根据基金合同享有权利并承担义务的法律主体，包括基金管理人、基金托管人和基金份额持有人</w:t>
      </w:r>
    </w:p>
    <w:p w14:paraId="188E2B8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0</w:t>
      </w:r>
      <w:r>
        <w:rPr>
          <w:rFonts w:asciiTheme="minorEastAsia" w:eastAsiaTheme="minorEastAsia" w:hAnsiTheme="minorEastAsia" w:cstheme="minorEastAsia" w:hint="eastAsia"/>
          <w:sz w:val="24"/>
          <w:szCs w:val="24"/>
          <w:lang w:eastAsia="zh-CN"/>
        </w:rPr>
        <w:t>、个人投资者：指依据有关法律法规规定可投资于证券投资基金的自然人</w:t>
      </w:r>
    </w:p>
    <w:p w14:paraId="2128E07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、机构投资者：指依法可以投资证券投资基金的、在中华人民共和国境内合法登记并存续或经有关政府部门批准设立并存续的企业法人、事业法人、社会团体或其他组织</w:t>
      </w:r>
    </w:p>
    <w:p w14:paraId="383809D3" w14:textId="77777777" w:rsidR="00721099" w:rsidRDefault="006B4706">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58DDC0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、投资人、投资者：指个人投资者、机构投资者、合格境外投资者以及法律法规或中国证监会允许购买证券投资基金的其他投资人的合称</w:t>
      </w:r>
    </w:p>
    <w:p w14:paraId="4E25B7A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、基金份额持有人：指依基金合同和招募说明书合法取得基金份额的投资人</w:t>
      </w:r>
    </w:p>
    <w:p w14:paraId="1803A8C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、基金销售业务：指为投资人开立基金交易账户，宣传推介基金，办理基金份额发售、申购、赎回、转换、转托管、定期定额投资及提供基金交易账户信息查询等活动</w:t>
      </w:r>
    </w:p>
    <w:p w14:paraId="5F6DF69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26</w:t>
      </w:r>
      <w:r>
        <w:rPr>
          <w:rFonts w:asciiTheme="minorEastAsia" w:eastAsiaTheme="minorEastAsia" w:hAnsiTheme="minorEastAsia" w:cstheme="minorEastAsia" w:hint="eastAsia"/>
          <w:sz w:val="24"/>
          <w:szCs w:val="24"/>
          <w:lang w:eastAsia="zh-CN"/>
        </w:rPr>
        <w:t>、销售机构：指平安基金管理有限公司以及符合《销售办法》和中国证监会</w:t>
      </w:r>
      <w:r>
        <w:rPr>
          <w:rFonts w:asciiTheme="minorEastAsia" w:eastAsiaTheme="minorEastAsia" w:hAnsiTheme="minorEastAsia" w:cstheme="minorEastAsia" w:hint="eastAsia"/>
          <w:sz w:val="24"/>
          <w:szCs w:val="24"/>
          <w:lang w:eastAsia="zh-CN"/>
        </w:rPr>
        <w:lastRenderedPageBreak/>
        <w:t>规定的其他条件，取得基金销售业务资格并与基金管理人签订了基金销售服务协议，办理基金销售业务的机构</w:t>
      </w:r>
    </w:p>
    <w:p w14:paraId="1898D5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27</w:t>
      </w:r>
      <w:r>
        <w:rPr>
          <w:rFonts w:asciiTheme="minorEastAsia" w:eastAsiaTheme="minorEastAsia" w:hAnsiTheme="minorEastAsia" w:cstheme="minorEastAsia" w:hint="eastAsia"/>
          <w:sz w:val="24"/>
          <w:szCs w:val="24"/>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A38963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28</w:t>
      </w:r>
      <w:r>
        <w:rPr>
          <w:rFonts w:asciiTheme="minorEastAsia" w:eastAsiaTheme="minorEastAsia" w:hAnsiTheme="minorEastAsia" w:cstheme="minorEastAsia" w:hint="eastAsia"/>
          <w:sz w:val="24"/>
          <w:szCs w:val="24"/>
          <w:lang w:eastAsia="zh-CN"/>
        </w:rPr>
        <w:t>、登记机构：指办理登记业务的机构。基金的登记机构为平安基金管理有限公司或接受平安基金管理有限公司委托代为办理登记业务的机构</w:t>
      </w:r>
    </w:p>
    <w:p w14:paraId="27E6AF4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29</w:t>
      </w:r>
      <w:r>
        <w:rPr>
          <w:rFonts w:asciiTheme="minorEastAsia" w:eastAsiaTheme="minorEastAsia" w:hAnsiTheme="minorEastAsia" w:cstheme="minorEastAsia" w:hint="eastAsia"/>
          <w:sz w:val="24"/>
          <w:szCs w:val="24"/>
          <w:lang w:eastAsia="zh-CN"/>
        </w:rPr>
        <w:t>、基金账户：指登记机构为投资人开立的、记录其持有的、基金管理人所管理的基金份额余额及其变动情况的账户</w:t>
      </w:r>
    </w:p>
    <w:p w14:paraId="57DE98E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0</w:t>
      </w:r>
      <w:r>
        <w:rPr>
          <w:rFonts w:asciiTheme="minorEastAsia" w:eastAsiaTheme="minorEastAsia" w:hAnsiTheme="minorEastAsia" w:cstheme="minorEastAsia" w:hint="eastAsia"/>
          <w:sz w:val="24"/>
          <w:szCs w:val="24"/>
          <w:lang w:eastAsia="zh-CN"/>
        </w:rPr>
        <w:t>、基金交易账户：指销售机构为投资人开立的、记录投资人通过该销售机构办理认购、申购、赎回、转换、转托管及定期定额投资等业务而引起的基金份额变动及结余情况的账户</w:t>
      </w:r>
    </w:p>
    <w:p w14:paraId="119C773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、基金合同生效日：指基金募集达到法律法规规定及基金合同规定的条件，基金管理人向中国证监会办理基金备案手续完毕，并获得中国证监会书面确认的日期</w:t>
      </w:r>
    </w:p>
    <w:p w14:paraId="3A9538C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、基金合同终止日：指基金合同规定的基金合同终止事由出现后，基金财产清算完毕，清算结果报中国证监会备案并予以公告的日期</w:t>
      </w:r>
    </w:p>
    <w:p w14:paraId="09B07AB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、基金募集期：指自基金份额发售之日起至发售结束之日止的期间，最长不得超过3个月</w:t>
      </w:r>
    </w:p>
    <w:p w14:paraId="5261B14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、存续期：指基金合同生效至终止之间的不定期期限</w:t>
      </w:r>
    </w:p>
    <w:p w14:paraId="08DBAE7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、工作日：指上海证券交易所、深圳证券交易所的正常交易日</w:t>
      </w:r>
    </w:p>
    <w:p w14:paraId="6EC1D13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36</w:t>
      </w:r>
      <w:r>
        <w:rPr>
          <w:rFonts w:asciiTheme="minorEastAsia" w:eastAsiaTheme="minorEastAsia" w:hAnsiTheme="minorEastAsia" w:cstheme="minorEastAsia" w:hint="eastAsia"/>
          <w:sz w:val="24"/>
          <w:szCs w:val="24"/>
          <w:lang w:eastAsia="zh-CN"/>
        </w:rPr>
        <w:t>、T日：指销售机构在规定时间受理投资人申购、赎回或其他业务申请的开放日</w:t>
      </w:r>
    </w:p>
    <w:p w14:paraId="1C851D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37</w:t>
      </w:r>
      <w:r>
        <w:rPr>
          <w:rFonts w:asciiTheme="minorEastAsia" w:eastAsiaTheme="minorEastAsia" w:hAnsiTheme="minorEastAsia" w:cstheme="minorEastAsia" w:hint="eastAsia"/>
          <w:sz w:val="24"/>
          <w:szCs w:val="24"/>
          <w:lang w:eastAsia="zh-CN"/>
        </w:rPr>
        <w:t>、T+n日：指自T日起第n个工作日(不包含T日)，n为自然数</w:t>
      </w:r>
    </w:p>
    <w:p w14:paraId="39CC798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38、开放日：指为投资人办理基金份额申购、赎回或其他业务的工作日，上海证券交易所、深圳证券交易所及境外主要投资市场同时开放交易的交易日为本基金的开放日</w:t>
      </w:r>
    </w:p>
    <w:p w14:paraId="745F03C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39</w:t>
      </w:r>
      <w:r>
        <w:rPr>
          <w:rFonts w:asciiTheme="minorEastAsia" w:eastAsiaTheme="minorEastAsia" w:hAnsiTheme="minorEastAsia" w:cstheme="minorEastAsia" w:hint="eastAsia"/>
          <w:sz w:val="24"/>
          <w:szCs w:val="24"/>
          <w:lang w:eastAsia="zh-CN"/>
        </w:rPr>
        <w:t>、开放时间：指开放日基金接受申购、赎回或其他交易的时间段</w:t>
      </w:r>
    </w:p>
    <w:p w14:paraId="7C221F3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0</w:t>
      </w:r>
      <w:r>
        <w:rPr>
          <w:rFonts w:asciiTheme="minorEastAsia" w:eastAsiaTheme="minorEastAsia" w:hAnsiTheme="minorEastAsia" w:cstheme="minorEastAsia" w:hint="eastAsia"/>
          <w:sz w:val="24"/>
          <w:szCs w:val="24"/>
          <w:lang w:eastAsia="zh-CN"/>
        </w:rPr>
        <w:t>、《业务规则》：指《平安基金管理有限公司开放式基金业务规则》，是规范基金管理人所管理的开放式证券投资基金登记方面的业务规则，由基金管理人和</w:t>
      </w:r>
      <w:r>
        <w:rPr>
          <w:rFonts w:asciiTheme="minorEastAsia" w:eastAsiaTheme="minorEastAsia" w:hAnsiTheme="minorEastAsia" w:cstheme="minorEastAsia" w:hint="eastAsia"/>
          <w:sz w:val="24"/>
          <w:szCs w:val="24"/>
          <w:lang w:eastAsia="zh-CN"/>
        </w:rPr>
        <w:lastRenderedPageBreak/>
        <w:t>投资人共同遵守</w:t>
      </w:r>
    </w:p>
    <w:p w14:paraId="4415A84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、认购：指在基金募集期内，投资人根据基金合同和招募说明书的规定申请购买基金份额的行为</w:t>
      </w:r>
    </w:p>
    <w:p w14:paraId="0DE47C8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、申购：指基金合同生效后，投资人根据基金合同和招募说明书的规定申请购买基金份额的行为</w:t>
      </w:r>
    </w:p>
    <w:p w14:paraId="118A731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、赎回：指基金合同生效后，基金份额持有人按基金合同和招募说明书规定的条件要求将基金份额兑换为现金的行为</w:t>
      </w:r>
    </w:p>
    <w:p w14:paraId="076DA1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、基金转换：指基金份额持有人按照本基金合同和基金管理人届时有效公告规定的条件，申请将其持有基金管理人管理的、某一基金的基金份额转换为基金管理人管理的其他基金份额的行为</w:t>
      </w:r>
    </w:p>
    <w:p w14:paraId="13E8FA6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、转托管：指基金份额持有人在本基金的不同销售机构之间实施的变更所持基金份额销售机构的操作</w:t>
      </w:r>
    </w:p>
    <w:p w14:paraId="6BDA1E7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46</w:t>
      </w:r>
      <w:r>
        <w:rPr>
          <w:rFonts w:asciiTheme="minorEastAsia" w:eastAsiaTheme="minorEastAsia" w:hAnsiTheme="minorEastAsia" w:cstheme="minorEastAsia" w:hint="eastAsia"/>
          <w:sz w:val="24"/>
          <w:szCs w:val="24"/>
          <w:lang w:eastAsia="zh-CN"/>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29CEF8F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47</w:t>
      </w:r>
      <w:r>
        <w:rPr>
          <w:rFonts w:asciiTheme="minorEastAsia" w:eastAsiaTheme="minorEastAsia" w:hAnsiTheme="minorEastAsia" w:cstheme="minorEastAsia" w:hint="eastAsia"/>
          <w:sz w:val="24"/>
          <w:szCs w:val="24"/>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0433129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48</w:t>
      </w:r>
      <w:r>
        <w:rPr>
          <w:rFonts w:asciiTheme="minorEastAsia" w:eastAsiaTheme="minorEastAsia" w:hAnsiTheme="minorEastAsia" w:cstheme="minorEastAsia" w:hint="eastAsia"/>
          <w:sz w:val="24"/>
          <w:szCs w:val="24"/>
          <w:lang w:eastAsia="zh-CN"/>
        </w:rPr>
        <w:t>、销售服务费：指从基金财产中计提的，用于本基金市场推广、销售以及基金份额持有人服务的费用</w:t>
      </w:r>
    </w:p>
    <w:p w14:paraId="365D47C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49</w:t>
      </w:r>
      <w:r>
        <w:rPr>
          <w:rFonts w:asciiTheme="minorEastAsia" w:eastAsiaTheme="minorEastAsia" w:hAnsiTheme="minorEastAsia" w:cstheme="minorEastAsia" w:hint="eastAsia"/>
          <w:sz w:val="24"/>
          <w:szCs w:val="24"/>
          <w:lang w:eastAsia="zh-CN"/>
        </w:rPr>
        <w:t>、基金份额类别：指本基金根据是否收取认购费、申购费、销售服务费的不同，将基金份额分为不同的类别。在认购、申购时收取认购费、申购费，但不从本类别基金资产中计提销售服务费的基金份额，称为A类基金份额；在认购、申购时不收取认购费、申购费，而是从本类别基金资产中计提销售服务费的基金份额，称为C类基金份额</w:t>
      </w:r>
    </w:p>
    <w:p w14:paraId="33969E9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0</w:t>
      </w:r>
      <w:r>
        <w:rPr>
          <w:rFonts w:asciiTheme="minorEastAsia" w:eastAsiaTheme="minorEastAsia" w:hAnsiTheme="minorEastAsia" w:cstheme="minorEastAsia" w:hint="eastAsia"/>
          <w:sz w:val="24"/>
          <w:szCs w:val="24"/>
          <w:lang w:eastAsia="zh-CN"/>
        </w:rPr>
        <w:t>、元：指人民币元</w:t>
      </w:r>
    </w:p>
    <w:p w14:paraId="344EDAC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、基金收益：指基金投资所得红利、股息、债券利息、买卖证券价差、银行存款利息、已实现的其他合法收入及因运用基金财产带来的成本和费用的节约</w:t>
      </w:r>
    </w:p>
    <w:p w14:paraId="502BC88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、基金资产总值：指基金拥有的各类有价证券、银行存款本息、基金应收款项及其他资产的价值总和</w:t>
      </w:r>
    </w:p>
    <w:p w14:paraId="3AB9B54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5</w:t>
      </w: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、基金资产净值：指基金资产总值减去基金负债后的价值</w:t>
      </w:r>
    </w:p>
    <w:p w14:paraId="016BEF1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、基金份额净值：指计算日基金资产净值除以计算日基金份额总数</w:t>
      </w:r>
    </w:p>
    <w:p w14:paraId="24BEE7D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、基金资产估值：指计算评估基金资产和负债的价值，以确定基金资产净值和基金份额净值的过程</w:t>
      </w:r>
    </w:p>
    <w:p w14:paraId="4AD20C3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56</w:t>
      </w:r>
      <w:r>
        <w:rPr>
          <w:rFonts w:asciiTheme="minorEastAsia" w:eastAsiaTheme="minorEastAsia" w:hAnsiTheme="minorEastAsia" w:cstheme="minorEastAsia" w:hint="eastAsia"/>
          <w:sz w:val="24"/>
          <w:szCs w:val="24"/>
          <w:lang w:eastAsia="zh-CN"/>
        </w:rPr>
        <w:t>、规定媒介：指符合中国证监会规定条件的用以进行信息披露的全国性报刊及《信息披露办法》规定的互联网网站（包括基金管理人网站、基金托管人网站、中国证监会基金电子披露网站）等媒介</w:t>
      </w:r>
    </w:p>
    <w:p w14:paraId="772A58E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57</w:t>
      </w:r>
      <w:r>
        <w:rPr>
          <w:rFonts w:asciiTheme="minorEastAsia" w:eastAsiaTheme="minorEastAsia" w:hAnsiTheme="minorEastAsia" w:cstheme="minorEastAsia" w:hint="eastAsia"/>
          <w:sz w:val="24"/>
          <w:szCs w:val="24"/>
          <w:lang w:eastAsia="zh-CN"/>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2EA2693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58</w:t>
      </w:r>
      <w:r>
        <w:rPr>
          <w:rFonts w:asciiTheme="minorEastAsia" w:eastAsiaTheme="minorEastAsia" w:hAnsiTheme="minorEastAsia" w:cstheme="minorEastAsia" w:hint="eastAsia"/>
          <w:sz w:val="24"/>
          <w:szCs w:val="24"/>
          <w:lang w:eastAsia="zh-CN"/>
        </w:rPr>
        <w:t>、信用衍生品：指符合证券交易所或银行间市场相关业务规则，专门用于管理信用风险的信用衍生工具</w:t>
      </w:r>
    </w:p>
    <w:p w14:paraId="27AA68A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59</w:t>
      </w:r>
      <w:r>
        <w:rPr>
          <w:rFonts w:asciiTheme="minorEastAsia" w:eastAsiaTheme="minorEastAsia" w:hAnsiTheme="minorEastAsia" w:cstheme="minorEastAsia" w:hint="eastAsia"/>
          <w:sz w:val="24"/>
          <w:szCs w:val="24"/>
          <w:lang w:eastAsia="zh-CN"/>
        </w:rPr>
        <w:t>、信用保护买方：亦称信用保护购买方，指接受信用风险保护的一方</w:t>
      </w:r>
    </w:p>
    <w:p w14:paraId="4F7C843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0</w:t>
      </w:r>
      <w:r>
        <w:rPr>
          <w:rFonts w:asciiTheme="minorEastAsia" w:eastAsiaTheme="minorEastAsia" w:hAnsiTheme="minorEastAsia" w:cstheme="minorEastAsia" w:hint="eastAsia"/>
          <w:sz w:val="24"/>
          <w:szCs w:val="24"/>
          <w:lang w:eastAsia="zh-CN"/>
        </w:rPr>
        <w:t>、信用保护卖方：亦称信用保护提供方，指提供信用风险保护的一方</w:t>
      </w:r>
    </w:p>
    <w:p w14:paraId="76E8ED6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、信用衍生品名义本金：亦称交易名义本金，指为信用衍生产品交易提供信用风险保护的金额，各项支付和结算以此金额为计算基准</w:t>
      </w:r>
    </w:p>
    <w:p w14:paraId="60E83D7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、港股通标的股票：指内地投资者委托内地证券公司，经由内地证券交易所设立的证券交易服务公司，向香港联合交易所进行申报，买卖规定范围内的香港联合交易所上市的股票</w:t>
      </w:r>
    </w:p>
    <w:p w14:paraId="488AEF2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、境外投资顾问：指符合法律法规规定的条件，根据基金管理人与其签订的协议，为本基金境外证券投资提供证券买卖建议或投资组合管理等服务的境外金融机构；境外投资顾问由基金管理人选择、更换和撤销</w:t>
      </w:r>
    </w:p>
    <w:p w14:paraId="1505546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、境外托管人：指符合法律法规规定的条件，根据基金托管人与其签订的合同，为本基金提供境外资产托管服务的境外金融机构</w:t>
      </w:r>
    </w:p>
    <w:p w14:paraId="0882E35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65</w:t>
      </w:r>
      <w:r>
        <w:rPr>
          <w:rFonts w:asciiTheme="minorEastAsia" w:eastAsiaTheme="minorEastAsia" w:hAnsiTheme="minorEastAsia" w:cstheme="minorEastAsia" w:hint="eastAsia"/>
          <w:sz w:val="24"/>
          <w:szCs w:val="24"/>
          <w:lang w:eastAsia="zh-CN"/>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058026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lastRenderedPageBreak/>
        <w:t>66</w:t>
      </w:r>
      <w:r>
        <w:rPr>
          <w:rFonts w:asciiTheme="minorEastAsia" w:eastAsiaTheme="minorEastAsia" w:hAnsiTheme="minorEastAsia" w:cstheme="minorEastAsia" w:hint="eastAsia"/>
          <w:sz w:val="24"/>
          <w:szCs w:val="24"/>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B61110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67</w:t>
      </w:r>
      <w:r>
        <w:rPr>
          <w:rFonts w:asciiTheme="minorEastAsia" w:eastAsiaTheme="minorEastAsia" w:hAnsiTheme="minorEastAsia" w:cstheme="minorEastAsia" w:hint="eastAsia"/>
          <w:sz w:val="24"/>
          <w:szCs w:val="24"/>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F41F1B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68</w:t>
      </w:r>
      <w:r>
        <w:rPr>
          <w:rFonts w:asciiTheme="minorEastAsia" w:eastAsiaTheme="minorEastAsia" w:hAnsiTheme="minorEastAsia" w:cstheme="minorEastAsia" w:hint="eastAsia"/>
          <w:sz w:val="24"/>
          <w:szCs w:val="24"/>
          <w:lang w:eastAsia="zh-CN"/>
        </w:rPr>
        <w:t>、不可抗力：指本基金合同当事人不能预见、不能避免且不能克服的客观事件</w:t>
      </w:r>
    </w:p>
    <w:p w14:paraId="5FE340F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69</w:t>
      </w:r>
      <w:r>
        <w:rPr>
          <w:rFonts w:asciiTheme="minorEastAsia" w:eastAsiaTheme="minorEastAsia" w:hAnsiTheme="minorEastAsia" w:cstheme="minorEastAsia" w:hint="eastAsia"/>
          <w:sz w:val="24"/>
          <w:szCs w:val="24"/>
          <w:lang w:eastAsia="zh-CN"/>
        </w:rPr>
        <w:t>、外管局：指国家外汇管理局或其授权的派出机构</w:t>
      </w:r>
    </w:p>
    <w:p w14:paraId="2C3F2542"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sz w:val="24"/>
          <w:szCs w:val="24"/>
          <w:lang w:eastAsia="zh-CN"/>
        </w:rPr>
        <w:br w:type="page"/>
      </w:r>
    </w:p>
    <w:p w14:paraId="0D85284D"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4" w:name="第三部分__基金的基本情况"/>
      <w:bookmarkStart w:id="15" w:name="_Toc25373"/>
      <w:bookmarkStart w:id="16" w:name="_Toc156822875"/>
      <w:bookmarkStart w:id="17" w:name="_Toc25719"/>
      <w:bookmarkStart w:id="18" w:name="_Toc4501"/>
      <w:bookmarkStart w:id="19" w:name="_Toc1893"/>
      <w:bookmarkEnd w:id="14"/>
      <w:r>
        <w:rPr>
          <w:rFonts w:asciiTheme="minorEastAsia" w:eastAsiaTheme="minorEastAsia" w:hAnsiTheme="minorEastAsia" w:cstheme="minorEastAsia" w:hint="eastAsia"/>
          <w:b/>
          <w:bCs/>
          <w:sz w:val="24"/>
          <w:szCs w:val="24"/>
          <w:lang w:eastAsia="zh-CN"/>
        </w:rPr>
        <w:lastRenderedPageBreak/>
        <w:t>第三部分  基金的基本情况</w:t>
      </w:r>
      <w:bookmarkEnd w:id="15"/>
      <w:bookmarkEnd w:id="16"/>
      <w:bookmarkEnd w:id="17"/>
      <w:bookmarkEnd w:id="18"/>
      <w:bookmarkEnd w:id="19"/>
    </w:p>
    <w:p w14:paraId="4867C4D9"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FF79F7C"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一、基金名称</w:t>
      </w:r>
    </w:p>
    <w:p w14:paraId="69AE2C0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平安港股医疗优选股票型证券投资基金（QDII）</w:t>
      </w:r>
    </w:p>
    <w:p w14:paraId="59DC6D39"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78570BA1"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二、基金的类别</w:t>
      </w:r>
    </w:p>
    <w:p w14:paraId="3E661D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股票型证券投资基金、</w:t>
      </w:r>
      <w:r>
        <w:rPr>
          <w:rFonts w:ascii="Times New Roman" w:hAnsi="Times New Roman"/>
          <w:bCs/>
          <w:sz w:val="24"/>
          <w:lang w:eastAsia="zh-CN"/>
        </w:rPr>
        <w:t>QDII</w:t>
      </w:r>
      <w:r>
        <w:rPr>
          <w:rFonts w:ascii="Times New Roman" w:hAnsi="Times New Roman"/>
          <w:bCs/>
          <w:sz w:val="24"/>
          <w:lang w:eastAsia="zh-CN"/>
        </w:rPr>
        <w:t>基金</w:t>
      </w:r>
    </w:p>
    <w:p w14:paraId="6E7BBF63"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1C6A3533" w14:textId="77777777" w:rsidR="00721099" w:rsidRDefault="006B4706">
      <w:pPr>
        <w:numPr>
          <w:ilvl w:val="0"/>
          <w:numId w:val="1"/>
        </w:num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基金的运作方式</w:t>
      </w:r>
    </w:p>
    <w:p w14:paraId="31879F4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契约型开放式</w:t>
      </w:r>
    </w:p>
    <w:p w14:paraId="3AF7022C"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311B2A7A"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四、基金的投资目标</w:t>
      </w:r>
    </w:p>
    <w:p w14:paraId="7A3951A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本基金主要投资港股医疗主题相关证券资产，在严格控制风险的前提下，力争实现基金资产的长期稳健增值。</w:t>
      </w:r>
    </w:p>
    <w:p w14:paraId="03FE4A84"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D7D4B2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五、基金的最低募集份额总额</w:t>
      </w:r>
    </w:p>
    <w:p w14:paraId="5AB8B630" w14:textId="77777777" w:rsidR="00721099" w:rsidRDefault="006B4706">
      <w:pPr>
        <w:spacing w:line="360" w:lineRule="auto"/>
        <w:ind w:firstLineChars="200" w:firstLine="480"/>
        <w:rPr>
          <w:bCs/>
          <w:sz w:val="24"/>
          <w:lang w:eastAsia="zh-CN"/>
        </w:rPr>
      </w:pPr>
      <w:r>
        <w:rPr>
          <w:bCs/>
          <w:sz w:val="24"/>
          <w:lang w:eastAsia="zh-CN"/>
        </w:rPr>
        <w:t>本基金的最低募集份额总额为2亿份。</w:t>
      </w:r>
    </w:p>
    <w:p w14:paraId="7B3230EA"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F8B8D4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六、募集币种</w:t>
      </w:r>
    </w:p>
    <w:p w14:paraId="37B7917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人民币。在不违反法律法规的情况下，基金管理人可以增加新的募集币种、调整现有募集币种设置、停止现有币种的募集等，调整前基金管理人需公告，无需召开基金份额持有人大会。</w:t>
      </w:r>
    </w:p>
    <w:p w14:paraId="185476AC"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7B59624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七、基金份额发售面值和认购费用</w:t>
      </w:r>
    </w:p>
    <w:p w14:paraId="2F1CF83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本基金基金份额发售面值为人民币1.00元。</w:t>
      </w:r>
    </w:p>
    <w:p w14:paraId="056A4FF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本基金C类基金份额不收取认购费，A类基金份额的认购费率按招募说明书及基金产品资料概要的规定执行。</w:t>
      </w:r>
    </w:p>
    <w:p w14:paraId="5A895F63"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631D317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八、基金存续期限</w:t>
      </w:r>
    </w:p>
    <w:p w14:paraId="71FF1CD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不定期</w:t>
      </w:r>
    </w:p>
    <w:p w14:paraId="63021495"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61DC860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九、基金份额类别设置</w:t>
      </w:r>
    </w:p>
    <w:p w14:paraId="640F661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本基金根据认购/申购费用、销售服务费收取方式的不同，将基金份额分为不同的类别。其中：</w:t>
      </w:r>
    </w:p>
    <w:p w14:paraId="3DCCFB4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1、在投资者认购、申购时收取认购、申购费用，但不从本类别基金资产中计提销售服务费的基金份额，称为A类基金份额。</w:t>
      </w:r>
    </w:p>
    <w:p w14:paraId="7BD12BC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2、从本类别基金资产中计提销售服务费而不收取认购、申购费用的基金份额，称为C类基金份额。</w:t>
      </w:r>
    </w:p>
    <w:p w14:paraId="2289990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本基金A类和C类基金份额分别设置代码。由于各类份额的收费方式不同，本基金A类基金份额、C类基金份额基金份额将分别计算基金份额净值并单独公告。</w:t>
      </w:r>
    </w:p>
    <w:p w14:paraId="13C1A29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投资者可自行选择认购、申购的基金份额类别。</w:t>
      </w:r>
    </w:p>
    <w:p w14:paraId="3CE4067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本基金有关基金份额类别的具体设置、费率水平等由基金管理人确定，并在招募说明书中列示。</w:t>
      </w:r>
    </w:p>
    <w:p w14:paraId="0687B2B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基金运作情况，在对现有基金份额持有人利益无实质性不利影响的前提下，基金管理人可以不召开基金份额持有人大会，在履行中国证监会要求相关流程后，停止现有基金份额类别的销售、或者增加新的基金份额类别、增加新的销售币种、调整现有基金销售币种设置、停止现有币种的销售等。</w:t>
      </w:r>
    </w:p>
    <w:p w14:paraId="1EE08009" w14:textId="77777777" w:rsidR="00721099" w:rsidRDefault="00721099">
      <w:pPr>
        <w:autoSpaceDE/>
        <w:autoSpaceDN/>
        <w:spacing w:line="360" w:lineRule="auto"/>
        <w:jc w:val="center"/>
        <w:outlineLvl w:val="0"/>
        <w:rPr>
          <w:rFonts w:asciiTheme="minorEastAsia" w:eastAsiaTheme="minorEastAsia" w:hAnsiTheme="minorEastAsia" w:cstheme="minorEastAsia"/>
          <w:sz w:val="24"/>
          <w:szCs w:val="24"/>
          <w:lang w:eastAsia="zh-CN"/>
        </w:rPr>
      </w:pPr>
      <w:bookmarkStart w:id="20" w:name="第四部分__基金份额的发售"/>
      <w:bookmarkStart w:id="21" w:name="_Toc3919"/>
      <w:bookmarkStart w:id="22" w:name="_Toc12822"/>
      <w:bookmarkStart w:id="23" w:name="_Toc156822876"/>
      <w:bookmarkStart w:id="24" w:name="_Toc28136"/>
      <w:bookmarkStart w:id="25" w:name="_Toc22643"/>
      <w:bookmarkEnd w:id="20"/>
    </w:p>
    <w:p w14:paraId="259C936A" w14:textId="77777777" w:rsidR="00721099" w:rsidRDefault="00721099">
      <w:pPr>
        <w:autoSpaceDE/>
        <w:autoSpaceDN/>
        <w:spacing w:line="360" w:lineRule="auto"/>
        <w:jc w:val="center"/>
        <w:outlineLvl w:val="0"/>
        <w:rPr>
          <w:rFonts w:asciiTheme="minorEastAsia" w:eastAsiaTheme="minorEastAsia" w:hAnsiTheme="minorEastAsia" w:cstheme="minorEastAsia"/>
          <w:sz w:val="24"/>
          <w:szCs w:val="24"/>
          <w:lang w:eastAsia="zh-CN"/>
        </w:rPr>
      </w:pPr>
    </w:p>
    <w:p w14:paraId="02D0218D" w14:textId="77777777" w:rsidR="00721099" w:rsidRDefault="006B4706">
      <w:pPr>
        <w:widowControl/>
        <w:autoSpaceDE/>
        <w:autoSpaceDN/>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br w:type="page"/>
      </w:r>
    </w:p>
    <w:p w14:paraId="05A3E21D"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lastRenderedPageBreak/>
        <w:t>第四部分  基金份额的发售</w:t>
      </w:r>
      <w:bookmarkEnd w:id="21"/>
      <w:bookmarkEnd w:id="22"/>
      <w:bookmarkEnd w:id="23"/>
      <w:bookmarkEnd w:id="24"/>
      <w:bookmarkEnd w:id="25"/>
    </w:p>
    <w:p w14:paraId="7B261560" w14:textId="77777777" w:rsidR="00721099" w:rsidRDefault="00721099">
      <w:pPr>
        <w:spacing w:line="360" w:lineRule="auto"/>
        <w:jc w:val="both"/>
        <w:rPr>
          <w:rFonts w:asciiTheme="minorEastAsia" w:eastAsiaTheme="minorEastAsia" w:hAnsiTheme="minorEastAsia" w:cstheme="minorEastAsia"/>
          <w:sz w:val="24"/>
          <w:szCs w:val="24"/>
          <w:lang w:eastAsia="zh-CN"/>
        </w:rPr>
      </w:pPr>
    </w:p>
    <w:p w14:paraId="7F0F0676"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一、基金份额的发售时间、发售方式、发售对象</w:t>
      </w:r>
    </w:p>
    <w:p w14:paraId="7E77E4DC"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1、发售时间</w:t>
      </w:r>
    </w:p>
    <w:p w14:paraId="5893BFD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自基金份额发售之日起最长不得超过3个月，具体发售时间见基金份额发售公告。</w:t>
      </w:r>
    </w:p>
    <w:p w14:paraId="37334E95"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2、发售方式</w:t>
      </w:r>
    </w:p>
    <w:p w14:paraId="465A7BC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通过各销售机构的基金销售网点公开发售，各销售机构的具体名单见基金份额发售公告以及基金管理人届时发布的调整销售机构的相关公告或在基金管理人网站公示。</w:t>
      </w:r>
    </w:p>
    <w:p w14:paraId="184C40DD"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3、发售对象</w:t>
      </w:r>
    </w:p>
    <w:p w14:paraId="40612C8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符合法律法规规定的可投资于证券投资基金的个人投资者、机构投资者、合格境外投资者以及法律法规或中国证监会允许购买证券投资基金的其他投资人。</w:t>
      </w:r>
    </w:p>
    <w:p w14:paraId="6AF5695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4、募集规模</w:t>
      </w:r>
    </w:p>
    <w:p w14:paraId="63D720F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可依据中国证监会和外管局核准的境外投资额度或本基金的实际情况设定基金募集上限，并在相关公告中列示。募集期内超过募集目标上限时采取比例配售的方式进行确认，具体办法参见基金份额发售公告。</w:t>
      </w:r>
    </w:p>
    <w:p w14:paraId="4F17C4F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基金合同生效后，基金的资产规模不受募集规模上限限制，但基金管理人有权根据基金的外汇额度或本基金的实际情况控制基金申购规模并暂停基金的申购。</w:t>
      </w:r>
    </w:p>
    <w:p w14:paraId="5DEB5A5E"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二、基金份额的认购</w:t>
      </w:r>
    </w:p>
    <w:p w14:paraId="28F6BBEA"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1、认购费用</w:t>
      </w:r>
    </w:p>
    <w:p w14:paraId="1C93CBD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本基金C类基金份额不收取认购费，A类基金份额的认购费率由基金管理人决定，并在招募说明书及基金产品资料概要中列示。基金认购费用不列入基金财产。</w:t>
      </w:r>
    </w:p>
    <w:p w14:paraId="6CFFA3AF"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、募集期利息的处理方式</w:t>
      </w:r>
    </w:p>
    <w:p w14:paraId="263773B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有效认购款项在募集期间产生的利息将折算为相应类别的基金份额归基金份额持有人所有，其中利息转份额的具体数额以登记机构的记录为准。</w:t>
      </w:r>
    </w:p>
    <w:p w14:paraId="385E6F12"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、基金认购份额的计算</w:t>
      </w:r>
    </w:p>
    <w:p w14:paraId="19D7E59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基金认购份额具体的计算方法在招募说明书中列示。</w:t>
      </w:r>
    </w:p>
    <w:p w14:paraId="0A8FF32E"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、认购份额余额的处理方式</w:t>
      </w:r>
    </w:p>
    <w:p w14:paraId="4F70E1F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认购份额余额的处理方式在招募说明书中列示。</w:t>
      </w:r>
    </w:p>
    <w:p w14:paraId="38996153"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lastRenderedPageBreak/>
        <w:t>5</w:t>
      </w:r>
      <w:r>
        <w:rPr>
          <w:rFonts w:asciiTheme="minorEastAsia" w:eastAsiaTheme="minorEastAsia" w:hAnsiTheme="minorEastAsia" w:cstheme="minorEastAsia" w:hint="eastAsia"/>
          <w:sz w:val="24"/>
          <w:szCs w:val="24"/>
          <w:lang w:eastAsia="zh-CN"/>
        </w:rPr>
        <w:t>、认购申请的确认</w:t>
      </w:r>
    </w:p>
    <w:p w14:paraId="6F37878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4056AF0A"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三、基金份额认购金额的限制</w:t>
      </w:r>
    </w:p>
    <w:p w14:paraId="5885F59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1、投资人认购时，需按销售机构规定的方式全额缴款。</w:t>
      </w:r>
    </w:p>
    <w:p w14:paraId="262C5FD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2、基金管理人可以对每个基金交易账户的单笔最低认购金额进行限制，具体限制请参看招募说明书或相关公告。</w:t>
      </w:r>
    </w:p>
    <w:p w14:paraId="0F66038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3、基金管理人可以对募集期间的单个投资人的累计认购金额进行限制，具体限制和处理方法请参看招募说明书或相关公告。</w:t>
      </w:r>
    </w:p>
    <w:p w14:paraId="57A29AB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4、投资人在募集期内可以多次认购基金份额，须按每次认购所对应的费率档次分别计费。认购申请一经受理不得撤销。</w:t>
      </w:r>
    </w:p>
    <w:p w14:paraId="1415AF8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EFA9F9D"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0FCA02E9"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26" w:name="第五部分__基金备案"/>
      <w:bookmarkStart w:id="27" w:name="_Toc31557"/>
      <w:bookmarkStart w:id="28" w:name="_Toc1554"/>
      <w:bookmarkStart w:id="29" w:name="_Toc29142"/>
      <w:bookmarkStart w:id="30" w:name="_Toc156822877"/>
      <w:bookmarkStart w:id="31" w:name="_Toc31956"/>
      <w:bookmarkEnd w:id="26"/>
      <w:r>
        <w:rPr>
          <w:rFonts w:asciiTheme="minorEastAsia" w:eastAsiaTheme="minorEastAsia" w:hAnsiTheme="minorEastAsia" w:cstheme="minorEastAsia" w:hint="eastAsia"/>
          <w:b/>
          <w:bCs/>
          <w:sz w:val="24"/>
          <w:szCs w:val="24"/>
          <w:lang w:eastAsia="zh-CN"/>
        </w:rPr>
        <w:lastRenderedPageBreak/>
        <w:t>第五部分  基金备案</w:t>
      </w:r>
      <w:bookmarkEnd w:id="27"/>
      <w:bookmarkEnd w:id="28"/>
      <w:bookmarkEnd w:id="29"/>
      <w:bookmarkEnd w:id="30"/>
      <w:bookmarkEnd w:id="31"/>
    </w:p>
    <w:p w14:paraId="53DE52F3"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132117DC"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一、基金备案的条件</w:t>
      </w:r>
    </w:p>
    <w:p w14:paraId="779D15C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本基金自基金份额发售之日起</w:t>
      </w:r>
      <w:r>
        <w:rPr>
          <w:rFonts w:asciiTheme="minorEastAsia" w:eastAsiaTheme="minorEastAsia" w:hAnsiTheme="minorEastAsia" w:cstheme="minorEastAsia"/>
          <w:sz w:val="24"/>
          <w:szCs w:val="24"/>
          <w:lang w:eastAsia="zh-CN"/>
        </w:rPr>
        <w:t>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60588E3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54AC9F"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二、基金合同不能生效时募集资金的处理方式</w:t>
      </w:r>
    </w:p>
    <w:p w14:paraId="0B6F250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如果募集期限届满，未满足基金备案条件，基金管理人应当承担下列责任：</w:t>
      </w:r>
    </w:p>
    <w:p w14:paraId="41EC728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1、以其固有财产承担因募集行为而产生的债务和费用；</w:t>
      </w:r>
    </w:p>
    <w:p w14:paraId="26F1AD7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2、在基金募集期限届满后30日内返还投资者已交纳的款项，并加计银行同期活期存款利息；</w:t>
      </w:r>
    </w:p>
    <w:p w14:paraId="20983F3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3、如基金募集失败，基金管理人、基金托管人及销售机构不得请求报酬。基金管理人、基金托管人和销售机构为基金募集支付之一切费用应由各方各自承担。</w:t>
      </w:r>
    </w:p>
    <w:p w14:paraId="0BBEE9EB"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三、基金存续期内的基金份额持有人数量和资产规模</w:t>
      </w:r>
    </w:p>
    <w:p w14:paraId="1C8B6ED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bCs/>
          <w:sz w:val="24"/>
          <w:lang w:eastAsia="zh-CN"/>
        </w:rPr>
        <w:t>基金合同生效后，</w:t>
      </w:r>
      <w:r>
        <w:rPr>
          <w:rFonts w:asciiTheme="minorEastAsia" w:eastAsiaTheme="minorEastAsia" w:hAnsiTheme="minorEastAsia" w:cstheme="minorEastAsia" w:hint="eastAsia"/>
          <w:sz w:val="24"/>
          <w:szCs w:val="24"/>
          <w:lang w:eastAsia="zh-CN"/>
        </w:rPr>
        <w:t>连续二十个工作日出现基金份额持有人数量不满二百人或者基金资产净值低于五千万元情形的，基金管理人应当在定期报告中予以披露；连续六十个工作日出现前述情形的，基金管理人应当在十个工作日内向中国证监会报告并提出解决方案，如持续运作、转换运作方式、与其他基金合并或者终止基金合同等，并在六个月内召集基金份额持有人大会。</w:t>
      </w:r>
    </w:p>
    <w:p w14:paraId="2C28E8B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法律法规或中国证监会另有规定时，从其规定。</w:t>
      </w:r>
    </w:p>
    <w:p w14:paraId="38751C9C"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7FD75BDE"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32" w:name="第六部分__基金份额的申购与赎回"/>
      <w:bookmarkStart w:id="33" w:name="_Toc8136"/>
      <w:bookmarkStart w:id="34" w:name="_Toc29965"/>
      <w:bookmarkStart w:id="35" w:name="_Toc30136"/>
      <w:bookmarkStart w:id="36" w:name="_Toc24110"/>
      <w:bookmarkStart w:id="37" w:name="_Toc156822878"/>
      <w:bookmarkEnd w:id="32"/>
      <w:r>
        <w:rPr>
          <w:rFonts w:asciiTheme="minorEastAsia" w:eastAsiaTheme="minorEastAsia" w:hAnsiTheme="minorEastAsia" w:cstheme="minorEastAsia" w:hint="eastAsia"/>
          <w:b/>
          <w:bCs/>
          <w:sz w:val="24"/>
          <w:szCs w:val="24"/>
          <w:lang w:eastAsia="zh-CN"/>
        </w:rPr>
        <w:lastRenderedPageBreak/>
        <w:t>第六部分基金份额的申购与赎回</w:t>
      </w:r>
      <w:bookmarkEnd w:id="33"/>
      <w:bookmarkEnd w:id="34"/>
      <w:bookmarkEnd w:id="35"/>
      <w:bookmarkEnd w:id="36"/>
      <w:bookmarkEnd w:id="37"/>
    </w:p>
    <w:p w14:paraId="03EC53A1"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1C510442"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一、申购和赎回场所</w:t>
      </w:r>
    </w:p>
    <w:p w14:paraId="6B1D175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56163E40"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二、申购和赎回的开放日及时间</w:t>
      </w:r>
    </w:p>
    <w:p w14:paraId="2E5EF3A5"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1、开放日及开放时间</w:t>
      </w:r>
    </w:p>
    <w:p w14:paraId="0BB5C4F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投资人在开放日办理基金份额的申购和赎回，本基金的开放日为上海证券交易所、深圳证券交易所</w:t>
      </w:r>
      <w:r>
        <w:rPr>
          <w:sz w:val="24"/>
          <w:szCs w:val="24"/>
          <w:lang w:eastAsia="zh-CN"/>
        </w:rPr>
        <w:t>及境外主要投资市场同时开放交易的</w:t>
      </w:r>
      <w:r>
        <w:rPr>
          <w:rFonts w:hint="eastAsia"/>
          <w:sz w:val="24"/>
          <w:szCs w:val="24"/>
          <w:lang w:eastAsia="zh-CN"/>
        </w:rPr>
        <w:t>交易日</w:t>
      </w:r>
      <w:r>
        <w:rPr>
          <w:rFonts w:asciiTheme="minorEastAsia" w:eastAsiaTheme="minorEastAsia" w:hAnsiTheme="minorEastAsia" w:cstheme="minorEastAsia" w:hint="eastAsia"/>
          <w:sz w:val="24"/>
          <w:szCs w:val="24"/>
          <w:lang w:eastAsia="zh-CN"/>
        </w:rPr>
        <w:t>，但基金管理人根据法律法规、中国证监会的要求或本基金合同的规定公告暂停申购、赎回时除外。开放日的具体业务办理时间见招募说明书或相关公告。</w:t>
      </w:r>
      <w:r>
        <w:rPr>
          <w:sz w:val="24"/>
          <w:szCs w:val="24"/>
          <w:lang w:eastAsia="zh-CN"/>
        </w:rPr>
        <w:t>本基金投资的主要境外市场详见招募说明书。</w:t>
      </w:r>
    </w:p>
    <w:p w14:paraId="575281F6"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生效后，若出现新的证券、期货交易市场、证券、期货交易所交易时间变更或其他特殊情况或根据业务需要，基金管理人将视情况对前述开放日及开放时间进行相应的调整，但应在实施日前依照《信息披露办法》的有关规定在规定媒介上公告。</w:t>
      </w:r>
    </w:p>
    <w:p w14:paraId="13509DBA"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2、申购、赎回开始日及业务办理时间</w:t>
      </w:r>
    </w:p>
    <w:p w14:paraId="16BF968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基金管理人可以根据实际情况依法决定本基金开始办理申购的具体日期，具体业务办理时间在申购开始公告中规定。</w:t>
      </w:r>
    </w:p>
    <w:p w14:paraId="4EFD939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基金管理人自基金合同生效之日起不超过3个月开始办理赎回，具体业务办理时间在赎回开始公告中规定。</w:t>
      </w:r>
    </w:p>
    <w:p w14:paraId="7114526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在确定申购开始与赎回开始时间后，基金管理人应依照《信息披露办法》的有关规定在规定媒介上公告申购与赎回的开始时间。</w:t>
      </w:r>
    </w:p>
    <w:p w14:paraId="33A978D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078D4758"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三、申购与赎回的原则</w:t>
      </w:r>
    </w:p>
    <w:p w14:paraId="51F6A4C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1、“未知价”原则，即申购、赎回价格以申请当日的各类基金份额净值为基准进行计算；</w:t>
      </w:r>
    </w:p>
    <w:p w14:paraId="7E1C4DC4"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2、“金额申购、份额赎回”原则，即申购以金额申请，赎回以份额申请；</w:t>
      </w:r>
    </w:p>
    <w:p w14:paraId="1EE0527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3、当日的申购与赎回申请可以在基金管理人规定的时间以内撤销；</w:t>
      </w:r>
    </w:p>
    <w:p w14:paraId="1EC949A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4、赎回遵循“先进先出”原则，按照投资人认购、申购的先后次序进行顺序赎回；</w:t>
      </w:r>
    </w:p>
    <w:p w14:paraId="451D642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5、本基金申购、赎回的币种为人民币；基金管理人可以在不违反法律法规规定的情况下，增加其他币种的申购、赎回，其他币种申购、赎回的具体规则届时将另行公告。</w:t>
      </w:r>
    </w:p>
    <w:p w14:paraId="2B1C112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6、办理申购、赎回业务时，应当遵循基金份额持有人利益优先原则，确保投资者的合法权益不受损害并得到公平对待。</w:t>
      </w:r>
    </w:p>
    <w:p w14:paraId="6ECB759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基金管理人可在法律法规允许的情况下，对上述原则进行调整。基金管理人必须依照《信息披露办法》的有关规定在规定媒介上公告。</w:t>
      </w:r>
    </w:p>
    <w:p w14:paraId="0E6BDD75"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四、申购与赎回的程序</w:t>
      </w:r>
    </w:p>
    <w:p w14:paraId="5B1B87AD"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1、申购和赎回的申请方式</w:t>
      </w:r>
    </w:p>
    <w:p w14:paraId="4A30DE33"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资人必须根据销售机构规定的程序，在开放日的具体业务办理时间内提出申购或赎回的申请。基金投资者在提交申购申请时须按照销售机构规定的方式全额支付申购资金,在提交赎回申请时须持有足够的基金份额余额，否则所提交的申购、赎回申请无效而不予确认。</w:t>
      </w:r>
    </w:p>
    <w:p w14:paraId="4FC92903"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2、申购和赎回的款项支付</w:t>
      </w:r>
    </w:p>
    <w:p w14:paraId="733733C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资人申购基金份额时，必须全额交付申购款项，投资人交付申购款项，申购成立；基金份额登记机构确认基金份额时，申购生效。基金份额持有人递交赎回申请，必须有足够的基金份额余额，则赎回成立；基金份额登记机构确认赎回时，赎回生效。</w:t>
      </w:r>
      <w:r>
        <w:rPr>
          <w:sz w:val="24"/>
          <w:szCs w:val="24"/>
          <w:lang w:eastAsia="zh-CN"/>
        </w:rPr>
        <w:t>投资者赎回申请生效后，基金管理人将在T＋10日(含本日)内支付赎回款项。如遇外管局相关规定有变更或本基金境外投资主要市场的交易清算规则有变更、港股通交易规则变更、本基金投资的境外主要市场及外汇市场休市或暂停交易、证券、期货交易所或交易市场数据传输延迟、通讯系统故障、银行数据交换系统故障等非基金管理人及基金托管人所能控制的因素影响业务处理流程时，赎回款项的支付时间相应顺延。在发生巨额赎回或本基金合同载明的延缓支付赎回款项的情形时，款项的支付按照本基金合同有关条款处理。</w:t>
      </w:r>
    </w:p>
    <w:p w14:paraId="27CB25E7"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3、申购和赎回申请的确认</w:t>
      </w:r>
    </w:p>
    <w:p w14:paraId="3779CE1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以交易时间结束前受理有效申购和赎回申请的当天作为申购或赎回申请日（T日），在正常情况下，本基金登记机构在T+2日内对该交易的有效性进行确认。T日提交的有效申请，投资人应在T+3日后（包括该日）及时到销售网点柜台或以销售机构规定的其他方式查询申请的确认情况。若申购不成功或无效，则申购款项本金将退还给投资人。</w:t>
      </w:r>
    </w:p>
    <w:p w14:paraId="56E3DA30"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p>
    <w:p w14:paraId="7E36461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基金管理人可以在不违反法律法规规定和基金合同约定的情形下，对上述业务办理规则进行调整，并依照《信息披露办法》的有关规定在规定媒介上公告。</w:t>
      </w:r>
    </w:p>
    <w:p w14:paraId="032CCF35"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五、申购和赎回的数量限制</w:t>
      </w:r>
    </w:p>
    <w:p w14:paraId="6915E3B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1、基金管理人可以规定投资人首次申购和每次申购的最低金额以及每次赎回的最低份额，具体规定请参见招募说明书或相关公告。</w:t>
      </w:r>
    </w:p>
    <w:p w14:paraId="07CDDDE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2、基金管理人可以规定投资人每个基金交易账户的最低基金份额余额，具体规定请参见招募说明书或相关公告。</w:t>
      </w:r>
    </w:p>
    <w:p w14:paraId="7FC7433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3、基金管理人可以规定单个投资人累计持有的基金份额上限，具体规定请参见招募说明书或相关公告。</w:t>
      </w:r>
    </w:p>
    <w:p w14:paraId="1A6A22F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4、基金管理人可以规定单一投资者单日或单笔申购金额上限，具体规定请参见招募说明书或相关公告。</w:t>
      </w:r>
    </w:p>
    <w:p w14:paraId="74CD42E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5、基金管理人可以规定本基金的总规模限额、当日申购金额限制和单日净申购比例上限，具体规定请参见招募说明书或相关公告。</w:t>
      </w:r>
    </w:p>
    <w:p w14:paraId="018CE04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484D28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7、基金管理人可在不违反法律法规规定和基金合同约定的情形下，调整上述规定申购金额和赎回份额等数量限制或新增基金规模控制措施。基金管理人必须依照</w:t>
      </w:r>
      <w:r>
        <w:rPr>
          <w:rFonts w:asciiTheme="minorEastAsia" w:eastAsiaTheme="minorEastAsia" w:hAnsiTheme="minorEastAsia" w:cstheme="minorEastAsia" w:hint="eastAsia"/>
          <w:sz w:val="24"/>
          <w:szCs w:val="24"/>
          <w:lang w:eastAsia="zh-CN"/>
        </w:rPr>
        <w:lastRenderedPageBreak/>
        <w:t>《信息披露办法》的有关规定在规定媒介上公告。</w:t>
      </w:r>
    </w:p>
    <w:p w14:paraId="468DF4AA"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六、申购和赎回的价格、费用及其用途</w:t>
      </w:r>
    </w:p>
    <w:p w14:paraId="4EEFFEC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本基金各类基金份额净值的计算，均保留到小数点后4位，小数点后第5位四舍五入，由此产生的收益或损失由基金财产承担。T日的各类基金份额净值在T+1日内计算，并按照基金合同的约定进行公告。遇特殊情况，经履行适当程序，可以适当延迟计算或披露。</w:t>
      </w:r>
    </w:p>
    <w:p w14:paraId="680CFDF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申购份额的计算及余额的处理方式：本基金申购份额的计算详见招募说明书。本基金C类基金份额不收取申购费，A类基金份额的申购费率由基金管理人决定，并在招募说明书及基金产品资料概要中列示。申购的有效份额为净申购金额除以当日该类基金份额净值，有效份额单位为份，上述计算结果均按四舍五入方法，保留到小数点后2位，由此产生的收益或损失由基金财产承担。</w:t>
      </w:r>
    </w:p>
    <w:p w14:paraId="5576D97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14:paraId="4B82B9E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4、本基金C类基金份额不收取申购费，A类基金份额的申购费用由申购A类基金份额的投资人承担，不列入基金财产。</w:t>
      </w:r>
    </w:p>
    <w:p w14:paraId="7122817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14:paraId="53CCEAE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本基金A类基金份额的申购费率、A类和C类基金份额的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在规定媒介上公告。</w:t>
      </w:r>
    </w:p>
    <w:p w14:paraId="775C566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7、当本基金发生大额申购或赎回情形时，基金管理人可以采用摆动定价机制，以确保基金估值的公平性。具体处理原则与操作规范遵循相关法律法规以及监管部门、自律规则的规定。</w:t>
      </w:r>
    </w:p>
    <w:p w14:paraId="2C6B163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8、基金管理人可以在不违背法律法规规定及基金合同约定的情况下根据市场情</w:t>
      </w:r>
      <w:r>
        <w:rPr>
          <w:rFonts w:asciiTheme="minorEastAsia" w:eastAsiaTheme="minorEastAsia" w:hAnsiTheme="minorEastAsia" w:cstheme="minorEastAsia" w:hint="eastAsia"/>
          <w:sz w:val="24"/>
          <w:szCs w:val="24"/>
          <w:lang w:eastAsia="zh-CN"/>
        </w:rPr>
        <w:lastRenderedPageBreak/>
        <w:t>况制定基金促销计划，定期或不定期地开展基金促销活动。在基金促销活动期间，在对存量基金份额持有人利益无实质性不利影响的前提下，可以按相关监管部门要求履行必要的手续后，对基金投资者适当调低基金销售费率，并进行公告。</w:t>
      </w:r>
    </w:p>
    <w:p w14:paraId="00348F1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9、本基金申购、赎回的币种为人民币。在未来市场和技术成熟时，本基金可开通或终止人民币以外的其他币种的申购、赎回，该事项无须基金份额持有人大会审议，有关申赎原则、程序、费用等业务规则及相关事项届时由基金管理人确定并公告。</w:t>
      </w:r>
    </w:p>
    <w:p w14:paraId="233F23F4"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七、拒绝或暂停申购的情形</w:t>
      </w:r>
    </w:p>
    <w:p w14:paraId="48530C6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发生下列情况时，基金管理人可拒绝或暂停接受投资人的申购申请：</w:t>
      </w:r>
    </w:p>
    <w:p w14:paraId="351081B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1、因不可抗力导致基金无法正常运作。</w:t>
      </w:r>
    </w:p>
    <w:p w14:paraId="554C6A2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2、发生基金合同规定的暂停基金资产估值情况时，基金管理人可暂停接受投资人的申购申请。</w:t>
      </w:r>
    </w:p>
    <w:p w14:paraId="6F91F20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3、证券、期货交易所</w:t>
      </w:r>
      <w:r>
        <w:rPr>
          <w:rFonts w:asciiTheme="minorEastAsia" w:eastAsiaTheme="minorEastAsia" w:hAnsiTheme="minorEastAsia" w:cstheme="minorEastAsia"/>
          <w:sz w:val="24"/>
          <w:szCs w:val="24"/>
          <w:lang w:eastAsia="zh-CN"/>
        </w:rPr>
        <w:t>或外汇市场</w:t>
      </w:r>
      <w:r>
        <w:rPr>
          <w:rFonts w:asciiTheme="minorEastAsia" w:eastAsiaTheme="minorEastAsia" w:hAnsiTheme="minorEastAsia" w:cstheme="minorEastAsia" w:hint="eastAsia"/>
          <w:sz w:val="24"/>
          <w:szCs w:val="24"/>
          <w:lang w:eastAsia="zh-CN"/>
        </w:rPr>
        <w:t>交易时间非正常停市或港股通临时暂停，导致基金管理人无法计算当日基金资产净值。</w:t>
      </w:r>
    </w:p>
    <w:p w14:paraId="4CFEBA6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4、接受某笔或某些申购申请可能会影响或损害现有基金份额持有人利益时。</w:t>
      </w:r>
    </w:p>
    <w:p w14:paraId="6342D75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5、基金资产规模过大，使基金管理人无法找到合适的投资品种，或其他可能对基金业绩产生负面影响，或发生其他损害现有基金份额持有人利益的情形。</w:t>
      </w:r>
    </w:p>
    <w:p w14:paraId="164B119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6、当前一估值日基金资产净值50%以上的资产出现无可参考的活跃市场价格且采用估值技术仍导致公允价值存在重大不确定性时，经与基金托管人协商确认后，基金管理人应当暂停接受基金申购申请。</w:t>
      </w:r>
    </w:p>
    <w:p w14:paraId="58EEE5E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7、基金管理人、基金托管人、境外托管人、基金销售机构或登记机构的异常情况导致基金销售系统、基金登记系统或基金会计系统无法正常运行。</w:t>
      </w:r>
    </w:p>
    <w:p w14:paraId="5FF5FDF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8、基金管理人接受某笔或者某些申购申请有可能导致单一投资者持有基金份额的比例达到或者超过50%，或者变相规避50%集中度的情形。</w:t>
      </w:r>
    </w:p>
    <w:p w14:paraId="7B1DF2E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9、申请超过基金管理人设定的基金总规模、单日净申购比例上限、单个投资者单日或单笔申购金额上限的。</w:t>
      </w:r>
    </w:p>
    <w:p w14:paraId="46FB9A5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3D5E196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、因外汇额度原因需要控制基金申购规模。</w:t>
      </w:r>
    </w:p>
    <w:p w14:paraId="5E0298E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、法律法规规定或中国证监会认定的其他情形。</w:t>
      </w:r>
    </w:p>
    <w:p w14:paraId="24AFDC9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发生上述第1、2、3、5、6、7、10、11、1</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项暂停申购情形之一且基金管理人决定暂停接受投资人申购申请时，基金管理人应当根据有关规定在规定媒介上刊登暂停申购公告。发生上述第8、9项情形时，基金管理人可以采取比例确认等方式对该投资人的申购申请进行限制，基金管理人有权拒绝该等全部或者部分申购申请。如果投资人的申购申请被全部或部分拒绝的，被拒绝的申购款项将无息退还给投资人。在暂停申购的情况消除时，基金管理人应及时恢复申购业务的办理。</w:t>
      </w:r>
    </w:p>
    <w:p w14:paraId="09AF2398"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八、暂停赎回或延缓支付赎回款项的情形</w:t>
      </w:r>
    </w:p>
    <w:p w14:paraId="1EF5264F"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发生下列情形时，基金管理人可暂停接受投资人的赎回申请或延缓支付赎回款项：</w:t>
      </w:r>
    </w:p>
    <w:p w14:paraId="3DCB5EF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1、因不可抗力导致基金管理人不能支付赎回款项。</w:t>
      </w:r>
    </w:p>
    <w:p w14:paraId="3E081C40"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2、发生基金合同规定的暂停基金资产估值情况时，基金管理人可暂停接受投资人的赎回申请或延缓支付赎回款项。</w:t>
      </w:r>
    </w:p>
    <w:p w14:paraId="5830A54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3、证券、期货交易所</w:t>
      </w:r>
      <w:r>
        <w:rPr>
          <w:rFonts w:asciiTheme="minorEastAsia" w:eastAsiaTheme="minorEastAsia" w:hAnsiTheme="minorEastAsia" w:cstheme="minorEastAsia"/>
          <w:sz w:val="24"/>
          <w:szCs w:val="24"/>
          <w:lang w:eastAsia="zh-CN"/>
        </w:rPr>
        <w:t>或外汇市场</w:t>
      </w:r>
      <w:r>
        <w:rPr>
          <w:rFonts w:asciiTheme="minorEastAsia" w:eastAsiaTheme="minorEastAsia" w:hAnsiTheme="minorEastAsia" w:cstheme="minorEastAsia" w:hint="eastAsia"/>
          <w:sz w:val="24"/>
          <w:szCs w:val="24"/>
          <w:lang w:eastAsia="zh-CN"/>
        </w:rPr>
        <w:t>交易时间非正常停市或港股通临时暂停，导致基金管理人无法计算当日基金资产净值。</w:t>
      </w:r>
    </w:p>
    <w:p w14:paraId="5D409EE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4、连续两个或两个以上开放日发生巨额赎回。</w:t>
      </w:r>
    </w:p>
    <w:p w14:paraId="131DF50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5、发生继续接受赎回申请将损害现有基金份额持有人利益的情形时，基金管理人可暂停接受基金份额持有人的赎回申请。</w:t>
      </w:r>
    </w:p>
    <w:p w14:paraId="7F4D6B26"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581482B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7、法律法规规定或中国证监会认定的其他情形。</w:t>
      </w:r>
    </w:p>
    <w:p w14:paraId="25E6C41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发生上述情形（第4项除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受限于销售机构的规则，基金份额持有人在申请赎回时可事先选择将当日可能未获受理部分予以撤销。在暂停赎回的情况消除时，基金管理人应及时恢复赎回业务的办理并公告。</w:t>
      </w:r>
    </w:p>
    <w:p w14:paraId="20FDE054"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九、巨额赎回的情形及处理方式</w:t>
      </w:r>
    </w:p>
    <w:p w14:paraId="4693C9E9"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1、巨额赎回的认定</w:t>
      </w:r>
    </w:p>
    <w:p w14:paraId="2EB5CFD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单个开放日内的基金份额净赎回申请（赎回申请份额总数加上基金转换中转出申请份额总数后扣除申购申请份额总数及基金转换中转入申请份额总数后的余额）超过上一开放日的基金总份额的10%，即认为是发生了巨额赎回。</w:t>
      </w:r>
    </w:p>
    <w:p w14:paraId="0FF3C0BB"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2、巨额赎回的处理方式</w:t>
      </w:r>
    </w:p>
    <w:p w14:paraId="153573F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当基金出现巨额赎回时，基金管理人可以根据基金当时的资产组合状况决定全额赎回、部分延期赎回或暂停赎回。</w:t>
      </w:r>
    </w:p>
    <w:p w14:paraId="3EADAC4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（1）全额赎回：当基金管理人认为有能力支付投资人的全部赎回申请时，按正常赎回程序执行。</w:t>
      </w:r>
    </w:p>
    <w:p w14:paraId="27B6334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13DAC3D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若本基金发生巨额赎回且单个开放日内单个基金份额持有人的赎回申请超过上一开放日基金总份额的20%，基金管理人有权先行对该单个基金份额持有人超出20%的赎回申请实施延期办理，而对该单个基金份额持有人20%以内（含20%）的赎回申请，基金管理人根据前段“（1）全额赎回”或“（2）部分延期赎回”的约定方式与其他基金份额持有人的赎回申请一并办理。对于未能赎回部分，投资人在提交赎回申请时可以选择延期赎回或取消赎回。选择延期赎回的，延期的赎回申请将自动转入下一个开放日与下一开放日其他赎回申请一并处理，无优先权并以下一开放日该类基金份额净值为基础计算赎回金额，以此类推，直到全部赎回为止；选择取消赎回的，当日未获受理的部分赎回申请将被撤销。如投资人在提交赎回申请时未作明确选择，投资人未能赎回部分作自动延期赎回处理。部分延期赎回不受单笔赎</w:t>
      </w:r>
      <w:r>
        <w:rPr>
          <w:rFonts w:asciiTheme="minorEastAsia" w:eastAsiaTheme="minorEastAsia" w:hAnsiTheme="minorEastAsia" w:cstheme="minorEastAsia" w:hint="eastAsia"/>
          <w:sz w:val="24"/>
          <w:szCs w:val="24"/>
          <w:lang w:eastAsia="zh-CN"/>
        </w:rPr>
        <w:lastRenderedPageBreak/>
        <w:t>回最低份额的限制。</w:t>
      </w:r>
    </w:p>
    <w:p w14:paraId="4A98427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4E3B630A"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3、巨额赎回的公告</w:t>
      </w:r>
    </w:p>
    <w:p w14:paraId="5753683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当发生上述巨额赎回并决定对部分赎回延期办理时，基金管理人应当通过邮寄、传真或者招募说明书规定的其他方式在3个交易日内通知基金份额持有人，说明有关处理方法，并依照《信息披露办法》的有关规定在规定媒介上刊登公告。</w:t>
      </w:r>
    </w:p>
    <w:p w14:paraId="35D23AA2"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十、暂停申购或赎回的公告和重新开放申购或赎回的公告</w:t>
      </w:r>
    </w:p>
    <w:p w14:paraId="5D20303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1、发生上述暂停申购或赎回情况的，基金管理人应在规定期限内在规定媒介上刊登暂停公告。</w:t>
      </w:r>
    </w:p>
    <w:p w14:paraId="36E6A63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49846074"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十一、基金转换</w:t>
      </w:r>
    </w:p>
    <w:p w14:paraId="76752A5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07E72507"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十二、基金份额的转让</w:t>
      </w:r>
    </w:p>
    <w:p w14:paraId="49843F1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法律法规允许且条件具备的情况下，且对基金份额持有人无实质性不利影响的前提下，履行相关程序后，基金管理人可受理基金份额持有人通过中国证监会认可的交易场所或者其他方式进行份额转让的申请并由登记机构办理基金份额的过户登记。</w:t>
      </w:r>
    </w:p>
    <w:p w14:paraId="7175C62C"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十三、基金的非交易过户</w:t>
      </w:r>
    </w:p>
    <w:p w14:paraId="4E407E3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1B37FEE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继承是指基金份额持有人死亡，其持有的基金份额由其合法的继承人继承；捐赠指基金份额持有人将其合法持有的基金份额捐赠给福利性质的基金会或社会团体；</w:t>
      </w:r>
      <w:r>
        <w:rPr>
          <w:rFonts w:asciiTheme="minorEastAsia" w:eastAsiaTheme="minorEastAsia" w:hAnsiTheme="minorEastAsia" w:cstheme="minorEastAsia" w:hint="eastAsia"/>
          <w:sz w:val="24"/>
          <w:szCs w:val="24"/>
          <w:lang w:eastAsia="zh-CN"/>
        </w:rPr>
        <w:lastRenderedPageBreak/>
        <w:t>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E3A6005"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十四、基金的转托管</w:t>
      </w:r>
    </w:p>
    <w:p w14:paraId="30828EF0"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基金份额持有人可办理已持有基金份额在不同销售机构之间的转托管，基金销售机构可以按照规定的标准收取转托管费。</w:t>
      </w:r>
    </w:p>
    <w:p w14:paraId="1BB24EFA"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十五、定期定额投资计划</w:t>
      </w:r>
    </w:p>
    <w:p w14:paraId="228C92B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5E5D579"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十六、基金份额的冻结和解冻</w:t>
      </w:r>
    </w:p>
    <w:p w14:paraId="5D3B25A6"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基金登记机构只受理国家有权机关依法要求的基金份额的冻结与解冻，以及登记机构认可、符合法律法规的其他情况下的冻结与解冻。</w:t>
      </w:r>
    </w:p>
    <w:p w14:paraId="41202EF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基金份额被冻结的，被冻结部分产生的权益一并冻结，被冻结部分份额仍然参与收益分配。法律法规或监管机构另有规定的除外。</w:t>
      </w:r>
    </w:p>
    <w:p w14:paraId="0AB69585"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十七、其他业务</w:t>
      </w:r>
    </w:p>
    <w:p w14:paraId="1992D65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如相关法律法规允许基金管理人办理基金份额的质押业务或其他基金业务，且对基金份额持有人利益无实质性不利影响并履行适当程序的条件下，基金管理人可制定相应的业务规则并开展相关业务。</w:t>
      </w:r>
    </w:p>
    <w:p w14:paraId="3135F5AA"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十八、实施侧袋机制期间本基金的申购与赎回</w:t>
      </w:r>
    </w:p>
    <w:p w14:paraId="6D98ACAF"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若本基金实施侧袋机制的，本基金的申购和赎回安排详见招募说明书或相关公告。</w:t>
      </w:r>
    </w:p>
    <w:p w14:paraId="7E1E52B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十九、基金管理人可在不违反法律法规，且在不影响基金份额持有人实质利益的前提下，根据市场情况对上述申购和赎回的安排进行补充和调整并提前公告。</w:t>
      </w:r>
    </w:p>
    <w:p w14:paraId="6C58667C"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166096D0"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38" w:name="第七部分__基金合同当事人及权利义务"/>
      <w:bookmarkStart w:id="39" w:name="_Toc156822879"/>
      <w:bookmarkStart w:id="40" w:name="_Toc10688"/>
      <w:bookmarkStart w:id="41" w:name="_Toc21850"/>
      <w:bookmarkStart w:id="42" w:name="_Toc21911"/>
      <w:bookmarkStart w:id="43" w:name="_Toc13418"/>
      <w:bookmarkEnd w:id="38"/>
      <w:r>
        <w:rPr>
          <w:rFonts w:asciiTheme="minorEastAsia" w:eastAsiaTheme="minorEastAsia" w:hAnsiTheme="minorEastAsia" w:cstheme="minorEastAsia" w:hint="eastAsia"/>
          <w:b/>
          <w:bCs/>
          <w:sz w:val="24"/>
          <w:szCs w:val="24"/>
          <w:lang w:eastAsia="zh-CN"/>
        </w:rPr>
        <w:lastRenderedPageBreak/>
        <w:t>第七部分 基金合同当事人及权利义务</w:t>
      </w:r>
      <w:bookmarkEnd w:id="39"/>
      <w:bookmarkEnd w:id="40"/>
      <w:bookmarkEnd w:id="41"/>
      <w:bookmarkEnd w:id="42"/>
      <w:bookmarkEnd w:id="43"/>
    </w:p>
    <w:p w14:paraId="12867578"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B553025"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一、基金管理人</w:t>
      </w:r>
    </w:p>
    <w:p w14:paraId="1E24D415"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bookmarkStart w:id="44" w:name="_Toc15118235"/>
      <w:r>
        <w:rPr>
          <w:rFonts w:asciiTheme="minorEastAsia" w:eastAsiaTheme="minorEastAsia" w:hAnsiTheme="minorEastAsia" w:cstheme="minorEastAsia" w:hint="eastAsia"/>
          <w:sz w:val="24"/>
          <w:szCs w:val="24"/>
          <w:lang w:eastAsia="zh-CN"/>
        </w:rPr>
        <w:t>（一）基金管理人简况</w:t>
      </w:r>
      <w:bookmarkEnd w:id="44"/>
    </w:p>
    <w:p w14:paraId="05E8FEE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bookmarkStart w:id="45" w:name="_Toc15118236"/>
      <w:bookmarkStart w:id="46" w:name="_Toc15118237"/>
      <w:r>
        <w:rPr>
          <w:rFonts w:asciiTheme="minorEastAsia" w:eastAsiaTheme="minorEastAsia" w:hAnsiTheme="minorEastAsia" w:cstheme="minorEastAsia" w:hint="eastAsia"/>
          <w:sz w:val="24"/>
          <w:szCs w:val="24"/>
          <w:lang w:eastAsia="zh-CN"/>
        </w:rPr>
        <w:t>名称：</w:t>
      </w:r>
      <w:bookmarkEnd w:id="45"/>
      <w:r>
        <w:rPr>
          <w:rFonts w:asciiTheme="minorEastAsia" w:eastAsiaTheme="minorEastAsia" w:hAnsiTheme="minorEastAsia" w:cstheme="minorEastAsia" w:hint="eastAsia"/>
          <w:sz w:val="24"/>
          <w:szCs w:val="24"/>
          <w:lang w:eastAsia="zh-CN"/>
        </w:rPr>
        <w:t>平安基金管理有限公司</w:t>
      </w:r>
    </w:p>
    <w:p w14:paraId="56878C2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住所：深圳市福田区福田街道益田路5033号平安金融中心34层</w:t>
      </w:r>
    </w:p>
    <w:p w14:paraId="2918A2C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法定代表人：罗春风</w:t>
      </w:r>
    </w:p>
    <w:p w14:paraId="3128F09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设立日期：2011年1月7日</w:t>
      </w:r>
    </w:p>
    <w:p w14:paraId="0AA21A2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批准设立机关及批准设立文号：中国证监会证监许可【2010】1917号</w:t>
      </w:r>
    </w:p>
    <w:p w14:paraId="07D259C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组织形式：有限责任公司（中外合资）</w:t>
      </w:r>
    </w:p>
    <w:p w14:paraId="2BCC158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注册资本：人民币130,000万元</w:t>
      </w:r>
    </w:p>
    <w:p w14:paraId="4F6349F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存续期限：持续经营</w:t>
      </w:r>
    </w:p>
    <w:p w14:paraId="2F18713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联系电话：0755-22623179</w:t>
      </w:r>
    </w:p>
    <w:p w14:paraId="57BC8D45"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（二）基金管理人的权利与义务</w:t>
      </w:r>
      <w:bookmarkEnd w:id="46"/>
    </w:p>
    <w:p w14:paraId="778469A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1、根据《基金法》、《运作办法》及其他有关规定，基金管理人的权利包括但不限于：</w:t>
      </w:r>
    </w:p>
    <w:p w14:paraId="2DD71B5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（1）依法募集资金；</w:t>
      </w:r>
    </w:p>
    <w:p w14:paraId="3040BE6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（2）自《基金合同》生效之日起，根据法律法规和《基金合同》独立运用并管理基金财产；</w:t>
      </w:r>
    </w:p>
    <w:p w14:paraId="3ED67C6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（3）依照《基金合同》收取基金管理费以及法律法规规定或中国证监会批准的其他费用；</w:t>
      </w:r>
    </w:p>
    <w:p w14:paraId="456F00E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（4）销售基金份额；</w:t>
      </w:r>
    </w:p>
    <w:p w14:paraId="4E81E84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（5）按照规定召集基金份额持有人大会；</w:t>
      </w:r>
    </w:p>
    <w:p w14:paraId="68B876C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（6）依据《基金合同》及有关法律规定监督基金托管人，如认为基金托管人违反了《基金合同》及国家有关法律规定，应呈报中国证监会和其他监管部门，并采取必要措施保护基金投资者的利益；</w:t>
      </w:r>
    </w:p>
    <w:p w14:paraId="07B2B19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（7）在基金托管人更换时，提名新的基金托管人；</w:t>
      </w:r>
    </w:p>
    <w:p w14:paraId="6D532E1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（8）选择、更换基金销售机构，对基金销售机构的相关行为进行监督和处理；</w:t>
      </w:r>
    </w:p>
    <w:p w14:paraId="2B1C127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（9）担任或委托其他符合条件的机构担任基金登记机构办理基金登记业务并获得《基金合同》规定的费用；</w:t>
      </w:r>
    </w:p>
    <w:p w14:paraId="6EFCCDC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（10）依据《基金合同》及有关法律规定决定基金收益的分配方案；</w:t>
      </w:r>
    </w:p>
    <w:p w14:paraId="736EF26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（11）在《基金合同》约定的范围内，拒绝或暂停受理申购、赎回与转换申请；</w:t>
      </w:r>
    </w:p>
    <w:p w14:paraId="025652B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（12）依照法律法规为基金的利益对被投资公司行使股东权利，为基金的利益行使因基金财产投资于证券所产生的权利；</w:t>
      </w:r>
    </w:p>
    <w:p w14:paraId="44B0866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（13）在法律法规允许的前提下，为基金的利益依法为基金进行融资；</w:t>
      </w:r>
    </w:p>
    <w:p w14:paraId="43211FA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（14）以基金管理人的名义，代表基金份额持有人的利益行使诉讼权利或者实施其他法律行为；</w:t>
      </w:r>
    </w:p>
    <w:p w14:paraId="68C7E1F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（15）选择、更换律师事务所、会计师事务所、证券、期货经纪商或其他为基金提供服务的外部机构，并与选择的证券经纪机构签订相关协议，就证券经纪机构应履行的异常交易监控等职责进行约定；</w:t>
      </w:r>
    </w:p>
    <w:p w14:paraId="5733D50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（16）在符合有关法律、法规的前提下，制订和调整有关基金认购、申购、赎回、转换、定期定额投资、转托管和非交易过户等业务规则，开通人民币之外的其他销售币种基金份额的申购、赎回等业务；</w:t>
      </w:r>
    </w:p>
    <w:p w14:paraId="7A81799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w:t>
      </w:r>
      <w:r>
        <w:rPr>
          <w:rFonts w:asciiTheme="minorEastAsia" w:eastAsiaTheme="minorEastAsia" w:hAnsiTheme="minorEastAsia" w:cstheme="minorEastAsia" w:hint="eastAsia"/>
          <w:bCs/>
          <w:sz w:val="24"/>
          <w:szCs w:val="24"/>
          <w:lang w:eastAsia="zh-CN"/>
        </w:rPr>
        <w:t>选择、增加、更换或撤销基金境外投资顾问</w:t>
      </w:r>
      <w:r>
        <w:rPr>
          <w:rFonts w:asciiTheme="minorEastAsia" w:eastAsiaTheme="minorEastAsia" w:hAnsiTheme="minorEastAsia" w:cstheme="minorEastAsia"/>
          <w:bCs/>
          <w:sz w:val="24"/>
          <w:szCs w:val="24"/>
          <w:lang w:eastAsia="zh-CN"/>
        </w:rPr>
        <w:t>；</w:t>
      </w:r>
    </w:p>
    <w:p w14:paraId="54235BB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8</w:t>
      </w:r>
      <w:r>
        <w:rPr>
          <w:rFonts w:asciiTheme="minorEastAsia" w:eastAsiaTheme="minorEastAsia" w:hAnsiTheme="minorEastAsia" w:cstheme="minorEastAsia" w:hint="eastAsia"/>
          <w:sz w:val="24"/>
          <w:szCs w:val="24"/>
          <w:lang w:eastAsia="zh-CN"/>
        </w:rPr>
        <w:t>）法律法规及中国证监会规定的和《基金合同》约定的其他权利。</w:t>
      </w:r>
    </w:p>
    <w:p w14:paraId="6B827A0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2、根据《基金法》、《运作办法》及其他有关规定，基金管理人的义务包括但不限于：</w:t>
      </w:r>
    </w:p>
    <w:p w14:paraId="07907D1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bookmarkStart w:id="47" w:name="_Toc523711669"/>
      <w:r>
        <w:rPr>
          <w:rFonts w:asciiTheme="minorEastAsia" w:eastAsiaTheme="minorEastAsia" w:hAnsiTheme="minorEastAsia" w:cstheme="minorEastAsia" w:hint="eastAsia"/>
          <w:sz w:val="24"/>
          <w:szCs w:val="24"/>
          <w:lang w:eastAsia="zh-CN"/>
        </w:rPr>
        <w:t>（1）依法募集资金，办理或者委托经中国证监会认定的其他机构代为办理基金份额的发售、申购、赎回和登记事宜；</w:t>
      </w:r>
    </w:p>
    <w:p w14:paraId="4D1BC2A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（2）办理基金备案手续；</w:t>
      </w:r>
    </w:p>
    <w:p w14:paraId="3D08798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（3）自《基金合同》生效之日起，以诚实信用、谨慎勤勉的原则管理和运用基金财产；</w:t>
      </w:r>
    </w:p>
    <w:p w14:paraId="092C2F7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（4）配备足够的具有专业资格的人员进行基金投资分析、决策，以专业化的经营方式管理和运作基金财产；</w:t>
      </w:r>
    </w:p>
    <w:p w14:paraId="7F253A1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（5）建立健全内部风险控制、监察与稽核、财务管理及人事管理等制度，保证所管理的基金财产和基金管理人的财产相互独立，对所管理的不同基金分别管理，分别记账，进行证券投资；</w:t>
      </w:r>
    </w:p>
    <w:p w14:paraId="5231C8F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（6）除依据《基金法》、《基金合同》及其他有关规定外，不得利用基金财产为自己及任何第三人谋取利益，不得委托第三人运作基金财产；</w:t>
      </w:r>
      <w:bookmarkStart w:id="48" w:name="_Hlt88897298"/>
      <w:bookmarkEnd w:id="48"/>
    </w:p>
    <w:p w14:paraId="5AF6778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（7）依法接受基金托管人的监督；</w:t>
      </w:r>
    </w:p>
    <w:p w14:paraId="3C5455C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（8）采取适当合理的措施使计算基金份额认购、申购、赎回和注销价格的方法符合《基金合同》等法律文件的规定，按有关规定计算并公告基金净值信息，确定基金份额申购、赎回的价格；</w:t>
      </w:r>
    </w:p>
    <w:p w14:paraId="0A6C788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（9）进行基金会计核算并编制基金财务会计报告；</w:t>
      </w:r>
    </w:p>
    <w:p w14:paraId="7E59CCA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（10）编制季度报告、中期报告和年度报告；</w:t>
      </w:r>
    </w:p>
    <w:p w14:paraId="560E1B0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（11）严格按照《基金法》、《基金合同》及其他有关规定，履行信息披露及报告义务；</w:t>
      </w:r>
    </w:p>
    <w:p w14:paraId="762FEA6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274166B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（13）按《基金合同》的约定确定基金收益分配方案，及时向基金份额持有人分配基金收益；</w:t>
      </w:r>
    </w:p>
    <w:p w14:paraId="130E2B9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（14）按规定受理申购与赎回申请，及时、足额支付赎回款项；</w:t>
      </w:r>
    </w:p>
    <w:p w14:paraId="21A9E5D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（15）依据《基金法》、《基金合同》及其他有关规定召集基金份额持有人大会或配合基金托管人、基金份额持有人依法召集基金份额持有人大会；</w:t>
      </w:r>
    </w:p>
    <w:p w14:paraId="0DE246B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（16）按规定保存基金财产管理业务活动的会计账册、报表、记录和其他相关资料，保存期限不低于法律法规规定的最低期限；</w:t>
      </w:r>
    </w:p>
    <w:p w14:paraId="3CC082E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06A7AE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（18）组织并参加基金财产清算小组，参与基金财产的保管、清理、估价、变现和分配；</w:t>
      </w:r>
    </w:p>
    <w:p w14:paraId="4FFA0FD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（19）面临解散、依法被撤销或者被依法宣告破产时，及时报告中国证监会并通知基金托管人；</w:t>
      </w:r>
    </w:p>
    <w:p w14:paraId="473D903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（20）因违反《基金合同》导致基金财产的损失或损害基金份额持有人合法权益时，应当承担赔偿责任，其赔偿责任不因其退任而免除；</w:t>
      </w:r>
    </w:p>
    <w:p w14:paraId="1FD2EFF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（21）监督基金托管人按法律法规和《基金合同》规定履行自己的义务，基金托管人违反《基金合同》造成基金财产损失时，基金管理人应为基金份额持有人利益向基金托管人追偿；</w:t>
      </w:r>
    </w:p>
    <w:p w14:paraId="7A4CA9F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（22）当基金管理人将其义务委托第三方处理时，应当对第三方处理有关基金事务的行为承担责任；</w:t>
      </w:r>
    </w:p>
    <w:p w14:paraId="6A21AE1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（23）以基金管理人名义，代表基金份额持有人利益行使诉讼权利或实施其他法律行为；</w:t>
      </w:r>
    </w:p>
    <w:p w14:paraId="2920934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14:paraId="61BEEC5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（25）执行生效的基金份额持有人大会的决议；</w:t>
      </w:r>
    </w:p>
    <w:p w14:paraId="747DFF3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（26）建立并保存基金份额持有人名册；</w:t>
      </w:r>
    </w:p>
    <w:p w14:paraId="20B444C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sz w:val="24"/>
          <w:szCs w:val="24"/>
          <w:lang w:eastAsia="zh-CN"/>
        </w:rPr>
        <w:t>（27）</w:t>
      </w:r>
      <w:r>
        <w:rPr>
          <w:rFonts w:asciiTheme="minorEastAsia" w:eastAsiaTheme="minorEastAsia" w:hAnsiTheme="minorEastAsia" w:cstheme="minorEastAsia" w:hint="eastAsia"/>
          <w:bCs/>
          <w:sz w:val="24"/>
          <w:szCs w:val="24"/>
          <w:lang w:eastAsia="zh-CN"/>
        </w:rPr>
        <w:t>委托境外证券服务机构代理买卖证券的，应当严格履行受信责任，并按照有关规定对投资交易的流程、信息披露、记录保存进行管理；</w:t>
      </w:r>
    </w:p>
    <w:p w14:paraId="3EC087A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28</w:t>
      </w:r>
      <w:r>
        <w:rPr>
          <w:rFonts w:asciiTheme="minorEastAsia" w:eastAsiaTheme="minorEastAsia" w:hAnsiTheme="minorEastAsia" w:cstheme="minorEastAsia" w:hint="eastAsia"/>
          <w:bCs/>
          <w:sz w:val="24"/>
          <w:szCs w:val="24"/>
          <w:lang w:eastAsia="zh-CN"/>
        </w:rPr>
        <w:t>）与境外证券服务机构之间的证券交易和研究服务安排，应当严格按照《试行办法》规定的原则进行；</w:t>
      </w:r>
    </w:p>
    <w:p w14:paraId="7B20CBF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29</w:t>
      </w:r>
      <w:r>
        <w:rPr>
          <w:rFonts w:asciiTheme="minorEastAsia" w:eastAsiaTheme="minorEastAsia" w:hAnsiTheme="minorEastAsia" w:cstheme="minorEastAsia" w:hint="eastAsia"/>
          <w:bCs/>
          <w:sz w:val="24"/>
          <w:szCs w:val="24"/>
          <w:lang w:eastAsia="zh-CN"/>
        </w:rPr>
        <w:t>）进行境外证券投资，应当遵守当地监管机构、交易所的有关法律法规规定；</w:t>
      </w:r>
    </w:p>
    <w:p w14:paraId="343D825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Cs/>
          <w:sz w:val="24"/>
          <w:szCs w:val="24"/>
          <w:lang w:eastAsia="zh-CN"/>
        </w:rPr>
        <w:t>（30）</w:t>
      </w:r>
      <w:r>
        <w:rPr>
          <w:rFonts w:asciiTheme="minorEastAsia" w:eastAsiaTheme="minorEastAsia" w:hAnsiTheme="minorEastAsia" w:cstheme="minorEastAsia" w:hint="eastAsia"/>
          <w:sz w:val="24"/>
          <w:szCs w:val="24"/>
          <w:lang w:eastAsia="zh-CN"/>
        </w:rPr>
        <w:t>法律法规及中国证监会规定的和《基金合同》约定的其他义务。</w:t>
      </w:r>
    </w:p>
    <w:p w14:paraId="36BE4C0D"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bookmarkStart w:id="49" w:name="_Toc15118238"/>
      <w:bookmarkStart w:id="50" w:name="_Toc57530240"/>
      <w:bookmarkStart w:id="51" w:name="_Toc79392581"/>
      <w:r>
        <w:rPr>
          <w:rFonts w:asciiTheme="minorEastAsia" w:eastAsiaTheme="minorEastAsia" w:hAnsiTheme="minorEastAsia" w:cstheme="minorEastAsia" w:hint="eastAsia"/>
          <w:sz w:val="24"/>
          <w:szCs w:val="24"/>
          <w:lang w:eastAsia="zh-CN"/>
        </w:rPr>
        <w:t>二、基金托管人</w:t>
      </w:r>
      <w:bookmarkEnd w:id="47"/>
      <w:bookmarkEnd w:id="49"/>
      <w:bookmarkEnd w:id="50"/>
      <w:bookmarkEnd w:id="51"/>
    </w:p>
    <w:p w14:paraId="3D785FA5"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bookmarkStart w:id="52" w:name="_Toc15118239"/>
      <w:r>
        <w:rPr>
          <w:rFonts w:asciiTheme="minorEastAsia" w:eastAsiaTheme="minorEastAsia" w:hAnsiTheme="minorEastAsia" w:cstheme="minorEastAsia" w:hint="eastAsia"/>
          <w:sz w:val="24"/>
          <w:szCs w:val="24"/>
          <w:lang w:eastAsia="zh-CN"/>
        </w:rPr>
        <w:t>（一）基金托管人简况</w:t>
      </w:r>
      <w:bookmarkEnd w:id="52"/>
    </w:p>
    <w:p w14:paraId="42D72942" w14:textId="77777777" w:rsidR="00721099" w:rsidRDefault="006B4706">
      <w:pPr>
        <w:spacing w:line="360" w:lineRule="auto"/>
        <w:ind w:firstLine="480"/>
        <w:jc w:val="both"/>
        <w:rPr>
          <w:bCs/>
          <w:sz w:val="24"/>
          <w:lang w:eastAsia="zh-CN"/>
        </w:rPr>
      </w:pPr>
      <w:r>
        <w:rPr>
          <w:bCs/>
          <w:sz w:val="24"/>
          <w:lang w:eastAsia="zh-CN"/>
        </w:rPr>
        <w:t xml:space="preserve">名称：上海浦东发展银行股份有限公司 </w:t>
      </w:r>
    </w:p>
    <w:p w14:paraId="5356A271" w14:textId="77777777" w:rsidR="00721099" w:rsidRDefault="006B4706">
      <w:pPr>
        <w:spacing w:line="360" w:lineRule="auto"/>
        <w:ind w:firstLine="480"/>
        <w:jc w:val="both"/>
        <w:rPr>
          <w:bCs/>
          <w:sz w:val="24"/>
          <w:lang w:eastAsia="zh-CN"/>
        </w:rPr>
      </w:pPr>
      <w:r>
        <w:rPr>
          <w:rFonts w:hint="eastAsia"/>
          <w:bCs/>
          <w:sz w:val="24"/>
          <w:lang w:eastAsia="zh-CN"/>
        </w:rPr>
        <w:t>住所</w:t>
      </w:r>
      <w:r>
        <w:rPr>
          <w:bCs/>
          <w:sz w:val="24"/>
          <w:lang w:eastAsia="zh-CN"/>
        </w:rPr>
        <w:t>：上海市中山东一路12号</w:t>
      </w:r>
    </w:p>
    <w:p w14:paraId="3DA2B53F" w14:textId="77777777" w:rsidR="00721099" w:rsidRDefault="006B4706">
      <w:pPr>
        <w:spacing w:line="360" w:lineRule="auto"/>
        <w:ind w:firstLine="480"/>
        <w:jc w:val="both"/>
        <w:rPr>
          <w:bCs/>
          <w:sz w:val="24"/>
          <w:lang w:eastAsia="zh-CN"/>
        </w:rPr>
      </w:pPr>
      <w:r>
        <w:rPr>
          <w:rFonts w:hint="eastAsia"/>
          <w:bCs/>
          <w:sz w:val="24"/>
          <w:lang w:eastAsia="zh-CN"/>
        </w:rPr>
        <w:t>法定代表人：张为忠</w:t>
      </w:r>
    </w:p>
    <w:p w14:paraId="261016D1" w14:textId="77777777" w:rsidR="00721099" w:rsidRDefault="006B4706">
      <w:pPr>
        <w:spacing w:line="360" w:lineRule="auto"/>
        <w:ind w:firstLine="480"/>
        <w:jc w:val="both"/>
        <w:rPr>
          <w:bCs/>
          <w:sz w:val="24"/>
          <w:lang w:eastAsia="zh-CN"/>
        </w:rPr>
      </w:pPr>
      <w:r>
        <w:rPr>
          <w:rFonts w:hint="eastAsia"/>
          <w:bCs/>
          <w:sz w:val="24"/>
          <w:lang w:eastAsia="zh-CN"/>
        </w:rPr>
        <w:t>成立日期：1992年10月19日</w:t>
      </w:r>
    </w:p>
    <w:p w14:paraId="52481D1A" w14:textId="77777777" w:rsidR="00721099" w:rsidRDefault="006B4706">
      <w:pPr>
        <w:spacing w:line="360" w:lineRule="auto"/>
        <w:ind w:firstLine="480"/>
        <w:jc w:val="both"/>
        <w:rPr>
          <w:bCs/>
          <w:sz w:val="24"/>
          <w:lang w:eastAsia="zh-CN"/>
        </w:rPr>
      </w:pPr>
      <w:r>
        <w:rPr>
          <w:rFonts w:hint="eastAsia"/>
          <w:bCs/>
          <w:sz w:val="24"/>
          <w:lang w:eastAsia="zh-CN"/>
        </w:rPr>
        <w:t>组织形式：股份有限公司（上市）</w:t>
      </w:r>
    </w:p>
    <w:p w14:paraId="33914BBB" w14:textId="77777777" w:rsidR="00721099" w:rsidRDefault="006B4706">
      <w:pPr>
        <w:spacing w:line="360" w:lineRule="auto"/>
        <w:ind w:firstLine="480"/>
        <w:jc w:val="both"/>
        <w:rPr>
          <w:bCs/>
          <w:sz w:val="24"/>
          <w:lang w:eastAsia="zh-CN"/>
        </w:rPr>
      </w:pPr>
      <w:r>
        <w:rPr>
          <w:rFonts w:hint="eastAsia"/>
          <w:bCs/>
          <w:sz w:val="24"/>
          <w:lang w:eastAsia="zh-CN"/>
        </w:rPr>
        <w:t>注册资本：人民币</w:t>
      </w:r>
      <w:r>
        <w:rPr>
          <w:bCs/>
          <w:sz w:val="24"/>
          <w:lang w:eastAsia="zh-CN"/>
        </w:rPr>
        <w:t>293.52</w:t>
      </w:r>
      <w:r>
        <w:rPr>
          <w:rFonts w:hint="eastAsia"/>
          <w:bCs/>
          <w:sz w:val="24"/>
          <w:lang w:eastAsia="zh-CN"/>
        </w:rPr>
        <w:t>亿元</w:t>
      </w:r>
    </w:p>
    <w:p w14:paraId="6813243E" w14:textId="77777777" w:rsidR="00721099" w:rsidRDefault="006B4706">
      <w:pPr>
        <w:spacing w:line="360" w:lineRule="auto"/>
        <w:ind w:firstLine="480"/>
        <w:jc w:val="both"/>
        <w:rPr>
          <w:bCs/>
          <w:sz w:val="24"/>
          <w:lang w:eastAsia="zh-CN"/>
        </w:rPr>
      </w:pPr>
      <w:r>
        <w:rPr>
          <w:rFonts w:hint="eastAsia"/>
          <w:bCs/>
          <w:sz w:val="24"/>
          <w:lang w:eastAsia="zh-CN"/>
        </w:rPr>
        <w:t>存续期间：持续经营</w:t>
      </w:r>
      <w:r>
        <w:rPr>
          <w:bCs/>
          <w:sz w:val="24"/>
          <w:lang w:eastAsia="zh-CN"/>
        </w:rPr>
        <w:t xml:space="preserve"> </w:t>
      </w:r>
    </w:p>
    <w:p w14:paraId="5B7CED4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bCs/>
          <w:sz w:val="24"/>
          <w:lang w:eastAsia="zh-CN"/>
        </w:rPr>
        <w:t>基金托管资格批文及文号：证监基金字[2003]105号</w:t>
      </w:r>
    </w:p>
    <w:p w14:paraId="62A6D1F2"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（二）基金托管人的权利与义务</w:t>
      </w:r>
    </w:p>
    <w:p w14:paraId="34D10A0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1、根据《基金法》、《运作办法》及其他有关规定，基金托管人的权利包括但不限于：</w:t>
      </w:r>
    </w:p>
    <w:p w14:paraId="5279A11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（1）自《基金合同》生效之日起，依法律法规和《基金合同》的规定安全保管</w:t>
      </w:r>
      <w:r>
        <w:rPr>
          <w:rFonts w:asciiTheme="minorEastAsia" w:eastAsiaTheme="minorEastAsia" w:hAnsiTheme="minorEastAsia" w:cstheme="minorEastAsia" w:hint="eastAsia"/>
          <w:sz w:val="24"/>
          <w:szCs w:val="24"/>
          <w:lang w:eastAsia="zh-CN"/>
        </w:rPr>
        <w:lastRenderedPageBreak/>
        <w:t>基金财产；</w:t>
      </w:r>
    </w:p>
    <w:p w14:paraId="1F25588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（2）依《基金合同》约定获得基金托管费以及法律法规规定或监管部门批准的其他费用；</w:t>
      </w:r>
    </w:p>
    <w:p w14:paraId="76C1175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A9539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（4）根据相关市场规则，为基金开设资金账户、证券账户、期货账户等投资所需账户，为基金办理证券、期货交易资金清算；</w:t>
      </w:r>
    </w:p>
    <w:p w14:paraId="42F808B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（5）提议召开或召集基金份额持有人大会；</w:t>
      </w:r>
    </w:p>
    <w:p w14:paraId="4072436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（6）在基金管理人更换时，提名新的基金管理人；</w:t>
      </w:r>
    </w:p>
    <w:p w14:paraId="7A9146E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bCs/>
          <w:sz w:val="24"/>
          <w:szCs w:val="24"/>
          <w:lang w:eastAsia="zh-CN"/>
        </w:rPr>
        <w:t>选择符合《试行办法》规定的境外托管人。对基金的境外财产，基金托管人可授权境外托管人代为履行其承担的职责并与之签署有关协议；</w:t>
      </w:r>
    </w:p>
    <w:p w14:paraId="3259B60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Cs/>
          <w:sz w:val="24"/>
          <w:szCs w:val="24"/>
          <w:lang w:eastAsia="zh-CN"/>
        </w:rPr>
        <w:t>（</w:t>
      </w:r>
      <w:r>
        <w:rPr>
          <w:rFonts w:asciiTheme="minorEastAsia" w:eastAsiaTheme="minorEastAsia" w:hAnsiTheme="minorEastAsia" w:cstheme="minorEastAsia" w:hint="eastAsia"/>
          <w:bCs/>
          <w:sz w:val="24"/>
          <w:szCs w:val="24"/>
          <w:lang w:eastAsia="zh-CN"/>
        </w:rPr>
        <w:t>8</w:t>
      </w:r>
      <w:r>
        <w:rPr>
          <w:rFonts w:asciiTheme="minorEastAsia" w:eastAsiaTheme="minorEastAsia" w:hAnsiTheme="minorEastAsia" w:cstheme="minorEastAsia"/>
          <w:bCs/>
          <w:sz w:val="24"/>
          <w:szCs w:val="24"/>
          <w:lang w:eastAsia="zh-CN"/>
        </w:rPr>
        <w:t>）</w:t>
      </w:r>
      <w:r>
        <w:rPr>
          <w:rFonts w:asciiTheme="minorEastAsia" w:eastAsiaTheme="minorEastAsia" w:hAnsiTheme="minorEastAsia" w:cstheme="minorEastAsia" w:hint="eastAsia"/>
          <w:sz w:val="24"/>
          <w:szCs w:val="24"/>
          <w:lang w:eastAsia="zh-CN"/>
        </w:rPr>
        <w:t>法律法规及中国证监会规定的和《基金合同》约定的其他权利。</w:t>
      </w:r>
    </w:p>
    <w:p w14:paraId="36A907A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2、根据《基金法》、《运作办法》及其他有关规定，基金托管人的义务包括但不限于：</w:t>
      </w:r>
    </w:p>
    <w:p w14:paraId="0D986F9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（1）以诚实信用、勤勉尽责的原则持有并安全保管基金财产；</w:t>
      </w:r>
    </w:p>
    <w:p w14:paraId="2BFD8B0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（2）设立专门的基金托管部门，具有符合要求的营业场所，配备足够的、合格的熟悉基金托管业务的专职人员，负责基金财产托管事宜；</w:t>
      </w:r>
    </w:p>
    <w:p w14:paraId="38CAAA7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1F954F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（4）除依据《基金法》、《基金合同》及其他有关规定外，不得利用基金财产为自己及任何第三人谋取利益，不得委托第三人托管基金财产；</w:t>
      </w:r>
    </w:p>
    <w:p w14:paraId="653C7B9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（5）保管（或委托境外托管人保管）由基金管理人代表基金签订的与基金有关的重大合同及有关凭证；</w:t>
      </w:r>
    </w:p>
    <w:p w14:paraId="5C5F1C9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（6）按规定开设基金财产的资金账户、证券账户、期货账户等投资所需账户，按照《基金合同》的约定，根据基金管理人的投资指令，及时办理清算、交割事宜；</w:t>
      </w:r>
    </w:p>
    <w:p w14:paraId="47D9801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（7）保守基金商业秘密，除《基金法》、《基金合同》及其他有关规定另有规定外，在基金信息公开披露前予以保密，不得向他人泄露，但应监管机构、司法机</w:t>
      </w:r>
      <w:r>
        <w:rPr>
          <w:rFonts w:asciiTheme="minorEastAsia" w:eastAsiaTheme="minorEastAsia" w:hAnsiTheme="minorEastAsia" w:cstheme="minorEastAsia" w:hint="eastAsia"/>
          <w:sz w:val="24"/>
          <w:szCs w:val="24"/>
          <w:lang w:eastAsia="zh-CN"/>
        </w:rPr>
        <w:lastRenderedPageBreak/>
        <w:t>关等有权机关的要求，或因审计、法律等外部专业顾问提供服务需要提供的情况除外；</w:t>
      </w:r>
    </w:p>
    <w:p w14:paraId="7E12B52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（8）复核、审查基金管理人计算的基金资产净值、各类基金份额的基金份额净值、基金份额申购、赎回价格；</w:t>
      </w:r>
    </w:p>
    <w:p w14:paraId="2EBCCD7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（9）办理与基金托管业务活动有关的信息披露事项；</w:t>
      </w:r>
    </w:p>
    <w:p w14:paraId="1C22697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F34553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w:t>
      </w:r>
      <w:r>
        <w:rPr>
          <w:rFonts w:asciiTheme="minorEastAsia" w:eastAsiaTheme="minorEastAsia" w:hAnsiTheme="minorEastAsia" w:cstheme="minorEastAsia" w:hint="eastAsia"/>
          <w:bCs/>
          <w:sz w:val="24"/>
          <w:szCs w:val="24"/>
          <w:lang w:eastAsia="zh-CN"/>
        </w:rPr>
        <w:t>基金托管人就管理本基金的资金汇出、汇入、兑换、收汇、付汇、资金往来、委托及成交记录等相关资料，</w:t>
      </w:r>
      <w:r>
        <w:rPr>
          <w:rFonts w:asciiTheme="minorEastAsia" w:eastAsiaTheme="minorEastAsia" w:hAnsiTheme="minorEastAsia" w:cstheme="minorEastAsia" w:hint="eastAsia"/>
          <w:sz w:val="24"/>
          <w:szCs w:val="24"/>
          <w:lang w:eastAsia="zh-CN"/>
        </w:rPr>
        <w:t>保存期限不低于法律法规规定的最低期限</w:t>
      </w: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hint="eastAsia"/>
          <w:sz w:val="24"/>
          <w:szCs w:val="24"/>
          <w:lang w:eastAsia="zh-CN"/>
        </w:rPr>
        <w:t>保存基金托管业务活动的记录、账册、报表和其他相关资料，保存期限不低于法律法规规定的最低期限；</w:t>
      </w:r>
    </w:p>
    <w:p w14:paraId="45B6032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（12）从基金管理人或其委托的登记机构处接收并保存基金份额持有人名册；</w:t>
      </w:r>
    </w:p>
    <w:p w14:paraId="72A4103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（13）按规定制作相关账册并与基金管理人核对；</w:t>
      </w:r>
    </w:p>
    <w:p w14:paraId="1B0DE88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（14）依据基金管理人的指令或有关规定向基金份额持有人支付基金收益和赎回款项；</w:t>
      </w:r>
    </w:p>
    <w:p w14:paraId="7F9ECD9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（15）依据《基金法》、《基金合同》及其他有关规定，召集基金份额持有人大会或配合基金管理人、基金份额持有人依法召集基金份额持有人大会；</w:t>
      </w:r>
    </w:p>
    <w:p w14:paraId="0A41594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（16）按照法律法规和《基金合同》的规定监督基金管理人的投资运作；</w:t>
      </w:r>
    </w:p>
    <w:p w14:paraId="080A700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（17）参加基金财产清算小组，参与基金财产的保管、清理、估价、变现和分配；</w:t>
      </w:r>
    </w:p>
    <w:p w14:paraId="13788CB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（18）面临解散、依法被撤销或者被依法宣告破产时，及时报告中国证监会和银行业监督管理机构，并通知基金管理人；</w:t>
      </w:r>
    </w:p>
    <w:p w14:paraId="12BB2FF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（19）因违反《基金合同》导致基金财产损失时，应承担赔偿责任，其赔偿责任不因其退任而免除；</w:t>
      </w:r>
    </w:p>
    <w:p w14:paraId="322B9DE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（20）按规定监督基金管理人按法律法规和《基金合同》规定履行自己的义务，基金管理人因违反《基金合同》造成基金财产损失时，应为基金份额持有人利益向基金管理人追偿；</w:t>
      </w:r>
    </w:p>
    <w:p w14:paraId="4E56515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（21）执行生效的基金份额持有人大会的决议；</w:t>
      </w:r>
    </w:p>
    <w:p w14:paraId="607BFC1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sz w:val="24"/>
          <w:szCs w:val="24"/>
          <w:lang w:eastAsia="zh-CN"/>
        </w:rPr>
        <w:lastRenderedPageBreak/>
        <w:t>（22）</w:t>
      </w:r>
      <w:r>
        <w:rPr>
          <w:rFonts w:asciiTheme="minorEastAsia" w:eastAsiaTheme="minorEastAsia" w:hAnsiTheme="minorEastAsia" w:cstheme="minorEastAsia" w:hint="eastAsia"/>
          <w:bCs/>
          <w:sz w:val="24"/>
          <w:szCs w:val="24"/>
          <w:lang w:eastAsia="zh-CN"/>
        </w:rPr>
        <w:t>选择符合《试行办法》规定的境外托管人。境外托管人在履行职责过程中，因本身过错、疏忽原因而导致的基金财产受损的，基金托管人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的要求托管资产的前提下，对境外托管人的破产而产生的损失，托管人不承担责任；</w:t>
      </w:r>
    </w:p>
    <w:p w14:paraId="0F836EC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23</w:t>
      </w:r>
      <w:r>
        <w:rPr>
          <w:rFonts w:asciiTheme="minorEastAsia" w:eastAsiaTheme="minorEastAsia" w:hAnsiTheme="minorEastAsia" w:cstheme="minorEastAsia" w:hint="eastAsia"/>
          <w:bCs/>
          <w:sz w:val="24"/>
          <w:szCs w:val="24"/>
          <w:lang w:eastAsia="zh-CN"/>
        </w:rPr>
        <w:t>）保护基金份额持有人利益，按照规定对基金日常投资行为和资金汇出入情况实施监督，如发现投资指令或资金汇出入违法、违规，应当及时向中国证监会、外管局报告；</w:t>
      </w:r>
    </w:p>
    <w:p w14:paraId="403E83E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24</w:t>
      </w:r>
      <w:r>
        <w:rPr>
          <w:rFonts w:asciiTheme="minorEastAsia" w:eastAsiaTheme="minorEastAsia" w:hAnsiTheme="minorEastAsia" w:cstheme="minorEastAsia" w:hint="eastAsia"/>
          <w:bCs/>
          <w:sz w:val="24"/>
          <w:szCs w:val="24"/>
          <w:lang w:eastAsia="zh-CN"/>
        </w:rPr>
        <w:t>）安全保护基金财产，准时将公司行为信息通知基金管理人，确保基金及时收取所有应得收入；</w:t>
      </w:r>
    </w:p>
    <w:p w14:paraId="39569E5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25</w:t>
      </w:r>
      <w:r>
        <w:rPr>
          <w:rFonts w:asciiTheme="minorEastAsia" w:eastAsiaTheme="minorEastAsia" w:hAnsiTheme="minorEastAsia" w:cstheme="minorEastAsia" w:hint="eastAsia"/>
          <w:bCs/>
          <w:sz w:val="24"/>
          <w:szCs w:val="24"/>
          <w:lang w:eastAsia="zh-CN"/>
        </w:rPr>
        <w:t>）办理基金管理人就管理本基金的有关结汇、售汇、收汇、付汇和人民币资金结算业务；</w:t>
      </w:r>
    </w:p>
    <w:p w14:paraId="4B063C2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（26）</w:t>
      </w:r>
      <w:r>
        <w:rPr>
          <w:rFonts w:asciiTheme="minorEastAsia" w:eastAsiaTheme="minorEastAsia" w:hAnsiTheme="minorEastAsia" w:cstheme="minorEastAsia" w:hint="eastAsia"/>
          <w:bCs/>
          <w:sz w:val="24"/>
          <w:szCs w:val="24"/>
          <w:lang w:eastAsia="zh-CN"/>
        </w:rPr>
        <w:t>每月结束后</w:t>
      </w:r>
      <w:r>
        <w:rPr>
          <w:rFonts w:asciiTheme="minorEastAsia" w:eastAsiaTheme="minorEastAsia" w:hAnsiTheme="minorEastAsia" w:cstheme="minorEastAsia"/>
          <w:bCs/>
          <w:sz w:val="24"/>
          <w:szCs w:val="24"/>
          <w:lang w:eastAsia="zh-CN"/>
        </w:rPr>
        <w:t>7个工作日内，向中国证监会和外管局报告基金管理人境外投资情况，并按规定进行国际收支申报；</w:t>
      </w:r>
    </w:p>
    <w:p w14:paraId="493DE93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Cs/>
          <w:sz w:val="24"/>
          <w:szCs w:val="24"/>
          <w:lang w:eastAsia="zh-CN"/>
        </w:rPr>
        <w:t>（27）</w:t>
      </w:r>
      <w:r>
        <w:rPr>
          <w:rFonts w:asciiTheme="minorEastAsia" w:eastAsiaTheme="minorEastAsia" w:hAnsiTheme="minorEastAsia" w:cstheme="minorEastAsia" w:hint="eastAsia"/>
          <w:sz w:val="24"/>
          <w:szCs w:val="24"/>
          <w:lang w:eastAsia="zh-CN"/>
        </w:rPr>
        <w:t>法律法规及中国证监会、外管局规定的和《基金合同》约定的其他义务。</w:t>
      </w:r>
    </w:p>
    <w:p w14:paraId="6728253D" w14:textId="77777777" w:rsidR="00721099" w:rsidRDefault="006B4706">
      <w:pPr>
        <w:autoSpaceDE/>
        <w:autoSpaceDN/>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三、基金份额持有人</w:t>
      </w:r>
    </w:p>
    <w:p w14:paraId="0A297B9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74770EF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除法律法规另有规定或基金合同另有约定外，同一类别的每份基金份额具有同等的合法权益。</w:t>
      </w:r>
    </w:p>
    <w:p w14:paraId="1685318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1、根据《基金法》、《运作办法》及其他有关规定，基金份额持有人的权利包括但不限于：</w:t>
      </w:r>
    </w:p>
    <w:p w14:paraId="0EC908B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（1）分享基金财产收益；</w:t>
      </w:r>
    </w:p>
    <w:p w14:paraId="5161238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（2）参与分配清算后的剩余基金财产；</w:t>
      </w:r>
    </w:p>
    <w:p w14:paraId="169E0A2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（3）依法转让或者申请赎回其持有的基金份额；</w:t>
      </w:r>
    </w:p>
    <w:p w14:paraId="47F9496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（4）按照规定要求召开基金份额持有人大会或者召集基金份额持有人大会；</w:t>
      </w:r>
    </w:p>
    <w:p w14:paraId="41819AD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（5）出席或者委派代表出席基金份额持有人大会，对基金份额持有人大会审议事项行使表决权；</w:t>
      </w:r>
    </w:p>
    <w:p w14:paraId="241EA45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（6）查阅或者复制公开披露的基金信息资料；</w:t>
      </w:r>
    </w:p>
    <w:p w14:paraId="469477B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（7）监督基金管理人的投资运作；</w:t>
      </w:r>
    </w:p>
    <w:p w14:paraId="48C0E7C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（8）对基金管理人、基金托管人、基金服务机构损害其合法权益的行为依法提起诉讼或仲裁；</w:t>
      </w:r>
    </w:p>
    <w:p w14:paraId="2B89217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（9）法律法规及中国证监会规定的和《基金合同》约定的其他权利。</w:t>
      </w:r>
    </w:p>
    <w:p w14:paraId="46D5164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2、根据《基金法》、《运作办法》及其他有关规定，基金份额持有人的义务包括但不限于：</w:t>
      </w:r>
    </w:p>
    <w:p w14:paraId="77C4E2B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（1）认真阅读并遵守《基金合同》、招募说明书、基金产品资料概要等信息披露文件；</w:t>
      </w:r>
    </w:p>
    <w:p w14:paraId="573B159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（2）了解所投资基金产品，了解自身风险承受能力，自主判断基金的投资价值，自主做出投资决策，自行承担投资风险；</w:t>
      </w:r>
    </w:p>
    <w:p w14:paraId="10B762C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（3）关注基金信息披露，及时行使权利和履行义务；</w:t>
      </w:r>
    </w:p>
    <w:p w14:paraId="66550C8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（4）交纳基金认购、申购款项及法律法规和《基金合同》所规定的费用；</w:t>
      </w:r>
    </w:p>
    <w:p w14:paraId="67CDDB7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（5）在其持有的基金份额范围内，承担基金亏损或者《基金合同》终止的有限责任；</w:t>
      </w:r>
    </w:p>
    <w:p w14:paraId="5F69A1A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（6）不从事任何有损基金及其他《基金合同》当事人合法权益的活动；</w:t>
      </w:r>
    </w:p>
    <w:p w14:paraId="726B3E5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（7）执行生效的基金份额持有人大会的决议；</w:t>
      </w:r>
    </w:p>
    <w:p w14:paraId="17434BB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（8）返还在基金交易过程中因任何原因获得的不当得利；</w:t>
      </w:r>
    </w:p>
    <w:p w14:paraId="0BBBDF9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（9）法律法规及中国证监会规定的和《基金合同》约定的其他义务。</w:t>
      </w:r>
    </w:p>
    <w:p w14:paraId="417D0A88"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7509CE1B"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53" w:name="第八部分__基金份额持有人大会"/>
      <w:bookmarkStart w:id="54" w:name="第九部分__基金管理人、基金托管人的更换条件和程序"/>
      <w:bookmarkStart w:id="55" w:name="_Toc8089"/>
      <w:bookmarkStart w:id="56" w:name="_Toc4936"/>
      <w:bookmarkStart w:id="57" w:name="_Toc13796"/>
      <w:bookmarkStart w:id="58" w:name="_Toc17041"/>
      <w:bookmarkStart w:id="59" w:name="_Toc156822881"/>
      <w:bookmarkEnd w:id="53"/>
      <w:bookmarkEnd w:id="54"/>
      <w:r>
        <w:rPr>
          <w:rFonts w:asciiTheme="minorEastAsia" w:eastAsiaTheme="minorEastAsia" w:hAnsiTheme="minorEastAsia" w:cstheme="minorEastAsia" w:hint="eastAsia"/>
          <w:b/>
          <w:bCs/>
          <w:sz w:val="24"/>
          <w:szCs w:val="24"/>
          <w:lang w:eastAsia="zh-CN"/>
        </w:rPr>
        <w:lastRenderedPageBreak/>
        <w:t>第八部分 基金份额持有人大会</w:t>
      </w:r>
      <w:bookmarkEnd w:id="55"/>
      <w:bookmarkEnd w:id="56"/>
      <w:bookmarkEnd w:id="57"/>
      <w:bookmarkEnd w:id="58"/>
    </w:p>
    <w:p w14:paraId="1434E5AF"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C5C386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08ED7CE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本基金份额持有人大会不设日常机构。在本基金存续期内，根据本基金的运作需要，基金份额持有人大会可以增设日常机构，日常机构的设立与运作应当根据相关法律法规和中国证监会的规定进行。</w:t>
      </w:r>
    </w:p>
    <w:p w14:paraId="19DC579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一、召开事由</w:t>
      </w:r>
    </w:p>
    <w:p w14:paraId="3519413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1、当出现或需要决定下列事由之一的，应当召开基金份额持有人大会，但法律法规、中国证监会或基金合同另有约定的除外：</w:t>
      </w:r>
    </w:p>
    <w:p w14:paraId="24E8343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终止《基金合同》；</w:t>
      </w:r>
    </w:p>
    <w:p w14:paraId="7B27521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更换基金管理人；</w:t>
      </w:r>
    </w:p>
    <w:p w14:paraId="2E85BDE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更换基金托管人；</w:t>
      </w:r>
    </w:p>
    <w:p w14:paraId="5BD26C7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转换基金运作方式；</w:t>
      </w:r>
    </w:p>
    <w:p w14:paraId="32987B4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调整基金管理人、基金托管人的报酬标准或提高销售服务费率；</w:t>
      </w:r>
    </w:p>
    <w:p w14:paraId="1EBF4A4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变更基金类别；</w:t>
      </w:r>
    </w:p>
    <w:p w14:paraId="2B90A78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本基金与其他基金的合并；</w:t>
      </w:r>
    </w:p>
    <w:p w14:paraId="6777F94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变更基金投资目标、范围或策略；</w:t>
      </w:r>
    </w:p>
    <w:p w14:paraId="00A2EFB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9</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变更基金份额持有人大会程序；</w:t>
      </w:r>
    </w:p>
    <w:p w14:paraId="05D2E79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0</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基金管理人或基金托管人要求召开基金份额持有人大会；</w:t>
      </w:r>
    </w:p>
    <w:p w14:paraId="070A865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单独或合计持有本基金总份额10%以上（含10%）基金份额的基金份额持有人（以基金管理人收到提议当日的基金份额计算，下同）就同一事项书面要求召开基金份额持有人大会；</w:t>
      </w:r>
    </w:p>
    <w:p w14:paraId="39D05C5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对基金合同当事人权利和义务产生重大影响的其他事项；</w:t>
      </w:r>
    </w:p>
    <w:p w14:paraId="0973D1B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法律法规、《基金合同》或中国证监会规定的其他应当召开基金份额持有人大会的事项。</w:t>
      </w:r>
    </w:p>
    <w:p w14:paraId="3B41A13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2、在法律法规规定和《基金合同》约定的范围内且对基金份额持有人利益无实质性不利影响的前提下，以下情况可由基金管理人和基金托管人协商后修改，不需召开基金份额持有人大会：</w:t>
      </w:r>
    </w:p>
    <w:p w14:paraId="5FD384BD"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lastRenderedPageBreak/>
        <w:t>（1）</w:t>
      </w:r>
      <w:r>
        <w:rPr>
          <w:rFonts w:asciiTheme="minorEastAsia" w:eastAsiaTheme="minorEastAsia" w:hAnsiTheme="minorEastAsia" w:cstheme="minorEastAsia" w:hint="eastAsia"/>
          <w:sz w:val="24"/>
          <w:szCs w:val="24"/>
          <w:lang w:eastAsia="zh-CN"/>
        </w:rPr>
        <w:t>法律法规要求增加的基金费用的收取；</w:t>
      </w:r>
    </w:p>
    <w:p w14:paraId="50982FDC"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调整本基金的申购费率、降低销售服务费率、变更收费方式、调整基金份额类别设置、对基金份额分类办法及规则进行调整；</w:t>
      </w:r>
    </w:p>
    <w:p w14:paraId="7970E5A8"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因相应的法律法规发生变动而应当对《基金合同》进行修改；</w:t>
      </w:r>
    </w:p>
    <w:p w14:paraId="7B275CF5"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对《基金合同》的修改对基金份额持有人利益无实质性不利影响或修改不涉及《基金合同》当事人权利义务关系发生重大变化；</w:t>
      </w:r>
    </w:p>
    <w:p w14:paraId="302617D2"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基金管理人、登记机构、基金销售机构调整有关认购、申购、赎回、转换、基金交易、非交易过户、转托管等业务规则；</w:t>
      </w:r>
    </w:p>
    <w:p w14:paraId="406C8DA9"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履行适当程序后，基金推出新业务或服务；</w:t>
      </w:r>
    </w:p>
    <w:p w14:paraId="76F5317F"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（7）</w:t>
      </w:r>
      <w:r>
        <w:rPr>
          <w:rFonts w:asciiTheme="minorEastAsia" w:eastAsiaTheme="minorEastAsia" w:hAnsiTheme="minorEastAsia" w:cstheme="minorEastAsia" w:hint="eastAsia"/>
          <w:sz w:val="24"/>
          <w:szCs w:val="24"/>
          <w:lang w:eastAsia="zh-CN"/>
        </w:rPr>
        <w:t>根据基金实际运作情况，开通其它销售币种的申购赎回业务；</w:t>
      </w:r>
    </w:p>
    <w:p w14:paraId="0C131EB5"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（8）按照法律法规和《基金合同》规定不需召开基金份额持有人大会的其他情形。</w:t>
      </w:r>
    </w:p>
    <w:p w14:paraId="548DD01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二、会议召集人及召集方式</w:t>
      </w:r>
    </w:p>
    <w:p w14:paraId="5F7496A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1、除法律法规规定或《基金合同》另有约定外，基金份额持有人大会由基金管理人召集。</w:t>
      </w:r>
    </w:p>
    <w:p w14:paraId="16C4B3D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2、基金管理人未按规定召集或不能召集时，由基金托管人召集。</w:t>
      </w:r>
    </w:p>
    <w:p w14:paraId="13347F9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00FDC6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w:t>
      </w:r>
      <w:r>
        <w:rPr>
          <w:rFonts w:asciiTheme="minorEastAsia" w:eastAsiaTheme="minorEastAsia" w:hAnsiTheme="minorEastAsia" w:cstheme="minorEastAsia" w:hint="eastAsia"/>
          <w:sz w:val="24"/>
          <w:szCs w:val="24"/>
          <w:lang w:eastAsia="zh-CN"/>
        </w:rPr>
        <w:lastRenderedPageBreak/>
        <w:t>理人，基金管理人应当配合。</w:t>
      </w:r>
    </w:p>
    <w:p w14:paraId="5B877B1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789FE1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6、基金份额持有人会议的召集人负责选择确定开会时间、地点、方式和权益登记日。</w:t>
      </w:r>
    </w:p>
    <w:p w14:paraId="03E699C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三、召开基金份额持有人大会的通知时间、通知内容、通知方式</w:t>
      </w:r>
    </w:p>
    <w:p w14:paraId="40A6D2F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1、召开基金份额持有人大会，召集人应于会议召开前30日，在规定媒介公告。基金份额持有人大会通知应至少载明以下内容：</w:t>
      </w:r>
    </w:p>
    <w:p w14:paraId="5AF74B5B"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会议召开的时间、地点和会议形式；</w:t>
      </w:r>
    </w:p>
    <w:p w14:paraId="5C12B9CC"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会议拟审议的事项、议事程序和表决方式；</w:t>
      </w:r>
    </w:p>
    <w:p w14:paraId="556EBBD9"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有权出席基金份额持有人大会的基金份额持有人的权益登记日；</w:t>
      </w:r>
    </w:p>
    <w:p w14:paraId="14294D86"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授权委托证明的内容要求（包括但不限于代理人身份，代理权限和代理有效期限等）、送达时间和地点；</w:t>
      </w:r>
    </w:p>
    <w:p w14:paraId="0F8FD16B"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会务常设联系人姓名及联系电话；</w:t>
      </w:r>
    </w:p>
    <w:p w14:paraId="1B61B124"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出席会议者必须准备的文件和必须履行的手续；</w:t>
      </w:r>
    </w:p>
    <w:p w14:paraId="0DD57F8F"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（7）</w:t>
      </w:r>
      <w:r>
        <w:rPr>
          <w:rFonts w:asciiTheme="minorEastAsia" w:eastAsiaTheme="minorEastAsia" w:hAnsiTheme="minorEastAsia" w:cstheme="minorEastAsia" w:hint="eastAsia"/>
          <w:sz w:val="24"/>
          <w:szCs w:val="24"/>
          <w:lang w:eastAsia="zh-CN"/>
        </w:rPr>
        <w:t>召集人需要通知的其他事项。</w:t>
      </w:r>
    </w:p>
    <w:p w14:paraId="528B3D6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2BEA76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729DDB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四、基金份额持有人出席会议的方式</w:t>
      </w:r>
    </w:p>
    <w:p w14:paraId="0C2C46A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基金份额持有人大会可通过现场开会方式、通讯开会方式或法律法规、监管机构允许的其他方式召开，会议的召开方式由会议召集人确定。</w:t>
      </w:r>
    </w:p>
    <w:p w14:paraId="199FF20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813C8B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A07B86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538EE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通讯开会。通讯开会系指基金份额持有人将其对表决事项的投票以书面形式或基金合同约定的或大会公告载明的其他方式在表决截止日以前送达至召集人指定的地址。通讯开会应以书面方式或基金合同约定的或大会公告载明的其他方式进行表决。</w:t>
      </w:r>
    </w:p>
    <w:p w14:paraId="642563F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在同时符合以下条件时，通讯开会的方式视为有效：</w:t>
      </w:r>
    </w:p>
    <w:p w14:paraId="0979613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（1）会议召集人按《基金合同》约定公布会议通知后，在2个工作日内连续公布相关提示性公告；</w:t>
      </w:r>
    </w:p>
    <w:p w14:paraId="109323F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7D7A24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w:t>
      </w:r>
      <w:r>
        <w:rPr>
          <w:rFonts w:asciiTheme="minorEastAsia" w:eastAsiaTheme="minorEastAsia" w:hAnsiTheme="minorEastAsia" w:cstheme="minorEastAsia" w:hint="eastAsia"/>
          <w:sz w:val="24"/>
          <w:szCs w:val="24"/>
          <w:lang w:eastAsia="zh-CN"/>
        </w:rPr>
        <w:lastRenderedPageBreak/>
        <w:t>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26797F0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E0BAF9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在不违反法律法规和监管机关规定的情况下，本基金亦可采用网络、电话等其他非现场方式或者以非现场方式与现场方式结合的方式召开基金份额持有人大会，或者采用网络、电话、短信或其他方式授权他人代为出席会议并表决，会议程序比照现场开会和通讯方式开会的程序进行，具体方式由会议召集人确定并在会议通知中列明。</w:t>
      </w:r>
    </w:p>
    <w:p w14:paraId="415B676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五、议事内容与程序</w:t>
      </w:r>
    </w:p>
    <w:p w14:paraId="6A9BB64F"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1、议事内容及提案权</w:t>
      </w:r>
    </w:p>
    <w:p w14:paraId="72ADDC3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E75E2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基金份额持有人大会的召集人发出召集会议的通知后，对原有提案的修改应当在基金份额持有人大会召开前及时公告。</w:t>
      </w:r>
    </w:p>
    <w:p w14:paraId="51134B4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基金份额持有人大会不得对未事先公告的议事内容进行表决。</w:t>
      </w:r>
    </w:p>
    <w:p w14:paraId="6C3C4945"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2、议事程序</w:t>
      </w:r>
    </w:p>
    <w:p w14:paraId="5FD3D1C7" w14:textId="77777777" w:rsidR="00721099" w:rsidRDefault="006B4706">
      <w:pPr>
        <w:autoSpaceDE/>
        <w:autoSpaceDN/>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（1）现场开会</w:t>
      </w:r>
    </w:p>
    <w:p w14:paraId="5C23A6E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w:t>
      </w:r>
      <w:r>
        <w:rPr>
          <w:rFonts w:asciiTheme="minorEastAsia" w:eastAsiaTheme="minorEastAsia" w:hAnsiTheme="minorEastAsia" w:cstheme="minorEastAsia" w:hint="eastAsia"/>
          <w:sz w:val="24"/>
          <w:szCs w:val="24"/>
          <w:lang w:eastAsia="zh-CN"/>
        </w:rPr>
        <w:lastRenderedPageBreak/>
        <w:t>影响基金份额持有人大会作出的决议的效力。</w:t>
      </w:r>
    </w:p>
    <w:p w14:paraId="5EC7673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22CFFE74" w14:textId="77777777" w:rsidR="00721099" w:rsidRDefault="006B4706">
      <w:pPr>
        <w:adjustRightInd w:val="0"/>
        <w:snapToGrid w:val="0"/>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（2）通讯开会</w:t>
      </w:r>
    </w:p>
    <w:p w14:paraId="20616E93"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在通讯开会的情况下，首先由召集人提前30日公布提案，在所通知的表决截止日期后2个工作日内在公证机关监督下由召集人统计全部有效表决，在公证机关监督下形成决议。</w:t>
      </w:r>
    </w:p>
    <w:p w14:paraId="54DBCD5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六、表决</w:t>
      </w:r>
    </w:p>
    <w:p w14:paraId="0F61C84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基金份额持有人所持每份基金份额有一票表决权。基金份额持有人大会决议分为一般决议和特别决议：</w:t>
      </w:r>
    </w:p>
    <w:p w14:paraId="354CB8F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B61850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4739ED9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基金份额持有人大会采取记名方式进行投票表决。</w:t>
      </w:r>
    </w:p>
    <w:p w14:paraId="145D41C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8B058E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基金份额持有人大会的各项提案或同一项提案内并列的各项议题应当分开审议、逐项表决。</w:t>
      </w:r>
    </w:p>
    <w:p w14:paraId="004FCDA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七、计票</w:t>
      </w:r>
    </w:p>
    <w:p w14:paraId="1090F51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1、现场开会</w:t>
      </w:r>
    </w:p>
    <w:p w14:paraId="2417CF3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w:t>
      </w:r>
      <w:r>
        <w:rPr>
          <w:rFonts w:asciiTheme="minorEastAsia" w:eastAsiaTheme="minorEastAsia" w:hAnsiTheme="minorEastAsia" w:cstheme="minorEastAsia" w:hint="eastAsia"/>
          <w:sz w:val="24"/>
          <w:szCs w:val="24"/>
          <w:lang w:eastAsia="zh-CN"/>
        </w:rPr>
        <w:lastRenderedPageBreak/>
        <w:t>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7496D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监票人应当在基金份额持有人表决后立即进行清点并由大会主持人当场公布计票结果。</w:t>
      </w:r>
    </w:p>
    <w:p w14:paraId="53CAEAA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A98E5E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计票过程应由公证机关予以公证；基金管理人或基金托管人拒不出席大会的，不影响计票的效力。</w:t>
      </w:r>
    </w:p>
    <w:p w14:paraId="46B7C11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2、通讯开会</w:t>
      </w:r>
    </w:p>
    <w:p w14:paraId="1276FC0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9AF51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八、生效与公告</w:t>
      </w:r>
    </w:p>
    <w:p w14:paraId="55CD646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基金份额持有人大会的决议，召集人应当自通过之日起5日内报中国证监会备案。</w:t>
      </w:r>
    </w:p>
    <w:p w14:paraId="4392E22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基金份额持有人大会的决议自表决通过之日起生效。</w:t>
      </w:r>
    </w:p>
    <w:p w14:paraId="74FA8DE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4B22459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7CD54D2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九、实施侧袋机制期间基金份额持有人大会的特殊约定</w:t>
      </w:r>
    </w:p>
    <w:p w14:paraId="1DFDEF6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1D6A75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1、基金份额持有人行使提议权、召集权、提名权所需单独或合计代表相关基金份额10%以上（含10%）；</w:t>
      </w:r>
    </w:p>
    <w:p w14:paraId="12DDF19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2、现场开会的到会者在权益登记日代表的基金份额不少于本基金在权益登记日相关基金份额的二分之一（含二分之一）；</w:t>
      </w:r>
    </w:p>
    <w:p w14:paraId="678B2BC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3、通讯开会的直接出具表决意见或授权他人代表出具表决意见的基金份额持有人所持有的基金份额不小于在权益登记日相关基金份额的二分之一（含二分之一）；</w:t>
      </w:r>
    </w:p>
    <w:p w14:paraId="611AD13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CD95B6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5、现场开会由出席大会的基金份额持有人和代理人所持表决权的50%以上（含50%）选举产生一名基金份额持有人作为该次基金份额持有人大会的主持人；</w:t>
      </w:r>
    </w:p>
    <w:p w14:paraId="1995A87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6、一般决议须经参加大会的基金份额持有人或其代理人所持表决权的二分之一以上（含二分之一）通过；</w:t>
      </w:r>
    </w:p>
    <w:p w14:paraId="1D6C895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7、特别决议应当经参加大会的基金份额持有人或其代理人所持表决权的三分之二以上（含三分之二）通过。</w:t>
      </w:r>
    </w:p>
    <w:p w14:paraId="5ABE2CF1" w14:textId="77777777" w:rsidR="001E19B0"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D205ECD" w14:textId="4CCF00E0" w:rsidR="001E19B0"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侧袋机制实施期间，关于基金份额持有人大会的相关规定以本节特殊约定内容为准，本节没有规定的适用上文相关约定。</w:t>
      </w:r>
    </w:p>
    <w:p w14:paraId="5FFE42B3" w14:textId="3DE1BEE8"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3851C34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十一、法律法规或监管部门对基金份额持有人大会另有规定的，从其规定。</w:t>
      </w:r>
    </w:p>
    <w:p w14:paraId="33BCD34F"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6E033BBD"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60" w:name="_Toc15757"/>
      <w:bookmarkStart w:id="61" w:name="_Toc25016"/>
      <w:bookmarkStart w:id="62" w:name="_Toc18780"/>
      <w:bookmarkStart w:id="63" w:name="_Toc26870"/>
      <w:r>
        <w:rPr>
          <w:rFonts w:asciiTheme="minorEastAsia" w:eastAsiaTheme="minorEastAsia" w:hAnsiTheme="minorEastAsia" w:cstheme="minorEastAsia" w:hint="eastAsia"/>
          <w:b/>
          <w:bCs/>
          <w:sz w:val="24"/>
          <w:szCs w:val="24"/>
          <w:lang w:eastAsia="zh-CN"/>
        </w:rPr>
        <w:lastRenderedPageBreak/>
        <w:t>第九部分 基金管理人、基金托管人的更换条件和程序</w:t>
      </w:r>
      <w:bookmarkEnd w:id="59"/>
      <w:bookmarkEnd w:id="60"/>
      <w:bookmarkEnd w:id="61"/>
      <w:bookmarkEnd w:id="62"/>
      <w:bookmarkEnd w:id="63"/>
    </w:p>
    <w:p w14:paraId="0D17AACA"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5FFFB4D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一、基金管理人和基金托管人职责终止的情形</w:t>
      </w:r>
    </w:p>
    <w:p w14:paraId="6FCA65F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（一）基金管理人职责终止的情形</w:t>
      </w:r>
    </w:p>
    <w:p w14:paraId="42B5985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有下列情形之一的，基金管理人职责终止：</w:t>
      </w:r>
    </w:p>
    <w:p w14:paraId="4BA2B1C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1、被依法取消基金管理资格；</w:t>
      </w:r>
    </w:p>
    <w:p w14:paraId="3B89F2A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2、被基金份额持有人大会解任；</w:t>
      </w:r>
    </w:p>
    <w:p w14:paraId="362F040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3、依法解散、被依法撤销或被依法宣告破产；</w:t>
      </w:r>
    </w:p>
    <w:p w14:paraId="44BB4B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4、法律法规及中国证监会规定的和《基金合同》约定的其他情形。</w:t>
      </w:r>
    </w:p>
    <w:p w14:paraId="604F32F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（二）基金托管人职责终止的情形</w:t>
      </w:r>
    </w:p>
    <w:p w14:paraId="59635BD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有下列情形之一的，基金托管人职责终止：</w:t>
      </w:r>
    </w:p>
    <w:p w14:paraId="53C80C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1、被依法取消基金托管资格；</w:t>
      </w:r>
    </w:p>
    <w:p w14:paraId="3C899F8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2、被基金份额持有人大会解任；</w:t>
      </w:r>
    </w:p>
    <w:p w14:paraId="06B8E59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3、依法解散、被依法撤销或被依法宣告破产；</w:t>
      </w:r>
    </w:p>
    <w:p w14:paraId="5364C7A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4、法律法规及中国证监会规定的和《基金合同》约定的其他情形。</w:t>
      </w:r>
    </w:p>
    <w:p w14:paraId="7E4BAD0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二、基金管理人和基金托管人的更换程序</w:t>
      </w:r>
    </w:p>
    <w:p w14:paraId="383934E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（一）基金管理人的更换程序</w:t>
      </w:r>
    </w:p>
    <w:p w14:paraId="05AFD35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1、提名：新任基金管理人由基金托管人或由单独或合计持有10%以上（含10%）基金份额的基金份额持有人提名；</w:t>
      </w:r>
    </w:p>
    <w:p w14:paraId="454BA4B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1FBFBB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3、临时基金管理人：新任基金管理人产生之前，由中国证监会指定临时基金管理人；</w:t>
      </w:r>
    </w:p>
    <w:p w14:paraId="3AF39A0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4、备案：基金份额持有人大会更换基金管理人的决议须报中国证监会备案；</w:t>
      </w:r>
    </w:p>
    <w:p w14:paraId="2E67F70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5、公告：基金管理人更换后，由基金托管人在更换基金管理人的基金份额持有人大会决议生效后依照《信息披露办法》的有关规定在规定媒介公告；</w:t>
      </w:r>
    </w:p>
    <w:p w14:paraId="657B954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w:t>
      </w:r>
      <w:r>
        <w:rPr>
          <w:rFonts w:asciiTheme="minorEastAsia" w:eastAsiaTheme="minorEastAsia" w:hAnsiTheme="minorEastAsia" w:cstheme="minorEastAsia" w:hint="eastAsia"/>
          <w:sz w:val="24"/>
          <w:szCs w:val="24"/>
          <w:lang w:eastAsia="zh-CN"/>
        </w:rPr>
        <w:lastRenderedPageBreak/>
        <w:t>托管人核对基金资产总值和基金资产净值；</w:t>
      </w:r>
    </w:p>
    <w:p w14:paraId="511B0D0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7、审计：基金管理人职责终止的，应当按照法律法规规定聘请会计师事务所对基金财产进行审计，并将审计结果予以公告，同时报中国证监会备案，审计费用从基金财产中列支；</w:t>
      </w:r>
    </w:p>
    <w:p w14:paraId="15CEA00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8、基金名称变更：基金管理人更换后，如果原任或新任基金管理人要求，应按其要求替换或删除基金名称中与原基金管理人有关的名称字样。</w:t>
      </w:r>
    </w:p>
    <w:p w14:paraId="32DDFD0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（二）基金托管人的更换程序</w:t>
      </w:r>
    </w:p>
    <w:p w14:paraId="059A357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1、提名：新任基金托管人由基金管理人或由单独或合计持有10%以上（含10%）基金份额的基金份额持有人提名；</w:t>
      </w:r>
    </w:p>
    <w:p w14:paraId="0802C22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CDFC9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3、临时基金托管人：新任基金托管人产生之前，由中国证监会指定临时基金托管人；</w:t>
      </w:r>
    </w:p>
    <w:p w14:paraId="60452A6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4、备案：基金份额持有人大会更换基金托管人的决议须报中国证监会备案；</w:t>
      </w:r>
    </w:p>
    <w:p w14:paraId="5879749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5、公告：基金托管人更换后，由基金管理人在更换基金托管人的基金份额持有人大会决议生效后依照《信息披露办法》的有关规定在规定媒介公告；</w:t>
      </w:r>
    </w:p>
    <w:p w14:paraId="467A61E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600BAD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7、审计：基金托管人职责终止的，应当按照法律法规规定聘请会计师事务所对基金财产进行审计，并将审计结果予以公告，同时报中国证监会备案，审计费用从基金财产中列支。</w:t>
      </w:r>
    </w:p>
    <w:p w14:paraId="3B011B4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（三）基金管理人与基金托管人同时更换的条件和程序</w:t>
      </w:r>
    </w:p>
    <w:p w14:paraId="348150A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1、提名：如果基金管理人和基金托管人同时更换，由单独或合计持有基金总份额10%以上（含10%）的基金份额持有人提名新的基金管理人和基金托管人；</w:t>
      </w:r>
    </w:p>
    <w:p w14:paraId="5FFF33C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2、基金管理人和基金托管人的更换分别按上述程序进行；</w:t>
      </w:r>
    </w:p>
    <w:p w14:paraId="5C71A2A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3、公告：新任基金管理人和新任基金托管人应在更换基金管理人和基金托管人的基金份额持有人大会决议生效后依照《信息披露办法》的有关规定在规定媒介上</w:t>
      </w:r>
      <w:r>
        <w:rPr>
          <w:rFonts w:asciiTheme="minorEastAsia" w:eastAsiaTheme="minorEastAsia" w:hAnsiTheme="minorEastAsia" w:cstheme="minorEastAsia" w:hint="eastAsia"/>
          <w:sz w:val="24"/>
          <w:szCs w:val="24"/>
          <w:lang w:eastAsia="zh-CN"/>
        </w:rPr>
        <w:lastRenderedPageBreak/>
        <w:t>联合公告。</w:t>
      </w:r>
    </w:p>
    <w:p w14:paraId="0E7A6A5E" w14:textId="77777777"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bookmarkStart w:id="64" w:name="_Hlk207118016"/>
      <w:r>
        <w:rPr>
          <w:rFonts w:asciiTheme="minorEastAsia" w:eastAsiaTheme="minorEastAsia" w:hAnsiTheme="minorEastAsia" w:cstheme="minorEastAsia" w:hint="eastAsia"/>
          <w:bCs/>
          <w:sz w:val="24"/>
          <w:szCs w:val="24"/>
          <w:lang w:eastAsia="zh-CN"/>
        </w:rPr>
        <w:t>（四）境外</w:t>
      </w:r>
      <w:r>
        <w:rPr>
          <w:rFonts w:asciiTheme="minorEastAsia" w:eastAsiaTheme="minorEastAsia" w:hAnsiTheme="minorEastAsia" w:cstheme="minorEastAsia"/>
          <w:bCs/>
          <w:sz w:val="24"/>
          <w:szCs w:val="24"/>
          <w:lang w:eastAsia="zh-CN"/>
        </w:rPr>
        <w:t>托管人的更换</w:t>
      </w:r>
    </w:p>
    <w:p w14:paraId="094F4F60" w14:textId="77777777"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1、如果基金托管人更换境外托管人，应在合理的期限内及时书面通知基金管理人；</w:t>
      </w:r>
    </w:p>
    <w:p w14:paraId="42A4C455" w14:textId="77777777"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2、基金托管人和境外托管人根据更换境外托管人通知办理相应的业务交接手续，在办理相应的业务交接手续时，基金托管人和境外托管人应继续遵循诚实信用、勤勉尽责的原则，妥善保管基金财产；</w:t>
      </w:r>
    </w:p>
    <w:p w14:paraId="460CBC08" w14:textId="77777777"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3、基金托管人应要求接任的境外托管人配合原境外托管人办理业务交接手续；</w:t>
      </w:r>
    </w:p>
    <w:p w14:paraId="71965FDC" w14:textId="77777777"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4、在新的境外托管人履行职责前，原境外托管人应继续履行</w:t>
      </w:r>
      <w:r>
        <w:rPr>
          <w:rFonts w:asciiTheme="minorEastAsia" w:eastAsiaTheme="minorEastAsia" w:hAnsiTheme="minorEastAsia" w:cstheme="minorEastAsia" w:hint="eastAsia"/>
          <w:bCs/>
          <w:sz w:val="24"/>
          <w:szCs w:val="24"/>
          <w:lang w:eastAsia="zh-CN"/>
        </w:rPr>
        <w:t>相关</w:t>
      </w:r>
      <w:r>
        <w:rPr>
          <w:rFonts w:asciiTheme="minorEastAsia" w:eastAsiaTheme="minorEastAsia" w:hAnsiTheme="minorEastAsia" w:cstheme="minorEastAsia"/>
          <w:bCs/>
          <w:sz w:val="24"/>
          <w:szCs w:val="24"/>
          <w:lang w:eastAsia="zh-CN"/>
        </w:rPr>
        <w:t>协议项下的托管职责，但基金托管人应支付相应的合理托管费用；</w:t>
      </w:r>
    </w:p>
    <w:p w14:paraId="30E87CC6" w14:textId="0E2C4543"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5、因基金托管人</w:t>
      </w:r>
      <w:r>
        <w:rPr>
          <w:rFonts w:asciiTheme="minorEastAsia" w:eastAsiaTheme="minorEastAsia" w:hAnsiTheme="minorEastAsia" w:cstheme="minorEastAsia" w:hint="eastAsia"/>
          <w:bCs/>
          <w:sz w:val="24"/>
          <w:szCs w:val="24"/>
          <w:lang w:eastAsia="zh-CN"/>
        </w:rPr>
        <w:t>的原因</w:t>
      </w:r>
      <w:r>
        <w:rPr>
          <w:rFonts w:asciiTheme="minorEastAsia" w:eastAsiaTheme="minorEastAsia" w:hAnsiTheme="minorEastAsia" w:cstheme="minorEastAsia"/>
          <w:bCs/>
          <w:sz w:val="24"/>
          <w:szCs w:val="24"/>
          <w:lang w:eastAsia="zh-CN"/>
        </w:rPr>
        <w:t>更换境外托管人而进行的资产转移所产生的费用由基金托管人承担，否则由基金资产承担；</w:t>
      </w:r>
    </w:p>
    <w:p w14:paraId="62078986" w14:textId="77777777" w:rsidR="00721099" w:rsidRDefault="006B4706">
      <w:pPr>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6、变更境外托管人后5个工作日内应向中国证监会备案并依照《信息披露办法》的有关规定在规定媒介上公告。</w:t>
      </w:r>
      <w:bookmarkEnd w:id="64"/>
    </w:p>
    <w:p w14:paraId="5633D27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14:paraId="1D1DF1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0C98625"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6E2C08F0"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65" w:name="第十部分__基金的托管"/>
      <w:bookmarkStart w:id="66" w:name="_Toc16546"/>
      <w:bookmarkStart w:id="67" w:name="_Toc6562"/>
      <w:bookmarkStart w:id="68" w:name="_Toc156822882"/>
      <w:bookmarkStart w:id="69" w:name="_Toc4032"/>
      <w:bookmarkStart w:id="70" w:name="_Toc2294"/>
      <w:bookmarkEnd w:id="65"/>
      <w:r>
        <w:rPr>
          <w:rFonts w:asciiTheme="minorEastAsia" w:eastAsiaTheme="minorEastAsia" w:hAnsiTheme="minorEastAsia" w:cstheme="minorEastAsia" w:hint="eastAsia"/>
          <w:b/>
          <w:bCs/>
          <w:sz w:val="24"/>
          <w:szCs w:val="24"/>
          <w:lang w:eastAsia="zh-CN"/>
        </w:rPr>
        <w:lastRenderedPageBreak/>
        <w:t>第十部分 基金的托管</w:t>
      </w:r>
      <w:bookmarkEnd w:id="66"/>
      <w:bookmarkEnd w:id="67"/>
      <w:bookmarkEnd w:id="68"/>
      <w:bookmarkEnd w:id="69"/>
      <w:bookmarkEnd w:id="70"/>
    </w:p>
    <w:p w14:paraId="2A5FD4AD"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396EC37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基金托管人和基金管理人按照《基金法》、《基金合同》及其他有关规定订立托管协议。</w:t>
      </w:r>
    </w:p>
    <w:p w14:paraId="694EA00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85DEB90" w14:textId="64A76C38"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sz w:val="24"/>
          <w:szCs w:val="24"/>
          <w:lang w:eastAsia="zh-CN"/>
        </w:rPr>
        <w:t>基金托管人可以委托符合《试行办法》规定条件的境外托管人负责境外资产托管业务。境外托管人根据基金托管人的委托履行其相应职责。基金托管人应当与境外托管人签署相应的协议，用以规范基金托管人与境外托管人之间的权利义务。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规则与惯例决定。但基金托管人在已按照谨慎、尽职的原则选择、委任和监督境外托管人，且境外托管人已按照当地法律法规的要求托管资产的前提下，对境外托管人的破产而产生的损失，基金托管人不承担责任。基金托管人应在获得基金管理人的指令且基金财产承担相关费用的前提下，积极采取措施进行追偿，基金管理人应予配合。</w:t>
      </w:r>
    </w:p>
    <w:p w14:paraId="16229D93"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4903D4F6"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330DC2ED"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71" w:name="第十一部分__基金份额的登记"/>
      <w:bookmarkStart w:id="72" w:name="_Toc156822883"/>
      <w:bookmarkStart w:id="73" w:name="_Toc25376"/>
      <w:bookmarkStart w:id="74" w:name="_Toc20562"/>
      <w:bookmarkStart w:id="75" w:name="_Toc21860"/>
      <w:bookmarkStart w:id="76" w:name="_Toc6275"/>
      <w:bookmarkEnd w:id="71"/>
      <w:r>
        <w:rPr>
          <w:rFonts w:asciiTheme="minorEastAsia" w:eastAsiaTheme="minorEastAsia" w:hAnsiTheme="minorEastAsia" w:cstheme="minorEastAsia" w:hint="eastAsia"/>
          <w:b/>
          <w:bCs/>
          <w:sz w:val="24"/>
          <w:szCs w:val="24"/>
          <w:lang w:eastAsia="zh-CN"/>
        </w:rPr>
        <w:lastRenderedPageBreak/>
        <w:t>第十一部分 基金份额的登记</w:t>
      </w:r>
      <w:bookmarkEnd w:id="72"/>
      <w:bookmarkEnd w:id="73"/>
      <w:bookmarkEnd w:id="74"/>
      <w:bookmarkEnd w:id="75"/>
      <w:bookmarkEnd w:id="76"/>
    </w:p>
    <w:p w14:paraId="31FBC49B"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22B2453A"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一、基金份额的登记业务</w:t>
      </w:r>
    </w:p>
    <w:p w14:paraId="2C16908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8B31EF9"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二、基金登记业务办理机构</w:t>
      </w:r>
    </w:p>
    <w:p w14:paraId="0AB81C7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427B06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三、基金登记机构的权利</w:t>
      </w:r>
    </w:p>
    <w:p w14:paraId="11A756B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基金登记机构享有以下权利：</w:t>
      </w:r>
    </w:p>
    <w:p w14:paraId="5BB617D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1、取得登记费；</w:t>
      </w:r>
    </w:p>
    <w:p w14:paraId="73BCCAB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2、建立和管理投资者基金账户；</w:t>
      </w:r>
    </w:p>
    <w:p w14:paraId="2CBA09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3、保管基金份额持有人开户资料、交易资料、基金份额持有人名册等；</w:t>
      </w:r>
    </w:p>
    <w:p w14:paraId="780E3BA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4、在法律法规允许的范围内，对登记业务的办理时间进行调整，并依照有关规定于开始实施前在规定媒介上公告；</w:t>
      </w:r>
    </w:p>
    <w:p w14:paraId="5514053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5、法律法规及中国证监会规定的和《基金合同》约定的其他权利。</w:t>
      </w:r>
    </w:p>
    <w:p w14:paraId="7C18A64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四、基金登记机构的义务</w:t>
      </w:r>
    </w:p>
    <w:p w14:paraId="58B004C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基金登记机构承担以下义务：</w:t>
      </w:r>
    </w:p>
    <w:p w14:paraId="73B514F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1、配备足够的专业人员办理本基金份额的登记业务；</w:t>
      </w:r>
    </w:p>
    <w:p w14:paraId="04F3636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2、严格按照法律法规和《基金合同》规定的条件办理本基金份额的登记业务；</w:t>
      </w:r>
    </w:p>
    <w:p w14:paraId="0838A46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3、妥善保存登记数据，并将基金份额持有人名称、身份信息及基金份额明细等数据备份至中国证监会认定的机构。其保存期限自基金账户销户之日起不得少于法定最低期限；</w:t>
      </w:r>
    </w:p>
    <w:p w14:paraId="000802A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E5A5E1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5、按《基金合同》及招募说明书规定为投资者办理非交易过户业务、提供其他必要的服务；</w:t>
      </w:r>
    </w:p>
    <w:p w14:paraId="7BD9672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6、接受基金管理人的监督；</w:t>
      </w:r>
    </w:p>
    <w:p w14:paraId="5E5680B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7、法律法规及中国证监会规定的和《基金合同》约定的其他义务。</w:t>
      </w:r>
    </w:p>
    <w:p w14:paraId="3794753F"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5562D564"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77" w:name="第十二部分__基金的投资"/>
      <w:bookmarkStart w:id="78" w:name="_Toc156822884"/>
      <w:bookmarkStart w:id="79" w:name="_Toc9391"/>
      <w:bookmarkStart w:id="80" w:name="_Toc19108"/>
      <w:bookmarkStart w:id="81" w:name="_Toc934"/>
      <w:bookmarkStart w:id="82" w:name="_Toc32427"/>
      <w:bookmarkEnd w:id="77"/>
      <w:r>
        <w:rPr>
          <w:rFonts w:asciiTheme="minorEastAsia" w:eastAsiaTheme="minorEastAsia" w:hAnsiTheme="minorEastAsia" w:cstheme="minorEastAsia" w:hint="eastAsia"/>
          <w:b/>
          <w:bCs/>
          <w:sz w:val="24"/>
          <w:szCs w:val="24"/>
          <w:lang w:eastAsia="zh-CN"/>
        </w:rPr>
        <w:lastRenderedPageBreak/>
        <w:t>第十二部分 基金的投资</w:t>
      </w:r>
      <w:bookmarkEnd w:id="78"/>
      <w:bookmarkEnd w:id="79"/>
      <w:bookmarkEnd w:id="80"/>
      <w:bookmarkEnd w:id="81"/>
      <w:bookmarkEnd w:id="82"/>
    </w:p>
    <w:p w14:paraId="4BA13F8F"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04102FD0"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一、投资目标</w:t>
      </w:r>
    </w:p>
    <w:p w14:paraId="7C06F06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本基金主要投资港股医疗主题相关证券资产，在严格控制风险的前提下，力争实现基金资产的长期稳健增值。</w:t>
      </w:r>
    </w:p>
    <w:p w14:paraId="2562DF22"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bookmarkStart w:id="83" w:name="_Hlk207360928"/>
      <w:r>
        <w:rPr>
          <w:rFonts w:asciiTheme="minorEastAsia" w:eastAsiaTheme="minorEastAsia" w:hAnsiTheme="minorEastAsia" w:cstheme="minorEastAsia" w:hint="eastAsia"/>
          <w:sz w:val="24"/>
          <w:szCs w:val="24"/>
          <w:lang w:eastAsia="zh-CN"/>
        </w:rPr>
        <w:t>二、投资范围</w:t>
      </w:r>
    </w:p>
    <w:p w14:paraId="5D16E155" w14:textId="63C33476" w:rsidR="00721099" w:rsidRDefault="006B4706" w:rsidP="00E421F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境外市场投资工具包括在</w:t>
      </w:r>
      <w:r w:rsidR="00386AF4">
        <w:rPr>
          <w:rFonts w:ascii="Times New Roman" w:hAnsi="Times New Roman" w:hint="eastAsia"/>
          <w:bCs/>
          <w:sz w:val="24"/>
          <w:lang w:eastAsia="zh-CN"/>
        </w:rPr>
        <w:t>香港</w:t>
      </w:r>
      <w:r>
        <w:rPr>
          <w:rFonts w:ascii="Times New Roman" w:hAnsi="Times New Roman"/>
          <w:bCs/>
          <w:sz w:val="24"/>
          <w:lang w:eastAsia="zh-CN"/>
        </w:rPr>
        <w:t>证券监管机构登记注册的公募基金（包括开放式基金和交易型开放式基金（</w:t>
      </w:r>
      <w:r>
        <w:rPr>
          <w:rFonts w:ascii="Times New Roman" w:hAnsi="Times New Roman"/>
          <w:bCs/>
          <w:sz w:val="24"/>
          <w:lang w:eastAsia="zh-CN"/>
        </w:rPr>
        <w:t>ETF</w:t>
      </w:r>
      <w:r>
        <w:rPr>
          <w:rFonts w:ascii="Times New Roman" w:hAnsi="Times New Roman"/>
          <w:bCs/>
          <w:sz w:val="24"/>
          <w:lang w:eastAsia="zh-CN"/>
        </w:rPr>
        <w:t>））；</w:t>
      </w:r>
      <w:r w:rsidR="00E421F6" w:rsidRPr="00E421F6">
        <w:rPr>
          <w:rFonts w:ascii="Times New Roman" w:hAnsi="Times New Roman" w:hint="eastAsia"/>
          <w:bCs/>
          <w:sz w:val="24"/>
          <w:lang w:eastAsia="zh-CN"/>
        </w:rPr>
        <w:t>香港证券市场挂牌交易的普通股、优先股、存托凭证</w:t>
      </w:r>
      <w:r>
        <w:rPr>
          <w:rFonts w:ascii="Times New Roman" w:hAnsi="Times New Roman" w:hint="eastAsia"/>
          <w:bCs/>
          <w:sz w:val="24"/>
          <w:lang w:eastAsia="zh-CN"/>
        </w:rPr>
        <w:t>（含港股通标的股票）；政府债券、公司债券（包括公司发行的金融债券）、</w:t>
      </w:r>
      <w:r>
        <w:rPr>
          <w:rFonts w:ascii="Times New Roman" w:hAnsi="Times New Roman"/>
          <w:bCs/>
          <w:sz w:val="24"/>
          <w:lang w:eastAsia="zh-CN"/>
        </w:rPr>
        <w:t>可转换债券、住房按揭支持证券、资产支持证券</w:t>
      </w:r>
      <w:r>
        <w:rPr>
          <w:rFonts w:ascii="Times New Roman" w:hAnsi="Times New Roman" w:hint="eastAsia"/>
          <w:bCs/>
          <w:sz w:val="24"/>
          <w:lang w:eastAsia="zh-CN"/>
        </w:rPr>
        <w:t>等</w:t>
      </w:r>
      <w:r>
        <w:rPr>
          <w:rFonts w:ascii="Times New Roman" w:hAnsi="Times New Roman"/>
          <w:bCs/>
          <w:sz w:val="24"/>
          <w:lang w:eastAsia="zh-CN"/>
        </w:rPr>
        <w:t>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可以进行境外证券借贷交易、境外正回购交易、逆回购交易。</w:t>
      </w:r>
    </w:p>
    <w:p w14:paraId="51CF6CBE"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bCs/>
          <w:sz w:val="24"/>
          <w:lang w:eastAsia="zh-CN"/>
        </w:rPr>
        <w:t>境内市场投资工具</w:t>
      </w:r>
      <w:r>
        <w:rPr>
          <w:rFonts w:ascii="Times New Roman" w:hAnsi="Times New Roman" w:hint="eastAsia"/>
          <w:bCs/>
          <w:sz w:val="24"/>
          <w:lang w:eastAsia="zh-CN"/>
        </w:rPr>
        <w:t>包括国内依法发行上市的股票（包括主板、创业板、科创板及其他中国证监会允许上市的股票、存托凭证）、衍生工具（股指期货、国债期货、股票期权）、债券（包括国债、地方政府债券、政府支持机构债券、政府支持债券、金融债、企业债、公司债、次级债、可转换债券、可交换债券、分离交易可转债、央行票据、中期票据、短期融资券、超短期融资券等）、资产支持证券、信用衍生品、债券回购、银行存款（包括协议存款、定期存款及其他银行存款）、同业存单、货币市场工具</w:t>
      </w:r>
      <w:r>
        <w:rPr>
          <w:rFonts w:ascii="Times New Roman" w:hAnsi="Times New Roman"/>
          <w:sz w:val="24"/>
          <w:lang w:eastAsia="zh-CN"/>
        </w:rPr>
        <w:t>、现金以及法律法规或中国证监会允许基金投资的其他金融工具（但须符合中国证监会的相关规定）。本基金将根据法律法规的规定参与融资业务。</w:t>
      </w:r>
    </w:p>
    <w:p w14:paraId="1D8BA05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香港市场可通过合格境内机构投资者（</w:t>
      </w:r>
      <w:r>
        <w:rPr>
          <w:sz w:val="24"/>
          <w:szCs w:val="24"/>
          <w:lang w:eastAsia="zh-CN"/>
        </w:rPr>
        <w:t>QDII）境外投资额度、内地与香港股票市场交易互联互通机制或内地与香港债券市场互联互通南向合作进行投资。</w:t>
      </w:r>
    </w:p>
    <w:p w14:paraId="109247D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如法律法规或中国证监会以后允许基金投资其他品种，本基金管理人在履行适当程序后，可以将其纳入本基金的投资范围。</w:t>
      </w:r>
    </w:p>
    <w:p w14:paraId="56DA41E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基金的投资组合比例为：本基金股票资产（含普通股、优先股、港股通标的股票、存托凭证等）占基金资产的比例不低于</w:t>
      </w:r>
      <w:r>
        <w:rPr>
          <w:rFonts w:asciiTheme="minorEastAsia" w:eastAsiaTheme="minorEastAsia" w:hAnsiTheme="minorEastAsia" w:cstheme="minorEastAsia"/>
          <w:sz w:val="24"/>
          <w:szCs w:val="24"/>
          <w:lang w:eastAsia="zh-CN"/>
        </w:rPr>
        <w:t>80%，其中投资于港股医疗主题的股票不</w:t>
      </w:r>
      <w:r>
        <w:rPr>
          <w:rFonts w:asciiTheme="minorEastAsia" w:eastAsiaTheme="minorEastAsia" w:hAnsiTheme="minorEastAsia" w:cstheme="minorEastAsia"/>
          <w:sz w:val="24"/>
          <w:szCs w:val="24"/>
          <w:lang w:eastAsia="zh-CN"/>
        </w:rPr>
        <w:lastRenderedPageBreak/>
        <w:t>低于非现金基金资产的80%。每个交易日日终，在扣除股指期货、国债期货和股票期权合约需缴纳的交易保证金后，本基金应当保持不低于基金资产净值5%的现金（不包括结算备付金、存出保证金、应收申购款等）或到期日在一年以内的政府债券。</w:t>
      </w:r>
    </w:p>
    <w:p w14:paraId="0E1FAD2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如果法律法规或中国证监会允许基金变更投资品种的投资比例限制，基金管理人在履行适当程序后，可以调整上述投资品种的投资比例。</w:t>
      </w:r>
    </w:p>
    <w:bookmarkEnd w:id="83"/>
    <w:p w14:paraId="6B8ED8B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三、投资策略</w:t>
      </w:r>
    </w:p>
    <w:p w14:paraId="50C268C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通过定量、定性相结合的方法综合分析宏观经济、财政及货币政策、市场情绪、行业周期、资金供需情况以及资本市场的发展趋势，在评估未来一段时间各类资产的预期风险收益率、相关性的基础上，合理制定和调整各类资产的比例，并进行动态调整。</w:t>
      </w:r>
    </w:p>
    <w:p w14:paraId="4D3B6FE4"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1、股票投资策略</w:t>
      </w:r>
    </w:p>
    <w:p w14:paraId="2E9D776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本基金深度挖掘港股医疗主题股票的投资机会，综合采用定量分析和定性分析相结合的研究方法挖掘优质公司，构建股票投资组合。</w:t>
      </w:r>
    </w:p>
    <w:p w14:paraId="69FAF0C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（1）港股医疗主题的界定</w:t>
      </w:r>
    </w:p>
    <w:p w14:paraId="7D60B75E" w14:textId="77777777" w:rsidR="009C1D98" w:rsidRPr="009C1D98" w:rsidRDefault="009C1D98" w:rsidP="009C1D98">
      <w:pPr>
        <w:spacing w:line="360" w:lineRule="auto"/>
        <w:ind w:firstLineChars="200" w:firstLine="480"/>
        <w:jc w:val="both"/>
        <w:rPr>
          <w:rFonts w:asciiTheme="minorEastAsia" w:eastAsiaTheme="minorEastAsia" w:hAnsiTheme="minorEastAsia" w:cstheme="minorEastAsia"/>
          <w:sz w:val="24"/>
          <w:szCs w:val="24"/>
          <w:lang w:eastAsia="zh-CN"/>
        </w:rPr>
      </w:pPr>
      <w:r w:rsidRPr="009C1D98">
        <w:rPr>
          <w:rFonts w:asciiTheme="minorEastAsia" w:eastAsiaTheme="minorEastAsia" w:hAnsiTheme="minorEastAsia" w:cstheme="minorEastAsia" w:hint="eastAsia"/>
          <w:sz w:val="24"/>
          <w:szCs w:val="24"/>
          <w:lang w:eastAsia="zh-CN"/>
        </w:rPr>
        <w:t>本基金基于行业景气度、公司竞争力进行深入研究，聚焦有长期投资价值的，符合港股医疗主题的优质公司。本基金所指港股医疗主题公司，主要指在香港联交所上市交易且以医疗、医药相关业务为主营业务的公司。</w:t>
      </w:r>
    </w:p>
    <w:p w14:paraId="02678EE2" w14:textId="2D7E44F1" w:rsidR="009C1D98" w:rsidRPr="009C1D98" w:rsidRDefault="009C1D98" w:rsidP="009C1D98">
      <w:pPr>
        <w:spacing w:line="360" w:lineRule="auto"/>
        <w:ind w:firstLineChars="200" w:firstLine="480"/>
        <w:jc w:val="both"/>
        <w:rPr>
          <w:rFonts w:asciiTheme="minorEastAsia" w:eastAsiaTheme="minorEastAsia" w:hAnsiTheme="minorEastAsia" w:cstheme="minorEastAsia"/>
          <w:sz w:val="24"/>
          <w:szCs w:val="24"/>
          <w:lang w:eastAsia="zh-CN"/>
        </w:rPr>
      </w:pPr>
      <w:r w:rsidRPr="009C1D98">
        <w:rPr>
          <w:rFonts w:asciiTheme="minorEastAsia" w:eastAsiaTheme="minorEastAsia" w:hAnsiTheme="minorEastAsia" w:cstheme="minorEastAsia" w:hint="eastAsia"/>
          <w:sz w:val="24"/>
          <w:szCs w:val="24"/>
          <w:lang w:eastAsia="zh-CN"/>
        </w:rPr>
        <w:t>其中，“医药”板块主要指“药”与“相关技术及服务”的研发、生产、销售及相关技术支持，其核心是产品导向，关注用于预防、治疗和诊断疾病的物质、技术和方法，主要涵盖医药原料、化学制药、中药</w:t>
      </w:r>
      <w:r>
        <w:rPr>
          <w:rFonts w:asciiTheme="minorEastAsia" w:eastAsiaTheme="minorEastAsia" w:hAnsiTheme="minorEastAsia" w:cstheme="minorEastAsia" w:hint="eastAsia"/>
          <w:sz w:val="24"/>
          <w:szCs w:val="24"/>
          <w:lang w:eastAsia="zh-CN"/>
        </w:rPr>
        <w:t>、</w:t>
      </w:r>
      <w:r w:rsidRPr="009C1D98">
        <w:rPr>
          <w:rFonts w:asciiTheme="minorEastAsia" w:eastAsiaTheme="minorEastAsia" w:hAnsiTheme="minorEastAsia" w:cstheme="minorEastAsia" w:hint="eastAsia"/>
          <w:sz w:val="24"/>
          <w:szCs w:val="24"/>
          <w:lang w:eastAsia="zh-CN"/>
        </w:rPr>
        <w:t>生物制品、高端制剂、医药商业、医药流通、药物包材等。</w:t>
      </w:r>
    </w:p>
    <w:p w14:paraId="5AF2EE62" w14:textId="4BFD8036" w:rsidR="00721099" w:rsidRDefault="009C1D98" w:rsidP="009C1D98">
      <w:pPr>
        <w:spacing w:line="360" w:lineRule="auto"/>
        <w:ind w:firstLineChars="200" w:firstLine="480"/>
        <w:jc w:val="both"/>
        <w:rPr>
          <w:rFonts w:asciiTheme="minorEastAsia" w:eastAsiaTheme="minorEastAsia" w:hAnsiTheme="minorEastAsia" w:cstheme="minorEastAsia"/>
          <w:sz w:val="24"/>
          <w:szCs w:val="24"/>
          <w:lang w:eastAsia="zh-CN"/>
        </w:rPr>
      </w:pPr>
      <w:r w:rsidRPr="009C1D98">
        <w:rPr>
          <w:rFonts w:asciiTheme="minorEastAsia" w:eastAsiaTheme="minorEastAsia" w:hAnsiTheme="minorEastAsia" w:cstheme="minorEastAsia" w:hint="eastAsia"/>
          <w:sz w:val="24"/>
          <w:szCs w:val="24"/>
          <w:lang w:eastAsia="zh-CN"/>
        </w:rPr>
        <w:t>“医疗”板块主要指“服务”与“渠道”的提供，其核心是服务导向，关注为患者或消费者提供诊断、治疗、康复、健康管理等服务的机构、平台和设施，主要涵盖医疗器械、制药机械、医疗设备、体外诊断、医疗耗材</w:t>
      </w:r>
      <w:r w:rsidR="00D31B53">
        <w:rPr>
          <w:rFonts w:asciiTheme="minorEastAsia" w:eastAsiaTheme="minorEastAsia" w:hAnsiTheme="minorEastAsia" w:cstheme="minorEastAsia" w:hint="eastAsia"/>
          <w:sz w:val="24"/>
          <w:szCs w:val="24"/>
          <w:lang w:eastAsia="zh-CN"/>
        </w:rPr>
        <w:t>、</w:t>
      </w:r>
      <w:r w:rsidRPr="009C1D98">
        <w:rPr>
          <w:rFonts w:asciiTheme="minorEastAsia" w:eastAsiaTheme="minorEastAsia" w:hAnsiTheme="minorEastAsia" w:cstheme="minorEastAsia" w:hint="eastAsia"/>
          <w:sz w:val="24"/>
          <w:szCs w:val="24"/>
          <w:lang w:eastAsia="zh-CN"/>
        </w:rPr>
        <w:t>医疗服务、医疗保健、医疗美容、生命科学上游等，以及符合前沿技术</w:t>
      </w:r>
      <w:r w:rsidR="00D31B53">
        <w:rPr>
          <w:rFonts w:asciiTheme="minorEastAsia" w:eastAsiaTheme="minorEastAsia" w:hAnsiTheme="minorEastAsia" w:cstheme="minorEastAsia" w:hint="eastAsia"/>
          <w:sz w:val="24"/>
          <w:szCs w:val="24"/>
          <w:lang w:eastAsia="zh-CN"/>
        </w:rPr>
        <w:t>发展的</w:t>
      </w:r>
      <w:r w:rsidRPr="009C1D98">
        <w:rPr>
          <w:rFonts w:asciiTheme="minorEastAsia" w:eastAsiaTheme="minorEastAsia" w:hAnsiTheme="minorEastAsia" w:cstheme="minorEastAsia" w:hint="eastAsia"/>
          <w:sz w:val="24"/>
          <w:szCs w:val="24"/>
          <w:lang w:eastAsia="zh-CN"/>
        </w:rPr>
        <w:t>人工智能医疗、医疗机器人、精准医疗、细胞医疗、互联网医疗、医疗信息化、移动医疗等细分领域。</w:t>
      </w:r>
    </w:p>
    <w:p w14:paraId="76146426" w14:textId="3818189F"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未来随着科技进步、医疗需求演变、政策或市场环境发生变化，本基金对港股医疗主题的界定范围也将相应改变，本基金在审慎研究的基础上，并履行适当必要的程序后，可根据实际情况调整港股医疗主题概念及投资范围的认定。</w:t>
      </w:r>
    </w:p>
    <w:p w14:paraId="2A32E81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sz w:val="24"/>
          <w:szCs w:val="24"/>
          <w:lang w:eastAsia="zh-CN"/>
        </w:rPr>
        <w:t>2）个股投资策略</w:t>
      </w:r>
    </w:p>
    <w:p w14:paraId="7DFF9BB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本基金秉承公司的投资理念，主要投资于优选行业中的绩优股票。具体操作上，主要采取“自下而上”的选股策略，通过定性分析和定量分析相结合的方法挖掘出优质上市公司，构建股票投资组合。</w:t>
      </w:r>
    </w:p>
    <w:p w14:paraId="5205ACF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定量分析方面，本基金主要从成长性、研发能力、估值水平等维度对备选股票池中标的公司进行综合评价，并从财务分析与估值分析两个方面对上市公司的投资价值进行综合评价，精选其中具有较高成长性和投资价值的上市公司构建股票组合。定性分析方面，本基金重点考察标的公司技术优势、资源优势、市场空间、商业模式、行业地位、所处行业前景、财务管理和治理结构等方面的能力。</w:t>
      </w:r>
    </w:p>
    <w:p w14:paraId="3ECA93A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另外，内地与香港股票市场交易互联互通机制的开通为港股带来长期的价值重估机遇，在港股投资上，本基金将考虑医药行业相关类港股相对于同类</w:t>
      </w:r>
      <w:r>
        <w:rPr>
          <w:rFonts w:asciiTheme="minorEastAsia" w:eastAsiaTheme="minorEastAsia" w:hAnsiTheme="minorEastAsia" w:cstheme="minorEastAsia"/>
          <w:sz w:val="24"/>
          <w:szCs w:val="24"/>
          <w:lang w:eastAsia="zh-CN"/>
        </w:rPr>
        <w:t xml:space="preserve">A股的估值优势，精选具有良好基本面、成长潜力较大的股票纳入本基金投资组合。    </w:t>
      </w:r>
    </w:p>
    <w:p w14:paraId="7C8FE99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sz w:val="24"/>
          <w:szCs w:val="24"/>
          <w:lang w:eastAsia="zh-CN"/>
        </w:rPr>
        <w:t>3）港股通标的股票投资策略</w:t>
      </w:r>
    </w:p>
    <w:p w14:paraId="3800A02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可通过内地与香港股票市场交易互联互通机制投资于香港股票市场，通过对行业分布、交易制度、市场流动性、投资者结构、市场波动性、涨跌停限制、估值与盈利回报等方面选择有估值优势与投资价值的标的股票。</w:t>
      </w:r>
    </w:p>
    <w:p w14:paraId="0B0D5D8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sz w:val="24"/>
          <w:szCs w:val="24"/>
          <w:lang w:eastAsia="zh-CN"/>
        </w:rPr>
        <w:t>4）存托凭证的投资策略</w:t>
      </w:r>
    </w:p>
    <w:p w14:paraId="4F0ADEE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将根据法律法规和监管机构的要求，根据本基金的投资目标和股票投资策略，制定存托凭证投资策略，关注发行人有关信息披露情况，关注发行人基本面情况、市场估值等因素，通过定性分析和定量分析相结合的办法，参与存托凭证的投资，谨慎决定存托凭证的权重配置和标的选择。</w:t>
      </w:r>
    </w:p>
    <w:p w14:paraId="6F155014"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2、债券投资策略</w:t>
      </w:r>
    </w:p>
    <w:p w14:paraId="1FADF02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本基金投资债券，将通过自上而下的宏观分析，结合对货币政策和利率趋势的判断确定债券投资组合的债券类别配置，并根据对个券相对价值的比较，进行个券选择和配置。</w:t>
      </w:r>
    </w:p>
    <w:p w14:paraId="6EE2B66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将对可转换债券、可交换债券对应的基础股票进行分析与研究，对有较好盈利能力或成长前景的上市公司的可转债、可交换债进行重点选择，在可转债、可交换债估值合理的前提下投资，以分享市场上涨带来的收益。同时，本基金还将密切跟踪上市公司的经营状况，从财务压力、融资安排、未来的投资计划等方面推测、并通过实地调研等方式确认上市公司对转股价的修正和转股意愿。</w:t>
      </w:r>
    </w:p>
    <w:p w14:paraId="0A7C43AB"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3、资产支持证券投资策略</w:t>
      </w:r>
    </w:p>
    <w:p w14:paraId="5C3CBE1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本基金参与资产支持证券投资时，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2154DFA2"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4、金融衍生品投资策略</w:t>
      </w:r>
    </w:p>
    <w:p w14:paraId="5013FF9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（1）股指期货投资策略</w:t>
      </w:r>
    </w:p>
    <w:p w14:paraId="2A408D4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将在风险可控的前提下，根据风险管理原则，以套期保值为目的，适度参与股指期货投资。本基金将根据对现货和期货市场的分析，充分考虑股指期货的风险收益特征进行股指期货投资，以改善投资组合的投资效果。</w:t>
      </w:r>
    </w:p>
    <w:p w14:paraId="0979E08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（2）股票期权投资策略</w:t>
      </w:r>
    </w:p>
    <w:p w14:paraId="23A8345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06EC295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（3）国债期货投资策略</w:t>
      </w:r>
    </w:p>
    <w:p w14:paraId="2CFB02F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本基金投资国债期货，以套期保值为目的，将根据风险管理的原则，充分考虑国债期货的流动性和风险收益特征，在风险可控的前提下，适度参与国债期货投资。</w:t>
      </w:r>
    </w:p>
    <w:p w14:paraId="34AD8A1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（4）信用衍生品投资策略</w:t>
      </w:r>
    </w:p>
    <w:p w14:paraId="009724F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本基金将根据风险管理的原则，以风险对冲为目的，根据所持标的债券等固定收益品种的投资策略，审慎开展信用衍生品投资，合理确定信用衍生品的投资金额、期限等，改善组合的风险收益特性。</w:t>
      </w:r>
    </w:p>
    <w:p w14:paraId="4172E430" w14:textId="77777777" w:rsidR="00721099" w:rsidRDefault="006B4706">
      <w:pPr>
        <w:spacing w:line="360" w:lineRule="auto"/>
        <w:ind w:firstLineChars="200" w:firstLine="480"/>
        <w:jc w:val="both"/>
        <w:rPr>
          <w:sz w:val="24"/>
          <w:szCs w:val="24"/>
          <w:lang w:eastAsia="zh-CN"/>
        </w:rPr>
      </w:pPr>
      <w:r>
        <w:rPr>
          <w:sz w:val="24"/>
          <w:szCs w:val="24"/>
          <w:lang w:eastAsia="zh-CN"/>
        </w:rPr>
        <w:t>（5）境外金融衍生品投资策略</w:t>
      </w:r>
    </w:p>
    <w:p w14:paraId="6FA8DCF4" w14:textId="77777777" w:rsidR="00721099" w:rsidRDefault="006B4706">
      <w:pPr>
        <w:spacing w:line="360" w:lineRule="auto"/>
        <w:ind w:firstLineChars="200" w:firstLine="480"/>
        <w:jc w:val="both"/>
        <w:rPr>
          <w:sz w:val="24"/>
          <w:szCs w:val="24"/>
          <w:lang w:eastAsia="zh-CN"/>
        </w:rPr>
      </w:pPr>
      <w:r>
        <w:rPr>
          <w:sz w:val="24"/>
          <w:szCs w:val="24"/>
          <w:lang w:eastAsia="zh-CN"/>
        </w:rPr>
        <w:t>为更好地实现本基金的投资目标，本基金将在条件允许的情况下投资于远期合约、互换及经中国证监会认可的境外交易所上市交易的权证、期权、期货等金融衍生产品，以期降低跟踪误差水平。本基金将根据风险管理的原则，以套期保值为目的，主要选择流动性好、交易活跃的金融衍生品进行交易。本基金还可通过投资外汇期货、外汇远期、外汇互换等来管理基金投资以及应对申购赎回过程中的汇率风险。</w:t>
      </w:r>
    </w:p>
    <w:p w14:paraId="38A8B7D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本基金将关注国内外其他金融衍生产品的推出情况，如法律法规或监管机构允许基金投资该衍生工具，本基金将制定与本基金投资目标相适应的投资策略，在充分评估衍生产品的风险和收益的基础上，谨慎地进行投资。</w:t>
      </w:r>
    </w:p>
    <w:p w14:paraId="517244BE"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5、融资业务策略</w:t>
      </w:r>
    </w:p>
    <w:p w14:paraId="1E8B6600"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在条件许可的情况下，基金管理人可在不改变本基金既有投资目标、策略和风险收益特征并在控制风险的前提下，根据相关法律</w:t>
      </w:r>
      <w:r>
        <w:rPr>
          <w:rFonts w:asciiTheme="minorEastAsia" w:eastAsiaTheme="minorEastAsia" w:hAnsiTheme="minorEastAsia" w:cstheme="minorEastAsia"/>
          <w:sz w:val="24"/>
          <w:szCs w:val="24"/>
          <w:lang w:eastAsia="zh-CN"/>
        </w:rPr>
        <w:t xml:space="preserve"> 法规，参与融资业务，以提高投</w:t>
      </w:r>
      <w:r>
        <w:rPr>
          <w:rFonts w:asciiTheme="minorEastAsia" w:eastAsiaTheme="minorEastAsia" w:hAnsiTheme="minorEastAsia" w:cstheme="minorEastAsia" w:hint="eastAsia"/>
          <w:sz w:val="24"/>
          <w:szCs w:val="24"/>
          <w:lang w:eastAsia="zh-CN"/>
        </w:rPr>
        <w:t>资效率及进行风险管理。</w:t>
      </w:r>
    </w:p>
    <w:p w14:paraId="1AB24E4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未来，随着证券市场投资工具的发展和丰富，在履行适当程序后，本基金可相应调整和更新相关投资策略，并在招募说明书更新中公告。</w:t>
      </w:r>
    </w:p>
    <w:p w14:paraId="45709D94"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bookmarkStart w:id="84" w:name="_Hlk207360947"/>
      <w:r>
        <w:rPr>
          <w:rFonts w:asciiTheme="minorEastAsia" w:eastAsiaTheme="minorEastAsia" w:hAnsiTheme="minorEastAsia" w:cstheme="minorEastAsia" w:hint="eastAsia"/>
          <w:sz w:val="24"/>
          <w:szCs w:val="24"/>
          <w:lang w:eastAsia="zh-CN"/>
        </w:rPr>
        <w:t>四、投资限制</w:t>
      </w:r>
    </w:p>
    <w:p w14:paraId="0C5A16AD"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1、组合限制</w:t>
      </w:r>
    </w:p>
    <w:p w14:paraId="7724B18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基金的投资组合应遵循以下限制：</w:t>
      </w:r>
    </w:p>
    <w:p w14:paraId="55BA86B7" w14:textId="3EF3B8ED"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bCs/>
          <w:sz w:val="24"/>
          <w:lang w:eastAsia="zh-CN"/>
        </w:rPr>
        <w:t>（</w:t>
      </w:r>
      <w:r>
        <w:rPr>
          <w:rFonts w:ascii="Times New Roman" w:hAnsi="Times New Roman"/>
          <w:bCs/>
          <w:sz w:val="24"/>
          <w:lang w:eastAsia="zh-CN"/>
        </w:rPr>
        <w:t>1</w:t>
      </w:r>
      <w:r>
        <w:rPr>
          <w:rFonts w:ascii="Times New Roman" w:hAnsi="Times New Roman" w:hint="eastAsia"/>
          <w:bCs/>
          <w:sz w:val="24"/>
          <w:lang w:eastAsia="zh-CN"/>
        </w:rPr>
        <w:t>）</w:t>
      </w:r>
      <w:r>
        <w:rPr>
          <w:rFonts w:asciiTheme="minorEastAsia" w:eastAsiaTheme="minorEastAsia" w:hAnsiTheme="minorEastAsia" w:cstheme="minorEastAsia" w:hint="eastAsia"/>
          <w:sz w:val="24"/>
          <w:szCs w:val="24"/>
          <w:lang w:eastAsia="zh-CN"/>
        </w:rPr>
        <w:t>本基金股票资产（含普通股、优先股、港股通标的股票、存托凭证等）占基金资产的比例不低于80%，其中投资于港股医疗主题的股票不低于非现金基金资产的80%;</w:t>
      </w:r>
    </w:p>
    <w:p w14:paraId="6FCF0733" w14:textId="77777777" w:rsidR="00721099" w:rsidRDefault="006B4706">
      <w:pPr>
        <w:pStyle w:val="110"/>
        <w:spacing w:line="360" w:lineRule="auto"/>
        <w:ind w:firstLine="480"/>
        <w:rPr>
          <w:rFonts w:ascii="Times New Roman" w:hAnsi="Times New Roman"/>
          <w:sz w:val="24"/>
          <w:szCs w:val="24"/>
          <w:lang w:eastAsia="zh-CN"/>
        </w:rPr>
      </w:pPr>
      <w:r>
        <w:rPr>
          <w:rFonts w:ascii="Times New Roman" w:hAnsi="Times New Roman" w:hint="eastAsia"/>
          <w:bCs/>
          <w:sz w:val="24"/>
          <w:lang w:eastAsia="zh-CN"/>
        </w:rPr>
        <w:t>（</w:t>
      </w:r>
      <w:r>
        <w:rPr>
          <w:rFonts w:ascii="Times New Roman" w:hAnsi="Times New Roman"/>
          <w:bCs/>
          <w:sz w:val="24"/>
          <w:lang w:eastAsia="zh-CN"/>
        </w:rPr>
        <w:t>2</w:t>
      </w:r>
      <w:r>
        <w:rPr>
          <w:rFonts w:ascii="Times New Roman" w:hAnsi="Times New Roman" w:hint="eastAsia"/>
          <w:sz w:val="24"/>
          <w:lang w:eastAsia="zh-CN"/>
        </w:rPr>
        <w:t>）</w:t>
      </w:r>
      <w:r>
        <w:rPr>
          <w:rFonts w:asciiTheme="minorEastAsia" w:eastAsiaTheme="minorEastAsia" w:hAnsiTheme="minorEastAsia" w:cstheme="minorEastAsia" w:hint="eastAsia"/>
          <w:sz w:val="24"/>
          <w:szCs w:val="24"/>
          <w:lang w:eastAsia="zh-CN"/>
        </w:rPr>
        <w:t>每个交易日日终，在扣除股指期货、国债期货和股票期权合约需缴纳的交易保证金后，本基金应当保持不低于基金资产净值5%的现金（不包括结算备付金、存出保证金、应收申购款等）或到期日在一年以内的政府债券</w:t>
      </w:r>
      <w:r>
        <w:rPr>
          <w:rFonts w:ascii="Times New Roman" w:hAnsi="Times New Roman" w:hint="eastAsia"/>
          <w:sz w:val="24"/>
          <w:szCs w:val="24"/>
          <w:lang w:eastAsia="zh-CN"/>
        </w:rPr>
        <w:t>；</w:t>
      </w:r>
    </w:p>
    <w:p w14:paraId="74541EDE" w14:textId="77777777" w:rsidR="00721099" w:rsidRDefault="006B4706">
      <w:pPr>
        <w:pStyle w:val="110"/>
        <w:spacing w:line="360" w:lineRule="auto"/>
        <w:ind w:firstLine="480"/>
        <w:rPr>
          <w:rFonts w:ascii="Times New Roman" w:hAnsi="Times New Roman"/>
          <w:bCs/>
          <w:sz w:val="24"/>
          <w:lang w:eastAsia="zh-CN"/>
        </w:rPr>
      </w:pPr>
      <w:r>
        <w:rPr>
          <w:rFonts w:ascii="Times New Roman" w:hAnsi="Times New Roman" w:hint="eastAsia"/>
          <w:sz w:val="24"/>
          <w:szCs w:val="24"/>
          <w:lang w:eastAsia="zh-CN"/>
        </w:rPr>
        <w:t>（</w:t>
      </w:r>
      <w:r>
        <w:rPr>
          <w:rFonts w:ascii="Times New Roman" w:hAnsi="Times New Roman" w:hint="eastAsia"/>
          <w:sz w:val="24"/>
          <w:szCs w:val="24"/>
          <w:lang w:eastAsia="zh-CN"/>
        </w:rPr>
        <w:t>3</w:t>
      </w:r>
      <w:r>
        <w:rPr>
          <w:rFonts w:ascii="Times New Roman" w:hAnsi="Times New Roman" w:hint="eastAsia"/>
          <w:sz w:val="24"/>
          <w:szCs w:val="24"/>
          <w:lang w:eastAsia="zh-CN"/>
        </w:rPr>
        <w:t>）</w:t>
      </w:r>
      <w:r>
        <w:rPr>
          <w:rFonts w:ascii="Times New Roman" w:hAnsi="Times New Roman"/>
          <w:bCs/>
          <w:sz w:val="24"/>
          <w:lang w:eastAsia="zh-CN"/>
        </w:rPr>
        <w:t>本基金的基金资产总值不得超过基金资产净值的</w:t>
      </w:r>
      <w:r>
        <w:rPr>
          <w:rFonts w:ascii="Times New Roman" w:hAnsi="Times New Roman"/>
          <w:bCs/>
          <w:sz w:val="24"/>
          <w:lang w:eastAsia="zh-CN"/>
        </w:rPr>
        <w:t>140%</w:t>
      </w:r>
      <w:r>
        <w:rPr>
          <w:rFonts w:ascii="Times New Roman" w:hAnsi="Times New Roman"/>
          <w:bCs/>
          <w:sz w:val="24"/>
          <w:lang w:eastAsia="zh-CN"/>
        </w:rPr>
        <w:t>；</w:t>
      </w:r>
    </w:p>
    <w:p w14:paraId="5A3127DA"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bCs/>
          <w:sz w:val="24"/>
          <w:lang w:eastAsia="zh-CN"/>
        </w:rPr>
        <w:t>（</w:t>
      </w:r>
      <w:r>
        <w:rPr>
          <w:rFonts w:ascii="Times New Roman" w:hAnsi="Times New Roman" w:hint="eastAsia"/>
          <w:bCs/>
          <w:sz w:val="24"/>
          <w:lang w:eastAsia="zh-CN"/>
        </w:rPr>
        <w:t>4</w:t>
      </w:r>
      <w:r>
        <w:rPr>
          <w:rFonts w:ascii="Times New Roman" w:hAnsi="Times New Roman"/>
          <w:bCs/>
          <w:sz w:val="24"/>
          <w:lang w:eastAsia="zh-CN"/>
        </w:rPr>
        <w:t>）法律法规及</w:t>
      </w:r>
      <w:r>
        <w:rPr>
          <w:rFonts w:ascii="Times New Roman" w:hAnsi="Times New Roman"/>
          <w:sz w:val="24"/>
          <w:lang w:eastAsia="zh-CN"/>
        </w:rPr>
        <w:t>中国证监会规定的和《基金合同》约定的其他投资限制。</w:t>
      </w:r>
    </w:p>
    <w:p w14:paraId="2AD2C41E"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因证券</w:t>
      </w:r>
      <w:r>
        <w:rPr>
          <w:rFonts w:ascii="Times New Roman" w:hAnsi="Times New Roman"/>
          <w:sz w:val="24"/>
          <w:lang w:eastAsia="zh-CN"/>
        </w:rPr>
        <w:t>/</w:t>
      </w:r>
      <w:r>
        <w:rPr>
          <w:rFonts w:ascii="Times New Roman" w:hAnsi="Times New Roman"/>
          <w:sz w:val="24"/>
          <w:lang w:eastAsia="zh-CN"/>
        </w:rPr>
        <w:t>期货市场波动、证券发行人合并、基金规模变动等基金管理人之外的因素致使基金投资比例不符合上述第（</w:t>
      </w:r>
      <w:r>
        <w:rPr>
          <w:rFonts w:ascii="Times New Roman" w:hAnsi="Times New Roman"/>
          <w:sz w:val="24"/>
          <w:lang w:eastAsia="zh-CN"/>
        </w:rPr>
        <w:t>1</w:t>
      </w:r>
      <w:r>
        <w:rPr>
          <w:rFonts w:ascii="Times New Roman" w:hAnsi="Times New Roman"/>
          <w:sz w:val="24"/>
          <w:lang w:eastAsia="zh-CN"/>
        </w:rPr>
        <w:t>）项规定的投资比例的，基金管理人应当</w:t>
      </w:r>
      <w:r>
        <w:rPr>
          <w:rFonts w:ascii="Times New Roman" w:hAnsi="Times New Roman"/>
          <w:sz w:val="24"/>
          <w:lang w:eastAsia="zh-CN"/>
        </w:rPr>
        <w:t>30</w:t>
      </w:r>
      <w:r>
        <w:rPr>
          <w:rFonts w:ascii="Times New Roman" w:hAnsi="Times New Roman"/>
          <w:sz w:val="24"/>
          <w:lang w:eastAsia="zh-CN"/>
        </w:rPr>
        <w:t>个交易日内进行调整；不符合上述第（</w:t>
      </w:r>
      <w:r>
        <w:rPr>
          <w:rFonts w:ascii="Times New Roman" w:hAnsi="Times New Roman"/>
          <w:sz w:val="24"/>
          <w:lang w:eastAsia="zh-CN"/>
        </w:rPr>
        <w:t>2</w:t>
      </w:r>
      <w:r>
        <w:rPr>
          <w:rFonts w:ascii="Times New Roman" w:hAnsi="Times New Roman"/>
          <w:sz w:val="24"/>
          <w:lang w:eastAsia="zh-CN"/>
        </w:rPr>
        <w:t>）、（</w:t>
      </w:r>
      <w:r>
        <w:rPr>
          <w:rFonts w:ascii="Times New Roman" w:hAnsi="Times New Roman"/>
          <w:sz w:val="24"/>
          <w:lang w:eastAsia="zh-CN"/>
        </w:rPr>
        <w:t>3</w:t>
      </w:r>
      <w:r>
        <w:rPr>
          <w:rFonts w:ascii="Times New Roman" w:hAnsi="Times New Roman"/>
          <w:sz w:val="24"/>
          <w:lang w:eastAsia="zh-CN"/>
        </w:rPr>
        <w:t>）</w:t>
      </w:r>
      <w:r>
        <w:rPr>
          <w:rFonts w:ascii="Times New Roman" w:hAnsi="Times New Roman" w:hint="eastAsia"/>
          <w:sz w:val="24"/>
          <w:lang w:eastAsia="zh-CN"/>
        </w:rPr>
        <w:t>、（</w:t>
      </w:r>
      <w:r>
        <w:rPr>
          <w:rFonts w:ascii="Times New Roman" w:hAnsi="Times New Roman" w:hint="eastAsia"/>
          <w:sz w:val="24"/>
          <w:lang w:eastAsia="zh-CN"/>
        </w:rPr>
        <w:t>4</w:t>
      </w:r>
      <w:r>
        <w:rPr>
          <w:rFonts w:ascii="Times New Roman" w:hAnsi="Times New Roman" w:hint="eastAsia"/>
          <w:sz w:val="24"/>
          <w:lang w:eastAsia="zh-CN"/>
        </w:rPr>
        <w:t>）</w:t>
      </w:r>
      <w:r>
        <w:rPr>
          <w:rFonts w:ascii="Times New Roman" w:hAnsi="Times New Roman"/>
          <w:sz w:val="24"/>
          <w:lang w:eastAsia="zh-CN"/>
        </w:rPr>
        <w:t>项规定的投资比例的，基金管理人应当</w:t>
      </w:r>
      <w:r>
        <w:rPr>
          <w:rFonts w:ascii="Times New Roman" w:hAnsi="Times New Roman"/>
          <w:sz w:val="24"/>
          <w:lang w:eastAsia="zh-CN"/>
        </w:rPr>
        <w:t>10</w:t>
      </w:r>
      <w:r>
        <w:rPr>
          <w:rFonts w:ascii="Times New Roman" w:hAnsi="Times New Roman"/>
          <w:sz w:val="24"/>
          <w:lang w:eastAsia="zh-CN"/>
        </w:rPr>
        <w:t>个交易日内进行调整；但中国证监会规定的特殊情形除外。</w:t>
      </w:r>
    </w:p>
    <w:p w14:paraId="72BA7847"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w:t>
      </w:r>
      <w:r>
        <w:rPr>
          <w:rFonts w:ascii="Times New Roman" w:hAnsi="Times New Roman" w:hint="eastAsia"/>
          <w:sz w:val="24"/>
          <w:lang w:eastAsia="zh-CN"/>
        </w:rPr>
        <w:t>5</w:t>
      </w:r>
      <w:r>
        <w:rPr>
          <w:rFonts w:ascii="Times New Roman" w:hAnsi="Times New Roman"/>
          <w:sz w:val="24"/>
          <w:lang w:eastAsia="zh-CN"/>
        </w:rPr>
        <w:t>）本基金境外投资组合应遵循以下限制：</w:t>
      </w:r>
    </w:p>
    <w:p w14:paraId="76A543A3"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1</w:t>
      </w:r>
      <w:r>
        <w:rPr>
          <w:rFonts w:ascii="Times New Roman" w:hAnsi="Times New Roman" w:hint="eastAsia"/>
          <w:sz w:val="24"/>
          <w:lang w:eastAsia="zh-CN"/>
        </w:rPr>
        <w:t>）本基金持有同一家银行的存款不得超过基金净值的</w:t>
      </w:r>
      <w:r>
        <w:rPr>
          <w:rFonts w:ascii="Times New Roman" w:hAnsi="Times New Roman"/>
          <w:sz w:val="24"/>
          <w:lang w:eastAsia="zh-CN"/>
        </w:rPr>
        <w:t>20%</w:t>
      </w:r>
      <w:r>
        <w:rPr>
          <w:rFonts w:ascii="Times New Roman" w:hAnsi="Times New Roman" w:hint="eastAsia"/>
          <w:sz w:val="24"/>
          <w:lang w:eastAsia="zh-CN"/>
        </w:rPr>
        <w:t>，在基金托管账户的存款可以不受上述限制；</w:t>
      </w:r>
    </w:p>
    <w:p w14:paraId="292DFBE2" w14:textId="1A440E42"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2</w:t>
      </w:r>
      <w:r>
        <w:rPr>
          <w:rFonts w:ascii="Times New Roman" w:hAnsi="Times New Roman" w:hint="eastAsia"/>
          <w:sz w:val="24"/>
          <w:lang w:eastAsia="zh-CN"/>
        </w:rPr>
        <w:t>）本基金持有境外基金的市值合计不得超过基金资产净值的</w:t>
      </w:r>
      <w:r>
        <w:rPr>
          <w:rFonts w:ascii="Times New Roman" w:hAnsi="Times New Roman"/>
          <w:sz w:val="24"/>
          <w:lang w:eastAsia="zh-CN"/>
        </w:rPr>
        <w:t>10%</w:t>
      </w:r>
      <w:r>
        <w:rPr>
          <w:rFonts w:ascii="Times New Roman" w:hAnsi="Times New Roman" w:hint="eastAsia"/>
          <w:sz w:val="24"/>
          <w:lang w:eastAsia="zh-CN"/>
        </w:rPr>
        <w:t>，持有货币市场基金可以不受上述限制；</w:t>
      </w:r>
    </w:p>
    <w:p w14:paraId="6424DE06" w14:textId="5F81B93E"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3</w:t>
      </w:r>
      <w:r w:rsidR="006B4706">
        <w:rPr>
          <w:rFonts w:ascii="Times New Roman" w:hAnsi="Times New Roman" w:hint="eastAsia"/>
          <w:sz w:val="24"/>
          <w:lang w:eastAsia="zh-CN"/>
        </w:rPr>
        <w:t>）本基金管理人管理的全部基金持有任何一只境外基金，不得超过该境外基金</w:t>
      </w:r>
      <w:r w:rsidR="006B4706">
        <w:rPr>
          <w:rFonts w:ascii="Times New Roman" w:hAnsi="Times New Roman" w:hint="eastAsia"/>
          <w:sz w:val="24"/>
          <w:lang w:eastAsia="zh-CN"/>
        </w:rPr>
        <w:lastRenderedPageBreak/>
        <w:t>总份额的</w:t>
      </w:r>
      <w:r w:rsidR="006B4706">
        <w:rPr>
          <w:rFonts w:ascii="Times New Roman" w:hAnsi="Times New Roman"/>
          <w:sz w:val="24"/>
          <w:lang w:eastAsia="zh-CN"/>
        </w:rPr>
        <w:t>20</w:t>
      </w:r>
      <w:r w:rsidR="006B4706">
        <w:rPr>
          <w:rFonts w:ascii="Times New Roman" w:hAnsi="Times New Roman" w:hint="eastAsia"/>
          <w:sz w:val="24"/>
          <w:lang w:eastAsia="zh-CN"/>
        </w:rPr>
        <w:t>％；</w:t>
      </w:r>
    </w:p>
    <w:p w14:paraId="75666C9C" w14:textId="61E2264F"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4</w:t>
      </w:r>
      <w:r w:rsidR="006B4706">
        <w:rPr>
          <w:rFonts w:ascii="Times New Roman" w:hAnsi="Times New Roman"/>
          <w:sz w:val="24"/>
          <w:lang w:eastAsia="zh-CN"/>
        </w:rPr>
        <w:t>）为应付赎回、交易清算等临时用途借入现金的比例不得超过基金资产净值的</w:t>
      </w:r>
      <w:r w:rsidR="006B4706">
        <w:rPr>
          <w:rFonts w:ascii="Times New Roman" w:hAnsi="Times New Roman"/>
          <w:sz w:val="24"/>
          <w:lang w:eastAsia="zh-CN"/>
        </w:rPr>
        <w:t>10%</w:t>
      </w:r>
      <w:r w:rsidR="006B4706">
        <w:rPr>
          <w:rFonts w:ascii="Times New Roman" w:hAnsi="Times New Roman"/>
          <w:sz w:val="24"/>
          <w:lang w:eastAsia="zh-CN"/>
        </w:rPr>
        <w:t>；</w:t>
      </w:r>
    </w:p>
    <w:p w14:paraId="7561941B" w14:textId="7F301837"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5</w:t>
      </w:r>
      <w:r w:rsidR="006B4706">
        <w:rPr>
          <w:rFonts w:ascii="Times New Roman" w:hAnsi="Times New Roman" w:hint="eastAsia"/>
          <w:sz w:val="24"/>
          <w:lang w:eastAsia="zh-CN"/>
        </w:rPr>
        <w:t>）本基金持有非流动性资产市值不得超过基金资产净值的</w:t>
      </w:r>
      <w:r w:rsidR="006B4706">
        <w:rPr>
          <w:rFonts w:ascii="Times New Roman" w:hAnsi="Times New Roman"/>
          <w:sz w:val="24"/>
          <w:lang w:eastAsia="zh-CN"/>
        </w:rPr>
        <w:t>10%</w:t>
      </w:r>
      <w:r w:rsidR="006B4706">
        <w:rPr>
          <w:rFonts w:ascii="Times New Roman" w:hAnsi="Times New Roman" w:hint="eastAsia"/>
          <w:sz w:val="24"/>
          <w:lang w:eastAsia="zh-CN"/>
        </w:rPr>
        <w:t>，前项非流动性资产是指法律或基金合同规定的流通受限证券以及中国证监会认定的其他资产；</w:t>
      </w:r>
    </w:p>
    <w:p w14:paraId="3B7BBE54" w14:textId="000943F2"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6</w:t>
      </w:r>
      <w:r w:rsidR="006B4706">
        <w:rPr>
          <w:rFonts w:ascii="Times New Roman" w:hAnsi="Times New Roman"/>
          <w:sz w:val="24"/>
          <w:lang w:eastAsia="zh-CN"/>
        </w:rPr>
        <w:t>）境外金融衍生品投资</w:t>
      </w:r>
    </w:p>
    <w:p w14:paraId="1541735C"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本基金投资衍生品应当仅限于投资组合避险或有效管理，不得用于投机或放大交易，同时应当严格遵守下列规定：</w:t>
      </w:r>
    </w:p>
    <w:p w14:paraId="0AF357E8" w14:textId="77777777" w:rsidR="00721099" w:rsidRDefault="006B4706">
      <w:pPr>
        <w:pStyle w:val="af3"/>
        <w:numPr>
          <w:ilvl w:val="0"/>
          <w:numId w:val="2"/>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本基金的金融衍生品全部敞口不得高于基金资产净值的</w:t>
      </w:r>
      <w:r>
        <w:rPr>
          <w:rFonts w:ascii="Times New Roman" w:hAnsi="Times New Roman"/>
          <w:sz w:val="24"/>
          <w:lang w:eastAsia="zh-CN"/>
        </w:rPr>
        <w:t>100</w:t>
      </w:r>
      <w:r>
        <w:rPr>
          <w:rFonts w:ascii="Times New Roman" w:hAnsi="Times New Roman" w:hint="eastAsia"/>
          <w:sz w:val="24"/>
          <w:lang w:eastAsia="zh-CN"/>
        </w:rPr>
        <w:t>％；</w:t>
      </w:r>
    </w:p>
    <w:p w14:paraId="34801DB3" w14:textId="77777777" w:rsidR="00721099" w:rsidRDefault="006B4706">
      <w:pPr>
        <w:pStyle w:val="af3"/>
        <w:numPr>
          <w:ilvl w:val="0"/>
          <w:numId w:val="2"/>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本基金投资期货支付的初始保证金、投资期权支付或收取的期权费、投资柜台交易衍生品支付的初始费用的总额不得高于基金资产净值的</w:t>
      </w:r>
      <w:r>
        <w:rPr>
          <w:rFonts w:ascii="Times New Roman" w:hAnsi="Times New Roman"/>
          <w:sz w:val="24"/>
          <w:lang w:eastAsia="zh-CN"/>
        </w:rPr>
        <w:t>10</w:t>
      </w:r>
      <w:r>
        <w:rPr>
          <w:rFonts w:ascii="Times New Roman" w:hAnsi="Times New Roman" w:hint="eastAsia"/>
          <w:sz w:val="24"/>
          <w:lang w:eastAsia="zh-CN"/>
        </w:rPr>
        <w:t>％；</w:t>
      </w:r>
    </w:p>
    <w:p w14:paraId="32001B45" w14:textId="77777777" w:rsidR="00721099" w:rsidRDefault="006B4706">
      <w:pPr>
        <w:pStyle w:val="af3"/>
        <w:numPr>
          <w:ilvl w:val="0"/>
          <w:numId w:val="2"/>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本基金投资于远期合约、互换等柜台交易金融衍生品，应当符合以下要求：</w:t>
      </w:r>
    </w:p>
    <w:p w14:paraId="4922E53B"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①</w:t>
      </w:r>
      <w:r>
        <w:rPr>
          <w:rFonts w:ascii="Times New Roman" w:hAnsi="Times New Roman"/>
          <w:sz w:val="24"/>
          <w:lang w:eastAsia="zh-CN"/>
        </w:rPr>
        <w:t>所有参与交易的对手方（中资商业银行除外）应当具有不低于中国证监会认可的信用评级机构评级；</w:t>
      </w:r>
    </w:p>
    <w:p w14:paraId="5AC0E6FE"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②</w:t>
      </w:r>
      <w:r>
        <w:rPr>
          <w:rFonts w:ascii="Times New Roman" w:hAnsi="Times New Roman"/>
          <w:sz w:val="24"/>
          <w:lang w:eastAsia="zh-CN"/>
        </w:rPr>
        <w:t>交易对手方应当至少每个工作日对交易进行估值，并且基金可在任何时候以公允价值终止交易；</w:t>
      </w:r>
    </w:p>
    <w:p w14:paraId="356A80F4"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③</w:t>
      </w:r>
      <w:r>
        <w:rPr>
          <w:rFonts w:ascii="Times New Roman" w:hAnsi="Times New Roman"/>
          <w:sz w:val="24"/>
          <w:lang w:eastAsia="zh-CN"/>
        </w:rPr>
        <w:t>任一交易对手方的市值计价敞口不得超过基金资产净值的</w:t>
      </w:r>
      <w:r>
        <w:rPr>
          <w:rFonts w:ascii="Times New Roman" w:hAnsi="Times New Roman"/>
          <w:sz w:val="24"/>
          <w:lang w:eastAsia="zh-CN"/>
        </w:rPr>
        <w:t>20</w:t>
      </w:r>
      <w:r>
        <w:rPr>
          <w:rFonts w:ascii="Times New Roman" w:hAnsi="Times New Roman"/>
          <w:sz w:val="24"/>
          <w:lang w:eastAsia="zh-CN"/>
        </w:rPr>
        <w:t>％。</w:t>
      </w:r>
    </w:p>
    <w:p w14:paraId="51E1F2F2" w14:textId="77777777" w:rsidR="00721099" w:rsidRDefault="006B4706">
      <w:pPr>
        <w:pStyle w:val="af3"/>
        <w:numPr>
          <w:ilvl w:val="0"/>
          <w:numId w:val="2"/>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基金管理人应当在基金会计年度结束后</w:t>
      </w:r>
      <w:r>
        <w:rPr>
          <w:rFonts w:ascii="Times New Roman" w:hAnsi="Times New Roman"/>
          <w:sz w:val="24"/>
          <w:lang w:eastAsia="zh-CN"/>
        </w:rPr>
        <w:t>60</w:t>
      </w:r>
      <w:r>
        <w:rPr>
          <w:rFonts w:ascii="Times New Roman" w:hAnsi="Times New Roman" w:hint="eastAsia"/>
          <w:sz w:val="24"/>
          <w:lang w:eastAsia="zh-CN"/>
        </w:rPr>
        <w:t>个工作日内向中国证监会提交包括衍生品头寸及风险分析年度报告；</w:t>
      </w:r>
    </w:p>
    <w:p w14:paraId="643213BD" w14:textId="77777777" w:rsidR="00721099" w:rsidRDefault="006B4706">
      <w:pPr>
        <w:pStyle w:val="af3"/>
        <w:numPr>
          <w:ilvl w:val="0"/>
          <w:numId w:val="2"/>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本基金不得直接投资与实物商品相关的衍生品。</w:t>
      </w:r>
    </w:p>
    <w:p w14:paraId="702C3417" w14:textId="6450606D"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7</w:t>
      </w:r>
      <w:r w:rsidR="006B4706">
        <w:rPr>
          <w:rFonts w:ascii="Times New Roman" w:hAnsi="Times New Roman"/>
          <w:sz w:val="24"/>
          <w:lang w:eastAsia="zh-CN"/>
        </w:rPr>
        <w:t>）本基金可以参与境外证券借贷交易，并且应当遵守下列规定：</w:t>
      </w:r>
    </w:p>
    <w:p w14:paraId="6AD74EEA" w14:textId="77777777" w:rsidR="00721099" w:rsidRDefault="006B4706">
      <w:pPr>
        <w:pStyle w:val="af3"/>
        <w:numPr>
          <w:ilvl w:val="0"/>
          <w:numId w:val="3"/>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所有参与交易的对手方（中资商业银行除外）应当具有中国证监会认可的信用评级机构评级；</w:t>
      </w:r>
    </w:p>
    <w:p w14:paraId="60FB4AE3" w14:textId="77777777" w:rsidR="00721099" w:rsidRDefault="006B4706">
      <w:pPr>
        <w:pStyle w:val="af3"/>
        <w:numPr>
          <w:ilvl w:val="0"/>
          <w:numId w:val="3"/>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应当采取市值计价制度进行调整以确保担保物市值不低于已借出证券市值的</w:t>
      </w:r>
      <w:r>
        <w:rPr>
          <w:rFonts w:ascii="Times New Roman" w:hAnsi="Times New Roman"/>
          <w:sz w:val="24"/>
          <w:lang w:eastAsia="zh-CN"/>
        </w:rPr>
        <w:t>102</w:t>
      </w:r>
      <w:r>
        <w:rPr>
          <w:rFonts w:ascii="Times New Roman" w:hAnsi="Times New Roman" w:hint="eastAsia"/>
          <w:sz w:val="24"/>
          <w:lang w:eastAsia="zh-CN"/>
        </w:rPr>
        <w:t>％；</w:t>
      </w:r>
    </w:p>
    <w:p w14:paraId="2374C540" w14:textId="77777777" w:rsidR="00721099" w:rsidRDefault="006B4706">
      <w:pPr>
        <w:pStyle w:val="af3"/>
        <w:numPr>
          <w:ilvl w:val="0"/>
          <w:numId w:val="3"/>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借方应当在交易期内及时向本基金支付已借出证券产生的所有股息、利息和分红。一旦借方违约，本基金根据协议和有关法律有权保留和处置担保物以满足索赔需要；</w:t>
      </w:r>
    </w:p>
    <w:p w14:paraId="51BFF979" w14:textId="77777777" w:rsidR="00721099" w:rsidRDefault="006B4706">
      <w:pPr>
        <w:pStyle w:val="af3"/>
        <w:numPr>
          <w:ilvl w:val="0"/>
          <w:numId w:val="3"/>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除中国证监会另有规定外，担保物可以是以下金融工具或品种：</w:t>
      </w:r>
    </w:p>
    <w:p w14:paraId="4CD26CE6"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①</w:t>
      </w:r>
      <w:r>
        <w:rPr>
          <w:rFonts w:ascii="Times New Roman" w:hAnsi="Times New Roman"/>
          <w:sz w:val="24"/>
          <w:lang w:eastAsia="zh-CN"/>
        </w:rPr>
        <w:t>现金；</w:t>
      </w:r>
    </w:p>
    <w:p w14:paraId="3FA89A82"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lastRenderedPageBreak/>
        <w:t>②</w:t>
      </w:r>
      <w:r>
        <w:rPr>
          <w:rFonts w:ascii="Times New Roman" w:hAnsi="Times New Roman"/>
          <w:sz w:val="24"/>
          <w:lang w:eastAsia="zh-CN"/>
        </w:rPr>
        <w:t>存款证明；</w:t>
      </w:r>
    </w:p>
    <w:p w14:paraId="423C36BB"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③</w:t>
      </w:r>
      <w:r>
        <w:rPr>
          <w:rFonts w:ascii="Times New Roman" w:hAnsi="Times New Roman"/>
          <w:sz w:val="24"/>
          <w:lang w:eastAsia="zh-CN"/>
        </w:rPr>
        <w:t>商业票据；</w:t>
      </w:r>
    </w:p>
    <w:p w14:paraId="1B0C850B"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④</w:t>
      </w:r>
      <w:r>
        <w:rPr>
          <w:rFonts w:ascii="Times New Roman" w:hAnsi="Times New Roman"/>
          <w:sz w:val="24"/>
          <w:lang w:eastAsia="zh-CN"/>
        </w:rPr>
        <w:t>政府债券；</w:t>
      </w:r>
    </w:p>
    <w:p w14:paraId="4A58BA0E" w14:textId="77777777" w:rsidR="00721099" w:rsidRDefault="006B4706">
      <w:pPr>
        <w:spacing w:line="360" w:lineRule="auto"/>
        <w:ind w:firstLineChars="200" w:firstLine="480"/>
        <w:jc w:val="both"/>
        <w:rPr>
          <w:rFonts w:ascii="Times New Roman" w:hAnsi="Times New Roman"/>
          <w:sz w:val="24"/>
          <w:lang w:eastAsia="zh-CN"/>
        </w:rPr>
      </w:pPr>
      <w:r>
        <w:rPr>
          <w:rFonts w:hint="eastAsia"/>
          <w:sz w:val="24"/>
          <w:lang w:eastAsia="zh-CN"/>
        </w:rPr>
        <w:t>⑤</w:t>
      </w:r>
      <w:r>
        <w:rPr>
          <w:rFonts w:ascii="Times New Roman" w:hAnsi="Times New Roman"/>
          <w:sz w:val="24"/>
          <w:lang w:eastAsia="zh-CN"/>
        </w:rPr>
        <w:t>中资商业银行或由不低于中国证监会认可的信用评级机构评级的境外金融机构（作为交易对手方或其关联方的除外）出具的不可撤销信用证；</w:t>
      </w:r>
    </w:p>
    <w:p w14:paraId="48E69ABB" w14:textId="77777777" w:rsidR="00721099" w:rsidRDefault="006B4706">
      <w:pPr>
        <w:pStyle w:val="af3"/>
        <w:numPr>
          <w:ilvl w:val="0"/>
          <w:numId w:val="3"/>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本基金有权在任何时候终止证券借贷交易并在正常市场惯例的合理期限内要求归还任一或所有已借出的证券；</w:t>
      </w:r>
    </w:p>
    <w:p w14:paraId="51CAC423" w14:textId="77777777" w:rsidR="00721099" w:rsidRDefault="006B4706">
      <w:pPr>
        <w:pStyle w:val="af3"/>
        <w:numPr>
          <w:ilvl w:val="0"/>
          <w:numId w:val="3"/>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基金管理人应当对基金参与证券借贷交易中发生的任何损失负相应责任。</w:t>
      </w:r>
    </w:p>
    <w:p w14:paraId="6AD34223" w14:textId="781D5F01"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8</w:t>
      </w:r>
      <w:r w:rsidR="006B4706">
        <w:rPr>
          <w:rFonts w:ascii="Times New Roman" w:hAnsi="Times New Roman"/>
          <w:sz w:val="24"/>
          <w:lang w:eastAsia="zh-CN"/>
        </w:rPr>
        <w:t>）基金可以根据正常市场惯例参与境外正回购交易、逆回购交易，并且应当遵守下列规定：</w:t>
      </w:r>
    </w:p>
    <w:p w14:paraId="459D273C" w14:textId="77777777" w:rsidR="00721099" w:rsidRDefault="006B4706">
      <w:pPr>
        <w:pStyle w:val="af3"/>
        <w:numPr>
          <w:ilvl w:val="0"/>
          <w:numId w:val="4"/>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所有参与正回购交易的对手方（中资商业银行除外）应当具有中国证监会认可的信用评级机构信用评级；</w:t>
      </w:r>
    </w:p>
    <w:p w14:paraId="38F6FFA4" w14:textId="77777777" w:rsidR="00721099" w:rsidRDefault="006B4706">
      <w:pPr>
        <w:pStyle w:val="af3"/>
        <w:numPr>
          <w:ilvl w:val="0"/>
          <w:numId w:val="4"/>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参与正回购交易，应当采取市值计价制度对卖出收益进行调整以确保现金不低于已售出证券市值的</w:t>
      </w:r>
      <w:r>
        <w:rPr>
          <w:rFonts w:ascii="Times New Roman" w:hAnsi="Times New Roman"/>
          <w:sz w:val="24"/>
          <w:lang w:eastAsia="zh-CN"/>
        </w:rPr>
        <w:t>102</w:t>
      </w:r>
      <w:r>
        <w:rPr>
          <w:rFonts w:ascii="Times New Roman" w:hAnsi="Times New Roman" w:hint="eastAsia"/>
          <w:sz w:val="24"/>
          <w:lang w:eastAsia="zh-CN"/>
        </w:rPr>
        <w:t>％。一旦买方违约，本基金根据协议和有关法律有权保留或处置卖出收益以满足索赔需要；</w:t>
      </w:r>
    </w:p>
    <w:p w14:paraId="76B9FE0F" w14:textId="77777777" w:rsidR="00721099" w:rsidRDefault="006B4706">
      <w:pPr>
        <w:pStyle w:val="af3"/>
        <w:numPr>
          <w:ilvl w:val="0"/>
          <w:numId w:val="4"/>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买方应当在正回购交易期内及时向本基金支付售出证券产生的所有股息、利息和分红；</w:t>
      </w:r>
    </w:p>
    <w:p w14:paraId="58546A3A" w14:textId="77777777" w:rsidR="00721099" w:rsidRDefault="006B4706">
      <w:pPr>
        <w:pStyle w:val="af3"/>
        <w:numPr>
          <w:ilvl w:val="0"/>
          <w:numId w:val="4"/>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参与逆回购交易，应当对购入证券采取市值计价制度进行调整以确保已购入证券市值不低于支付现金的</w:t>
      </w:r>
      <w:r>
        <w:rPr>
          <w:rFonts w:ascii="Times New Roman" w:hAnsi="Times New Roman"/>
          <w:sz w:val="24"/>
          <w:lang w:eastAsia="zh-CN"/>
        </w:rPr>
        <w:t>102</w:t>
      </w:r>
      <w:r>
        <w:rPr>
          <w:rFonts w:ascii="Times New Roman" w:hAnsi="Times New Roman" w:hint="eastAsia"/>
          <w:sz w:val="24"/>
          <w:lang w:eastAsia="zh-CN"/>
        </w:rPr>
        <w:t>％。一旦卖方违约，本基金根据协议和有关法律有权保留或处置已购入证券以满足索赔需要；</w:t>
      </w:r>
    </w:p>
    <w:p w14:paraId="397C18C0" w14:textId="77777777" w:rsidR="00721099" w:rsidRDefault="006B4706">
      <w:pPr>
        <w:pStyle w:val="af3"/>
        <w:numPr>
          <w:ilvl w:val="0"/>
          <w:numId w:val="4"/>
        </w:numPr>
        <w:spacing w:line="360" w:lineRule="auto"/>
        <w:ind w:left="0" w:firstLineChars="200" w:firstLine="480"/>
        <w:jc w:val="both"/>
        <w:rPr>
          <w:rFonts w:ascii="Times New Roman" w:hAnsi="Times New Roman"/>
          <w:sz w:val="24"/>
          <w:lang w:eastAsia="zh-CN"/>
        </w:rPr>
      </w:pPr>
      <w:r>
        <w:rPr>
          <w:rFonts w:ascii="Times New Roman" w:hAnsi="Times New Roman" w:hint="eastAsia"/>
          <w:sz w:val="24"/>
          <w:lang w:eastAsia="zh-CN"/>
        </w:rPr>
        <w:t>基金管理人应当对本基金参与证券正回购交易、逆回购交易中发生的任何损失负相应责任。</w:t>
      </w:r>
    </w:p>
    <w:p w14:paraId="68CE43E1" w14:textId="7CDD2C34" w:rsidR="00721099" w:rsidRDefault="00880B0C">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9</w:t>
      </w:r>
      <w:r w:rsidR="006B4706">
        <w:rPr>
          <w:rFonts w:ascii="Times New Roman" w:hAnsi="Times New Roman"/>
          <w:sz w:val="24"/>
          <w:lang w:eastAsia="zh-CN"/>
        </w:rPr>
        <w:t>）本基金参与境外证券借贷交易、正回购交易，所有已借出而未归还证券总市值或所有已售出而未回购证券总市值均不得超过本基金总资产的</w:t>
      </w:r>
      <w:r w:rsidR="006B4706">
        <w:rPr>
          <w:rFonts w:ascii="Times New Roman" w:hAnsi="Times New Roman"/>
          <w:sz w:val="24"/>
          <w:lang w:eastAsia="zh-CN"/>
        </w:rPr>
        <w:t>50</w:t>
      </w:r>
      <w:r w:rsidR="006B4706">
        <w:rPr>
          <w:rFonts w:ascii="Times New Roman" w:hAnsi="Times New Roman"/>
          <w:sz w:val="24"/>
          <w:lang w:eastAsia="zh-CN"/>
        </w:rPr>
        <w:t>％。</w:t>
      </w:r>
    </w:p>
    <w:p w14:paraId="4C0F0F8A"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前项比例限制计算，</w:t>
      </w:r>
      <w:r>
        <w:rPr>
          <w:rFonts w:ascii="Times New Roman" w:hAnsi="Times New Roman" w:hint="eastAsia"/>
          <w:sz w:val="24"/>
          <w:lang w:eastAsia="zh-CN"/>
        </w:rPr>
        <w:t>本</w:t>
      </w:r>
      <w:r>
        <w:rPr>
          <w:rFonts w:ascii="Times New Roman" w:hAnsi="Times New Roman"/>
          <w:sz w:val="24"/>
          <w:lang w:eastAsia="zh-CN"/>
        </w:rPr>
        <w:t>基金因参与证券借贷交易、正回购交易而持有的担保物、现金不得计入基金总资产。</w:t>
      </w:r>
    </w:p>
    <w:p w14:paraId="78D4042F" w14:textId="42B6292B" w:rsidR="00721099" w:rsidRDefault="00880B0C">
      <w:pPr>
        <w:spacing w:line="360" w:lineRule="auto"/>
        <w:ind w:firstLineChars="200" w:firstLine="480"/>
        <w:jc w:val="both"/>
        <w:rPr>
          <w:sz w:val="24"/>
          <w:szCs w:val="24"/>
          <w:lang w:eastAsia="zh-CN"/>
        </w:rPr>
      </w:pPr>
      <w:r>
        <w:rPr>
          <w:rFonts w:hint="eastAsia"/>
          <w:sz w:val="24"/>
          <w:szCs w:val="24"/>
          <w:lang w:eastAsia="zh-CN"/>
        </w:rPr>
        <w:t>1</w:t>
      </w:r>
      <w:r>
        <w:rPr>
          <w:sz w:val="24"/>
          <w:szCs w:val="24"/>
          <w:lang w:eastAsia="zh-CN"/>
        </w:rPr>
        <w:t>0</w:t>
      </w:r>
      <w:r w:rsidR="006B4706">
        <w:rPr>
          <w:rFonts w:hint="eastAsia"/>
          <w:sz w:val="24"/>
          <w:szCs w:val="24"/>
          <w:lang w:eastAsia="zh-CN"/>
        </w:rPr>
        <w:t>）本基金持有同一机构（政府、国际金融组织除外）发行的证券市值不得超过基金净值的10%。</w:t>
      </w:r>
    </w:p>
    <w:p w14:paraId="78B18438" w14:textId="51F33E52" w:rsidR="00721099" w:rsidRDefault="00880B0C">
      <w:pPr>
        <w:spacing w:line="360" w:lineRule="auto"/>
        <w:ind w:firstLineChars="200" w:firstLine="480"/>
        <w:jc w:val="both"/>
        <w:rPr>
          <w:sz w:val="24"/>
          <w:szCs w:val="24"/>
          <w:lang w:eastAsia="zh-CN"/>
        </w:rPr>
      </w:pPr>
      <w:r>
        <w:rPr>
          <w:sz w:val="24"/>
          <w:szCs w:val="24"/>
          <w:lang w:eastAsia="zh-CN"/>
        </w:rPr>
        <w:t>11</w:t>
      </w:r>
      <w:r w:rsidR="006B4706">
        <w:rPr>
          <w:rFonts w:hint="eastAsia"/>
          <w:sz w:val="24"/>
          <w:szCs w:val="24"/>
          <w:lang w:eastAsia="zh-CN"/>
        </w:rPr>
        <w:t>）基金不得购买证券用于控制或影响发行该证券的机构或其管理层。本基金管理人管理的全部基金不得持有同一机构10%以上具有投票权的证券发行总量。完全</w:t>
      </w:r>
      <w:r w:rsidR="006B4706">
        <w:rPr>
          <w:rFonts w:hint="eastAsia"/>
          <w:sz w:val="24"/>
          <w:szCs w:val="24"/>
          <w:lang w:eastAsia="zh-CN"/>
        </w:rPr>
        <w:lastRenderedPageBreak/>
        <w:t>按照有关指数的构成比例进行证券投资的基金品种可以不受此条款规定的比例限制。</w:t>
      </w:r>
    </w:p>
    <w:p w14:paraId="4D2A5001" w14:textId="77777777" w:rsidR="00721099" w:rsidRDefault="006B4706">
      <w:pPr>
        <w:spacing w:line="360" w:lineRule="auto"/>
        <w:ind w:firstLineChars="200" w:firstLine="480"/>
        <w:jc w:val="both"/>
        <w:rPr>
          <w:sz w:val="24"/>
          <w:szCs w:val="24"/>
          <w:lang w:eastAsia="zh-CN"/>
        </w:rPr>
      </w:pPr>
      <w:r>
        <w:rPr>
          <w:sz w:val="24"/>
          <w:szCs w:val="24"/>
          <w:lang w:eastAsia="zh-CN"/>
        </w:rPr>
        <w:t>前项投资比例限制应当合并计算同一机构境内外上市的总股本，同时应当一并计算全球存托凭证和美国存托凭证所代表的基础证券，并假设对持有的股本权证行使转换；</w:t>
      </w:r>
    </w:p>
    <w:p w14:paraId="6B4C1359" w14:textId="749FF840" w:rsidR="00721099" w:rsidRDefault="00880B0C">
      <w:pPr>
        <w:spacing w:line="360" w:lineRule="auto"/>
        <w:ind w:firstLineChars="200" w:firstLine="480"/>
        <w:jc w:val="both"/>
        <w:rPr>
          <w:sz w:val="24"/>
          <w:szCs w:val="24"/>
          <w:lang w:eastAsia="zh-CN"/>
        </w:rPr>
      </w:pPr>
      <w:r>
        <w:rPr>
          <w:sz w:val="24"/>
          <w:szCs w:val="24"/>
          <w:lang w:eastAsia="zh-CN"/>
        </w:rPr>
        <w:t>12</w:t>
      </w:r>
      <w:r w:rsidR="006B4706">
        <w:rPr>
          <w:rFonts w:hint="eastAsia"/>
          <w:sz w:val="24"/>
          <w:szCs w:val="24"/>
          <w:lang w:eastAsia="zh-CN"/>
        </w:rPr>
        <w:t>）法律法规和《基金合同》约定的其他投资比例限制。</w:t>
      </w:r>
    </w:p>
    <w:p w14:paraId="608F2721" w14:textId="73EC4DB6"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本基金投资境外投资组合的，除上述第（</w:t>
      </w:r>
      <w:r>
        <w:rPr>
          <w:rFonts w:ascii="Times New Roman" w:hAnsi="Times New Roman" w:hint="eastAsia"/>
          <w:sz w:val="24"/>
          <w:lang w:eastAsia="zh-CN"/>
        </w:rPr>
        <w:t>5</w:t>
      </w:r>
      <w:r>
        <w:rPr>
          <w:rFonts w:ascii="Times New Roman" w:hAnsi="Times New Roman"/>
          <w:sz w:val="24"/>
          <w:lang w:eastAsia="zh-CN"/>
        </w:rPr>
        <w:t>）项的</w:t>
      </w:r>
      <w:r w:rsidR="00880B0C">
        <w:rPr>
          <w:rFonts w:ascii="Times New Roman" w:hAnsi="Times New Roman"/>
          <w:sz w:val="24"/>
          <w:lang w:eastAsia="zh-CN"/>
        </w:rPr>
        <w:t>4</w:t>
      </w:r>
      <w:r>
        <w:rPr>
          <w:rFonts w:ascii="Times New Roman" w:hAnsi="Times New Roman"/>
          <w:sz w:val="24"/>
          <w:lang w:eastAsia="zh-CN"/>
        </w:rPr>
        <w:t>）、</w:t>
      </w:r>
      <w:r w:rsidR="00880B0C">
        <w:rPr>
          <w:rFonts w:ascii="Times New Roman" w:hAnsi="Times New Roman"/>
          <w:sz w:val="24"/>
          <w:lang w:eastAsia="zh-CN"/>
        </w:rPr>
        <w:t>6</w:t>
      </w:r>
      <w:r>
        <w:rPr>
          <w:rFonts w:ascii="Times New Roman" w:hAnsi="Times New Roman"/>
          <w:sz w:val="24"/>
          <w:lang w:eastAsia="zh-CN"/>
        </w:rPr>
        <w:t>）、</w:t>
      </w:r>
      <w:r w:rsidR="00880B0C">
        <w:rPr>
          <w:rFonts w:ascii="Times New Roman" w:hAnsi="Times New Roman"/>
          <w:sz w:val="24"/>
          <w:lang w:eastAsia="zh-CN"/>
        </w:rPr>
        <w:t>7</w:t>
      </w:r>
      <w:r>
        <w:rPr>
          <w:rFonts w:ascii="Times New Roman" w:hAnsi="Times New Roman"/>
          <w:sz w:val="24"/>
          <w:lang w:eastAsia="zh-CN"/>
        </w:rPr>
        <w:t>）、</w:t>
      </w:r>
      <w:r w:rsidR="00880B0C">
        <w:rPr>
          <w:rFonts w:ascii="Times New Roman" w:hAnsi="Times New Roman"/>
          <w:sz w:val="24"/>
          <w:lang w:eastAsia="zh-CN"/>
        </w:rPr>
        <w:t>8</w:t>
      </w:r>
      <w:r>
        <w:rPr>
          <w:rFonts w:ascii="Times New Roman" w:hAnsi="Times New Roman"/>
          <w:sz w:val="24"/>
          <w:lang w:eastAsia="zh-CN"/>
        </w:rPr>
        <w:t>）、</w:t>
      </w:r>
      <w:r w:rsidR="00880B0C">
        <w:rPr>
          <w:rFonts w:ascii="Times New Roman" w:hAnsi="Times New Roman"/>
          <w:sz w:val="24"/>
          <w:lang w:eastAsia="zh-CN"/>
        </w:rPr>
        <w:t>9</w:t>
      </w:r>
      <w:r>
        <w:rPr>
          <w:rFonts w:ascii="Times New Roman" w:hAnsi="Times New Roman"/>
          <w:sz w:val="24"/>
          <w:lang w:eastAsia="zh-CN"/>
        </w:rPr>
        <w:t>）外，若基金超过上述投资比例限制，应当在超过比例后</w:t>
      </w:r>
      <w:r>
        <w:rPr>
          <w:rFonts w:ascii="Times New Roman" w:hAnsi="Times New Roman"/>
          <w:sz w:val="24"/>
          <w:lang w:eastAsia="zh-CN"/>
        </w:rPr>
        <w:t>30</w:t>
      </w:r>
      <w:r>
        <w:rPr>
          <w:rFonts w:ascii="Times New Roman" w:hAnsi="Times New Roman"/>
          <w:sz w:val="24"/>
          <w:lang w:eastAsia="zh-CN"/>
        </w:rPr>
        <w:t>个工作日内采用合理的商业措施减仓，以符合投资比例限制要求，但中国证监会规定的特殊情形除外。</w:t>
      </w:r>
    </w:p>
    <w:p w14:paraId="6EDD091B" w14:textId="77777777" w:rsidR="00721099" w:rsidRDefault="006B4706">
      <w:pPr>
        <w:spacing w:line="360" w:lineRule="auto"/>
        <w:ind w:firstLineChars="200" w:firstLine="460"/>
        <w:jc w:val="both"/>
        <w:rPr>
          <w:rFonts w:ascii="Times New Roman" w:hAnsi="Times New Roman"/>
          <w:sz w:val="24"/>
          <w:lang w:eastAsia="zh-CN"/>
        </w:rPr>
      </w:pPr>
      <w:r>
        <w:rPr>
          <w:rFonts w:ascii="Times New Roman" w:hAnsi="Times New Roman"/>
          <w:sz w:val="23"/>
          <w:szCs w:val="23"/>
          <w:lang w:eastAsia="zh-CN"/>
        </w:rPr>
        <w:t>（</w:t>
      </w:r>
      <w:r>
        <w:rPr>
          <w:rFonts w:ascii="Times New Roman" w:hAnsi="Times New Roman" w:hint="eastAsia"/>
          <w:sz w:val="23"/>
          <w:szCs w:val="23"/>
          <w:lang w:eastAsia="zh-CN"/>
        </w:rPr>
        <w:t>6</w:t>
      </w:r>
      <w:r>
        <w:rPr>
          <w:rFonts w:ascii="Times New Roman" w:hAnsi="Times New Roman"/>
          <w:sz w:val="23"/>
          <w:szCs w:val="23"/>
          <w:lang w:eastAsia="zh-CN"/>
        </w:rPr>
        <w:t>）本基金境内投资组合应遵循以下限制：</w:t>
      </w:r>
    </w:p>
    <w:p w14:paraId="30B35522" w14:textId="77777777" w:rsidR="00721099" w:rsidRDefault="006B4706">
      <w:pPr>
        <w:spacing w:line="360" w:lineRule="auto"/>
        <w:ind w:firstLineChars="200" w:firstLine="480"/>
        <w:jc w:val="both"/>
        <w:rPr>
          <w:rFonts w:ascii="Times New Roman" w:hAnsi="Times New Roman"/>
          <w:sz w:val="24"/>
          <w:lang w:val="zh-CN" w:eastAsia="zh-CN"/>
        </w:rPr>
      </w:pPr>
      <w:r>
        <w:rPr>
          <w:rFonts w:ascii="Times New Roman" w:hAnsi="Times New Roman"/>
          <w:sz w:val="24"/>
          <w:lang w:eastAsia="zh-CN"/>
        </w:rPr>
        <w:t>1</w:t>
      </w:r>
      <w:r>
        <w:rPr>
          <w:rFonts w:ascii="Times New Roman" w:hAnsi="Times New Roman"/>
          <w:sz w:val="24"/>
          <w:lang w:eastAsia="zh-CN"/>
        </w:rPr>
        <w:t>）</w:t>
      </w:r>
      <w:r>
        <w:rPr>
          <w:rFonts w:ascii="Times New Roman" w:hAnsi="Times New Roman" w:hint="eastAsia"/>
          <w:sz w:val="24"/>
          <w:lang w:val="zh-CN" w:eastAsia="zh-CN"/>
        </w:rPr>
        <w:t>本基金持有一家公司的证券，其市值（同一家公司在境内和境外同时上市的合并计算）不超过基金资产净值的</w:t>
      </w:r>
      <w:r>
        <w:rPr>
          <w:rFonts w:ascii="Times New Roman" w:hAnsi="Times New Roman" w:hint="eastAsia"/>
          <w:sz w:val="24"/>
          <w:lang w:val="zh-CN" w:eastAsia="zh-CN"/>
        </w:rPr>
        <w:t>10</w:t>
      </w:r>
      <w:r>
        <w:rPr>
          <w:rFonts w:ascii="Times New Roman" w:hAnsi="Times New Roman" w:hint="eastAsia"/>
          <w:sz w:val="24"/>
          <w:lang w:val="zh-CN" w:eastAsia="zh-CN"/>
        </w:rPr>
        <w:t>％；</w:t>
      </w:r>
    </w:p>
    <w:p w14:paraId="6AD5CACC" w14:textId="77777777" w:rsidR="00721099" w:rsidRDefault="006B4706">
      <w:pPr>
        <w:spacing w:line="360" w:lineRule="auto"/>
        <w:ind w:firstLineChars="200" w:firstLine="480"/>
        <w:jc w:val="both"/>
        <w:rPr>
          <w:rFonts w:ascii="Times New Roman" w:hAnsi="Times New Roman"/>
          <w:sz w:val="24"/>
          <w:lang w:val="zh-CN" w:eastAsia="zh-CN"/>
        </w:rPr>
      </w:pPr>
      <w:r>
        <w:rPr>
          <w:rFonts w:ascii="Times New Roman" w:hAnsi="Times New Roman" w:hint="eastAsia"/>
          <w:sz w:val="24"/>
          <w:lang w:val="zh-CN" w:eastAsia="zh-CN"/>
        </w:rPr>
        <w:t>2</w:t>
      </w:r>
      <w:r>
        <w:rPr>
          <w:rFonts w:ascii="Times New Roman" w:hAnsi="Times New Roman" w:hint="eastAsia"/>
          <w:sz w:val="24"/>
          <w:lang w:val="zh-CN" w:eastAsia="zh-CN"/>
        </w:rPr>
        <w:t>）本基金管理人管理的全部基金持有一家公司发行的证券（同一家公司在境内</w:t>
      </w:r>
    </w:p>
    <w:p w14:paraId="26D1DEF6" w14:textId="77777777" w:rsidR="00721099" w:rsidRDefault="006B4706">
      <w:pPr>
        <w:spacing w:line="360" w:lineRule="auto"/>
        <w:jc w:val="both"/>
        <w:rPr>
          <w:rFonts w:ascii="Times New Roman" w:hAnsi="Times New Roman"/>
          <w:sz w:val="24"/>
          <w:lang w:val="zh-CN" w:eastAsia="zh-CN"/>
        </w:rPr>
      </w:pPr>
      <w:r>
        <w:rPr>
          <w:rFonts w:ascii="Times New Roman" w:hAnsi="Times New Roman" w:hint="eastAsia"/>
          <w:sz w:val="24"/>
          <w:lang w:val="zh-CN" w:eastAsia="zh-CN"/>
        </w:rPr>
        <w:t>和境外同时上市的合并计算），不超过该证券的</w:t>
      </w:r>
      <w:r>
        <w:rPr>
          <w:rFonts w:ascii="Times New Roman" w:hAnsi="Times New Roman" w:hint="eastAsia"/>
          <w:sz w:val="24"/>
          <w:lang w:val="zh-CN" w:eastAsia="zh-CN"/>
        </w:rPr>
        <w:t>10</w:t>
      </w:r>
      <w:r>
        <w:rPr>
          <w:rFonts w:ascii="Times New Roman" w:hAnsi="Times New Roman" w:hint="eastAsia"/>
          <w:sz w:val="24"/>
          <w:lang w:val="zh-CN" w:eastAsia="zh-CN"/>
        </w:rPr>
        <w:t>％，完全按照有关指数的构成比例进行证券投资的基金品种可以不受此条款规定的比例限制；</w:t>
      </w:r>
    </w:p>
    <w:p w14:paraId="5C6337B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55E4C96" w14:textId="77777777" w:rsidR="00721099" w:rsidRDefault="00721099">
      <w:pPr>
        <w:spacing w:line="360" w:lineRule="auto"/>
        <w:jc w:val="both"/>
        <w:rPr>
          <w:rFonts w:ascii="Times New Roman" w:hAnsi="Times New Roman"/>
          <w:sz w:val="24"/>
          <w:lang w:val="zh-CN" w:eastAsia="zh-CN"/>
        </w:rPr>
      </w:pPr>
    </w:p>
    <w:p w14:paraId="6DAD0B27"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4</w:t>
      </w:r>
      <w:r>
        <w:rPr>
          <w:rFonts w:ascii="Times New Roman" w:hAnsi="Times New Roman" w:hint="eastAsia"/>
          <w:sz w:val="24"/>
          <w:lang w:eastAsia="zh-CN"/>
        </w:rPr>
        <w:t>）</w:t>
      </w:r>
      <w:r>
        <w:rPr>
          <w:rFonts w:ascii="Times New Roman" w:hAnsi="Times New Roman"/>
          <w:sz w:val="24"/>
          <w:lang w:eastAsia="zh-CN"/>
        </w:rPr>
        <w:t>本基金投资于同一原始权益人的各类资产支持证券的比例，不得超过基金资产净值的</w:t>
      </w:r>
      <w:r>
        <w:rPr>
          <w:rFonts w:ascii="Times New Roman" w:hAnsi="Times New Roman"/>
          <w:sz w:val="24"/>
          <w:lang w:eastAsia="zh-CN"/>
        </w:rPr>
        <w:t>10%</w:t>
      </w:r>
      <w:r>
        <w:rPr>
          <w:rFonts w:ascii="Times New Roman" w:hAnsi="Times New Roman"/>
          <w:sz w:val="24"/>
          <w:lang w:eastAsia="zh-CN"/>
        </w:rPr>
        <w:t>；</w:t>
      </w:r>
    </w:p>
    <w:p w14:paraId="2291D041"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5</w:t>
      </w:r>
      <w:r>
        <w:rPr>
          <w:rFonts w:ascii="Times New Roman" w:hAnsi="Times New Roman"/>
          <w:sz w:val="24"/>
          <w:lang w:eastAsia="zh-CN"/>
        </w:rPr>
        <w:t>）本基金持有的全部资产支持证券，其市值不得超过基金资产净值的</w:t>
      </w:r>
      <w:r>
        <w:rPr>
          <w:rFonts w:ascii="Times New Roman" w:hAnsi="Times New Roman"/>
          <w:sz w:val="24"/>
          <w:lang w:eastAsia="zh-CN"/>
        </w:rPr>
        <w:t>20%</w:t>
      </w:r>
      <w:r>
        <w:rPr>
          <w:rFonts w:ascii="Times New Roman" w:hAnsi="Times New Roman"/>
          <w:sz w:val="24"/>
          <w:lang w:eastAsia="zh-CN"/>
        </w:rPr>
        <w:t>；</w:t>
      </w:r>
    </w:p>
    <w:p w14:paraId="4EEF1578"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6</w:t>
      </w:r>
      <w:r>
        <w:rPr>
          <w:rFonts w:ascii="Times New Roman" w:hAnsi="Times New Roman"/>
          <w:sz w:val="24"/>
          <w:lang w:eastAsia="zh-CN"/>
        </w:rPr>
        <w:t>）本基金持有的同一（指同一信用级别）资产支持证券的比例，不得超过该资产支持证券规模的</w:t>
      </w:r>
      <w:r>
        <w:rPr>
          <w:rFonts w:ascii="Times New Roman" w:hAnsi="Times New Roman"/>
          <w:sz w:val="24"/>
          <w:lang w:eastAsia="zh-CN"/>
        </w:rPr>
        <w:t>10%</w:t>
      </w:r>
      <w:r>
        <w:rPr>
          <w:rFonts w:ascii="Times New Roman" w:hAnsi="Times New Roman"/>
          <w:sz w:val="24"/>
          <w:lang w:eastAsia="zh-CN"/>
        </w:rPr>
        <w:t>；</w:t>
      </w:r>
    </w:p>
    <w:p w14:paraId="45177DDA"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7</w:t>
      </w:r>
      <w:r>
        <w:rPr>
          <w:rFonts w:ascii="Times New Roman" w:hAnsi="Times New Roman"/>
          <w:sz w:val="24"/>
          <w:lang w:eastAsia="zh-CN"/>
        </w:rPr>
        <w:t>）本基金管理人管理的全部基金投资于同一原始权益人的各类资产支持证券，不得超过其各类资产支持证券合计规模的</w:t>
      </w:r>
      <w:r>
        <w:rPr>
          <w:rFonts w:ascii="Times New Roman" w:hAnsi="Times New Roman"/>
          <w:sz w:val="24"/>
          <w:lang w:eastAsia="zh-CN"/>
        </w:rPr>
        <w:t>10%</w:t>
      </w:r>
      <w:r>
        <w:rPr>
          <w:rFonts w:ascii="Times New Roman" w:hAnsi="Times New Roman"/>
          <w:sz w:val="24"/>
          <w:lang w:eastAsia="zh-CN"/>
        </w:rPr>
        <w:t>；</w:t>
      </w:r>
    </w:p>
    <w:p w14:paraId="3143E532"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8</w:t>
      </w:r>
      <w:r>
        <w:rPr>
          <w:rFonts w:ascii="Times New Roman" w:hAnsi="Times New Roman"/>
          <w:sz w:val="24"/>
          <w:lang w:eastAsia="zh-CN"/>
        </w:rPr>
        <w:t>）本基金应投资于信用级别评级为</w:t>
      </w:r>
      <w:r>
        <w:rPr>
          <w:rFonts w:ascii="Times New Roman" w:hAnsi="Times New Roman"/>
          <w:sz w:val="24"/>
          <w:lang w:eastAsia="zh-CN"/>
        </w:rPr>
        <w:t>BBB</w:t>
      </w:r>
      <w:r>
        <w:rPr>
          <w:rFonts w:ascii="Times New Roman" w:hAnsi="Times New Roman"/>
          <w:sz w:val="24"/>
          <w:lang w:eastAsia="zh-CN"/>
        </w:rPr>
        <w:t>以上</w:t>
      </w:r>
      <w:r>
        <w:rPr>
          <w:rFonts w:ascii="Times New Roman" w:hAnsi="Times New Roman"/>
          <w:sz w:val="24"/>
          <w:lang w:eastAsia="zh-CN"/>
        </w:rPr>
        <w:t>(</w:t>
      </w:r>
      <w:r>
        <w:rPr>
          <w:rFonts w:ascii="Times New Roman" w:hAnsi="Times New Roman"/>
          <w:sz w:val="24"/>
          <w:lang w:eastAsia="zh-CN"/>
        </w:rPr>
        <w:t>含</w:t>
      </w:r>
      <w:r>
        <w:rPr>
          <w:rFonts w:ascii="Times New Roman" w:hAnsi="Times New Roman"/>
          <w:sz w:val="24"/>
          <w:lang w:eastAsia="zh-CN"/>
        </w:rPr>
        <w:t>BBB)</w:t>
      </w:r>
      <w:r>
        <w:rPr>
          <w:rFonts w:ascii="Times New Roman" w:hAnsi="Times New Roman"/>
          <w:sz w:val="24"/>
          <w:lang w:eastAsia="zh-CN"/>
        </w:rPr>
        <w:t>的资产支持证券。基金持有资产支持证券期间，如果其信用等级下降、不再符合投资标准，应在评级报告发布之日起</w:t>
      </w:r>
      <w:r>
        <w:rPr>
          <w:rFonts w:ascii="Times New Roman" w:hAnsi="Times New Roman"/>
          <w:sz w:val="24"/>
          <w:lang w:eastAsia="zh-CN"/>
        </w:rPr>
        <w:t>3</w:t>
      </w:r>
      <w:r>
        <w:rPr>
          <w:rFonts w:ascii="Times New Roman" w:hAnsi="Times New Roman"/>
          <w:sz w:val="24"/>
          <w:lang w:eastAsia="zh-CN"/>
        </w:rPr>
        <w:t>个月内予以全部卖出；</w:t>
      </w:r>
    </w:p>
    <w:p w14:paraId="14BC7034"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lastRenderedPageBreak/>
        <w:t>9</w:t>
      </w:r>
      <w:r>
        <w:rPr>
          <w:rFonts w:ascii="Times New Roman" w:hAnsi="Times New Roman"/>
          <w:sz w:val="24"/>
          <w:lang w:eastAsia="zh-CN"/>
        </w:rPr>
        <w:t>）</w:t>
      </w:r>
      <w:r>
        <w:rPr>
          <w:rFonts w:ascii="Times New Roman" w:hAnsi="Times New Roman"/>
          <w:bCs/>
          <w:sz w:val="24"/>
          <w:lang w:eastAsia="zh-CN"/>
        </w:rPr>
        <w:t>基金财产参与股票发行申购</w:t>
      </w:r>
      <w:r>
        <w:rPr>
          <w:rFonts w:ascii="Times New Roman" w:hAnsi="Times New Roman"/>
          <w:sz w:val="24"/>
          <w:lang w:eastAsia="zh-CN"/>
        </w:rPr>
        <w:t>，本基金所申报的金额不超过本基金的总资产，本基金</w:t>
      </w:r>
      <w:r>
        <w:rPr>
          <w:rFonts w:ascii="Times New Roman" w:hAnsi="Times New Roman"/>
          <w:bCs/>
          <w:sz w:val="24"/>
          <w:lang w:eastAsia="zh-CN"/>
        </w:rPr>
        <w:t>所申报的股票数量不超过拟发行股票公司本次发行股票的总量</w:t>
      </w:r>
      <w:r>
        <w:rPr>
          <w:rFonts w:ascii="Times New Roman" w:hAnsi="Times New Roman"/>
          <w:sz w:val="24"/>
          <w:lang w:eastAsia="zh-CN"/>
        </w:rPr>
        <w:t>；</w:t>
      </w:r>
    </w:p>
    <w:p w14:paraId="1C2947D8"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sz w:val="24"/>
          <w:lang w:eastAsia="zh-CN"/>
        </w:rPr>
        <w:t>10</w:t>
      </w:r>
      <w:r>
        <w:rPr>
          <w:rFonts w:ascii="Times New Roman" w:hAnsi="Times New Roman"/>
          <w:sz w:val="23"/>
          <w:szCs w:val="23"/>
          <w:lang w:eastAsia="zh-CN"/>
        </w:rPr>
        <w:t>）</w:t>
      </w:r>
      <w:r>
        <w:rPr>
          <w:rFonts w:ascii="Times New Roman" w:hAnsi="Times New Roman"/>
          <w:bCs/>
          <w:sz w:val="24"/>
          <w:lang w:eastAsia="zh-CN"/>
        </w:rPr>
        <w:t>本基金若参与股指期货交易，依据下列标准建构组合：</w:t>
      </w:r>
    </w:p>
    <w:p w14:paraId="76B5F1D9" w14:textId="77777777" w:rsidR="00721099" w:rsidRDefault="006B4706">
      <w:pPr>
        <w:pStyle w:val="110"/>
        <w:numPr>
          <w:ilvl w:val="0"/>
          <w:numId w:val="5"/>
        </w:numPr>
        <w:tabs>
          <w:tab w:val="center" w:pos="709"/>
        </w:tabs>
        <w:spacing w:line="360" w:lineRule="auto"/>
        <w:ind w:left="0" w:firstLineChars="0" w:firstLine="426"/>
        <w:rPr>
          <w:rFonts w:ascii="Times New Roman" w:hAnsi="Times New Roman"/>
          <w:bCs/>
          <w:sz w:val="24"/>
          <w:lang w:eastAsia="zh-CN"/>
        </w:rPr>
      </w:pPr>
      <w:r>
        <w:rPr>
          <w:rFonts w:ascii="Times New Roman" w:hAnsi="Times New Roman"/>
          <w:bCs/>
          <w:sz w:val="24"/>
          <w:lang w:eastAsia="zh-CN"/>
        </w:rPr>
        <w:t>本基金在任何交易日日终，持有的买入股指期货合约价值，不得超过基金资产净值的</w:t>
      </w:r>
      <w:r>
        <w:rPr>
          <w:rFonts w:ascii="Times New Roman" w:hAnsi="Times New Roman"/>
          <w:bCs/>
          <w:sz w:val="24"/>
          <w:lang w:eastAsia="zh-CN"/>
        </w:rPr>
        <w:t>10%</w:t>
      </w:r>
      <w:r>
        <w:rPr>
          <w:rFonts w:ascii="Times New Roman" w:hAnsi="Times New Roman"/>
          <w:bCs/>
          <w:sz w:val="24"/>
          <w:lang w:eastAsia="zh-CN"/>
        </w:rPr>
        <w:t>；</w:t>
      </w:r>
    </w:p>
    <w:p w14:paraId="3D0BFD81" w14:textId="77777777" w:rsidR="00721099" w:rsidRDefault="006B4706">
      <w:pPr>
        <w:pStyle w:val="110"/>
        <w:numPr>
          <w:ilvl w:val="0"/>
          <w:numId w:val="5"/>
        </w:numPr>
        <w:tabs>
          <w:tab w:val="center" w:pos="709"/>
        </w:tabs>
        <w:spacing w:line="360" w:lineRule="auto"/>
        <w:ind w:left="0" w:firstLineChars="0" w:firstLine="426"/>
        <w:rPr>
          <w:rFonts w:ascii="Times New Roman" w:hAnsi="Times New Roman"/>
          <w:bCs/>
          <w:sz w:val="24"/>
          <w:lang w:eastAsia="zh-CN"/>
        </w:rPr>
      </w:pPr>
      <w:r>
        <w:rPr>
          <w:rFonts w:ascii="Times New Roman" w:hAnsi="Times New Roman"/>
          <w:bCs/>
          <w:sz w:val="24"/>
          <w:lang w:eastAsia="zh-CN"/>
        </w:rPr>
        <w:t>本基金在任何交易日日终，持有的买入国债期货和股指期货合约价值与有价证券市值之和不得超过基金资产净值的</w:t>
      </w:r>
      <w:r>
        <w:rPr>
          <w:rFonts w:ascii="Times New Roman" w:hAnsi="Times New Roman" w:hint="eastAsia"/>
          <w:bCs/>
          <w:sz w:val="24"/>
          <w:lang w:eastAsia="zh-CN"/>
        </w:rPr>
        <w:t>95</w:t>
      </w:r>
      <w:r>
        <w:rPr>
          <w:rFonts w:ascii="Times New Roman" w:hAnsi="Times New Roman"/>
          <w:bCs/>
          <w:sz w:val="24"/>
          <w:lang w:eastAsia="zh-CN"/>
        </w:rPr>
        <w:t>%</w:t>
      </w:r>
      <w:r>
        <w:rPr>
          <w:rFonts w:ascii="Times New Roman" w:hAnsi="Times New Roman"/>
          <w:bCs/>
          <w:sz w:val="24"/>
          <w:lang w:eastAsia="zh-CN"/>
        </w:rPr>
        <w:t>，其中，有价证券指股票、债券（不含到期日在一年以内的政府债券）、资产支持证券、买入返售金融资产（不含质押式回购）等；</w:t>
      </w:r>
    </w:p>
    <w:p w14:paraId="10091874" w14:textId="77777777" w:rsidR="00721099" w:rsidRDefault="006B4706">
      <w:pPr>
        <w:pStyle w:val="110"/>
        <w:numPr>
          <w:ilvl w:val="0"/>
          <w:numId w:val="5"/>
        </w:numPr>
        <w:tabs>
          <w:tab w:val="center" w:pos="709"/>
        </w:tabs>
        <w:spacing w:line="360" w:lineRule="auto"/>
        <w:ind w:left="0" w:firstLineChars="0" w:firstLine="426"/>
        <w:rPr>
          <w:rFonts w:ascii="Times New Roman" w:hAnsi="Times New Roman"/>
          <w:bCs/>
          <w:sz w:val="24"/>
          <w:lang w:eastAsia="zh-CN"/>
        </w:rPr>
      </w:pPr>
      <w:r>
        <w:rPr>
          <w:rFonts w:ascii="Times New Roman" w:hAnsi="Times New Roman"/>
          <w:bCs/>
          <w:sz w:val="24"/>
          <w:lang w:eastAsia="zh-CN"/>
        </w:rPr>
        <w:t>本基金在任何交易日日终，持有的卖出股指期货合约价值不得超过本基金持有的股票总市值的</w:t>
      </w:r>
      <w:r>
        <w:rPr>
          <w:rFonts w:ascii="Times New Roman" w:hAnsi="Times New Roman"/>
          <w:bCs/>
          <w:sz w:val="24"/>
          <w:lang w:eastAsia="zh-CN"/>
        </w:rPr>
        <w:t>20%</w:t>
      </w:r>
      <w:r>
        <w:rPr>
          <w:rFonts w:ascii="Times New Roman" w:hAnsi="Times New Roman"/>
          <w:bCs/>
          <w:sz w:val="24"/>
          <w:lang w:eastAsia="zh-CN"/>
        </w:rPr>
        <w:t>；</w:t>
      </w:r>
    </w:p>
    <w:p w14:paraId="47FBE4C5" w14:textId="77777777" w:rsidR="00721099" w:rsidRDefault="006B4706">
      <w:pPr>
        <w:pStyle w:val="110"/>
        <w:numPr>
          <w:ilvl w:val="0"/>
          <w:numId w:val="5"/>
        </w:numPr>
        <w:tabs>
          <w:tab w:val="center" w:pos="709"/>
        </w:tabs>
        <w:spacing w:line="360" w:lineRule="auto"/>
        <w:ind w:left="0" w:firstLineChars="0" w:firstLine="426"/>
        <w:rPr>
          <w:rFonts w:ascii="Times New Roman" w:hAnsi="Times New Roman"/>
          <w:bCs/>
          <w:sz w:val="24"/>
          <w:lang w:eastAsia="zh-CN"/>
        </w:rPr>
      </w:pPr>
      <w:r>
        <w:rPr>
          <w:rFonts w:ascii="Times New Roman" w:hAnsi="Times New Roman"/>
          <w:bCs/>
          <w:sz w:val="24"/>
          <w:lang w:eastAsia="zh-CN"/>
        </w:rPr>
        <w:t>本基金所持有的股票市值和买入、卖出股指期货合约价值，合计（轧差计算）应当符合基金合同关于股票投资比例的有关约定；</w:t>
      </w:r>
    </w:p>
    <w:p w14:paraId="2584301C" w14:textId="77777777" w:rsidR="00721099" w:rsidRDefault="006B4706">
      <w:pPr>
        <w:pStyle w:val="110"/>
        <w:numPr>
          <w:ilvl w:val="0"/>
          <w:numId w:val="5"/>
        </w:numPr>
        <w:tabs>
          <w:tab w:val="center" w:pos="709"/>
        </w:tabs>
        <w:spacing w:line="360" w:lineRule="auto"/>
        <w:ind w:left="0" w:firstLineChars="0" w:firstLine="426"/>
        <w:rPr>
          <w:rFonts w:ascii="Times New Roman" w:hAnsi="Times New Roman"/>
          <w:bCs/>
          <w:sz w:val="24"/>
          <w:lang w:eastAsia="zh-CN"/>
        </w:rPr>
      </w:pPr>
      <w:r>
        <w:rPr>
          <w:rFonts w:ascii="Times New Roman" w:hAnsi="Times New Roman"/>
          <w:bCs/>
          <w:sz w:val="24"/>
          <w:lang w:eastAsia="zh-CN"/>
        </w:rPr>
        <w:t>本基金在任何交易日内交易（不包括平仓）的股指期货合约的成交金额不得超过上一交易日基金资产净值的</w:t>
      </w:r>
      <w:r>
        <w:rPr>
          <w:rFonts w:ascii="Times New Roman" w:hAnsi="Times New Roman"/>
          <w:bCs/>
          <w:sz w:val="24"/>
          <w:lang w:eastAsia="zh-CN"/>
        </w:rPr>
        <w:t>20%</w:t>
      </w:r>
      <w:r>
        <w:rPr>
          <w:rFonts w:ascii="Times New Roman" w:hAnsi="Times New Roman"/>
          <w:bCs/>
          <w:sz w:val="24"/>
          <w:lang w:eastAsia="zh-CN"/>
        </w:rPr>
        <w:t>；</w:t>
      </w:r>
    </w:p>
    <w:p w14:paraId="5B367424" w14:textId="77777777" w:rsidR="00721099" w:rsidRDefault="006B4706">
      <w:pPr>
        <w:spacing w:line="360" w:lineRule="auto"/>
        <w:ind w:firstLineChars="200" w:firstLine="480"/>
        <w:rPr>
          <w:rFonts w:ascii="Times New Roman" w:hAnsi="Times New Roman"/>
          <w:bCs/>
          <w:sz w:val="24"/>
          <w:lang w:eastAsia="zh-CN"/>
        </w:rPr>
      </w:pPr>
      <w:r>
        <w:rPr>
          <w:rFonts w:ascii="Times New Roman" w:hAnsi="Times New Roman" w:hint="eastAsia"/>
          <w:bCs/>
          <w:sz w:val="24"/>
          <w:lang w:eastAsia="zh-CN"/>
        </w:rPr>
        <w:t>11</w:t>
      </w:r>
      <w:r>
        <w:rPr>
          <w:rFonts w:ascii="Times New Roman" w:hAnsi="Times New Roman"/>
          <w:bCs/>
          <w:sz w:val="24"/>
          <w:lang w:eastAsia="zh-CN"/>
        </w:rPr>
        <w:t>）本基金若参与国债期货交易，应当符合下列投资限制：</w:t>
      </w:r>
    </w:p>
    <w:p w14:paraId="53127E57" w14:textId="77777777" w:rsidR="00721099" w:rsidRDefault="006B4706">
      <w:pPr>
        <w:pStyle w:val="110"/>
        <w:numPr>
          <w:ilvl w:val="0"/>
          <w:numId w:val="6"/>
        </w:numPr>
        <w:tabs>
          <w:tab w:val="center" w:pos="709"/>
          <w:tab w:val="center" w:pos="851"/>
        </w:tabs>
        <w:spacing w:line="360" w:lineRule="auto"/>
        <w:ind w:left="0" w:firstLineChars="0" w:firstLine="480"/>
        <w:rPr>
          <w:rFonts w:ascii="Times New Roman" w:hAnsi="Times New Roman"/>
          <w:bCs/>
          <w:sz w:val="24"/>
          <w:lang w:eastAsia="zh-CN"/>
        </w:rPr>
      </w:pPr>
      <w:r>
        <w:rPr>
          <w:rFonts w:ascii="Times New Roman" w:hAnsi="Times New Roman"/>
          <w:bCs/>
          <w:sz w:val="24"/>
          <w:lang w:eastAsia="zh-CN"/>
        </w:rPr>
        <w:t>本基金在任何交易日日终，持有的买入国债期货合约价值，不得超过基金资产净值的</w:t>
      </w:r>
      <w:r>
        <w:rPr>
          <w:rFonts w:ascii="Times New Roman" w:hAnsi="Times New Roman"/>
          <w:bCs/>
          <w:sz w:val="24"/>
          <w:lang w:eastAsia="zh-CN"/>
        </w:rPr>
        <w:t>15%</w:t>
      </w:r>
      <w:r>
        <w:rPr>
          <w:rFonts w:ascii="Times New Roman" w:hAnsi="Times New Roman"/>
          <w:bCs/>
          <w:sz w:val="24"/>
          <w:lang w:eastAsia="zh-CN"/>
        </w:rPr>
        <w:t>；</w:t>
      </w:r>
    </w:p>
    <w:p w14:paraId="0785B3B7" w14:textId="77777777" w:rsidR="00721099" w:rsidRDefault="006B4706">
      <w:pPr>
        <w:pStyle w:val="110"/>
        <w:numPr>
          <w:ilvl w:val="0"/>
          <w:numId w:val="6"/>
        </w:numPr>
        <w:tabs>
          <w:tab w:val="center" w:pos="709"/>
          <w:tab w:val="center" w:pos="851"/>
        </w:tabs>
        <w:spacing w:line="360" w:lineRule="auto"/>
        <w:ind w:left="0" w:firstLineChars="0" w:firstLine="480"/>
        <w:rPr>
          <w:rFonts w:ascii="Times New Roman" w:hAnsi="Times New Roman"/>
          <w:bCs/>
          <w:sz w:val="24"/>
          <w:lang w:eastAsia="zh-CN"/>
        </w:rPr>
      </w:pPr>
      <w:r>
        <w:rPr>
          <w:rFonts w:ascii="Times New Roman" w:hAnsi="Times New Roman"/>
          <w:bCs/>
          <w:sz w:val="24"/>
          <w:lang w:eastAsia="zh-CN"/>
        </w:rPr>
        <w:t>本基金在任何交易日日终，持有的卖出国债期货合约价值不得超过基金持有的债券总市值的</w:t>
      </w:r>
      <w:r>
        <w:rPr>
          <w:rFonts w:ascii="Times New Roman" w:hAnsi="Times New Roman"/>
          <w:bCs/>
          <w:sz w:val="24"/>
          <w:lang w:eastAsia="zh-CN"/>
        </w:rPr>
        <w:t>30%</w:t>
      </w:r>
      <w:r>
        <w:rPr>
          <w:rFonts w:ascii="Times New Roman" w:hAnsi="Times New Roman"/>
          <w:bCs/>
          <w:sz w:val="24"/>
          <w:lang w:eastAsia="zh-CN"/>
        </w:rPr>
        <w:t>；</w:t>
      </w:r>
    </w:p>
    <w:p w14:paraId="2F4C1A5F" w14:textId="77777777" w:rsidR="00721099" w:rsidRDefault="006B4706">
      <w:pPr>
        <w:pStyle w:val="110"/>
        <w:numPr>
          <w:ilvl w:val="0"/>
          <w:numId w:val="6"/>
        </w:numPr>
        <w:tabs>
          <w:tab w:val="center" w:pos="709"/>
          <w:tab w:val="center" w:pos="851"/>
        </w:tabs>
        <w:spacing w:line="360" w:lineRule="auto"/>
        <w:ind w:left="0" w:firstLineChars="0" w:firstLine="480"/>
        <w:rPr>
          <w:rFonts w:ascii="Times New Roman" w:hAnsi="Times New Roman"/>
          <w:bCs/>
          <w:sz w:val="24"/>
          <w:lang w:eastAsia="zh-CN"/>
        </w:rPr>
      </w:pPr>
      <w:r>
        <w:rPr>
          <w:rFonts w:ascii="Times New Roman" w:hAnsi="Times New Roman"/>
          <w:bCs/>
          <w:sz w:val="24"/>
          <w:lang w:eastAsia="zh-CN"/>
        </w:rPr>
        <w:t>本基金在任何交易日内交易（不包括平仓）的国债期货合约的成交金额不得超过上一交易日基金资产净值的</w:t>
      </w:r>
      <w:r>
        <w:rPr>
          <w:rFonts w:ascii="Times New Roman" w:hAnsi="Times New Roman"/>
          <w:bCs/>
          <w:sz w:val="24"/>
          <w:lang w:eastAsia="zh-CN"/>
        </w:rPr>
        <w:t>30%</w:t>
      </w:r>
      <w:r>
        <w:rPr>
          <w:rFonts w:ascii="Times New Roman" w:hAnsi="Times New Roman"/>
          <w:bCs/>
          <w:sz w:val="24"/>
          <w:lang w:eastAsia="zh-CN"/>
        </w:rPr>
        <w:t>；</w:t>
      </w:r>
    </w:p>
    <w:p w14:paraId="159C6C68" w14:textId="77777777" w:rsidR="00721099" w:rsidRDefault="006B4706">
      <w:pPr>
        <w:pStyle w:val="110"/>
        <w:numPr>
          <w:ilvl w:val="0"/>
          <w:numId w:val="6"/>
        </w:numPr>
        <w:tabs>
          <w:tab w:val="center" w:pos="709"/>
          <w:tab w:val="center" w:pos="851"/>
        </w:tabs>
        <w:spacing w:line="360" w:lineRule="auto"/>
        <w:ind w:left="0" w:firstLineChars="0" w:firstLine="480"/>
        <w:rPr>
          <w:rFonts w:ascii="Times New Roman" w:hAnsi="Times New Roman"/>
          <w:bCs/>
          <w:sz w:val="24"/>
          <w:lang w:eastAsia="zh-CN"/>
        </w:rPr>
      </w:pPr>
      <w:r>
        <w:rPr>
          <w:rFonts w:ascii="Times New Roman" w:hAnsi="Times New Roman"/>
          <w:bCs/>
          <w:sz w:val="24"/>
          <w:lang w:eastAsia="zh-CN"/>
        </w:rPr>
        <w:t>本基金所持有的债券（不含到期日在一年以内的政府债券）市值和买入、卖出国债期货合约价值，合计（轧差计算）应当符合基金合同关于债券投资比例的有关约定；</w:t>
      </w:r>
    </w:p>
    <w:p w14:paraId="2CF7869B" w14:textId="77777777" w:rsidR="00721099" w:rsidRDefault="006B4706">
      <w:pPr>
        <w:pStyle w:val="110"/>
        <w:numPr>
          <w:ilvl w:val="0"/>
          <w:numId w:val="6"/>
        </w:numPr>
        <w:tabs>
          <w:tab w:val="center" w:pos="709"/>
          <w:tab w:val="center" w:pos="851"/>
        </w:tabs>
        <w:spacing w:line="360" w:lineRule="auto"/>
        <w:ind w:left="0" w:firstLineChars="0" w:firstLine="480"/>
        <w:rPr>
          <w:rFonts w:ascii="Times New Roman" w:hAnsi="Times New Roman"/>
          <w:bCs/>
          <w:sz w:val="24"/>
          <w:lang w:eastAsia="zh-CN"/>
        </w:rPr>
      </w:pPr>
      <w:r>
        <w:rPr>
          <w:rFonts w:ascii="Times New Roman" w:hAnsi="Times New Roman" w:hint="eastAsia"/>
          <w:bCs/>
          <w:sz w:val="24"/>
          <w:lang w:eastAsia="zh-CN"/>
        </w:rPr>
        <w:t>本基金在任何交易日日终，持有的买入国债期货和股指期货合约价值与有价证券市值之和不得超过基金资产净值的</w:t>
      </w:r>
      <w:r>
        <w:rPr>
          <w:rFonts w:ascii="Times New Roman" w:hAnsi="Times New Roman" w:hint="eastAsia"/>
          <w:bCs/>
          <w:sz w:val="24"/>
          <w:lang w:eastAsia="zh-CN"/>
        </w:rPr>
        <w:t>95</w:t>
      </w:r>
      <w:r>
        <w:rPr>
          <w:rFonts w:ascii="Times New Roman" w:hAnsi="Times New Roman"/>
          <w:bCs/>
          <w:sz w:val="24"/>
          <w:lang w:eastAsia="zh-CN"/>
        </w:rPr>
        <w:t>%</w:t>
      </w:r>
      <w:r>
        <w:rPr>
          <w:rFonts w:ascii="Times New Roman" w:hAnsi="Times New Roman" w:hint="eastAsia"/>
          <w:bCs/>
          <w:sz w:val="24"/>
          <w:lang w:eastAsia="zh-CN"/>
        </w:rPr>
        <w:t>，其中，有价证券指股票、债券（不含到期日在一年以内的政府债券）、资产支持证券、买入返售金融资产（不含质押式回购）等；</w:t>
      </w:r>
    </w:p>
    <w:p w14:paraId="2EF3C452"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sz w:val="24"/>
          <w:lang w:eastAsia="zh-CN"/>
        </w:rPr>
        <w:t>12</w:t>
      </w:r>
      <w:r>
        <w:rPr>
          <w:rFonts w:ascii="Times New Roman" w:hAnsi="Times New Roman"/>
          <w:sz w:val="24"/>
          <w:lang w:eastAsia="zh-CN"/>
        </w:rPr>
        <w:t>）</w:t>
      </w:r>
      <w:r>
        <w:rPr>
          <w:rFonts w:ascii="Times New Roman" w:hAnsi="Times New Roman"/>
          <w:sz w:val="24"/>
          <w:szCs w:val="24"/>
          <w:lang w:eastAsia="zh-CN"/>
        </w:rPr>
        <w:t>基金因未平仓的股票期权合约支付和收取的权利金总额不得超过基金资产</w:t>
      </w:r>
      <w:r>
        <w:rPr>
          <w:rFonts w:ascii="Times New Roman" w:hAnsi="Times New Roman"/>
          <w:sz w:val="24"/>
          <w:szCs w:val="24"/>
          <w:lang w:eastAsia="zh-CN"/>
        </w:rPr>
        <w:lastRenderedPageBreak/>
        <w:t>净值的</w:t>
      </w:r>
      <w:r>
        <w:rPr>
          <w:rFonts w:ascii="Times New Roman" w:hAnsi="Times New Roman"/>
          <w:sz w:val="24"/>
          <w:szCs w:val="24"/>
          <w:lang w:eastAsia="zh-CN"/>
        </w:rPr>
        <w:t>10%</w:t>
      </w:r>
      <w:r>
        <w:rPr>
          <w:rFonts w:ascii="Times New Roman" w:hAnsi="Times New Roman"/>
          <w:sz w:val="24"/>
          <w:szCs w:val="24"/>
          <w:lang w:eastAsia="zh-CN"/>
        </w:rPr>
        <w:t>；开仓卖出认购股票期权的，应持有足额标的证券；开仓卖出认沽</w:t>
      </w:r>
      <w:r>
        <w:rPr>
          <w:rFonts w:ascii="Times New Roman" w:hAnsi="Times New Roman"/>
          <w:bCs/>
          <w:sz w:val="24"/>
          <w:lang w:eastAsia="zh-CN"/>
        </w:rPr>
        <w:t>期权的，应持有合约行权所需的全额现金或交易所规则认可的可冲抵期权保证金的现金等价物；未平仓的股票期权合约面值不得超过基金资产净值的</w:t>
      </w:r>
      <w:r>
        <w:rPr>
          <w:rFonts w:ascii="Times New Roman" w:hAnsi="Times New Roman"/>
          <w:bCs/>
          <w:sz w:val="24"/>
          <w:lang w:eastAsia="zh-CN"/>
        </w:rPr>
        <w:t>20%</w:t>
      </w:r>
      <w:r>
        <w:rPr>
          <w:rFonts w:ascii="Times New Roman" w:hAnsi="Times New Roman"/>
          <w:bCs/>
          <w:sz w:val="24"/>
          <w:lang w:eastAsia="zh-CN"/>
        </w:rPr>
        <w:t>。其中，合约面值按照行权价乘以合约乘数计算；</w:t>
      </w:r>
    </w:p>
    <w:p w14:paraId="58BF59BA" w14:textId="77777777" w:rsidR="00721099" w:rsidRDefault="006B4706">
      <w:pPr>
        <w:spacing w:line="360" w:lineRule="auto"/>
        <w:ind w:firstLineChars="200" w:firstLine="480"/>
        <w:jc w:val="both"/>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3</w:t>
      </w:r>
      <w:r>
        <w:rPr>
          <w:rFonts w:ascii="Times New Roman" w:hAnsi="Times New Roman"/>
          <w:sz w:val="24"/>
          <w:szCs w:val="24"/>
          <w:lang w:eastAsia="zh-CN"/>
        </w:rPr>
        <w:t>）本基金参与融资的，每个交易日日终，本基金持有的融资买入股票与其他有价证券市值之和，不得超过基金资产净值的</w:t>
      </w:r>
      <w:r>
        <w:rPr>
          <w:rFonts w:ascii="Times New Roman" w:hAnsi="Times New Roman"/>
          <w:sz w:val="24"/>
          <w:szCs w:val="24"/>
          <w:lang w:eastAsia="zh-CN"/>
        </w:rPr>
        <w:t>95%</w:t>
      </w:r>
      <w:r>
        <w:rPr>
          <w:rFonts w:ascii="Times New Roman" w:hAnsi="Times New Roman"/>
          <w:sz w:val="24"/>
          <w:szCs w:val="24"/>
          <w:lang w:eastAsia="zh-CN"/>
        </w:rPr>
        <w:t>；</w:t>
      </w:r>
    </w:p>
    <w:p w14:paraId="169F6B4C"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szCs w:val="24"/>
          <w:lang w:eastAsia="zh-CN"/>
        </w:rPr>
        <w:t>14</w:t>
      </w:r>
      <w:r>
        <w:rPr>
          <w:rFonts w:ascii="Times New Roman" w:hAnsi="Times New Roman"/>
          <w:sz w:val="24"/>
          <w:szCs w:val="24"/>
          <w:lang w:eastAsia="zh-CN"/>
        </w:rPr>
        <w:t>）本基金主动投资于流动性受限资产的市值合计不得超过本基金资产净值的</w:t>
      </w:r>
      <w:r>
        <w:rPr>
          <w:rFonts w:ascii="Times New Roman" w:hAnsi="Times New Roman"/>
          <w:sz w:val="24"/>
          <w:szCs w:val="24"/>
          <w:lang w:eastAsia="zh-CN"/>
        </w:rPr>
        <w:t>15%</w:t>
      </w:r>
      <w:r>
        <w:rPr>
          <w:rFonts w:ascii="Times New Roman" w:hAnsi="Times New Roman"/>
          <w:sz w:val="24"/>
          <w:szCs w:val="24"/>
          <w:lang w:eastAsia="zh-CN"/>
        </w:rPr>
        <w:t>；因证券市场波动、上市公司股票停牌、基金规模变动等基金管理人之外的因素致使基金不符合该比例限制的，基金管理人不得主动新增流动性受限资产的投资；</w:t>
      </w:r>
    </w:p>
    <w:p w14:paraId="7CE3F675" w14:textId="77777777" w:rsidR="00721099" w:rsidRDefault="006B4706">
      <w:pPr>
        <w:spacing w:line="360" w:lineRule="auto"/>
        <w:ind w:firstLineChars="200" w:firstLine="480"/>
        <w:jc w:val="both"/>
        <w:rPr>
          <w:rFonts w:ascii="Times New Roman" w:hAnsi="Times New Roman"/>
          <w:sz w:val="24"/>
          <w:szCs w:val="24"/>
          <w:lang w:eastAsia="zh-CN"/>
        </w:rPr>
      </w:pPr>
      <w:r>
        <w:rPr>
          <w:rFonts w:ascii="Times New Roman" w:hAnsi="Times New Roman"/>
          <w:sz w:val="24"/>
          <w:lang w:eastAsia="zh-CN"/>
        </w:rPr>
        <w:t>15</w:t>
      </w:r>
      <w:r>
        <w:rPr>
          <w:rFonts w:ascii="Times New Roman" w:hAnsi="Times New Roman"/>
          <w:sz w:val="24"/>
          <w:lang w:eastAsia="zh-CN"/>
        </w:rPr>
        <w:t>）</w:t>
      </w:r>
      <w:r>
        <w:rPr>
          <w:rFonts w:ascii="Times New Roman" w:hAnsi="Times New Roman"/>
          <w:sz w:val="24"/>
          <w:szCs w:val="24"/>
          <w:lang w:eastAsia="zh-CN"/>
        </w:rPr>
        <w:t>本基金与私募类证券资管产品及中国证监会认定的其他主体为交易对手开展逆回购交易的，可接受质押品的资质要求应当与基金合同约定的投资范围保持一致；</w:t>
      </w:r>
    </w:p>
    <w:p w14:paraId="5072DB04" w14:textId="77777777" w:rsidR="00721099" w:rsidRDefault="006B4706">
      <w:pPr>
        <w:spacing w:line="360" w:lineRule="auto"/>
        <w:ind w:firstLineChars="200" w:firstLine="480"/>
        <w:jc w:val="both"/>
        <w:rPr>
          <w:rFonts w:ascii="Times New Roman" w:hAnsi="Times New Roman"/>
          <w:sz w:val="24"/>
          <w:szCs w:val="24"/>
          <w:lang w:eastAsia="zh-CN"/>
        </w:rPr>
      </w:pPr>
      <w:r>
        <w:rPr>
          <w:rFonts w:ascii="Times New Roman" w:hAnsi="Times New Roman"/>
          <w:sz w:val="24"/>
          <w:szCs w:val="24"/>
          <w:lang w:eastAsia="zh-CN"/>
        </w:rPr>
        <w:t>16</w:t>
      </w:r>
      <w:r>
        <w:rPr>
          <w:rFonts w:ascii="Times New Roman" w:hAnsi="Times New Roman"/>
          <w:sz w:val="24"/>
          <w:szCs w:val="24"/>
          <w:lang w:eastAsia="zh-CN"/>
        </w:rPr>
        <w:t>）本基金投资境内发行的存托凭证比例限制依照</w:t>
      </w:r>
      <w:r>
        <w:rPr>
          <w:rFonts w:ascii="Times New Roman" w:hAnsi="Times New Roman" w:hint="eastAsia"/>
          <w:sz w:val="24"/>
          <w:szCs w:val="24"/>
          <w:lang w:eastAsia="zh-CN"/>
        </w:rPr>
        <w:t>境内</w:t>
      </w:r>
      <w:r>
        <w:rPr>
          <w:rFonts w:ascii="Times New Roman" w:hAnsi="Times New Roman"/>
          <w:sz w:val="24"/>
          <w:szCs w:val="24"/>
          <w:lang w:eastAsia="zh-CN"/>
        </w:rPr>
        <w:t>上市交易股票执行，与境内上市交易的股票合并计算；</w:t>
      </w:r>
    </w:p>
    <w:p w14:paraId="614913AC" w14:textId="77777777" w:rsidR="00721099" w:rsidRDefault="006B4706">
      <w:pPr>
        <w:spacing w:line="360" w:lineRule="auto"/>
        <w:ind w:firstLineChars="200" w:firstLine="480"/>
        <w:jc w:val="both"/>
        <w:rPr>
          <w:rFonts w:ascii="Times New Roman" w:hAnsi="Times New Roman"/>
          <w:sz w:val="24"/>
          <w:szCs w:val="24"/>
          <w:lang w:eastAsia="zh-CN"/>
        </w:rPr>
      </w:pPr>
      <w:r>
        <w:rPr>
          <w:rFonts w:ascii="Times New Roman" w:hAnsi="Times New Roman"/>
          <w:sz w:val="24"/>
          <w:szCs w:val="24"/>
          <w:lang w:eastAsia="zh-CN"/>
        </w:rPr>
        <w:t>17</w:t>
      </w:r>
      <w:r>
        <w:rPr>
          <w:rFonts w:ascii="Times New Roman" w:hAnsi="Times New Roman"/>
          <w:sz w:val="24"/>
          <w:szCs w:val="24"/>
          <w:lang w:eastAsia="zh-CN"/>
        </w:rPr>
        <w:t>）本基金不持有具有信用保护卖方属性的信用衍生品；不持有合约类信用衍生品；本基金持有的信用衍生品名义本金不得超过本基金中所对应受保护债券面值的</w:t>
      </w:r>
      <w:r>
        <w:rPr>
          <w:rFonts w:ascii="Times New Roman" w:hAnsi="Times New Roman"/>
          <w:sz w:val="24"/>
          <w:szCs w:val="24"/>
          <w:lang w:eastAsia="zh-CN"/>
        </w:rPr>
        <w:t>100%</w:t>
      </w:r>
      <w:r>
        <w:rPr>
          <w:rFonts w:ascii="Times New Roman" w:hAnsi="Times New Roman"/>
          <w:sz w:val="24"/>
          <w:szCs w:val="24"/>
          <w:lang w:eastAsia="zh-CN"/>
        </w:rPr>
        <w:t>；本基金投资于同一信用保护卖方的各类信用衍生品名义本金合计不得超过基金资产净值的</w:t>
      </w:r>
      <w:r>
        <w:rPr>
          <w:rFonts w:ascii="Times New Roman" w:hAnsi="Times New Roman"/>
          <w:sz w:val="24"/>
          <w:szCs w:val="24"/>
          <w:lang w:eastAsia="zh-CN"/>
        </w:rPr>
        <w:t>10%</w:t>
      </w:r>
      <w:r>
        <w:rPr>
          <w:rFonts w:ascii="Times New Roman" w:hAnsi="Times New Roman"/>
          <w:sz w:val="24"/>
          <w:szCs w:val="24"/>
          <w:lang w:eastAsia="zh-CN"/>
        </w:rPr>
        <w:t>；</w:t>
      </w:r>
      <w:r>
        <w:rPr>
          <w:rFonts w:ascii="Times New Roman" w:hAnsi="Times New Roman"/>
          <w:sz w:val="24"/>
          <w:lang w:eastAsia="zh-CN"/>
        </w:rPr>
        <w:t>因证券市场波动、</w:t>
      </w:r>
      <w:r>
        <w:rPr>
          <w:rFonts w:ascii="Times New Roman" w:hAnsi="Times New Roman"/>
          <w:bCs/>
          <w:sz w:val="24"/>
          <w:lang w:eastAsia="zh-CN"/>
        </w:rPr>
        <w:t>期货市场波动、</w:t>
      </w:r>
      <w:r>
        <w:rPr>
          <w:rFonts w:ascii="Times New Roman" w:hAnsi="Times New Roman"/>
          <w:sz w:val="24"/>
          <w:lang w:eastAsia="zh-CN"/>
        </w:rPr>
        <w:t>证券发行人合并、基金规模变动</w:t>
      </w:r>
      <w:r>
        <w:rPr>
          <w:rFonts w:ascii="Times New Roman" w:hAnsi="Times New Roman"/>
          <w:bCs/>
          <w:sz w:val="24"/>
          <w:lang w:eastAsia="zh-CN"/>
        </w:rPr>
        <w:t>等基金管理人之外的因素致使基金投资比例不符合上述规定投资比例的</w:t>
      </w:r>
      <w:r>
        <w:rPr>
          <w:rFonts w:ascii="Times New Roman" w:hAnsi="Times New Roman"/>
          <w:sz w:val="24"/>
          <w:lang w:eastAsia="zh-CN"/>
        </w:rPr>
        <w:t>，基金管理人应当在</w:t>
      </w:r>
      <w:r>
        <w:rPr>
          <w:rFonts w:ascii="Times New Roman" w:hAnsi="Times New Roman"/>
          <w:sz w:val="24"/>
          <w:lang w:eastAsia="zh-CN"/>
        </w:rPr>
        <w:t>3</w:t>
      </w:r>
      <w:r>
        <w:rPr>
          <w:rFonts w:ascii="Times New Roman" w:hAnsi="Times New Roman"/>
          <w:sz w:val="24"/>
          <w:lang w:eastAsia="zh-CN"/>
        </w:rPr>
        <w:t>个月内进行调整；</w:t>
      </w:r>
    </w:p>
    <w:p w14:paraId="4B84AAEA" w14:textId="77777777" w:rsidR="00721099" w:rsidRDefault="006B4706">
      <w:pPr>
        <w:spacing w:line="360" w:lineRule="auto"/>
        <w:ind w:firstLineChars="200" w:firstLine="480"/>
        <w:jc w:val="both"/>
        <w:rPr>
          <w:rFonts w:ascii="Times New Roman" w:hAnsi="Times New Roman"/>
          <w:sz w:val="24"/>
          <w:szCs w:val="24"/>
          <w:lang w:eastAsia="zh-CN"/>
        </w:rPr>
      </w:pPr>
      <w:r>
        <w:rPr>
          <w:rFonts w:ascii="Times New Roman" w:hAnsi="Times New Roman"/>
          <w:sz w:val="24"/>
          <w:szCs w:val="24"/>
          <w:lang w:eastAsia="zh-CN"/>
        </w:rPr>
        <w:t>18</w:t>
      </w:r>
      <w:r>
        <w:rPr>
          <w:rFonts w:ascii="Times New Roman" w:hAnsi="Times New Roman"/>
          <w:sz w:val="24"/>
          <w:szCs w:val="24"/>
          <w:lang w:eastAsia="zh-CN"/>
        </w:rPr>
        <w:t>）法律法规及中国证监会规定的和《基金合同》约定的其他投资限制。</w:t>
      </w:r>
    </w:p>
    <w:p w14:paraId="3B9DAF65"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sz w:val="24"/>
          <w:szCs w:val="24"/>
          <w:lang w:eastAsia="zh-CN"/>
        </w:rPr>
        <w:t>本基金投资境内投资组合的，除上述第（</w:t>
      </w:r>
      <w:r>
        <w:rPr>
          <w:rFonts w:ascii="Times New Roman" w:hAnsi="Times New Roman" w:hint="eastAsia"/>
          <w:sz w:val="24"/>
          <w:szCs w:val="24"/>
          <w:lang w:eastAsia="zh-CN"/>
        </w:rPr>
        <w:t>6</w:t>
      </w:r>
      <w:r>
        <w:rPr>
          <w:rFonts w:ascii="Times New Roman" w:hAnsi="Times New Roman"/>
          <w:sz w:val="24"/>
          <w:szCs w:val="24"/>
          <w:lang w:eastAsia="zh-CN"/>
        </w:rPr>
        <w:t>）项的</w:t>
      </w:r>
      <w:r>
        <w:rPr>
          <w:rFonts w:ascii="Times New Roman" w:hAnsi="Times New Roman" w:hint="eastAsia"/>
          <w:sz w:val="24"/>
          <w:szCs w:val="24"/>
          <w:lang w:eastAsia="zh-CN"/>
        </w:rPr>
        <w:t>8</w:t>
      </w:r>
      <w:r>
        <w:rPr>
          <w:rFonts w:ascii="Times New Roman" w:hAnsi="Times New Roman"/>
          <w:sz w:val="24"/>
          <w:szCs w:val="24"/>
          <w:lang w:eastAsia="zh-CN"/>
        </w:rPr>
        <w:t>）、</w:t>
      </w:r>
      <w:r>
        <w:rPr>
          <w:rFonts w:ascii="Times New Roman" w:hAnsi="Times New Roman" w:hint="eastAsia"/>
          <w:sz w:val="24"/>
          <w:szCs w:val="24"/>
          <w:lang w:eastAsia="zh-CN"/>
        </w:rPr>
        <w:t>14</w:t>
      </w:r>
      <w:r>
        <w:rPr>
          <w:rFonts w:ascii="Times New Roman" w:hAnsi="Times New Roman" w:hint="eastAsia"/>
          <w:sz w:val="24"/>
          <w:szCs w:val="24"/>
          <w:lang w:eastAsia="zh-CN"/>
        </w:rPr>
        <w:t>）、</w:t>
      </w:r>
      <w:r>
        <w:rPr>
          <w:rFonts w:ascii="Times New Roman" w:hAnsi="Times New Roman"/>
          <w:sz w:val="24"/>
          <w:szCs w:val="24"/>
          <w:lang w:eastAsia="zh-CN"/>
        </w:rPr>
        <w:t>1</w:t>
      </w:r>
      <w:r>
        <w:rPr>
          <w:rFonts w:ascii="Times New Roman" w:hAnsi="Times New Roman" w:hint="eastAsia"/>
          <w:sz w:val="24"/>
          <w:szCs w:val="24"/>
          <w:lang w:eastAsia="zh-CN"/>
        </w:rPr>
        <w:t>5</w:t>
      </w:r>
      <w:r>
        <w:rPr>
          <w:rFonts w:ascii="Times New Roman" w:hAnsi="Times New Roman"/>
          <w:sz w:val="24"/>
          <w:szCs w:val="24"/>
          <w:lang w:eastAsia="zh-CN"/>
        </w:rPr>
        <w:t>）、</w:t>
      </w:r>
      <w:r>
        <w:rPr>
          <w:rFonts w:ascii="Times New Roman" w:hAnsi="Times New Roman"/>
          <w:sz w:val="24"/>
          <w:szCs w:val="24"/>
          <w:lang w:eastAsia="zh-CN"/>
        </w:rPr>
        <w:t>17</w:t>
      </w:r>
      <w:r>
        <w:rPr>
          <w:rFonts w:ascii="Times New Roman" w:hAnsi="Times New Roman"/>
          <w:sz w:val="24"/>
          <w:szCs w:val="24"/>
          <w:lang w:eastAsia="zh-CN"/>
        </w:rPr>
        <w:t>）项外，</w:t>
      </w:r>
      <w:r>
        <w:rPr>
          <w:rFonts w:ascii="Times New Roman" w:hAnsi="Times New Roman"/>
          <w:bCs/>
          <w:sz w:val="24"/>
          <w:lang w:eastAsia="zh-CN"/>
        </w:rPr>
        <w:t>因证券市场波动、期货市场波动、证券发行人合并、基金规模变动等基金管理人之外的因素致使基金投资比例不符合上述规定投资比例的，基金管理人应当在</w:t>
      </w:r>
      <w:r>
        <w:rPr>
          <w:rFonts w:ascii="Times New Roman" w:hAnsi="Times New Roman"/>
          <w:bCs/>
          <w:sz w:val="24"/>
          <w:lang w:eastAsia="zh-CN"/>
        </w:rPr>
        <w:t>10</w:t>
      </w:r>
      <w:r>
        <w:rPr>
          <w:rFonts w:ascii="Times New Roman" w:hAnsi="Times New Roman"/>
          <w:bCs/>
          <w:sz w:val="24"/>
          <w:lang w:eastAsia="zh-CN"/>
        </w:rPr>
        <w:t>个交易日内进行调整，但中国证监会规定的特殊情形除外。</w:t>
      </w:r>
    </w:p>
    <w:p w14:paraId="2B5E8E1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57E888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如果法律法规对上述投资组合比例限制进行变更的，以变更后的规定为准。法律法规或监管部门取消上述限制，如适用于本基金，基金管理人在履行适当程序后，</w:t>
      </w:r>
      <w:r>
        <w:rPr>
          <w:rFonts w:asciiTheme="minorEastAsia" w:eastAsiaTheme="minorEastAsia" w:hAnsiTheme="minorEastAsia" w:cstheme="minorEastAsia" w:hint="eastAsia"/>
          <w:sz w:val="24"/>
          <w:szCs w:val="24"/>
          <w:lang w:eastAsia="zh-CN"/>
        </w:rPr>
        <w:lastRenderedPageBreak/>
        <w:t>则本基金投资不再受相关限制。</w:t>
      </w:r>
    </w:p>
    <w:p w14:paraId="4248CABC"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2、禁止行为</w:t>
      </w:r>
    </w:p>
    <w:p w14:paraId="7D96556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bookmarkStart w:id="85" w:name="_Hlk176474904"/>
      <w:r>
        <w:rPr>
          <w:rFonts w:asciiTheme="minorEastAsia" w:eastAsiaTheme="minorEastAsia" w:hAnsiTheme="minorEastAsia" w:cstheme="minorEastAsia" w:hint="eastAsia"/>
          <w:sz w:val="24"/>
          <w:szCs w:val="24"/>
          <w:lang w:eastAsia="zh-CN"/>
        </w:rPr>
        <w:t>（1）为维护基金份额持有人的合法权益，除中国证监会另有规定外，本基金境外投资禁止从事下列行为：</w:t>
      </w:r>
    </w:p>
    <w:p w14:paraId="0B5738B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1）承销证券；</w:t>
      </w:r>
    </w:p>
    <w:p w14:paraId="2C27BEB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2）违反规定向他人贷款或提供担保；</w:t>
      </w:r>
    </w:p>
    <w:p w14:paraId="0BCB499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3）从事承担无限责任的投资；</w:t>
      </w:r>
    </w:p>
    <w:p w14:paraId="10D3160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4）购买不动产；</w:t>
      </w:r>
    </w:p>
    <w:p w14:paraId="0D00BAC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5）购买房地产抵押按揭；</w:t>
      </w:r>
    </w:p>
    <w:p w14:paraId="700AFD0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6）购买贵重金属或代表贵重金属的凭证；</w:t>
      </w:r>
    </w:p>
    <w:p w14:paraId="709AA68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7）购买实物商品；</w:t>
      </w:r>
    </w:p>
    <w:p w14:paraId="77F2612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8）除应付赎回、交易清算等临时用途以外，借入现金。临时用途借入现金的比例超过基金资产净值的10%；</w:t>
      </w:r>
    </w:p>
    <w:p w14:paraId="288506B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9）利用融资购买证券，但投资金融衍生品以及法律法规及中国证监会另有规定的除外；</w:t>
      </w:r>
    </w:p>
    <w:p w14:paraId="1260026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10）参与未持有基础资产的卖空交易；</w:t>
      </w:r>
    </w:p>
    <w:p w14:paraId="08484A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11）购买证券用于控制或影响发行该证券的机构或其管理层；</w:t>
      </w:r>
    </w:p>
    <w:p w14:paraId="5855ABF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12）直接投资与实物商品相关的衍生品；</w:t>
      </w:r>
    </w:p>
    <w:p w14:paraId="69B291A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13）向基金管理人、基金托管人出资；</w:t>
      </w:r>
    </w:p>
    <w:p w14:paraId="028A57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14）从事内幕交易、操纵证券价格及其他不正当的证券交易活动；</w:t>
      </w:r>
    </w:p>
    <w:p w14:paraId="1042638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15）当时有效的法律法规、中国证监会及基金合同规定禁止从事的其他行为。</w:t>
      </w:r>
    </w:p>
    <w:p w14:paraId="5DF1291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（2）为维护基金份额持有人的合法权益，本基金境内投资禁止参与下列投资或者活动：</w:t>
      </w:r>
    </w:p>
    <w:p w14:paraId="07C2D35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1）承销证券；</w:t>
      </w:r>
    </w:p>
    <w:p w14:paraId="583284F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2）违反规定向他人贷款或者提供担保；</w:t>
      </w:r>
    </w:p>
    <w:p w14:paraId="2524328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3）从事承担无限责任的投资；</w:t>
      </w:r>
    </w:p>
    <w:p w14:paraId="78B3385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4）买卖其他基金份额，但是法律法规或中国证监会另有规定的除外；</w:t>
      </w:r>
    </w:p>
    <w:p w14:paraId="0E86210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5）向其基金管理人、基金托管人出资；</w:t>
      </w:r>
    </w:p>
    <w:p w14:paraId="4AADC9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6）从事内幕交易、操纵证券交易价格及其他不正当的证券交易活动；</w:t>
      </w:r>
    </w:p>
    <w:p w14:paraId="0827A43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7)法律、行政法规和中国证监会规定禁止的其他活动。</w:t>
      </w:r>
    </w:p>
    <w:bookmarkEnd w:id="85"/>
    <w:p w14:paraId="73D4CBF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5A2B79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bookmarkStart w:id="86" w:name="_Hlk207361055"/>
      <w:r>
        <w:rPr>
          <w:rFonts w:asciiTheme="minorEastAsia" w:eastAsiaTheme="minorEastAsia" w:hAnsiTheme="minorEastAsia" w:cstheme="minorEastAsia" w:hint="eastAsia"/>
          <w:sz w:val="24"/>
          <w:szCs w:val="24"/>
          <w:lang w:eastAsia="zh-CN"/>
        </w:rPr>
        <w:t>法律、行政法规或监管部门取消或变更上述限制，如适用于本基金，基金管理人在履行适当程序后</w:t>
      </w:r>
      <w:bookmarkStart w:id="87" w:name="_Hlk207361093"/>
      <w:r>
        <w:rPr>
          <w:rFonts w:asciiTheme="minorEastAsia" w:eastAsiaTheme="minorEastAsia" w:hAnsiTheme="minorEastAsia" w:cstheme="minorEastAsia" w:hint="eastAsia"/>
          <w:sz w:val="24"/>
          <w:szCs w:val="24"/>
          <w:lang w:eastAsia="zh-CN"/>
        </w:rPr>
        <w:t>，则本基金投资不再受相关限制或以变更以后的规定为准</w:t>
      </w:r>
      <w:bookmarkEnd w:id="87"/>
      <w:r>
        <w:rPr>
          <w:rFonts w:asciiTheme="minorEastAsia" w:eastAsiaTheme="minorEastAsia" w:hAnsiTheme="minorEastAsia" w:cstheme="minorEastAsia" w:hint="eastAsia"/>
          <w:sz w:val="24"/>
          <w:szCs w:val="24"/>
          <w:lang w:eastAsia="zh-CN"/>
        </w:rPr>
        <w:t>。</w:t>
      </w:r>
      <w:bookmarkEnd w:id="84"/>
      <w:bookmarkEnd w:id="86"/>
    </w:p>
    <w:p w14:paraId="0E695640"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五、业绩比较基准</w:t>
      </w:r>
    </w:p>
    <w:p w14:paraId="7A1E928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恒生医疗保健指数收益率（经汇率调整）×</w:t>
      </w:r>
      <w:r>
        <w:rPr>
          <w:rFonts w:asciiTheme="minorEastAsia" w:eastAsiaTheme="minorEastAsia" w:hAnsiTheme="minorEastAsia" w:cstheme="minorEastAsia"/>
          <w:sz w:val="24"/>
          <w:szCs w:val="24"/>
          <w:lang w:eastAsia="zh-CN"/>
        </w:rPr>
        <w:t>90%+银行活期存款利率(税后)*10%</w:t>
      </w:r>
    </w:p>
    <w:p w14:paraId="713735B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恒生医疗保健指数反映在香港上市，主要经营医疗保健业务成份股公司的表现，比较适合作为本基金权益投资的比较基准。</w:t>
      </w:r>
    </w:p>
    <w:p w14:paraId="2CF521A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未来法律法规发生变化，或者有更权威的、更能为市场普遍接受的业绩比较基准推出，或者是市场上出现更加适合用于本基金的业绩比较基准的指数或本业绩比较基准的指数停止发布，本基金管理人可以依据维护投资者合法权益的原则，在与基金托管人协商一致按照监管部门要求履行适当程序后适当调整业绩比较基准并及时公告，而无需召开基金份额持有人大会。</w:t>
      </w:r>
    </w:p>
    <w:p w14:paraId="53197AC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六、风险收益特征</w:t>
      </w:r>
    </w:p>
    <w:p w14:paraId="1388267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本基金为股票型基金，预期风险和收益高于混合型基金、债券型基金和货币市场基金。</w:t>
      </w:r>
    </w:p>
    <w:p w14:paraId="6937AA7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投资港股，需承担港股因投资环境、投资标的、市场制度以及交易规则等差异带来的特有风险。本基金投资于境外市场，除了需要承担与境内证券投资基金类似的市场波动风险等一般投资风险之外，本基金还面临汇率风险、境外市场风险、法律和政治风险、国家/地区风险、股价波动风险、税务风险、监管风险等境外证券市场投资所面临的特别投资风险。</w:t>
      </w:r>
    </w:p>
    <w:p w14:paraId="1792B8C0"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七、基金管理人代表基金行使股东或债权人权利的处理原则及方法</w:t>
      </w:r>
    </w:p>
    <w:p w14:paraId="72C64F5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1、基金管理人按照国家有关规定代表基金独立行使股东或债权人权利，保护基金份额持有人的利益；</w:t>
      </w:r>
    </w:p>
    <w:p w14:paraId="3CDF12F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2、不谋求对上市公司的控股；</w:t>
      </w:r>
    </w:p>
    <w:p w14:paraId="54E7CE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3、有利于基金财产的安全与增值；</w:t>
      </w:r>
    </w:p>
    <w:p w14:paraId="5BDF2C8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4、不通过关联交易为自身、雇员、授权代理人或任何存在利害关系的第三人牟取任何不当利益。</w:t>
      </w:r>
    </w:p>
    <w:p w14:paraId="1BBC56B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八、侧袋机制的实施和投资运作安排</w:t>
      </w:r>
    </w:p>
    <w:p w14:paraId="2357873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FEC2A6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侧袋机制实施期间，本部分约定的投资组合比例、投资策略、组合限制、业绩比较基准、风险收益特征等约定仅适用于主袋账户。</w:t>
      </w:r>
    </w:p>
    <w:p w14:paraId="52241CF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r>
        <w:rPr>
          <w:rFonts w:asciiTheme="minorEastAsia" w:eastAsiaTheme="minorEastAsia" w:hAnsiTheme="minorEastAsia" w:cstheme="minorEastAsia" w:hint="eastAsia"/>
          <w:sz w:val="24"/>
          <w:szCs w:val="24"/>
          <w:lang w:eastAsia="zh-CN"/>
        </w:rPr>
        <w:t>侧袋账户的实施条件、实施程序、运作安排、投资安排、特定资产的处置变现和支付等对投资者权益有重大影响的事项详见招募说明书的规定。</w:t>
      </w:r>
    </w:p>
    <w:p w14:paraId="4E79191C"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88" w:name="第十三部分__基金的财产"/>
      <w:bookmarkStart w:id="89" w:name="_Toc12663"/>
      <w:bookmarkStart w:id="90" w:name="_Toc31647"/>
      <w:bookmarkStart w:id="91" w:name="_Toc18285"/>
      <w:bookmarkStart w:id="92" w:name="_Toc16654"/>
      <w:bookmarkStart w:id="93" w:name="_Toc156822885"/>
      <w:bookmarkEnd w:id="88"/>
      <w:r>
        <w:rPr>
          <w:rFonts w:asciiTheme="minorEastAsia" w:eastAsiaTheme="minorEastAsia" w:hAnsiTheme="minorEastAsia" w:cstheme="minorEastAsia" w:hint="eastAsia"/>
          <w:b/>
          <w:bCs/>
          <w:sz w:val="24"/>
          <w:szCs w:val="24"/>
          <w:lang w:eastAsia="zh-CN"/>
        </w:rPr>
        <w:lastRenderedPageBreak/>
        <w:t>第十三部分 基金的财产</w:t>
      </w:r>
      <w:bookmarkEnd w:id="89"/>
      <w:bookmarkEnd w:id="90"/>
      <w:bookmarkEnd w:id="91"/>
      <w:bookmarkEnd w:id="92"/>
      <w:bookmarkEnd w:id="93"/>
    </w:p>
    <w:p w14:paraId="16C52309"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23DDDE46"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一、基金资产总值</w:t>
      </w:r>
    </w:p>
    <w:p w14:paraId="11A4DA4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基金资产总值是指购买的各类有价证券、银行存款本息和基金应收款项以及其他投资所形成的价值总和。</w:t>
      </w:r>
    </w:p>
    <w:p w14:paraId="7C56AE21"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二、基金资产净值</w:t>
      </w:r>
    </w:p>
    <w:p w14:paraId="24632E1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基金资产净值是指基金资产总值减去基金负债后的价值。</w:t>
      </w:r>
    </w:p>
    <w:p w14:paraId="0BECC769"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三、基金财产的账户</w:t>
      </w:r>
    </w:p>
    <w:p w14:paraId="15AAB57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基金托管人</w:t>
      </w:r>
      <w:r>
        <w:rPr>
          <w:rFonts w:asciiTheme="minorEastAsia" w:eastAsiaTheme="minorEastAsia" w:hAnsiTheme="minorEastAsia" w:cstheme="minorEastAsia"/>
          <w:sz w:val="24"/>
          <w:szCs w:val="24"/>
          <w:lang w:eastAsia="zh-CN"/>
        </w:rPr>
        <w:t>及其委托的境外托管人</w:t>
      </w:r>
      <w:r>
        <w:rPr>
          <w:rFonts w:asciiTheme="minorEastAsia" w:eastAsiaTheme="minorEastAsia" w:hAnsiTheme="minorEastAsia" w:cstheme="minorEastAsia" w:hint="eastAsia"/>
          <w:sz w:val="24"/>
          <w:szCs w:val="24"/>
          <w:lang w:eastAsia="zh-CN"/>
        </w:rPr>
        <w:t>根据境内及投资所在地相关法律法规、规范性文件为本基金开立资金账户、证券账户、期货账户以及投资所需的其他专用账户。开立的基金专用账户与基金管理人、基金托管人、</w:t>
      </w:r>
      <w:r>
        <w:rPr>
          <w:rFonts w:asciiTheme="minorEastAsia" w:eastAsiaTheme="minorEastAsia" w:hAnsiTheme="minorEastAsia" w:cstheme="minorEastAsia"/>
          <w:sz w:val="24"/>
          <w:szCs w:val="24"/>
          <w:lang w:eastAsia="zh-CN"/>
        </w:rPr>
        <w:t>境外托管人、</w:t>
      </w:r>
      <w:r>
        <w:rPr>
          <w:rFonts w:asciiTheme="minorEastAsia" w:eastAsiaTheme="minorEastAsia" w:hAnsiTheme="minorEastAsia" w:cstheme="minorEastAsia" w:hint="eastAsia"/>
          <w:sz w:val="24"/>
          <w:szCs w:val="24"/>
          <w:lang w:eastAsia="zh-CN"/>
        </w:rPr>
        <w:t>基金销售机构和基金登记机构自有的财产账户以及其他基金财产账户相独立。</w:t>
      </w:r>
    </w:p>
    <w:p w14:paraId="50FFE05B"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四、基金财产的保管和处分</w:t>
      </w:r>
    </w:p>
    <w:p w14:paraId="034EEC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本基金财产独立于基金管理人、基金托管人、</w:t>
      </w:r>
      <w:r>
        <w:rPr>
          <w:rFonts w:asciiTheme="minorEastAsia" w:eastAsiaTheme="minorEastAsia" w:hAnsiTheme="minorEastAsia" w:cstheme="minorEastAsia"/>
          <w:sz w:val="24"/>
          <w:szCs w:val="24"/>
          <w:lang w:eastAsia="zh-CN"/>
        </w:rPr>
        <w:t>境外托管人、</w:t>
      </w:r>
      <w:r>
        <w:rPr>
          <w:rFonts w:asciiTheme="minorEastAsia" w:eastAsiaTheme="minorEastAsia" w:hAnsiTheme="minorEastAsia" w:cstheme="minorEastAsia" w:hint="eastAsia"/>
          <w:sz w:val="24"/>
          <w:szCs w:val="24"/>
          <w:lang w:eastAsia="zh-CN"/>
        </w:rPr>
        <w:t>基金服务机构、证券经纪机构的财产，并由基金托管人和</w:t>
      </w:r>
      <w:r>
        <w:rPr>
          <w:rFonts w:asciiTheme="minorEastAsia" w:eastAsiaTheme="minorEastAsia" w:hAnsiTheme="minorEastAsia" w:cstheme="minorEastAsia"/>
          <w:sz w:val="24"/>
          <w:szCs w:val="24"/>
          <w:lang w:eastAsia="zh-CN"/>
        </w:rPr>
        <w:t>/或其委托的境外托管人</w:t>
      </w:r>
      <w:r>
        <w:rPr>
          <w:rFonts w:asciiTheme="minorEastAsia" w:eastAsiaTheme="minorEastAsia" w:hAnsiTheme="minorEastAsia" w:cstheme="minorEastAsia" w:hint="eastAsia"/>
          <w:sz w:val="24"/>
          <w:szCs w:val="24"/>
          <w:lang w:eastAsia="zh-CN"/>
        </w:rPr>
        <w:t>保管。基金管理人、基金托管人、</w:t>
      </w:r>
      <w:r>
        <w:rPr>
          <w:rFonts w:asciiTheme="minorEastAsia" w:eastAsiaTheme="minorEastAsia" w:hAnsiTheme="minorEastAsia" w:cstheme="minorEastAsia"/>
          <w:sz w:val="24"/>
          <w:szCs w:val="24"/>
          <w:lang w:eastAsia="zh-CN"/>
        </w:rPr>
        <w:t>境外托管人、</w:t>
      </w:r>
      <w:r>
        <w:rPr>
          <w:rFonts w:asciiTheme="minorEastAsia" w:eastAsiaTheme="minorEastAsia" w:hAnsiTheme="minorEastAsia" w:cstheme="minorEastAsia" w:hint="eastAsia"/>
          <w:sz w:val="24"/>
          <w:szCs w:val="24"/>
          <w:lang w:eastAsia="zh-CN"/>
        </w:rPr>
        <w:t>基金服务机构、证券经纪机构以其自有的财产承担其自身的法律责任，其债权人不得对本基金财产行使请求冻结、扣押或其他权利。除依法律法规和《基金合同》的规定处分外，基金财产不得被处分。</w:t>
      </w:r>
    </w:p>
    <w:p w14:paraId="05CA7AB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w:t>
      </w:r>
      <w:r>
        <w:rPr>
          <w:rFonts w:asciiTheme="minorEastAsia" w:eastAsiaTheme="minorEastAsia" w:hAnsiTheme="minorEastAsia" w:cstheme="minorEastAsia"/>
          <w:sz w:val="24"/>
          <w:szCs w:val="24"/>
          <w:lang w:eastAsia="zh-CN"/>
        </w:rPr>
        <w:t>境外托管人</w:t>
      </w:r>
      <w:r>
        <w:rPr>
          <w:rFonts w:asciiTheme="minorEastAsia" w:eastAsiaTheme="minorEastAsia" w:hAnsiTheme="minorEastAsia" w:cstheme="minorEastAsia" w:hint="eastAsia"/>
          <w:sz w:val="24"/>
          <w:szCs w:val="24"/>
          <w:lang w:eastAsia="zh-CN"/>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境外托管人根据基金财产所在地法律法规、证券交易所规则、市场惯例及其与基金托管人签订的主次托管协议持有并保管基金财产。基金托管人在已根据《试行办法》的要求谨慎、尽职的原则选择、委任和监督境外托管人，且境外托管人已按照当地法律法规、基金合同及托管协议的要求保管托管资产的前提下，基金管理人、基金托管人对境外托管人因依法解散、被依法撤销或者被依法宣告破产产生的损失不承担责任。</w:t>
      </w:r>
    </w:p>
    <w:p w14:paraId="43D2970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在符合《基金合同》和《托管协议》有关资产保管的要求下，对境外托管人的破产而产生的损失，基金托管人应采取措施进行追偿，基金管理人配合基金托管人</w:t>
      </w:r>
      <w:r>
        <w:rPr>
          <w:rFonts w:asciiTheme="minorEastAsia" w:eastAsiaTheme="minorEastAsia" w:hAnsiTheme="minorEastAsia" w:cstheme="minorEastAsia" w:hint="eastAsia"/>
          <w:sz w:val="24"/>
          <w:szCs w:val="24"/>
          <w:lang w:eastAsia="zh-CN"/>
        </w:rPr>
        <w:lastRenderedPageBreak/>
        <w:t>进行追偿。</w:t>
      </w:r>
    </w:p>
    <w:p w14:paraId="00F98CA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除非基金管理人、基金托管人及其境外托管人存在过失、疏忽、欺诈或故意不当行为，基金管理人、基金托管人不对境外托管人依据当地法律法规、证券</w:t>
      </w:r>
      <w:r>
        <w:rPr>
          <w:rFonts w:hint="eastAsia"/>
          <w:bCs/>
          <w:sz w:val="24"/>
          <w:lang w:eastAsia="zh-CN"/>
        </w:rPr>
        <w:t>/期货</w:t>
      </w:r>
      <w:r>
        <w:rPr>
          <w:rFonts w:asciiTheme="minorEastAsia" w:eastAsiaTheme="minorEastAsia" w:hAnsiTheme="minorEastAsia" w:cstheme="minorEastAsia" w:hint="eastAsia"/>
          <w:sz w:val="24"/>
          <w:szCs w:val="24"/>
          <w:lang w:eastAsia="zh-CN"/>
        </w:rPr>
        <w:t>交易所规则、市场惯例的作为或不作为承担责任，将不保证基金托管人或境外托管人所接收基金财产中的证券的所有权、合法性或真实性（包括是否以良好形式转让）。</w:t>
      </w:r>
    </w:p>
    <w:p w14:paraId="0095C36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r>
        <w:rPr>
          <w:rFonts w:asciiTheme="minorEastAsia" w:eastAsiaTheme="minorEastAsia" w:hAnsiTheme="minorEastAsia" w:cstheme="minorEastAsia" w:hint="eastAsia"/>
          <w:sz w:val="24"/>
          <w:szCs w:val="24"/>
          <w:lang w:eastAsia="zh-CN"/>
        </w:rPr>
        <w:t>基金托管人和境外托管人应妥善保存基金管理人基金财产汇入、汇出、兑换、收汇、现金往来及证券交易的记录、凭证等相关资料，并按规定的期限保管，但境外托管人持有的与境外托管人账户相关的资料的保管应按照境外托管人的业务惯例保管。</w:t>
      </w:r>
    </w:p>
    <w:p w14:paraId="0C760D01"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94" w:name="第十四部分__基金资产估值"/>
      <w:bookmarkStart w:id="95" w:name="_Toc4596"/>
      <w:bookmarkStart w:id="96" w:name="_Toc156822886"/>
      <w:bookmarkStart w:id="97" w:name="_Toc21883"/>
      <w:bookmarkStart w:id="98" w:name="_Toc18716"/>
      <w:bookmarkStart w:id="99" w:name="_Toc17876"/>
      <w:bookmarkEnd w:id="94"/>
      <w:r>
        <w:rPr>
          <w:rFonts w:asciiTheme="minorEastAsia" w:eastAsiaTheme="minorEastAsia" w:hAnsiTheme="minorEastAsia" w:cstheme="minorEastAsia" w:hint="eastAsia"/>
          <w:b/>
          <w:bCs/>
          <w:sz w:val="24"/>
          <w:szCs w:val="24"/>
          <w:lang w:eastAsia="zh-CN"/>
        </w:rPr>
        <w:lastRenderedPageBreak/>
        <w:t>第十四部分 基金资产估值</w:t>
      </w:r>
      <w:bookmarkEnd w:id="95"/>
      <w:bookmarkEnd w:id="96"/>
      <w:bookmarkEnd w:id="97"/>
      <w:bookmarkEnd w:id="98"/>
      <w:bookmarkEnd w:id="99"/>
    </w:p>
    <w:p w14:paraId="27DDA263"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7CAB71F2"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一、估值日</w:t>
      </w:r>
    </w:p>
    <w:p w14:paraId="583F4AA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本基金的估值日为本基金相关的证券、期货交易场所的交易日、国家法律法规规定需要对外披露基金净值的非交易日。</w:t>
      </w:r>
    </w:p>
    <w:p w14:paraId="0F2088C5"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二、估值对象</w:t>
      </w:r>
    </w:p>
    <w:p w14:paraId="6E2BB0B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基金所拥有的股票、债券、银行存款本息、应收款项、资产支持证券、衍生工具、信用衍生品、其它投资等资产及负债。</w:t>
      </w:r>
    </w:p>
    <w:p w14:paraId="1D26B9A4"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三、估值原则</w:t>
      </w:r>
    </w:p>
    <w:p w14:paraId="71AC90B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基金管理人在确定相关金融资产和金融负债的公允价值时，应符合《企业会计准则》、监管部门有关规定。</w:t>
      </w:r>
    </w:p>
    <w:p w14:paraId="0439531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63473D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54CCF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EC43DC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（三）如经济环境发生重大变化或证券发行人发生影响证券价格的重大事件，使潜在估值调整对前一估值日的基金资产净值的影响在0.25%以上的，应对估值进行调整并确定公允价值。</w:t>
      </w:r>
    </w:p>
    <w:p w14:paraId="3981D88D"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bookmarkStart w:id="100" w:name="_Hlk202442679"/>
      <w:r>
        <w:rPr>
          <w:rFonts w:asciiTheme="minorEastAsia" w:eastAsiaTheme="minorEastAsia" w:hAnsiTheme="minorEastAsia" w:cstheme="minorEastAsia" w:hint="eastAsia"/>
          <w:sz w:val="24"/>
          <w:szCs w:val="24"/>
          <w:lang w:eastAsia="zh-CN"/>
        </w:rPr>
        <w:t>四、估值方法</w:t>
      </w:r>
    </w:p>
    <w:p w14:paraId="455D5EF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1、证券交易所上市的有价证券的估值</w:t>
      </w:r>
    </w:p>
    <w:p w14:paraId="2A11A12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5FD9B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（2）交易所上市交易或挂牌转让的不含权固定收益品种，选取估值日第三方估值基准服务机构提供的相应品种当日的估值全价进行估值；</w:t>
      </w:r>
    </w:p>
    <w:p w14:paraId="5531049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（3）交易所上市交易或挂牌转让的含权固定收益品种，选取估值日第三方估值基准服务机构提供的相应品种当日的唯一估值全价或推荐估值全价进行估值；</w:t>
      </w:r>
    </w:p>
    <w:p w14:paraId="548937DF"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F313B5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（4）交易所上市交易的可转换债券</w:t>
      </w:r>
      <w:r w:rsidRPr="003A342E">
        <w:rPr>
          <w:rFonts w:asciiTheme="minorEastAsia" w:eastAsiaTheme="minorEastAsia" w:hAnsiTheme="minorEastAsia" w:cstheme="minorEastAsia" w:hint="eastAsia"/>
          <w:sz w:val="24"/>
          <w:szCs w:val="24"/>
          <w:lang w:eastAsia="zh-CN"/>
        </w:rPr>
        <w:t>等有活跃市场的含转股权的债券，实行全价交易的债券</w:t>
      </w:r>
      <w:r>
        <w:rPr>
          <w:rFonts w:asciiTheme="minorEastAsia" w:eastAsiaTheme="minorEastAsia" w:hAnsiTheme="minorEastAsia" w:cstheme="minorEastAsia" w:hint="eastAsia"/>
          <w:sz w:val="24"/>
          <w:szCs w:val="24"/>
          <w:lang w:eastAsia="zh-CN"/>
        </w:rPr>
        <w:t>以每日收盘价作为估值全价；</w:t>
      </w:r>
      <w:r>
        <w:rPr>
          <w:rFonts w:asciiTheme="minorEastAsia" w:eastAsiaTheme="minorEastAsia" w:hAnsiTheme="minorEastAsia" w:cstheme="minorEastAsia"/>
          <w:sz w:val="24"/>
          <w:szCs w:val="24"/>
          <w:lang w:eastAsia="zh-CN"/>
        </w:rPr>
        <w:t>实行净价交易</w:t>
      </w:r>
      <w:r>
        <w:rPr>
          <w:rFonts w:asciiTheme="minorEastAsia" w:eastAsiaTheme="minorEastAsia" w:hAnsiTheme="minorEastAsia" w:cstheme="minorEastAsia" w:hint="eastAsia"/>
          <w:sz w:val="24"/>
          <w:szCs w:val="24"/>
          <w:lang w:eastAsia="zh-CN"/>
        </w:rPr>
        <w:t>的债券选取估值日收盘价并加计每百元税前应计利息作为估值全价；</w:t>
      </w:r>
    </w:p>
    <w:p w14:paraId="0EBEE7A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（5）交易所上市不存在活跃市场的有价证券，采用估值技术确定公允价值；</w:t>
      </w:r>
    </w:p>
    <w:p w14:paraId="4CC8CF9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（6）对于交易所未上市或未挂牌转让且不存在活跃市场的固定收益品种，采用在当前情况下适用并且有足够可利用数据和其他信息支持的估值技术确定其公允价值。</w:t>
      </w:r>
    </w:p>
    <w:p w14:paraId="3CE72AD0"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（7）对于境外上市流通的债券，证券交易所市场实行净价交易</w:t>
      </w:r>
      <w:r>
        <w:rPr>
          <w:rFonts w:asciiTheme="minorEastAsia" w:eastAsiaTheme="minorEastAsia" w:hAnsiTheme="minorEastAsia" w:cstheme="minorEastAsia"/>
          <w:sz w:val="24"/>
          <w:szCs w:val="24"/>
          <w:lang w:eastAsia="zh-CN"/>
        </w:rPr>
        <w:t xml:space="preserve"> 的债券，按估值</w:t>
      </w:r>
      <w:r>
        <w:rPr>
          <w:rFonts w:asciiTheme="minorEastAsia" w:eastAsiaTheme="minorEastAsia" w:hAnsiTheme="minorEastAsia" w:cstheme="minorEastAsia" w:hint="eastAsia"/>
          <w:sz w:val="24"/>
          <w:szCs w:val="24"/>
          <w:lang w:eastAsia="zh-CN"/>
        </w:rPr>
        <w:t>日收盘净价或第三方估值机构提供的估值净价估值。</w:t>
      </w:r>
      <w:r>
        <w:rPr>
          <w:rFonts w:asciiTheme="minorEastAsia" w:eastAsiaTheme="minorEastAsia" w:hAnsiTheme="minorEastAsia" w:cstheme="minorEastAsia"/>
          <w:sz w:val="24"/>
          <w:szCs w:val="24"/>
          <w:lang w:eastAsia="zh-CN"/>
        </w:rPr>
        <w:t xml:space="preserve"> 证券交易所市场实行全价交易</w:t>
      </w:r>
      <w:r>
        <w:rPr>
          <w:rFonts w:asciiTheme="minorEastAsia" w:eastAsiaTheme="minorEastAsia" w:hAnsiTheme="minorEastAsia" w:cstheme="minorEastAsia" w:hint="eastAsia"/>
          <w:sz w:val="24"/>
          <w:szCs w:val="24"/>
          <w:lang w:eastAsia="zh-CN"/>
        </w:rPr>
        <w:t>的债券（可转债除外），按估值日收盘价或第三方估值机构提供的估值全价减去收盘价或估值全价中所含的债券应收利息得到的净价进行估值。</w:t>
      </w:r>
    </w:p>
    <w:p w14:paraId="4ED0FEB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2、处于未上市期间的有价证券应区分如下情况处理：</w:t>
      </w:r>
    </w:p>
    <w:p w14:paraId="42C7AB8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（1）送股、转增股、配股和公开增发的新股，按估值日在证券交易所挂牌的同一股票的估值方法估值；该日无交易的，以最近一日的市价（收盘价）估值；</w:t>
      </w:r>
    </w:p>
    <w:p w14:paraId="010C7B7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（2）首次公开发行未上市的股票、债券，采用估值技术确定公允价值；</w:t>
      </w:r>
    </w:p>
    <w:p w14:paraId="56E85B44"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（3）在发行时明确一定期限限售期的股票，包括但不限于非公开发行股票、首</w:t>
      </w:r>
      <w:r>
        <w:rPr>
          <w:rFonts w:asciiTheme="minorEastAsia" w:eastAsiaTheme="minorEastAsia" w:hAnsiTheme="minorEastAsia" w:cstheme="minorEastAsia" w:hint="eastAsia"/>
          <w:sz w:val="24"/>
          <w:szCs w:val="24"/>
          <w:lang w:eastAsia="zh-CN"/>
        </w:rPr>
        <w:lastRenderedPageBreak/>
        <w:t>次公开发行股票时公司股东公开发售股份、通过大宗交易取得的带限售期的股票等，不包括停牌、新发行未上市、回购交易中的质押券等流通受限股票，按监管机构或行业协会有关规定确定公允价值。</w:t>
      </w:r>
    </w:p>
    <w:p w14:paraId="2B0228E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0CE80C20"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4、本基金投资期货合约，一般以估值当日结算价进行估值，估值当日无结算价的，且最近交易日后经济环境未发生重大变化的，采用最近交易日结算价估值。</w:t>
      </w:r>
    </w:p>
    <w:p w14:paraId="3D25D1CF"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5、存款的估值方法</w:t>
      </w:r>
    </w:p>
    <w:p w14:paraId="6EEED62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持有的银行定期存款或通知存款按实际利率法逐日确认利息收入。</w:t>
      </w:r>
    </w:p>
    <w:p w14:paraId="5B9A7BD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6、同一证券同时在两个或两个以上市场交易的，按证券所处的市场分别估值。</w:t>
      </w:r>
    </w:p>
    <w:p w14:paraId="508DFA0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7、本基金投资股票期权，根据相关法律法规以及监管部门的规定估值。</w:t>
      </w:r>
    </w:p>
    <w:p w14:paraId="71BE330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信用衍生品按第三方估值基准服务机构提供的当日的估值价格进行估值，但基金管理人依法应当承担的估值责任不因委托而免除；选定的第三方估值基准服务机构未提供估值价格的，依照有关法律法规及《企业会计准则》要求采用合理估值技术确定公允价值。</w:t>
      </w:r>
    </w:p>
    <w:p w14:paraId="28B8E59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9、境外衍生工具估值方法</w:t>
      </w:r>
    </w:p>
    <w:p w14:paraId="584BCAE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（1）上市流通衍生工具按估值日当日其所在证券交易所的收盘价估值；估值日无交易的，以最近交易日的收盘价估值；</w:t>
      </w:r>
    </w:p>
    <w:p w14:paraId="6EB42150" w14:textId="00715354"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未上市的衍生工具采用估值基准服务机构提供的相应品种对应的估值报价估值，估值基准服务机构未提供估值价格的，则采用估值技术确定公允价值；若衍生品价格无法通过公开信息取得，参照最近一个交易日可取得的主要做市商或其他权威价格提供机构的报价进行估值。</w:t>
      </w:r>
    </w:p>
    <w:p w14:paraId="0F6EDDA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10、本基金参与融资业务的，按照相关法律法规及行业协会的相关规定进行估值。</w:t>
      </w:r>
    </w:p>
    <w:p w14:paraId="2B39C5D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11、本基金投资境内存托凭证的估值核算，依照境内上市交易的股票执行；美</w:t>
      </w:r>
      <w:r>
        <w:rPr>
          <w:rFonts w:asciiTheme="minorEastAsia" w:eastAsiaTheme="minorEastAsia" w:hAnsiTheme="minorEastAsia" w:cstheme="minorEastAsia" w:hint="eastAsia"/>
          <w:sz w:val="24"/>
          <w:szCs w:val="24"/>
          <w:lang w:eastAsia="zh-CN"/>
        </w:rPr>
        <w:lastRenderedPageBreak/>
        <w:t>国存托凭证、全球存托凭证按其所在证券交易所的最近交易日的收盘价估值。</w:t>
      </w:r>
    </w:p>
    <w:p w14:paraId="0ED9111D" w14:textId="77777777" w:rsidR="00067C35"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12、基金估值方法</w:t>
      </w:r>
    </w:p>
    <w:p w14:paraId="4F4FFB5D" w14:textId="7478A99E"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（1）本基金投资于交易所上市基金的估值</w:t>
      </w:r>
    </w:p>
    <w:p w14:paraId="4A6AED76"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本基金投资的上市定期开放式基金、封闭式基金、ETF基金，按所投资基金估值日的收盘价估值。</w:t>
      </w:r>
    </w:p>
    <w:p w14:paraId="03249712" w14:textId="20450F05" w:rsidR="00721099" w:rsidRDefault="006B4706" w:rsidP="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（2）如遇所投资基金不公布基金份额净值、进行折算或拆分、估值日无交易等特殊情况，本基金根据以下原则进行估值：</w:t>
      </w:r>
    </w:p>
    <w:p w14:paraId="2DC440C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2）如果所投资基金前一估值日至估值日期间发生分红除权、折算或拆分，基金管理人应根据基金份额净值或收盘价、单位基金份额分红金额、折算拆分比例、持仓份额等因素合理确定公允价值。</w:t>
      </w:r>
    </w:p>
    <w:p w14:paraId="5CF66884" w14:textId="783644DC"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（3）当基金管理人认为所投资基金按上述第（1）至第（2）条进行估值存在不公允时，应与基金托管人协商一致采用合理的估值技术或估值标准确定其公允价值。</w:t>
      </w:r>
    </w:p>
    <w:p w14:paraId="54FC9EDC" w14:textId="30086819" w:rsidR="006B4706" w:rsidRDefault="006B4706" w:rsidP="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sidRPr="006B4706">
        <w:rPr>
          <w:rFonts w:asciiTheme="minorEastAsia" w:eastAsiaTheme="minorEastAsia" w:hAnsiTheme="minorEastAsia" w:cstheme="minorEastAsia" w:hint="eastAsia"/>
          <w:sz w:val="24"/>
          <w:szCs w:val="24"/>
          <w:lang w:eastAsia="zh-CN"/>
        </w:rPr>
        <w:t>）开放式基金按照可取得的最近估值日的基金份额净值估值，若基金份额净值无法</w:t>
      </w:r>
      <w:r w:rsidRPr="006B4706">
        <w:rPr>
          <w:rFonts w:asciiTheme="minorEastAsia" w:eastAsiaTheme="minorEastAsia" w:hAnsiTheme="minorEastAsia" w:cstheme="minorEastAsia"/>
          <w:sz w:val="24"/>
          <w:szCs w:val="24"/>
          <w:lang w:eastAsia="zh-CN"/>
        </w:rPr>
        <w:t>通过公开公开渠道获得，则由基金管理人和托管人协商一致，按照最</w:t>
      </w:r>
      <w:r w:rsidRPr="006B4706">
        <w:rPr>
          <w:rFonts w:asciiTheme="minorEastAsia" w:eastAsiaTheme="minorEastAsia" w:hAnsiTheme="minorEastAsia" w:cstheme="minorEastAsia" w:hint="eastAsia"/>
          <w:sz w:val="24"/>
          <w:szCs w:val="24"/>
          <w:lang w:eastAsia="zh-CN"/>
        </w:rPr>
        <w:t>能反映基金公允价值的基金份额净值估值。货币基金以成本估值，每日按当日的万份收益计提红利。</w:t>
      </w:r>
    </w:p>
    <w:p w14:paraId="74146658"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13、估值计算中涉及主要货币对人民币汇率的，可参考估值日中国人民银行公布的人民币汇率中间价，或其他可以反映公允价值的汇率进行估值。</w:t>
      </w:r>
    </w:p>
    <w:p w14:paraId="4DA7285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外币交易涉及人民币与上述主要货币以外的其他货币之间折算的，以指定数据服务商提供的当日各种货币对美元折算率采用套算的方法进行折算。</w:t>
      </w:r>
    </w:p>
    <w:p w14:paraId="20C4754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14、税收</w:t>
      </w:r>
    </w:p>
    <w:p w14:paraId="2BD47B3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1188A77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对于非代扣代缴的税收，基金管理人可以聘请税收顾问对相关投资市场的税收情况给予意见和建议。境外托管人根据基金管理人的指示具体协调基金在海外税务</w:t>
      </w:r>
      <w:r>
        <w:rPr>
          <w:rFonts w:asciiTheme="minorEastAsia" w:eastAsiaTheme="minorEastAsia" w:hAnsiTheme="minorEastAsia" w:cstheme="minorEastAsia" w:hint="eastAsia"/>
          <w:sz w:val="24"/>
          <w:szCs w:val="24"/>
          <w:lang w:eastAsia="zh-CN"/>
        </w:rPr>
        <w:lastRenderedPageBreak/>
        <w:t>的申报、缴纳及索取税收返还等相关工作。基金根据国家法律法规和基金投资所在地的法律法规规定及中国与该国家或地区签署的相关税收协定履行纳税义务。除因基金管理人或基金托管人疏忽、故意行为导致的基金在税收方面造成的损失外，基金管理人和基金托管人不承担责任。</w:t>
      </w:r>
    </w:p>
    <w:p w14:paraId="428CF43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15、如有确凿证据表明按上述方法进行估值不能客观反映其公允价值的，基金管理人可根据具体情况与基金托管人商定后，按最能反映公允价值的价格估值。</w:t>
      </w:r>
    </w:p>
    <w:p w14:paraId="3482C5F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16、当发生大额申购或赎回情形时，基金管理人可以采用摆动定价机制，以确保基金估值的公平性。</w:t>
      </w:r>
    </w:p>
    <w:p w14:paraId="17F16D9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17、相关法律法规以及监管部门有强制规定的，从其规定。如有新增事项，按国家最新规定估值。</w:t>
      </w:r>
    </w:p>
    <w:p w14:paraId="24064A6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2060C6E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bookmarkEnd w:id="100"/>
    <w:p w14:paraId="3BBC61D1"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五、估值程序</w:t>
      </w:r>
    </w:p>
    <w:p w14:paraId="4501621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bookmarkStart w:id="101" w:name="_Hlk176474752"/>
      <w:r>
        <w:rPr>
          <w:rFonts w:asciiTheme="minorEastAsia" w:eastAsiaTheme="minorEastAsia" w:hAnsiTheme="minorEastAsia" w:cstheme="minorEastAsia" w:hint="eastAsia"/>
          <w:sz w:val="24"/>
          <w:szCs w:val="24"/>
          <w:lang w:eastAsia="zh-CN"/>
        </w:rPr>
        <w:t>各类基金份额净值是按照每个估值日，各类基金份额的基金资产净值除以当日该类基金份额的余额数量计算，均精确到0.0001元，小数点后第5位四舍五入。</w:t>
      </w:r>
      <w:bookmarkEnd w:id="101"/>
      <w:r>
        <w:rPr>
          <w:rFonts w:asciiTheme="minorEastAsia" w:eastAsiaTheme="minorEastAsia" w:hAnsiTheme="minorEastAsia" w:cstheme="minorEastAsia" w:hint="eastAsia"/>
          <w:sz w:val="24"/>
          <w:szCs w:val="24"/>
          <w:lang w:eastAsia="zh-CN"/>
        </w:rPr>
        <w:t>基金管理人可以设立大额赎回情形下的净值精度应急调整机制。国家另有规定的，从其规定。</w:t>
      </w:r>
    </w:p>
    <w:p w14:paraId="611D246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基金管理人应每个估值日的下一工作日内计算基金资产净值及各类基金份额的基金份额净值，并按规定公告。</w:t>
      </w:r>
    </w:p>
    <w:p w14:paraId="3609B27F" w14:textId="65861BDD"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bookmarkStart w:id="102" w:name="_Hlk176474795"/>
      <w:r>
        <w:rPr>
          <w:rFonts w:asciiTheme="minorEastAsia" w:eastAsiaTheme="minorEastAsia" w:hAnsiTheme="minorEastAsia" w:cstheme="minorEastAsia" w:hint="eastAsia"/>
          <w:sz w:val="24"/>
          <w:szCs w:val="24"/>
          <w:lang w:eastAsia="zh-CN"/>
        </w:rPr>
        <w:t>基金管理人应每个估值日的下一工作日内对基金资产估值。但基金管理人根据法律法规或本基金合同的规定暂停估值时除外。基金管理人对基金资产估值后，将各类基金份额的基金份额净值结果发送基金托管人，经基金托管人复核无误后，由基金管理人按规定对外公布。</w:t>
      </w:r>
      <w:bookmarkEnd w:id="102"/>
    </w:p>
    <w:p w14:paraId="2D118562"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六、估值错误的处理</w:t>
      </w:r>
    </w:p>
    <w:p w14:paraId="1436D2E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基金管理人和基金托管人将采取必要、适当、合理的措施确保基金资产估值的</w:t>
      </w:r>
      <w:r>
        <w:rPr>
          <w:rFonts w:asciiTheme="minorEastAsia" w:eastAsiaTheme="minorEastAsia" w:hAnsiTheme="minorEastAsia" w:cstheme="minorEastAsia" w:hint="eastAsia"/>
          <w:sz w:val="24"/>
          <w:szCs w:val="24"/>
          <w:lang w:eastAsia="zh-CN"/>
        </w:rPr>
        <w:lastRenderedPageBreak/>
        <w:t>准确性、及时性。当任一类基金份额净值小数点后4位以内（含第4位）发生估值错误时，视为该类基金份额净值错误。</w:t>
      </w:r>
    </w:p>
    <w:p w14:paraId="16449FC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本基金合同的当事人应按照以下约定处理：</w:t>
      </w:r>
    </w:p>
    <w:p w14:paraId="61B2B5A3"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1、估值错误类型</w:t>
      </w:r>
    </w:p>
    <w:p w14:paraId="1FEF235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42B23A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上述估值错误的主要类型包括但不限于：资料申报差错、数据传输差错、数据计算差错、系统故障差错、下达指令差错等。</w:t>
      </w:r>
    </w:p>
    <w:p w14:paraId="7604C610"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2、估值错误处理原则</w:t>
      </w:r>
    </w:p>
    <w:p w14:paraId="302F5DA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429BE7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（2）估值错误的责任方对有关当事人的直接损失负责，不对间接损失负责，并且仅对估值错误的有关直接当事人负责，不对第三方负责。</w:t>
      </w:r>
    </w:p>
    <w:p w14:paraId="707BD3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97D69D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（4）估值错误调整采用尽量恢复至假设未发生估值错误的正确情形的方式。</w:t>
      </w:r>
    </w:p>
    <w:p w14:paraId="3B5208A4"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3、估值错误处理程序</w:t>
      </w:r>
    </w:p>
    <w:p w14:paraId="5522438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估值错误被发现后，有关的当事人应当及时进行处理，处理的程序如下：</w:t>
      </w:r>
    </w:p>
    <w:p w14:paraId="1E84BA7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（1）查明估值错误发生的原因，列明所有的当事人，并根据估值错误发生的原</w:t>
      </w:r>
      <w:r>
        <w:rPr>
          <w:rFonts w:asciiTheme="minorEastAsia" w:eastAsiaTheme="minorEastAsia" w:hAnsiTheme="minorEastAsia" w:cstheme="minorEastAsia" w:hint="eastAsia"/>
          <w:sz w:val="24"/>
          <w:szCs w:val="24"/>
          <w:lang w:eastAsia="zh-CN"/>
        </w:rPr>
        <w:lastRenderedPageBreak/>
        <w:t>因确定估值错误的责任方；</w:t>
      </w:r>
    </w:p>
    <w:p w14:paraId="64F1C10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（2）根据估值错误处理原则或当事人协商的方法对因估值错误造成的损失进行评估；</w:t>
      </w:r>
    </w:p>
    <w:p w14:paraId="29869E3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（3）根据估值错误处理原则或当事人协商的方法由估值错误的责任方进行更正和赔偿损失；</w:t>
      </w:r>
    </w:p>
    <w:p w14:paraId="2C7106D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（4）根据估值错误处理的方法，需要修改基金登记机构交易数据的，由基金登记机构进行更正，并就估值错误的更正向有关当事人进行确认。</w:t>
      </w:r>
    </w:p>
    <w:p w14:paraId="0721266D"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4、基金份额净值估值错误处理的方法如下：</w:t>
      </w:r>
    </w:p>
    <w:p w14:paraId="1DCBEAC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基金份额净值计算出现错误时，基金管理人应当立即予以纠正，通报基金托管人，并采取合理的措施防止损失进一步扩大。</w:t>
      </w:r>
    </w:p>
    <w:p w14:paraId="32FAC39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14:paraId="592D3B0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前述内容如法律法规或监管机关另有规定的，从其规定处理。</w:t>
      </w:r>
    </w:p>
    <w:p w14:paraId="373EAC4D" w14:textId="77777777" w:rsidR="00721099" w:rsidRDefault="006B4706">
      <w:pPr>
        <w:adjustRightInd w:val="0"/>
        <w:snapToGrid w:val="0"/>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七、暂停估值的情形</w:t>
      </w:r>
    </w:p>
    <w:p w14:paraId="7A64CC4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1、基金投资所涉及的证券、期货交易市场或外汇市场遇法定节假日或因其他原因暂停营业时；</w:t>
      </w:r>
    </w:p>
    <w:p w14:paraId="07FCC1F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2、因不可抗力或其他情形致使基金管理人、基金托管人、境外托管人无法准确评估基金资产价值时；</w:t>
      </w:r>
    </w:p>
    <w:p w14:paraId="06AAE1C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3、当特定资产占前一估值日基金资产净值50%以上的，经与基金托管人协商确认后，基金管理人应当暂停估值；</w:t>
      </w:r>
    </w:p>
    <w:p w14:paraId="64A5359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4、法律法规规定、中国证监会和基金合同认定的其它情形。</w:t>
      </w:r>
    </w:p>
    <w:p w14:paraId="31068E1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八、基金净值的确认</w:t>
      </w:r>
    </w:p>
    <w:p w14:paraId="6386023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用于基金信息披露的基金资产净值和各类基金份额净值由基金管理人负责计算，基金托管人负责进行复核。基金管理人应于每个估值日的下一工作日内计算估值日的基金资产净值和各类基金份额净值并发送给基金托管人。基金托管人对净值计算结果复核确认后发送给基金管理人，由基金管理人对基金净值按规定予以公布。</w:t>
      </w:r>
    </w:p>
    <w:p w14:paraId="270ED29E"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九、实施侧袋机制期间的基金资产估值</w:t>
      </w:r>
    </w:p>
    <w:p w14:paraId="7EB2AF7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若本基金实施侧袋机制的，应根据本部分的约定对主袋账户资产进行估值并披露主袋账户的基金净值信息，暂停披露侧袋账户份额净值。</w:t>
      </w:r>
    </w:p>
    <w:p w14:paraId="28017D29"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十、特殊情形的处理</w:t>
      </w:r>
    </w:p>
    <w:p w14:paraId="5C2B522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1、基金管理人按本部分第四条有关估值方法规定的第15项条款进行估值时，所造成的误差不作为基金资产估值错误处理。</w:t>
      </w:r>
    </w:p>
    <w:p w14:paraId="04FB8E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由于证券、期货交易所、外汇市场、登记结算公司、第三方估值基准服务机构等机构发送的数据错误，有关会计制度变化或由于其他不可抗力原因，基金管理人和基金托管人虽然已经采取必要、适当、合理的措施进行检查，但是未能发现该错误或虽发现错误但是因为前述原因无法更正而造成的基金资产估值错误，基金管理人、基金托管人免除赔偿责任。但基金管理人、基金托管人应积极采取必要的措施减轻或消除由此造成的影响。</w:t>
      </w:r>
    </w:p>
    <w:p w14:paraId="418BAAF9"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3、对于因税收规定调整或其他原因导致基金实际交纳税金与基金按照权责发生制进行估值的应交税金有差异的，相关估值调整不作为基金资产估值错误处理。</w:t>
      </w:r>
    </w:p>
    <w:p w14:paraId="262AE7E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r>
        <w:rPr>
          <w:rFonts w:asciiTheme="minorEastAsia" w:eastAsiaTheme="minorEastAsia" w:hAnsiTheme="minorEastAsia" w:cstheme="minorEastAsia"/>
          <w:sz w:val="24"/>
          <w:szCs w:val="24"/>
          <w:lang w:eastAsia="zh-CN"/>
        </w:rPr>
        <w:t>4、由于投资涉及不同市场及时区，因时差、通讯或其他非可控的客观原因，在基金管理人和基金托管人协商一致的时间点前无法确认的交易，导致的对基金资产净值的影响，不作为基金资产估值错误处理。</w:t>
      </w:r>
    </w:p>
    <w:p w14:paraId="570E58E9"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03" w:name="第十五部分__基金费用与税收"/>
      <w:bookmarkStart w:id="104" w:name="_Toc11950"/>
      <w:bookmarkStart w:id="105" w:name="_Toc30912"/>
      <w:bookmarkStart w:id="106" w:name="_Toc156822887"/>
      <w:bookmarkStart w:id="107" w:name="_Toc22655"/>
      <w:bookmarkStart w:id="108" w:name="_Toc3405"/>
      <w:bookmarkEnd w:id="103"/>
      <w:r>
        <w:rPr>
          <w:rFonts w:asciiTheme="minorEastAsia" w:eastAsiaTheme="minorEastAsia" w:hAnsiTheme="minorEastAsia" w:cstheme="minorEastAsia" w:hint="eastAsia"/>
          <w:b/>
          <w:bCs/>
          <w:sz w:val="24"/>
          <w:szCs w:val="24"/>
          <w:lang w:eastAsia="zh-CN"/>
        </w:rPr>
        <w:lastRenderedPageBreak/>
        <w:t>第十五部分 基金费用与税收</w:t>
      </w:r>
      <w:bookmarkEnd w:id="104"/>
      <w:bookmarkEnd w:id="105"/>
      <w:bookmarkEnd w:id="106"/>
      <w:bookmarkEnd w:id="107"/>
      <w:bookmarkEnd w:id="108"/>
    </w:p>
    <w:p w14:paraId="5C75C8FF"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2DACBD1F"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一、基金费用的种类</w:t>
      </w:r>
    </w:p>
    <w:p w14:paraId="56E029F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1、基金管理人的管理费（如基金管理人境外投资顾问，包含境外投资顾问的投资顾问费）；</w:t>
      </w:r>
    </w:p>
    <w:p w14:paraId="70B71BE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2、基金托管人的托管费（</w:t>
      </w:r>
      <w:r>
        <w:rPr>
          <w:rFonts w:hint="eastAsia"/>
          <w:sz w:val="24"/>
          <w:szCs w:val="24"/>
          <w:lang w:eastAsia="zh-CN"/>
        </w:rPr>
        <w:t>含境外托管人收取的费用）</w:t>
      </w:r>
      <w:r>
        <w:rPr>
          <w:rFonts w:asciiTheme="minorEastAsia" w:eastAsiaTheme="minorEastAsia" w:hAnsiTheme="minorEastAsia" w:cstheme="minorEastAsia" w:hint="eastAsia"/>
          <w:sz w:val="24"/>
          <w:szCs w:val="24"/>
          <w:lang w:eastAsia="zh-CN"/>
        </w:rPr>
        <w:t>；</w:t>
      </w:r>
    </w:p>
    <w:p w14:paraId="3BB5928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3、销售服务费：本基金从C类基金份额的基金资产中计提的销售服务费；</w:t>
      </w:r>
    </w:p>
    <w:p w14:paraId="3FC4295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4、《基金合同》生效后与基金相关的信息披露费用；</w:t>
      </w:r>
    </w:p>
    <w:p w14:paraId="637249E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5、《基金合同》生效后与基金相关的会计师费、律师费、诉讼费和仲裁费；</w:t>
      </w:r>
    </w:p>
    <w:p w14:paraId="3289898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6、基金份额持有人大会费用（包括但不限于场地费、会计师费、律师费和公证费）；</w:t>
      </w:r>
    </w:p>
    <w:p w14:paraId="616D770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的证券、期货、股票期权、信用衍生品等交易费用及在境外市场的交易、清算、登记等实际发生的费用（out-of-pocketfees），包括但不限于经手费、印花税、证管费、过户费、手续费、券商佣金交易的结算费、融资融券费、证券借贷费用、存托费、证券账户及其他类似性质的费用等；</w:t>
      </w:r>
    </w:p>
    <w:p w14:paraId="3F7D0F5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8、基金的银行汇划费用和外汇兑换交易的相关费用；</w:t>
      </w:r>
    </w:p>
    <w:p w14:paraId="3BC2E38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基金依照有关法律法规应当缴纳的，购买或处置证券有关的任何税收、征费、关税、印花税、交易及其他税收及预扣提税（以及与前述各项有关的任何利息及费用），以及为基金利益聘请税务顾问产生的费用；</w:t>
      </w:r>
    </w:p>
    <w:p w14:paraId="3E9FD19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10、基金的开户费用、账户维护费用；</w:t>
      </w:r>
    </w:p>
    <w:p w14:paraId="1437768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11、因投资境外股票、</w:t>
      </w:r>
      <w:r>
        <w:rPr>
          <w:rFonts w:asciiTheme="minorEastAsia" w:eastAsiaTheme="minorEastAsia" w:hAnsiTheme="minorEastAsia" w:cstheme="minorEastAsia"/>
          <w:sz w:val="24"/>
          <w:szCs w:val="24"/>
          <w:lang w:eastAsia="zh-CN"/>
        </w:rPr>
        <w:t>港股通标的</w:t>
      </w:r>
      <w:r>
        <w:rPr>
          <w:rFonts w:asciiTheme="minorEastAsia" w:eastAsiaTheme="minorEastAsia" w:hAnsiTheme="minorEastAsia" w:cstheme="minorEastAsia" w:hint="eastAsia"/>
          <w:sz w:val="24"/>
          <w:szCs w:val="24"/>
          <w:lang w:eastAsia="zh-CN"/>
        </w:rPr>
        <w:t>股票而产生的各项合理费用；</w:t>
      </w:r>
    </w:p>
    <w:p w14:paraId="2EC9E9A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14:paraId="09830D5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13、为应付赎回和交易清算而进行临时借款所发生的费用；</w:t>
      </w:r>
    </w:p>
    <w:p w14:paraId="1314E39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14</w:t>
      </w:r>
      <w:r>
        <w:rPr>
          <w:rFonts w:asciiTheme="minorEastAsia" w:eastAsiaTheme="minorEastAsia" w:hAnsiTheme="minorEastAsia" w:cstheme="minorEastAsia" w:hint="eastAsia"/>
          <w:sz w:val="24"/>
          <w:szCs w:val="24"/>
          <w:lang w:eastAsia="zh-CN"/>
        </w:rPr>
        <w:t>、按照国家有关规定和《基金合同》约定，可以在基金财产中列支的其他费用。</w:t>
      </w:r>
    </w:p>
    <w:p w14:paraId="236BD560"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二、基金费用计提方法、计提标准和支付方式</w:t>
      </w:r>
    </w:p>
    <w:p w14:paraId="7AE57C38"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1、基金管理人的管理费</w:t>
      </w:r>
    </w:p>
    <w:p w14:paraId="50DB60F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本基金的管理费按前一日基金资产净值的</w:t>
      </w:r>
      <w:r>
        <w:rPr>
          <w:rFonts w:asciiTheme="minorEastAsia" w:eastAsiaTheme="minorEastAsia" w:hAnsiTheme="minorEastAsia" w:cstheme="minorEastAsia"/>
          <w:sz w:val="24"/>
          <w:szCs w:val="24"/>
          <w:lang w:eastAsia="zh-CN"/>
        </w:rPr>
        <w:t>1.2</w:t>
      </w:r>
      <w:r>
        <w:rPr>
          <w:rFonts w:asciiTheme="minorEastAsia" w:eastAsiaTheme="minorEastAsia" w:hAnsiTheme="minorEastAsia" w:cstheme="minorEastAsia" w:hint="eastAsia"/>
          <w:sz w:val="24"/>
          <w:szCs w:val="24"/>
          <w:lang w:eastAsia="zh-CN"/>
        </w:rPr>
        <w:t>0%年费率计提。管理费的计算方法</w:t>
      </w:r>
      <w:r>
        <w:rPr>
          <w:rFonts w:asciiTheme="minorEastAsia" w:eastAsiaTheme="minorEastAsia" w:hAnsiTheme="minorEastAsia" w:cstheme="minorEastAsia" w:hint="eastAsia"/>
          <w:sz w:val="24"/>
          <w:szCs w:val="24"/>
          <w:lang w:eastAsia="zh-CN"/>
        </w:rPr>
        <w:lastRenderedPageBreak/>
        <w:t>如下：</w:t>
      </w:r>
    </w:p>
    <w:p w14:paraId="0B23978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H＝E×</w:t>
      </w:r>
      <w:r>
        <w:rPr>
          <w:rFonts w:asciiTheme="minorEastAsia" w:eastAsiaTheme="minorEastAsia" w:hAnsiTheme="minorEastAsia" w:cstheme="minorEastAsia"/>
          <w:sz w:val="24"/>
          <w:szCs w:val="24"/>
          <w:lang w:eastAsia="zh-CN"/>
        </w:rPr>
        <w:t>1.2</w:t>
      </w:r>
      <w:r>
        <w:rPr>
          <w:rFonts w:asciiTheme="minorEastAsia" w:eastAsiaTheme="minorEastAsia" w:hAnsiTheme="minorEastAsia" w:cstheme="minorEastAsia" w:hint="eastAsia"/>
          <w:sz w:val="24"/>
          <w:szCs w:val="24"/>
          <w:lang w:eastAsia="zh-CN"/>
        </w:rPr>
        <w:t>0%÷当年天数</w:t>
      </w:r>
    </w:p>
    <w:p w14:paraId="6F781D6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H为每日应计提的基金管理费</w:t>
      </w:r>
    </w:p>
    <w:p w14:paraId="6E0D0E0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E为前一日的基金资产净值</w:t>
      </w:r>
    </w:p>
    <w:p w14:paraId="05E0D88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基金管理费每日计提，逐日累计至每月月末，按月支付，由基金管理人向基金托管人发送基金管理费划款指令，基金托管人复核后于次月</w:t>
      </w:r>
      <w:r>
        <w:rPr>
          <w:rFonts w:asciiTheme="minorEastAsia" w:eastAsiaTheme="minorEastAsia" w:hAnsiTheme="minorEastAsia" w:cstheme="minorEastAsia" w:hint="eastAsia"/>
          <w:sz w:val="24"/>
          <w:szCs w:val="24"/>
          <w:lang w:eastAsia="zh-CN"/>
        </w:rPr>
        <w:t>首日起</w:t>
      </w:r>
      <w:r>
        <w:rPr>
          <w:rFonts w:asciiTheme="minorEastAsia" w:eastAsiaTheme="minorEastAsia" w:hAnsiTheme="minorEastAsia" w:cstheme="minorEastAsia"/>
          <w:sz w:val="24"/>
          <w:szCs w:val="24"/>
          <w:lang w:eastAsia="zh-CN"/>
        </w:rPr>
        <w:t>5个工作日内从基金财产中一次性支付给基金管理人。</w:t>
      </w:r>
      <w:r>
        <w:rPr>
          <w:rFonts w:asciiTheme="minorEastAsia" w:eastAsiaTheme="minorEastAsia" w:hAnsiTheme="minorEastAsia" w:cstheme="minorEastAsia" w:hint="eastAsia"/>
          <w:sz w:val="24"/>
          <w:szCs w:val="24"/>
          <w:lang w:eastAsia="zh-CN"/>
        </w:rPr>
        <w:t>若遇法定节假日、公休假或不可抗力等，支付日期顺延。</w:t>
      </w:r>
    </w:p>
    <w:p w14:paraId="1B423276"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2、基金托管人的托管费</w:t>
      </w:r>
    </w:p>
    <w:p w14:paraId="5596972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本基金的托管费按前一日基金资产净值的0.</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0%的年费率计提。托管费的计算方法如下：</w:t>
      </w:r>
    </w:p>
    <w:p w14:paraId="0D30CB0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H＝E×0.</w:t>
      </w:r>
      <w:r>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0%÷当年天数</w:t>
      </w:r>
    </w:p>
    <w:p w14:paraId="23E9463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H为每日应计提的基金托管费</w:t>
      </w:r>
    </w:p>
    <w:p w14:paraId="4737D68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E为前一日的基金资产净值</w:t>
      </w:r>
    </w:p>
    <w:p w14:paraId="442D6FA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基金托管费</w:t>
      </w:r>
      <w:r>
        <w:rPr>
          <w:rFonts w:asciiTheme="minorEastAsia" w:eastAsiaTheme="minorEastAsia" w:hAnsiTheme="minorEastAsia" w:cstheme="minorEastAsia"/>
          <w:sz w:val="24"/>
          <w:szCs w:val="24"/>
          <w:lang w:eastAsia="zh-CN"/>
        </w:rPr>
        <w:t>每日计提，逐日累计至每月月末，按月支付，由基金管理人向基金托管人发送基金</w:t>
      </w:r>
      <w:r>
        <w:rPr>
          <w:rFonts w:asciiTheme="minorEastAsia" w:eastAsiaTheme="minorEastAsia" w:hAnsiTheme="minorEastAsia" w:cstheme="minorEastAsia" w:hint="eastAsia"/>
          <w:sz w:val="24"/>
          <w:szCs w:val="24"/>
          <w:lang w:eastAsia="zh-CN"/>
        </w:rPr>
        <w:t>托管</w:t>
      </w:r>
      <w:r>
        <w:rPr>
          <w:rFonts w:asciiTheme="minorEastAsia" w:eastAsiaTheme="minorEastAsia" w:hAnsiTheme="minorEastAsia" w:cstheme="minorEastAsia"/>
          <w:sz w:val="24"/>
          <w:szCs w:val="24"/>
          <w:lang w:eastAsia="zh-CN"/>
        </w:rPr>
        <w:t>费划款指令，基金托管人复核后于次月首日起5个工作日内从基金财产中一次性</w:t>
      </w:r>
      <w:r>
        <w:rPr>
          <w:rFonts w:asciiTheme="minorEastAsia" w:eastAsiaTheme="minorEastAsia" w:hAnsiTheme="minorEastAsia" w:cstheme="minorEastAsia" w:hint="eastAsia"/>
          <w:sz w:val="24"/>
          <w:szCs w:val="24"/>
          <w:lang w:eastAsia="zh-CN"/>
        </w:rPr>
        <w:t>支取</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若遇法定节假日、公休假或不可抗力等，支付日期顺延。</w:t>
      </w:r>
    </w:p>
    <w:p w14:paraId="1E222501"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3、销售服务费</w:t>
      </w:r>
    </w:p>
    <w:p w14:paraId="1EF2531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本基金A类基金份额不收取销售服务费，C类基金份额的销售服务费年费率为0.</w:t>
      </w: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0%。</w:t>
      </w:r>
    </w:p>
    <w:p w14:paraId="516A1D8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本基金C类基金份额的销售服务费按前一日C类基金份额的基金资产净值的0.</w:t>
      </w: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0%年费率计提。</w:t>
      </w:r>
    </w:p>
    <w:p w14:paraId="6EFC8AA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计算方法如下：</w:t>
      </w:r>
    </w:p>
    <w:p w14:paraId="6960201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H＝E×0.</w:t>
      </w: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0%÷当年天数</w:t>
      </w:r>
    </w:p>
    <w:p w14:paraId="27BC73F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H为C类基金份额每日应计提的销售服务费</w:t>
      </w:r>
    </w:p>
    <w:p w14:paraId="03B9A18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E为C类基金份额前一日基金资产净值</w:t>
      </w:r>
    </w:p>
    <w:p w14:paraId="03756C0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销售服务费每日计提，逐日累计至每月月末，按月支付，经基金管理人与基金托管人双方核对无误后向基金托管人发送基金销售服务费划付指令，基金托管人复核后于次月</w:t>
      </w:r>
      <w:r>
        <w:rPr>
          <w:rFonts w:asciiTheme="minorEastAsia" w:eastAsiaTheme="minorEastAsia" w:hAnsiTheme="minorEastAsia" w:cstheme="minorEastAsia"/>
          <w:sz w:val="24"/>
          <w:szCs w:val="24"/>
          <w:lang w:eastAsia="zh-CN"/>
        </w:rPr>
        <w:t>首日起5个工作日内从基金财产中一次性支付给基金管理人</w:t>
      </w:r>
      <w:r>
        <w:rPr>
          <w:rFonts w:asciiTheme="minorEastAsia" w:eastAsiaTheme="minorEastAsia" w:hAnsiTheme="minorEastAsia" w:cstheme="minorEastAsia" w:hint="eastAsia"/>
          <w:sz w:val="24"/>
          <w:szCs w:val="24"/>
          <w:lang w:eastAsia="zh-CN"/>
        </w:rPr>
        <w:t>，由基金管理人代付给销售机构。若遇法定节假日、公休假或不可抗力等，支付日期顺延。</w:t>
      </w:r>
    </w:p>
    <w:p w14:paraId="4ABD97F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上述“一、基金费用的种类”中第4－1</w:t>
      </w: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项费用，根据有关法规及相应协议规定，按费用实际支出金额列入当期费用，由基金托管人从基金财产中支付。</w:t>
      </w:r>
    </w:p>
    <w:p w14:paraId="726E02A5"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三、不列入基金费用的项目</w:t>
      </w:r>
    </w:p>
    <w:p w14:paraId="667CAA23"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下列费用不列入基金费用：</w:t>
      </w:r>
    </w:p>
    <w:p w14:paraId="5797E9C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1、基金管理人和基金托管人因未履行或未完全履行义务导致的费用支出或基金财产的损失；</w:t>
      </w:r>
    </w:p>
    <w:p w14:paraId="79EFD10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2、基金管理人和基金托管人处理与基金运作无关的事项发生的费用；</w:t>
      </w:r>
    </w:p>
    <w:p w14:paraId="0031F42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3、《基金合同》生效前的相关费用；</w:t>
      </w:r>
    </w:p>
    <w:p w14:paraId="6687A68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4、其他根据相关法律法规及中国证监会的有关规定不得列入基金费用的项目。</w:t>
      </w:r>
    </w:p>
    <w:p w14:paraId="7D0CAED6"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四、实施侧袋机制期间的基金费用</w:t>
      </w:r>
    </w:p>
    <w:p w14:paraId="6A9C4EB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若本基金实施侧袋机制的，与侧袋账户有关的费用可以从侧袋账户中列支，但应待侧袋账户资产变现后方可列支，有关费用可酌情收取或减免，但不得收取管理费，详见招募说明书的规定。</w:t>
      </w:r>
    </w:p>
    <w:p w14:paraId="09839506"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五、基金税收</w:t>
      </w:r>
    </w:p>
    <w:p w14:paraId="17F8CDE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本基金运作过程中涉及的各纳税主体，其纳税义务按国家税收法律法规和境外市场的规定执行。除因基金管理人或基金托管</w:t>
      </w:r>
      <w:r>
        <w:rPr>
          <w:rFonts w:asciiTheme="minorEastAsia" w:eastAsiaTheme="minorEastAsia" w:hAnsiTheme="minorEastAsia" w:cstheme="minorEastAsia"/>
          <w:sz w:val="24"/>
          <w:szCs w:val="24"/>
          <w:lang w:eastAsia="zh-CN"/>
        </w:rPr>
        <w:t>人疏忽、故意行为导致</w:t>
      </w:r>
      <w:r>
        <w:rPr>
          <w:rFonts w:asciiTheme="minorEastAsia" w:eastAsiaTheme="minorEastAsia" w:hAnsiTheme="minorEastAsia" w:cstheme="minorEastAsia" w:hint="eastAsia"/>
          <w:sz w:val="24"/>
          <w:szCs w:val="24"/>
          <w:lang w:eastAsia="zh-CN"/>
        </w:rPr>
        <w:t>基金在税收方面的损失外，基金管理人和基金托管人不承担责任。基金财产投资的根据《基金法》，基金财产投资的相关税收，由基金份额持有人承担，基金管理人或者其他扣缴义务人按照国家有关税收征收的规定代扣代缴。</w:t>
      </w:r>
    </w:p>
    <w:p w14:paraId="3F004F77"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09F570AF"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09" w:name="第十六部分__基金的收益与分配"/>
      <w:bookmarkStart w:id="110" w:name="_Toc26076"/>
      <w:bookmarkStart w:id="111" w:name="_Toc22998"/>
      <w:bookmarkStart w:id="112" w:name="_Toc18633"/>
      <w:bookmarkStart w:id="113" w:name="_Toc14176"/>
      <w:bookmarkStart w:id="114" w:name="_Toc156822888"/>
      <w:bookmarkEnd w:id="109"/>
      <w:r>
        <w:rPr>
          <w:rFonts w:asciiTheme="minorEastAsia" w:eastAsiaTheme="minorEastAsia" w:hAnsiTheme="minorEastAsia" w:cstheme="minorEastAsia" w:hint="eastAsia"/>
          <w:b/>
          <w:bCs/>
          <w:sz w:val="24"/>
          <w:szCs w:val="24"/>
          <w:lang w:eastAsia="zh-CN"/>
        </w:rPr>
        <w:lastRenderedPageBreak/>
        <w:t>第十六部分 基金的收益与分配</w:t>
      </w:r>
      <w:bookmarkEnd w:id="110"/>
      <w:bookmarkEnd w:id="111"/>
      <w:bookmarkEnd w:id="112"/>
      <w:bookmarkEnd w:id="113"/>
      <w:bookmarkEnd w:id="114"/>
    </w:p>
    <w:p w14:paraId="27F0A4FF"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55F67FAF"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一、基金利润的构成</w:t>
      </w:r>
    </w:p>
    <w:p w14:paraId="6C8D4D7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基金利润指基金利息收入、汇兑损益、投资收益、公允价值变动收益和其他收入扣除相关费用后的余额，基金已实现收益指基金利润减去公允价值变动收益后的余额。</w:t>
      </w:r>
    </w:p>
    <w:p w14:paraId="03E2AA5A"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二、基金可供分配利润</w:t>
      </w:r>
    </w:p>
    <w:p w14:paraId="29ADEE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基金可供分配利润指截至收益分配基准日基金未分配利润与未分配利润中已实现收益的孰低数。</w:t>
      </w:r>
    </w:p>
    <w:p w14:paraId="10A659DE"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三、基金收益分配原则</w:t>
      </w:r>
    </w:p>
    <w:p w14:paraId="21E8C53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、在符合有关基金分红条件的前提下，本基金管理人可以根据实际情况进行收益分配，具体分配方案以公告为准，若《基金合同》生效不满</w:t>
      </w:r>
      <w:r>
        <w:rPr>
          <w:rFonts w:asciiTheme="minorEastAsia" w:eastAsiaTheme="minorEastAsia" w:hAnsiTheme="minorEastAsia" w:cstheme="minorEastAsia"/>
          <w:sz w:val="24"/>
          <w:szCs w:val="24"/>
          <w:lang w:eastAsia="zh-CN"/>
        </w:rPr>
        <w:t>3个月可不进行收益</w:t>
      </w:r>
      <w:r>
        <w:rPr>
          <w:rFonts w:asciiTheme="minorEastAsia" w:eastAsiaTheme="minorEastAsia" w:hAnsiTheme="minorEastAsia" w:cstheme="minorEastAsia" w:hint="eastAsia"/>
          <w:sz w:val="24"/>
          <w:szCs w:val="24"/>
          <w:lang w:eastAsia="zh-CN"/>
        </w:rPr>
        <w:t>分配；</w:t>
      </w:r>
    </w:p>
    <w:p w14:paraId="1000DFE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2、本基金收益分配方式分两种：现金分红与红利再投资，投资者可选择现金红利或将现金红利自动转为相应类别的基金份额进行再投资；若投资者不选择，本基金默认的收益分配方式是现金分红；</w:t>
      </w:r>
    </w:p>
    <w:p w14:paraId="0C9B04C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3、基金收益分配后各类基金份额净值不能低于面值，即基金收益分配基准日的任一类基金份额净值减去每单位该类基金份额收益分配金额后不能低于面值；</w:t>
      </w:r>
    </w:p>
    <w:p w14:paraId="321307E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4、由于本基金A类基金份额不收取销售服务费，C类基金份额收取销售服务费，各基金份额类别对应的可供分配利润将有所不同。本基金同一类别每一基金份额享有同等分配权；</w:t>
      </w:r>
    </w:p>
    <w:p w14:paraId="1F2413C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5、法律法规或监管机关另有规定的，从其规定。</w:t>
      </w:r>
    </w:p>
    <w:p w14:paraId="6B855D5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不违反法律法规规定及基金合同约定，并对基金份额持有人利益无实质不利影响的前提下，基金管理人与基金托管人协商一致后可对基金收益分配原则和支付方式进行调整，不需召开基金份额持有人大会，但应于变更实施日前在规定媒介及时公告。</w:t>
      </w:r>
    </w:p>
    <w:p w14:paraId="765AC997"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四、收益分配方案</w:t>
      </w:r>
    </w:p>
    <w:p w14:paraId="13F490C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基金收益分配方案中应载明截止收益分配基准日的可供分配利润、基金收益分配对象、分配时间、分配数额及比例、分配方式等内容。</w:t>
      </w:r>
    </w:p>
    <w:p w14:paraId="286303ED"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五、收益分配方案的确定、公告与实施</w:t>
      </w:r>
    </w:p>
    <w:p w14:paraId="799A689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本基金收益分配方案由基金管理人拟定，并由基金托管人复核，依照《信息披露办法》的有关规定在规定媒介公告。</w:t>
      </w:r>
    </w:p>
    <w:p w14:paraId="33AAA233"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六、基金收益分配中发生的费用</w:t>
      </w:r>
    </w:p>
    <w:p w14:paraId="341D4D6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33032B3"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七、实施侧袋机制期间的收益分配</w:t>
      </w:r>
    </w:p>
    <w:p w14:paraId="4B15F0A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若本基金实施侧袋机制的，侧袋账户不进行收益分配，详见招募说明书的规定。</w:t>
      </w:r>
    </w:p>
    <w:p w14:paraId="23BDA7D6"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3DDC7191"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15" w:name="第十七部分__基金的会计与审计"/>
      <w:bookmarkStart w:id="116" w:name="_Toc32145"/>
      <w:bookmarkStart w:id="117" w:name="_Toc156822889"/>
      <w:bookmarkStart w:id="118" w:name="_Toc110"/>
      <w:bookmarkStart w:id="119" w:name="_Toc10386"/>
      <w:bookmarkStart w:id="120" w:name="_Toc4816"/>
      <w:bookmarkEnd w:id="115"/>
      <w:r>
        <w:rPr>
          <w:rFonts w:asciiTheme="minorEastAsia" w:eastAsiaTheme="minorEastAsia" w:hAnsiTheme="minorEastAsia" w:cstheme="minorEastAsia" w:hint="eastAsia"/>
          <w:b/>
          <w:bCs/>
          <w:sz w:val="24"/>
          <w:szCs w:val="24"/>
          <w:lang w:eastAsia="zh-CN"/>
        </w:rPr>
        <w:lastRenderedPageBreak/>
        <w:t>第十七部分 基金的会计与审计</w:t>
      </w:r>
      <w:bookmarkEnd w:id="116"/>
      <w:bookmarkEnd w:id="117"/>
      <w:bookmarkEnd w:id="118"/>
      <w:bookmarkEnd w:id="119"/>
      <w:bookmarkEnd w:id="120"/>
    </w:p>
    <w:p w14:paraId="4CFDA3B0"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397D72E0"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一、基金会计政策</w:t>
      </w:r>
    </w:p>
    <w:p w14:paraId="1CACD05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1、基金管理人为本基金的基金会计责任方；</w:t>
      </w:r>
    </w:p>
    <w:p w14:paraId="1A19AD2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2、基金的会计年度为公历年度的1月1日至12月31日；基金首次募集的会计年度按如下原则：如果《基金合同》生效少于2个月，可以并入下一个会计年度披露；</w:t>
      </w:r>
    </w:p>
    <w:p w14:paraId="6615007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3、基金核算以人民币为记账本位币，以人民币元为记账单位；</w:t>
      </w:r>
    </w:p>
    <w:p w14:paraId="4EC0D29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4、会计制度执行国家有关会计制度，并可参考国际会计准则；</w:t>
      </w:r>
    </w:p>
    <w:p w14:paraId="565CC00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5、本基金独立建账、独立核算；</w:t>
      </w:r>
    </w:p>
    <w:p w14:paraId="3F3EC09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6、基金管理人及基金托管人各自保留完整的会计账目、凭证并进行日常的会计核算，按照有关规定编制基金会计报表；</w:t>
      </w:r>
    </w:p>
    <w:p w14:paraId="656EBBE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7、基金托管人每月与基金管理人就基金的会计核算、报表编制等进行核对并以书面方式确认。</w:t>
      </w:r>
    </w:p>
    <w:p w14:paraId="642BEB27"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二、基金的年度审计</w:t>
      </w:r>
    </w:p>
    <w:p w14:paraId="03E92DA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1、基金管理人聘请与基金管理人、基金托管人、境外托管人相互独立的符合《中华人民共和国证券法》规定的会计师事务所及其注册会计师对本基金的年度财务报表进行审计。</w:t>
      </w:r>
    </w:p>
    <w:p w14:paraId="238859F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2、会计师事务所更换经办注册会计师，应事先征得基金管理人同意。</w:t>
      </w:r>
    </w:p>
    <w:p w14:paraId="40F163A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3、基金管理人认为有充足理由更换会计师事务所，须通报基金托管人。更换会计师事务所需依照《信息披露办法》的有关规定在规定媒介公告。</w:t>
      </w:r>
    </w:p>
    <w:p w14:paraId="0789CE1A"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4CB45E49"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21" w:name="第十八部分__基金的信息披露"/>
      <w:bookmarkStart w:id="122" w:name="_Toc26809"/>
      <w:bookmarkStart w:id="123" w:name="_Toc1625"/>
      <w:bookmarkStart w:id="124" w:name="_Toc30679"/>
      <w:bookmarkStart w:id="125" w:name="_Toc19625"/>
      <w:bookmarkStart w:id="126" w:name="_Toc156822890"/>
      <w:bookmarkEnd w:id="121"/>
      <w:r>
        <w:rPr>
          <w:rFonts w:asciiTheme="minorEastAsia" w:eastAsiaTheme="minorEastAsia" w:hAnsiTheme="minorEastAsia" w:cstheme="minorEastAsia" w:hint="eastAsia"/>
          <w:b/>
          <w:bCs/>
          <w:sz w:val="24"/>
          <w:szCs w:val="24"/>
          <w:lang w:eastAsia="zh-CN"/>
        </w:rPr>
        <w:lastRenderedPageBreak/>
        <w:t>第十八部分 基金的信息披露</w:t>
      </w:r>
      <w:bookmarkEnd w:id="122"/>
      <w:bookmarkEnd w:id="123"/>
      <w:bookmarkEnd w:id="124"/>
      <w:bookmarkEnd w:id="125"/>
      <w:bookmarkEnd w:id="126"/>
    </w:p>
    <w:p w14:paraId="3E92021E"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02680C7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一、本基金的信息披露应符合《基金法》、《运作办法》、《信息披露办法》、《流动性风险管理规定》、《基金合同》及其他有关规定。相关法律法规关于信息披露的规定发生变化时，本基金从其最新规定。</w:t>
      </w:r>
    </w:p>
    <w:p w14:paraId="6CB2393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二、信息披露义务人</w:t>
      </w:r>
    </w:p>
    <w:p w14:paraId="0C490D7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本基金信息披露义务人包括基金管理人、基金托管人、召集基金份额持有人大会的基金份额持有人等法律法规和中国证监会规定的自然人、法人和非法人组织。</w:t>
      </w:r>
    </w:p>
    <w:p w14:paraId="699607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本基金信息披露义务人以保护基金份额持有人利益为根本出发点，按照法律法规和中国证监会的规定披露基金信息，并保证所披露信息的真实性、准确性、完整性、及时性、简明性和易得性。</w:t>
      </w:r>
    </w:p>
    <w:p w14:paraId="3BA1734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3BD1224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三、本基金信息披露义务人承诺公开披露的基金信息，不得有下列行为：</w:t>
      </w:r>
    </w:p>
    <w:p w14:paraId="611C8DF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1、虚假记载、误导性陈述或者重大遗漏；</w:t>
      </w:r>
    </w:p>
    <w:p w14:paraId="1F7F92A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2、对证券投资业绩进行预测；</w:t>
      </w:r>
    </w:p>
    <w:p w14:paraId="7C29DA8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3、违规承诺收益或者承担损失；</w:t>
      </w:r>
    </w:p>
    <w:p w14:paraId="6CB20A7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4、诋毁其他基金管理人、基金托管人或者基金销售机构；</w:t>
      </w:r>
    </w:p>
    <w:p w14:paraId="05478C5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5、登载任何自然人、法人和非法人组织的祝贺性、恭维性或推荐性的文字；</w:t>
      </w:r>
    </w:p>
    <w:p w14:paraId="24DE84E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6、中国证监会禁止的其他行为。</w:t>
      </w:r>
    </w:p>
    <w:p w14:paraId="079D290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四、本基金公开披露的信息应采用中文文本。如同时采用外文文本的，基金信息披露义务人应保证不同文本的内容一致。不同文本之间发生歧义的，以中文文本为准。</w:t>
      </w:r>
    </w:p>
    <w:p w14:paraId="333A966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本基金公开披露的信息采用阿拉伯数字；除特别说明外，货币单位为人民币元。</w:t>
      </w:r>
    </w:p>
    <w:p w14:paraId="69A7D59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五、公开披露的基金信息</w:t>
      </w:r>
    </w:p>
    <w:p w14:paraId="66BAC1B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（一）基金招募说明书、《基金合同》、基金托管协议、基金产品资料概要</w:t>
      </w:r>
    </w:p>
    <w:p w14:paraId="25A6C04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1、《基金合同》是界定《基金合同》当事人的各项权利、义务关系，明确基金份额持有人大会召开的规则及具体程序，说明基金产品的特性等涉及基金投资者重</w:t>
      </w:r>
      <w:r>
        <w:rPr>
          <w:rFonts w:asciiTheme="minorEastAsia" w:eastAsiaTheme="minorEastAsia" w:hAnsiTheme="minorEastAsia" w:cstheme="minorEastAsia" w:hint="eastAsia"/>
          <w:sz w:val="24"/>
          <w:szCs w:val="24"/>
          <w:lang w:eastAsia="zh-CN"/>
        </w:rPr>
        <w:lastRenderedPageBreak/>
        <w:t>大利益的事项的法律文件。</w:t>
      </w:r>
    </w:p>
    <w:p w14:paraId="092C51F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451649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3、基金托管协议是界定基金托管人和基金管理人在基金财产保管及基金运作监督等活动中的权利、义务关系的法律文件。</w:t>
      </w:r>
    </w:p>
    <w:p w14:paraId="418C07D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4156B9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34CC76D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（二）基金份额发售公告</w:t>
      </w:r>
    </w:p>
    <w:p w14:paraId="22F6DAF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基金管理人应当就基金份额发售的具体事宜编制基金份额发售公告，并在基金份额发售的三日前登载于规定媒介上。</w:t>
      </w:r>
    </w:p>
    <w:p w14:paraId="7339E6B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（三）《基金合同》生效公告</w:t>
      </w:r>
    </w:p>
    <w:p w14:paraId="0F54661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基金管理人应当在收到中国证监会确认文件的次日在规定媒介上登载《基金合同》生效公告。</w:t>
      </w:r>
    </w:p>
    <w:p w14:paraId="5CC3561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（四）基金净值信息</w:t>
      </w:r>
    </w:p>
    <w:p w14:paraId="4CCA96E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《基金合同》生效后，在开始办理基金份额申购或者赎回前，基金管理人应当至少每周在规定网站披露一次各类基金份额净值和基金份额累计净值。</w:t>
      </w:r>
    </w:p>
    <w:p w14:paraId="130D1BD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在开始办理基金份额申购或者赎回后，基金管理人应当在每个开放日后的2个工</w:t>
      </w:r>
      <w:r>
        <w:rPr>
          <w:rFonts w:asciiTheme="minorEastAsia" w:eastAsiaTheme="minorEastAsia" w:hAnsiTheme="minorEastAsia" w:cstheme="minorEastAsia" w:hint="eastAsia"/>
          <w:sz w:val="24"/>
          <w:szCs w:val="24"/>
          <w:lang w:eastAsia="zh-CN"/>
        </w:rPr>
        <w:lastRenderedPageBreak/>
        <w:t>作日内，通过规定网站、基金销售机构网站或者营业网点披露开放日的各类基金份额净值和基金份额累计净值。</w:t>
      </w:r>
    </w:p>
    <w:p w14:paraId="78F2498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基金管理人应当在不晚于半年度和年度最后一日后的2个工作日内，在规定网站披露半年度和年度最后一日的各类基金份额净值和基金份额累计净值。</w:t>
      </w:r>
    </w:p>
    <w:p w14:paraId="01FC410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（五）基金份额申购、赎回价格</w:t>
      </w:r>
    </w:p>
    <w:p w14:paraId="4558446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14:paraId="6644CB2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（六）基金定期报告，包括基金年度报告、基金中期报告和基金季度报告</w:t>
      </w:r>
    </w:p>
    <w:p w14:paraId="7831AC2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每年结束之日起三个月内，编制完成基金年度报告，将年度报告登载在规定网站上，并将年度报告提示性公告登载在规定报刊上。基金年度报告中的财务会计报告应当经符合《中华人民共和国证券法》规定的会计师事务所审计。</w:t>
      </w:r>
    </w:p>
    <w:p w14:paraId="24A6DF2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基金管理人应当在上半年结束之日起两个月内，编制完成基金中期报告，将中期报告登载在规定网站上，并将中期报告提示性公告登载在规定报刊上。</w:t>
      </w:r>
    </w:p>
    <w:p w14:paraId="30CB22C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基金管理人应当在季度结束之日起15个工作日内，编制完成基金季度报告，将季度报告登载在规定网站上，并将季度报告提示性公告登载在规定报刊上。</w:t>
      </w:r>
    </w:p>
    <w:p w14:paraId="7C00DBD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《基金合同》生效不足2个月的，基金管理人可以不编制当期季度报告、中期报告或者年度报告。</w:t>
      </w:r>
    </w:p>
    <w:p w14:paraId="1253C8E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34F92E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基金管理人应当在基金年度报告和中期报告中披露基金组合资产情况及其流动性风险分析等。</w:t>
      </w:r>
    </w:p>
    <w:p w14:paraId="0EC4406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（七）临时报告</w:t>
      </w:r>
    </w:p>
    <w:p w14:paraId="19E6782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本基金发生重大事件，有关信息披露义务人应当依照《信息披露办法》的有关规定编制临时报告书，并登载在规定报刊和规定网站上。</w:t>
      </w:r>
    </w:p>
    <w:p w14:paraId="399BF20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前款所称重大事件，是指可能对基金份额持有人权益或者基金份额的价格产生重大影响的下列事件：</w:t>
      </w:r>
    </w:p>
    <w:p w14:paraId="2EA1583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1、基金份额持有人大会的召开及决定的事项；</w:t>
      </w:r>
    </w:p>
    <w:p w14:paraId="7EC286C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2、《基金合同》终止、基金清算；</w:t>
      </w:r>
    </w:p>
    <w:p w14:paraId="07BA6F9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3、转换基金运作方式、基金合并；</w:t>
      </w:r>
    </w:p>
    <w:p w14:paraId="1657DD4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4、更换基金管理人、基金托管人、基金份额登记机构，基金改聘会计师事务所</w:t>
      </w:r>
      <w:r>
        <w:rPr>
          <w:sz w:val="24"/>
          <w:szCs w:val="24"/>
          <w:lang w:eastAsia="zh-CN"/>
        </w:rPr>
        <w:t>更换或撤销境外托管人、境外投资顾问</w:t>
      </w:r>
      <w:r>
        <w:rPr>
          <w:rFonts w:asciiTheme="minorEastAsia" w:eastAsiaTheme="minorEastAsia" w:hAnsiTheme="minorEastAsia" w:cstheme="minorEastAsia" w:hint="eastAsia"/>
          <w:sz w:val="24"/>
          <w:szCs w:val="24"/>
          <w:lang w:eastAsia="zh-CN"/>
        </w:rPr>
        <w:t>；</w:t>
      </w:r>
    </w:p>
    <w:p w14:paraId="43D0DC7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5、基金管理人委托基金服务机构代为办理基金的份额登记、核算、估值等事项，基金托管人委托基金服务机构代为办理基金的核算、估值、复核等事项；</w:t>
      </w:r>
    </w:p>
    <w:p w14:paraId="3EA580E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6、基金管理人、基金托管人、</w:t>
      </w:r>
      <w:r>
        <w:rPr>
          <w:sz w:val="24"/>
          <w:szCs w:val="24"/>
          <w:lang w:eastAsia="zh-CN"/>
        </w:rPr>
        <w:t>境外托管人、境外投资顾问</w:t>
      </w:r>
      <w:r>
        <w:rPr>
          <w:rFonts w:asciiTheme="minorEastAsia" w:eastAsiaTheme="minorEastAsia" w:hAnsiTheme="minorEastAsia" w:cstheme="minorEastAsia" w:hint="eastAsia"/>
          <w:sz w:val="24"/>
          <w:szCs w:val="24"/>
          <w:lang w:eastAsia="zh-CN"/>
        </w:rPr>
        <w:t>的法定名称、住所发生变更；</w:t>
      </w:r>
    </w:p>
    <w:p w14:paraId="6E4E7A4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7、基金管理人变更持有百分之五以上股权的股东、基金管理人的实际控制人变更；</w:t>
      </w:r>
    </w:p>
    <w:p w14:paraId="53B4D7C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8、基金募集期延长或提前结束募集；</w:t>
      </w:r>
    </w:p>
    <w:p w14:paraId="5BC6776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9、基金管理人的高级管理人员、基金经理和基金托管人专门基金托管部门负责人发生变动；</w:t>
      </w:r>
    </w:p>
    <w:p w14:paraId="67DFBEA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10、基金管理人的董事在最近12个月内变更超过百分之五十；</w:t>
      </w:r>
    </w:p>
    <w:p w14:paraId="0DA0E4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11、基金管理人、基金托管人专门基金托管部门的主要业务人员在最近12个月内变动超过百分之三十；</w:t>
      </w:r>
    </w:p>
    <w:p w14:paraId="707A578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12、涉及基金财产、基金管理业务、基金托管业务的诉讼或者仲裁；</w:t>
      </w:r>
    </w:p>
    <w:p w14:paraId="207C6ED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13、基金管理人或其高级管理人员、基金经理因基金管理业务相关行为受到重大行政处罚、刑事处罚，基金托管人或其专门基金托管部门负责人因基金托管业务相关行为受到重大行政处罚、刑事处罚；</w:t>
      </w:r>
    </w:p>
    <w:p w14:paraId="60B5331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276561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15、基金收益分配事项；</w:t>
      </w:r>
    </w:p>
    <w:p w14:paraId="30D1B4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16、管理费、托管费、销售服务费、申购费和赎回费等费用计提标准、计提方式和费率发生变更；</w:t>
      </w:r>
    </w:p>
    <w:p w14:paraId="7815E81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17、任一类基金份额净值计价错误达该类基金份额净值的百分之零点五；</w:t>
      </w:r>
    </w:p>
    <w:p w14:paraId="7B76BDC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18、本基金开始办理申购、赎回；</w:t>
      </w:r>
    </w:p>
    <w:p w14:paraId="155C923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19、本基金发生巨额赎回并延期办理；</w:t>
      </w:r>
    </w:p>
    <w:p w14:paraId="1B62A7C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20、本基金连续发生巨额赎回并暂停接受赎回申请或延缓支付赎回款项；</w:t>
      </w:r>
    </w:p>
    <w:p w14:paraId="32CBDFB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21、本基金暂停接受申购、赎回申请或重新接受申购、赎回申请；</w:t>
      </w:r>
    </w:p>
    <w:p w14:paraId="5252B9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22、调整基金份额类别的设置；</w:t>
      </w:r>
    </w:p>
    <w:p w14:paraId="4A9A1F3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23、发生涉及基金申购、赎回事项调整或潜在影响投资者赎回等重大事项时；</w:t>
      </w:r>
    </w:p>
    <w:p w14:paraId="15ADA0E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24、基金管理人采用摆动定价机制进行估值；</w:t>
      </w:r>
    </w:p>
    <w:p w14:paraId="4102C92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25、基金管理人履行适当程序后，基金推出新业务或服务；</w:t>
      </w:r>
    </w:p>
    <w:p w14:paraId="2DE8842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26、本基金接受其它币种的申购、赎回；</w:t>
      </w:r>
    </w:p>
    <w:p w14:paraId="4C22380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7</w:t>
      </w:r>
      <w:r>
        <w:rPr>
          <w:rFonts w:asciiTheme="minorEastAsia" w:eastAsiaTheme="minorEastAsia" w:hAnsiTheme="minorEastAsia" w:cstheme="minorEastAsia" w:hint="eastAsia"/>
          <w:sz w:val="24"/>
          <w:szCs w:val="24"/>
          <w:lang w:eastAsia="zh-CN"/>
        </w:rPr>
        <w:t>、当基金管理人启用侧袋机制、清算特定资产、终止侧袋机制等事项时；</w:t>
      </w:r>
    </w:p>
    <w:p w14:paraId="57CBAA3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8</w:t>
      </w:r>
      <w:r>
        <w:rPr>
          <w:rFonts w:asciiTheme="minorEastAsia" w:eastAsiaTheme="minorEastAsia" w:hAnsiTheme="minorEastAsia" w:cstheme="minorEastAsia" w:hint="eastAsia"/>
          <w:sz w:val="24"/>
          <w:szCs w:val="24"/>
          <w:lang w:eastAsia="zh-CN"/>
        </w:rPr>
        <w:t>、基金信息披露义务人认为可能对基金份额持有人权益或者基金份额的价格产生重大影响的其他事项或中国证监会规定的其他事项。</w:t>
      </w:r>
    </w:p>
    <w:p w14:paraId="3B4F26F4"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w:t>
      </w:r>
      <w:r>
        <w:rPr>
          <w:rFonts w:ascii="Times New Roman" w:hAnsi="Times New Roman" w:hint="eastAsia"/>
          <w:bCs/>
          <w:sz w:val="24"/>
          <w:lang w:eastAsia="zh-CN"/>
        </w:rPr>
        <w:t>八</w:t>
      </w:r>
      <w:r>
        <w:rPr>
          <w:rFonts w:ascii="Times New Roman" w:hAnsi="Times New Roman"/>
          <w:sz w:val="24"/>
          <w:lang w:eastAsia="zh-CN"/>
        </w:rPr>
        <w:t>）澄清公告</w:t>
      </w:r>
    </w:p>
    <w:p w14:paraId="66961FFA"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bCs/>
          <w:sz w:val="24"/>
          <w:lang w:eastAsia="zh-CN"/>
        </w:rPr>
        <w:t>在《基金合同》存续期限内，任何公共媒介中出现的或者在市场上流传的消息可能对基金份额价格产生误导性影响或者引起较大波动，以及可能损害基金份额持有人权益的</w:t>
      </w:r>
      <w:r>
        <w:rPr>
          <w:rFonts w:ascii="Times New Roman" w:hAnsi="Times New Roman"/>
          <w:sz w:val="24"/>
          <w:lang w:eastAsia="zh-CN"/>
        </w:rPr>
        <w:t>，相关信息披露义务人知悉后应当立即对该消息进行公开澄清。</w:t>
      </w:r>
    </w:p>
    <w:p w14:paraId="2855A2A6"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w:t>
      </w:r>
      <w:r>
        <w:rPr>
          <w:rFonts w:ascii="Times New Roman" w:hAnsi="Times New Roman" w:hint="eastAsia"/>
          <w:bCs/>
          <w:sz w:val="24"/>
          <w:lang w:eastAsia="zh-CN"/>
        </w:rPr>
        <w:t>九</w:t>
      </w:r>
      <w:r>
        <w:rPr>
          <w:rFonts w:ascii="Times New Roman" w:hAnsi="Times New Roman"/>
          <w:sz w:val="24"/>
          <w:lang w:eastAsia="zh-CN"/>
        </w:rPr>
        <w:t>）基金份额持有人大会决议</w:t>
      </w:r>
    </w:p>
    <w:p w14:paraId="784D7233" w14:textId="77777777" w:rsidR="00721099" w:rsidRDefault="006B4706">
      <w:pPr>
        <w:spacing w:line="360" w:lineRule="auto"/>
        <w:ind w:firstLineChars="200" w:firstLine="480"/>
        <w:jc w:val="both"/>
        <w:rPr>
          <w:rFonts w:ascii="Times New Roman" w:hAnsi="Times New Roman"/>
          <w:sz w:val="24"/>
          <w:lang w:eastAsia="zh-CN"/>
        </w:rPr>
      </w:pPr>
      <w:r>
        <w:rPr>
          <w:rFonts w:ascii="Times New Roman" w:hAnsi="Times New Roman"/>
          <w:sz w:val="24"/>
          <w:lang w:eastAsia="zh-CN"/>
        </w:rPr>
        <w:t>基金份额持有人大会决定的事项，</w:t>
      </w:r>
      <w:r>
        <w:rPr>
          <w:rFonts w:ascii="Times New Roman" w:hAnsi="Times New Roman"/>
          <w:bCs/>
          <w:sz w:val="24"/>
          <w:lang w:eastAsia="zh-CN"/>
        </w:rPr>
        <w:t>应当依法报中国证监会备案</w:t>
      </w:r>
      <w:r>
        <w:rPr>
          <w:rFonts w:ascii="Times New Roman" w:hAnsi="Times New Roman"/>
          <w:sz w:val="24"/>
          <w:lang w:eastAsia="zh-CN"/>
        </w:rPr>
        <w:t>，并予以公告。</w:t>
      </w:r>
    </w:p>
    <w:p w14:paraId="4E22FBB3"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（十）清算报告</w:t>
      </w:r>
    </w:p>
    <w:p w14:paraId="2F1ECE88"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发生基金合同终止事由的，基金管理人应当依法组织基金财产清算小组对基金财产进行清算并制作清算报告。基金财产清算小组应当将清算报告登载在规定网站上，并将清算报告提示性公告登载在规定报刊上。</w:t>
      </w:r>
    </w:p>
    <w:p w14:paraId="4BE5FC57"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（十</w:t>
      </w:r>
      <w:r>
        <w:rPr>
          <w:rFonts w:ascii="Times New Roman" w:hAnsi="Times New Roman" w:hint="eastAsia"/>
          <w:bCs/>
          <w:sz w:val="24"/>
          <w:lang w:eastAsia="zh-CN"/>
        </w:rPr>
        <w:t>一</w:t>
      </w:r>
      <w:r>
        <w:rPr>
          <w:rFonts w:ascii="Times New Roman" w:hAnsi="Times New Roman"/>
          <w:bCs/>
          <w:sz w:val="24"/>
          <w:lang w:eastAsia="zh-CN"/>
        </w:rPr>
        <w:t>）基金投资</w:t>
      </w:r>
      <w:r>
        <w:rPr>
          <w:rFonts w:ascii="Times New Roman" w:hAnsi="Times New Roman" w:hint="eastAsia"/>
          <w:bCs/>
          <w:sz w:val="24"/>
          <w:lang w:eastAsia="zh-CN"/>
        </w:rPr>
        <w:t>境内</w:t>
      </w:r>
      <w:r>
        <w:rPr>
          <w:rFonts w:ascii="Times New Roman" w:hAnsi="Times New Roman"/>
          <w:bCs/>
          <w:sz w:val="24"/>
          <w:lang w:eastAsia="zh-CN"/>
        </w:rPr>
        <w:t>资产支持证券的信息披露</w:t>
      </w:r>
    </w:p>
    <w:p w14:paraId="510E73A4"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基金管理人应在基金季度报告中披露持有的资产支持证券总额、资产支持证券市值占基金净资产的比例和报告期末按市值占基金净资产比例大小排序的前</w:t>
      </w:r>
      <w:r>
        <w:rPr>
          <w:rFonts w:ascii="Times New Roman" w:hAnsi="Times New Roman"/>
          <w:bCs/>
          <w:sz w:val="24"/>
          <w:lang w:eastAsia="zh-CN"/>
        </w:rPr>
        <w:t>10</w:t>
      </w:r>
      <w:r>
        <w:rPr>
          <w:rFonts w:ascii="Times New Roman" w:hAnsi="Times New Roman"/>
          <w:bCs/>
          <w:sz w:val="24"/>
          <w:lang w:eastAsia="zh-CN"/>
        </w:rPr>
        <w:t>名资产支持证券明细。</w:t>
      </w:r>
    </w:p>
    <w:p w14:paraId="327732D8"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w:t>
      </w:r>
      <w:r>
        <w:rPr>
          <w:rFonts w:ascii="Times New Roman" w:hAnsi="Times New Roman"/>
          <w:sz w:val="24"/>
          <w:szCs w:val="24"/>
          <w:lang w:eastAsia="zh-CN"/>
        </w:rPr>
        <w:t>在基金年度报告及中期报告中披露持有的资产支持证券总额、资产支持证券市值占基金净资产的比例和报告期内所有的资产支持证券明细。</w:t>
      </w:r>
    </w:p>
    <w:p w14:paraId="21E66143"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（十</w:t>
      </w:r>
      <w:r>
        <w:rPr>
          <w:rFonts w:ascii="Times New Roman" w:hAnsi="Times New Roman" w:hint="eastAsia"/>
          <w:bCs/>
          <w:sz w:val="24"/>
          <w:lang w:eastAsia="zh-CN"/>
        </w:rPr>
        <w:t>二</w:t>
      </w:r>
      <w:r>
        <w:rPr>
          <w:rFonts w:ascii="Times New Roman" w:hAnsi="Times New Roman"/>
          <w:bCs/>
          <w:sz w:val="24"/>
          <w:lang w:eastAsia="zh-CN"/>
        </w:rPr>
        <w:t>）基金投资</w:t>
      </w:r>
      <w:r>
        <w:rPr>
          <w:rFonts w:ascii="Times New Roman" w:hAnsi="Times New Roman" w:hint="eastAsia"/>
          <w:bCs/>
          <w:sz w:val="24"/>
          <w:lang w:eastAsia="zh-CN"/>
        </w:rPr>
        <w:t>境内</w:t>
      </w:r>
      <w:r>
        <w:rPr>
          <w:rFonts w:ascii="Times New Roman" w:hAnsi="Times New Roman"/>
          <w:bCs/>
          <w:sz w:val="24"/>
          <w:lang w:eastAsia="zh-CN"/>
        </w:rPr>
        <w:t>股指期货的信息披露</w:t>
      </w:r>
    </w:p>
    <w:p w14:paraId="1E2E042F"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w:t>
      </w:r>
      <w:r>
        <w:rPr>
          <w:rFonts w:ascii="Times New Roman" w:hAnsi="Times New Roman"/>
          <w:bCs/>
          <w:sz w:val="24"/>
          <w:lang w:eastAsia="zh-CN"/>
        </w:rPr>
        <w:lastRenderedPageBreak/>
        <w:t>政策和交易目标。</w:t>
      </w:r>
    </w:p>
    <w:p w14:paraId="6663456E"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（十</w:t>
      </w:r>
      <w:r>
        <w:rPr>
          <w:rFonts w:ascii="Times New Roman" w:hAnsi="Times New Roman" w:hint="eastAsia"/>
          <w:bCs/>
          <w:sz w:val="24"/>
          <w:lang w:eastAsia="zh-CN"/>
        </w:rPr>
        <w:t>三</w:t>
      </w:r>
      <w:r>
        <w:rPr>
          <w:rFonts w:ascii="Times New Roman" w:hAnsi="Times New Roman"/>
          <w:bCs/>
          <w:sz w:val="24"/>
          <w:lang w:eastAsia="zh-CN"/>
        </w:rPr>
        <w:t>）基金参与</w:t>
      </w:r>
      <w:r>
        <w:rPr>
          <w:rFonts w:ascii="Times New Roman" w:hAnsi="Times New Roman" w:hint="eastAsia"/>
          <w:bCs/>
          <w:sz w:val="24"/>
          <w:lang w:eastAsia="zh-CN"/>
        </w:rPr>
        <w:t>境内</w:t>
      </w:r>
      <w:r>
        <w:rPr>
          <w:rFonts w:ascii="Times New Roman" w:hAnsi="Times New Roman"/>
          <w:bCs/>
          <w:sz w:val="24"/>
          <w:lang w:eastAsia="zh-CN"/>
        </w:rPr>
        <w:t>融资</w:t>
      </w:r>
      <w:r>
        <w:rPr>
          <w:rFonts w:ascii="Times New Roman" w:hAnsi="Times New Roman" w:hint="eastAsia"/>
          <w:bCs/>
          <w:sz w:val="24"/>
          <w:lang w:eastAsia="zh-CN"/>
        </w:rPr>
        <w:t>业务</w:t>
      </w:r>
      <w:r>
        <w:rPr>
          <w:rFonts w:ascii="Times New Roman" w:hAnsi="Times New Roman"/>
          <w:bCs/>
          <w:sz w:val="24"/>
          <w:lang w:eastAsia="zh-CN"/>
        </w:rPr>
        <w:t>的信息</w:t>
      </w:r>
      <w:r>
        <w:rPr>
          <w:rFonts w:ascii="Times New Roman" w:hAnsi="Times New Roman" w:hint="eastAsia"/>
          <w:bCs/>
          <w:sz w:val="24"/>
          <w:lang w:eastAsia="zh-CN"/>
        </w:rPr>
        <w:t>披露</w:t>
      </w:r>
    </w:p>
    <w:p w14:paraId="096B7C4F"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基金管理人应在基金季度报告、中期报告、年度报告等定期报告和招募说明书（更新）等文件中披露参与融资</w:t>
      </w:r>
      <w:r>
        <w:rPr>
          <w:rFonts w:ascii="Times New Roman" w:hAnsi="Times New Roman" w:hint="eastAsia"/>
          <w:bCs/>
          <w:sz w:val="24"/>
          <w:lang w:eastAsia="zh-CN"/>
        </w:rPr>
        <w:t>交易</w:t>
      </w:r>
      <w:r>
        <w:rPr>
          <w:rFonts w:ascii="Times New Roman" w:hAnsi="Times New Roman"/>
          <w:bCs/>
          <w:sz w:val="24"/>
          <w:lang w:eastAsia="zh-CN"/>
        </w:rPr>
        <w:t>情况，包括投资策略、业务开展情况、损益情况、风险及其管理情况等。</w:t>
      </w:r>
    </w:p>
    <w:p w14:paraId="7B8C9306"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（十</w:t>
      </w:r>
      <w:r>
        <w:rPr>
          <w:rFonts w:ascii="Times New Roman" w:hAnsi="Times New Roman" w:hint="eastAsia"/>
          <w:bCs/>
          <w:sz w:val="24"/>
          <w:lang w:eastAsia="zh-CN"/>
        </w:rPr>
        <w:t>四</w:t>
      </w:r>
      <w:r>
        <w:rPr>
          <w:rFonts w:ascii="Times New Roman" w:hAnsi="Times New Roman"/>
          <w:bCs/>
          <w:sz w:val="24"/>
          <w:lang w:eastAsia="zh-CN"/>
        </w:rPr>
        <w:t>）基金投资</w:t>
      </w:r>
      <w:r>
        <w:rPr>
          <w:rFonts w:ascii="Times New Roman" w:hAnsi="Times New Roman" w:hint="eastAsia"/>
          <w:bCs/>
          <w:sz w:val="24"/>
          <w:lang w:eastAsia="zh-CN"/>
        </w:rPr>
        <w:t>境内</w:t>
      </w:r>
      <w:r>
        <w:rPr>
          <w:rFonts w:ascii="Times New Roman" w:hAnsi="Times New Roman"/>
          <w:bCs/>
          <w:sz w:val="24"/>
          <w:lang w:eastAsia="zh-CN"/>
        </w:rPr>
        <w:t>信用衍生品的信息披露</w:t>
      </w:r>
    </w:p>
    <w:p w14:paraId="5AF15373"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在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771B4FCC" w14:textId="77777777" w:rsidR="00721099" w:rsidRDefault="006B4706">
      <w:pPr>
        <w:spacing w:line="360" w:lineRule="auto"/>
        <w:ind w:firstLineChars="200" w:firstLine="480"/>
        <w:rPr>
          <w:rFonts w:ascii="Times New Roman" w:hAnsi="Times New Roman"/>
          <w:bCs/>
          <w:sz w:val="24"/>
          <w:lang w:eastAsia="zh-CN"/>
        </w:rPr>
      </w:pPr>
      <w:r>
        <w:rPr>
          <w:rFonts w:ascii="Times New Roman" w:hAnsi="Times New Roman"/>
          <w:bCs/>
          <w:sz w:val="24"/>
          <w:lang w:eastAsia="zh-CN"/>
        </w:rPr>
        <w:t>（十</w:t>
      </w:r>
      <w:r>
        <w:rPr>
          <w:rFonts w:ascii="Times New Roman" w:hAnsi="Times New Roman" w:hint="eastAsia"/>
          <w:bCs/>
          <w:sz w:val="24"/>
          <w:lang w:eastAsia="zh-CN"/>
        </w:rPr>
        <w:t>五</w:t>
      </w:r>
      <w:r>
        <w:rPr>
          <w:rFonts w:ascii="Times New Roman" w:hAnsi="Times New Roman"/>
          <w:bCs/>
          <w:sz w:val="24"/>
          <w:lang w:eastAsia="zh-CN"/>
        </w:rPr>
        <w:t>）基金投资</w:t>
      </w:r>
      <w:r>
        <w:rPr>
          <w:rFonts w:ascii="Times New Roman" w:hAnsi="Times New Roman" w:hint="eastAsia"/>
          <w:bCs/>
          <w:sz w:val="24"/>
          <w:lang w:eastAsia="zh-CN"/>
        </w:rPr>
        <w:t>境内</w:t>
      </w:r>
      <w:r>
        <w:rPr>
          <w:rFonts w:ascii="Times New Roman" w:hAnsi="Times New Roman"/>
          <w:bCs/>
          <w:sz w:val="24"/>
          <w:lang w:eastAsia="zh-CN"/>
        </w:rPr>
        <w:t>国债期货的信息披露</w:t>
      </w:r>
    </w:p>
    <w:p w14:paraId="6DD129F6"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w:t>
      </w:r>
    </w:p>
    <w:p w14:paraId="0C43AF17"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（十</w:t>
      </w:r>
      <w:r>
        <w:rPr>
          <w:rFonts w:ascii="Times New Roman" w:hAnsi="Times New Roman" w:hint="eastAsia"/>
          <w:bCs/>
          <w:sz w:val="24"/>
          <w:lang w:eastAsia="zh-CN"/>
        </w:rPr>
        <w:t>六</w:t>
      </w:r>
      <w:r>
        <w:rPr>
          <w:rFonts w:ascii="Times New Roman" w:hAnsi="Times New Roman"/>
          <w:bCs/>
          <w:sz w:val="24"/>
          <w:lang w:eastAsia="zh-CN"/>
        </w:rPr>
        <w:t>）基金投资</w:t>
      </w:r>
      <w:r>
        <w:rPr>
          <w:rFonts w:ascii="Times New Roman" w:hAnsi="Times New Roman" w:hint="eastAsia"/>
          <w:bCs/>
          <w:sz w:val="24"/>
          <w:lang w:eastAsia="zh-CN"/>
        </w:rPr>
        <w:t>境内</w:t>
      </w:r>
      <w:r>
        <w:rPr>
          <w:rFonts w:ascii="Times New Roman" w:hAnsi="Times New Roman"/>
          <w:bCs/>
          <w:sz w:val="24"/>
          <w:lang w:eastAsia="zh-CN"/>
        </w:rPr>
        <w:t>股票期权的信息披露</w:t>
      </w:r>
    </w:p>
    <w:p w14:paraId="1BA0CE6A"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31B6FCF"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w:t>
      </w:r>
      <w:r>
        <w:rPr>
          <w:rFonts w:ascii="Times New Roman" w:hAnsi="Times New Roman" w:hint="eastAsia"/>
          <w:bCs/>
          <w:sz w:val="24"/>
          <w:lang w:eastAsia="zh-CN"/>
        </w:rPr>
        <w:t>十七</w:t>
      </w:r>
      <w:r>
        <w:rPr>
          <w:rFonts w:ascii="Times New Roman" w:hAnsi="Times New Roman"/>
          <w:bCs/>
          <w:sz w:val="24"/>
          <w:lang w:eastAsia="zh-CN"/>
        </w:rPr>
        <w:t>）基金投资</w:t>
      </w:r>
      <w:r>
        <w:rPr>
          <w:rFonts w:ascii="Times New Roman" w:hAnsi="Times New Roman" w:hint="eastAsia"/>
          <w:bCs/>
          <w:sz w:val="24"/>
          <w:lang w:eastAsia="zh-CN"/>
        </w:rPr>
        <w:t>境内</w:t>
      </w:r>
      <w:r>
        <w:rPr>
          <w:rFonts w:ascii="Times New Roman" w:hAnsi="Times New Roman"/>
          <w:bCs/>
          <w:sz w:val="24"/>
          <w:lang w:eastAsia="zh-CN"/>
        </w:rPr>
        <w:t>存托凭证的信息披露</w:t>
      </w:r>
    </w:p>
    <w:p w14:paraId="4E9D0D9F"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本基金投资存托凭证的信息披露依照境内上市交易的股票执行。</w:t>
      </w:r>
    </w:p>
    <w:p w14:paraId="7A207A28"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w:t>
      </w:r>
      <w:r>
        <w:rPr>
          <w:rFonts w:ascii="Times New Roman" w:hAnsi="Times New Roman" w:hint="eastAsia"/>
          <w:bCs/>
          <w:sz w:val="24"/>
          <w:lang w:eastAsia="zh-CN"/>
        </w:rPr>
        <w:t>十八</w:t>
      </w:r>
      <w:r>
        <w:rPr>
          <w:rFonts w:ascii="Times New Roman" w:hAnsi="Times New Roman"/>
          <w:bCs/>
          <w:sz w:val="24"/>
          <w:lang w:eastAsia="zh-CN"/>
        </w:rPr>
        <w:t>）</w:t>
      </w:r>
      <w:r>
        <w:rPr>
          <w:rFonts w:ascii="Times New Roman" w:hAnsi="Times New Roman" w:hint="eastAsia"/>
          <w:bCs/>
          <w:sz w:val="24"/>
          <w:lang w:eastAsia="zh-CN"/>
        </w:rPr>
        <w:t>基金参与港股通交易的相关情况</w:t>
      </w:r>
    </w:p>
    <w:p w14:paraId="4AFB48DE"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bCs/>
          <w:sz w:val="24"/>
          <w:lang w:eastAsia="zh-CN"/>
        </w:rPr>
        <w:t>基金管理人应在季度报告、中期报告、年度报告等定期报告和招募说明书（更新）等文件中披露参与港股通交易的相关情况。</w:t>
      </w:r>
    </w:p>
    <w:p w14:paraId="25273BB3"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bCs/>
          <w:sz w:val="24"/>
          <w:lang w:eastAsia="zh-CN"/>
        </w:rPr>
        <w:t>（十九）基金如参与境外证券借贷、正回购交易、逆回购交易的，应当在基金合同、招募说明书中按照有关规定进行披露。</w:t>
      </w:r>
    </w:p>
    <w:p w14:paraId="6D2A0DB4"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bCs/>
          <w:sz w:val="24"/>
          <w:lang w:eastAsia="zh-CN"/>
        </w:rPr>
        <w:t>（二十）投资境外基金的信息披露</w:t>
      </w:r>
    </w:p>
    <w:p w14:paraId="015C9DC4" w14:textId="77777777" w:rsidR="00721099" w:rsidRDefault="006B4706">
      <w:pPr>
        <w:spacing w:line="360" w:lineRule="auto"/>
        <w:ind w:firstLineChars="200" w:firstLine="480"/>
        <w:jc w:val="both"/>
        <w:rPr>
          <w:rFonts w:ascii="Times New Roman" w:hAnsi="Times New Roman"/>
          <w:bCs/>
          <w:sz w:val="24"/>
          <w:lang w:eastAsia="zh-CN"/>
        </w:rPr>
      </w:pPr>
      <w:r>
        <w:rPr>
          <w:rFonts w:ascii="Times New Roman" w:hAnsi="Times New Roman" w:hint="eastAsia"/>
          <w:bCs/>
          <w:sz w:val="24"/>
          <w:lang w:eastAsia="zh-CN"/>
        </w:rPr>
        <w:t>本基金如投资境外基金的，应当披露本基金与境外基金之间的费率安排。</w:t>
      </w:r>
    </w:p>
    <w:p w14:paraId="591D26E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（二十一）实施侧袋机制期间的信息披露</w:t>
      </w:r>
    </w:p>
    <w:p w14:paraId="4E6AE07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本基金实施侧袋机制的，相关信息披露义务人应当根据法律法规、基金合同和招募说明书的规定进行信息披露，详见招募说明书的规定。</w:t>
      </w:r>
    </w:p>
    <w:p w14:paraId="7532D58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（二十二）中国证监会规定的其他信息。</w:t>
      </w:r>
    </w:p>
    <w:p w14:paraId="3A3780A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六、信息披露事务管理</w:t>
      </w:r>
    </w:p>
    <w:p w14:paraId="7E4E647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基金管理人、基金托管人应当建立健全信息披露管理制度，指定专门部门及高级管理人员负责管理信息披露事务。</w:t>
      </w:r>
    </w:p>
    <w:p w14:paraId="20705FF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基金信息披露义务人公开披露基金信息，应当符合中国证监会相关基金信息披露内容与格式准则等法律法规的规定。</w:t>
      </w:r>
    </w:p>
    <w:p w14:paraId="121DD4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1D7D83C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335254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58E5347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C1BBC1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为基金信息披露义务人公开披露的基金信息出具审计报告、法律意见书的专业机构，应当制作工作底稿，并将相关档案至少保存到《基金合同》终止后10年。</w:t>
      </w:r>
    </w:p>
    <w:p w14:paraId="7F0B6A8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七、信息披露文件的存放与查阅</w:t>
      </w:r>
    </w:p>
    <w:p w14:paraId="7403F6B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依法必须披露的信息发布后，基金管理人、基金托管人应当按照相关法律法规规定将信息置备于各自住所，供社会公众查阅、复制。</w:t>
      </w:r>
    </w:p>
    <w:p w14:paraId="571DCE8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八、暂停或延迟信息披露的情形</w:t>
      </w:r>
    </w:p>
    <w:p w14:paraId="2D892CD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1、不可抗力；</w:t>
      </w:r>
    </w:p>
    <w:p w14:paraId="02893FF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2、基金投资所涉及的证券、期货交易市场或外汇市场遇法定节假日或因其他原因暂停营业时；</w:t>
      </w:r>
    </w:p>
    <w:p w14:paraId="6667D21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3、基金合同约定的暂停估值的情形；</w:t>
      </w:r>
    </w:p>
    <w:p w14:paraId="37F4147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4、法律法规规定、中国证监会和基金合同认定的其它情形。</w:t>
      </w:r>
    </w:p>
    <w:p w14:paraId="29C16AED"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7C2FD631"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27" w:name="第十九部分__基金合同的变更、终止与基金财产的清算"/>
      <w:bookmarkStart w:id="128" w:name="_Toc26097"/>
      <w:bookmarkStart w:id="129" w:name="_Toc30027"/>
      <w:bookmarkStart w:id="130" w:name="_Toc3766"/>
      <w:bookmarkStart w:id="131" w:name="_Toc156822891"/>
      <w:bookmarkStart w:id="132" w:name="_Toc21968"/>
      <w:bookmarkEnd w:id="127"/>
      <w:r>
        <w:rPr>
          <w:rFonts w:asciiTheme="minorEastAsia" w:eastAsiaTheme="minorEastAsia" w:hAnsiTheme="minorEastAsia" w:cstheme="minorEastAsia" w:hint="eastAsia"/>
          <w:b/>
          <w:bCs/>
          <w:sz w:val="24"/>
          <w:szCs w:val="24"/>
          <w:lang w:eastAsia="zh-CN"/>
        </w:rPr>
        <w:lastRenderedPageBreak/>
        <w:t>第十九部分 基金合同的变更、终止与基金财产的清算</w:t>
      </w:r>
      <w:bookmarkEnd w:id="128"/>
      <w:bookmarkEnd w:id="129"/>
      <w:bookmarkEnd w:id="130"/>
      <w:bookmarkEnd w:id="131"/>
      <w:bookmarkEnd w:id="132"/>
    </w:p>
    <w:p w14:paraId="52391CAC"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740DCA86"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一、《基金合同》的变更</w:t>
      </w:r>
    </w:p>
    <w:p w14:paraId="501F60E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ED653D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2、关于《基金合同》变更的基金份额持有人大会决议自生效后方可执行，自决议生效后依照《信息披露办法》的有关规定在规定媒介公告。</w:t>
      </w:r>
    </w:p>
    <w:p w14:paraId="5F5A4C1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二、《基金合同》的终止事由</w:t>
      </w:r>
    </w:p>
    <w:p w14:paraId="2626266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有下列情形之一的，经履行相关程序后，《基金合同》应当终止：</w:t>
      </w:r>
    </w:p>
    <w:p w14:paraId="209B6C7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1、基金份额持有人大会决定终止的；</w:t>
      </w:r>
    </w:p>
    <w:p w14:paraId="059E176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2、基金管理人、基金托管人职责终止，在6个月内没有新基金管理人、新基金托管人承接的；</w:t>
      </w:r>
    </w:p>
    <w:p w14:paraId="1CF3DCE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3、《基金合同》约定的其他情形；</w:t>
      </w:r>
    </w:p>
    <w:p w14:paraId="526D41C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4、相关法律法规和中国证监会规定的其他情况。</w:t>
      </w:r>
    </w:p>
    <w:p w14:paraId="44818FA4"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三、基金财产的清算</w:t>
      </w:r>
    </w:p>
    <w:p w14:paraId="3970555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1、基金财产清算小组：自出现《基金合同》终止事由之日起30个工作日内成立清算小组，基金管理人组织基金财产清算小组并在中国证监会的监督下进行基金清算。</w:t>
      </w:r>
    </w:p>
    <w:p w14:paraId="25864DA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C5F081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3、基金财产清算小组职责：基金财产清算小组负责基金财产的保管、清理、估价、变现和分配。基金财产清算小组可以依法进行必要的民事活动。</w:t>
      </w:r>
    </w:p>
    <w:p w14:paraId="54C557A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4、基金财产清算程序：</w:t>
      </w:r>
    </w:p>
    <w:p w14:paraId="31C1907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（1）《基金合同》终止情形出现时，由基金财产清算小组统一接管基金；</w:t>
      </w:r>
    </w:p>
    <w:p w14:paraId="69CF1D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（2）对基金财产和债权债务进行清理和确认；</w:t>
      </w:r>
    </w:p>
    <w:p w14:paraId="49BB4BD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（3）对基金财产进行估值和变现；</w:t>
      </w:r>
    </w:p>
    <w:p w14:paraId="3159229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（4）制作清算报告；</w:t>
      </w:r>
    </w:p>
    <w:p w14:paraId="438FD5A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（5）聘请会计师事务所对清算报告进行外部审计，聘请律师事务所对清算报告出具法律意见书；</w:t>
      </w:r>
    </w:p>
    <w:p w14:paraId="0003BA9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（6）将清算报告报中国证监会备案并公告；</w:t>
      </w:r>
    </w:p>
    <w:p w14:paraId="2A18F2D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（7）对基金剩余财产进行分配。</w:t>
      </w:r>
    </w:p>
    <w:p w14:paraId="1A2800D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5、基金财产清算的期限为6个月，但因本基金所持证券的流动性受到限制而不能及时变现的，清算期限相应顺延。</w:t>
      </w:r>
    </w:p>
    <w:p w14:paraId="0BB5E3C9"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四、清算费用</w:t>
      </w:r>
    </w:p>
    <w:p w14:paraId="5BF0486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清算费用是指基金财产清算小组在进行基金财产清算过程中发生的所有合理费用，清算费用由基金财产清算小组优先从基金剩余财产中支付。</w:t>
      </w:r>
    </w:p>
    <w:p w14:paraId="2C16B0AF"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五、基金财产清算剩余资产的分配</w:t>
      </w:r>
    </w:p>
    <w:p w14:paraId="7D85052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依据基金财产清算的分配方案，将基金财产清算后的全部剩余资产扣除基金财产清算费用、交纳所欠税款并清偿基金债务后，按基金份额持有人持有的基金份额比例进行分配。</w:t>
      </w:r>
    </w:p>
    <w:p w14:paraId="7322E834"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六、基金财产清算的公告</w:t>
      </w:r>
    </w:p>
    <w:p w14:paraId="1D3300A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清算过程中的有关重大事项须及时公告；基金财产清算报告经符合《中华人民共和国证券法》规定的会计师事务所审计并由律师事务所出具法律意见书后报中国证监会备案并公告。基金财产清算报告于基金财产清算报告报中国证监会备案后5个工作日内由基金财产清算小组进行公告。基金财产清算小组应当将清算报告登载在规定网站上，并将清算报告提示性公告登载在规定报刊上。</w:t>
      </w:r>
    </w:p>
    <w:p w14:paraId="48AD3148"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七、基金财产清算账册及文件的保存</w:t>
      </w:r>
    </w:p>
    <w:p w14:paraId="3748617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基金财产清算账册及有关文件由基金托管人保存，保存期限不少于法定最低期限。</w:t>
      </w:r>
    </w:p>
    <w:p w14:paraId="6ED0B314"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5772E8B8"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33" w:name="第二十部分__违约责任"/>
      <w:bookmarkStart w:id="134" w:name="_Toc1226"/>
      <w:bookmarkStart w:id="135" w:name="_Toc6790"/>
      <w:bookmarkStart w:id="136" w:name="_Toc7432"/>
      <w:bookmarkStart w:id="137" w:name="_Toc156822892"/>
      <w:bookmarkStart w:id="138" w:name="_Toc24983"/>
      <w:bookmarkEnd w:id="133"/>
      <w:r>
        <w:rPr>
          <w:rFonts w:asciiTheme="minorEastAsia" w:eastAsiaTheme="minorEastAsia" w:hAnsiTheme="minorEastAsia" w:cstheme="minorEastAsia" w:hint="eastAsia"/>
          <w:b/>
          <w:bCs/>
          <w:sz w:val="24"/>
          <w:szCs w:val="24"/>
          <w:lang w:eastAsia="zh-CN"/>
        </w:rPr>
        <w:lastRenderedPageBreak/>
        <w:t>第二十部分 违约责任</w:t>
      </w:r>
      <w:bookmarkEnd w:id="134"/>
      <w:bookmarkEnd w:id="135"/>
      <w:bookmarkEnd w:id="136"/>
      <w:bookmarkEnd w:id="137"/>
      <w:bookmarkEnd w:id="138"/>
    </w:p>
    <w:p w14:paraId="6E56CEC1"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1346C23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1C968F6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1、不可抗力；</w:t>
      </w:r>
    </w:p>
    <w:p w14:paraId="5707415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2、基金管理人和/或基金托管人按照届时有效的法律法规或中国证监会的规定以及基金财产投资所在地法律法规、监管要求、证券市场规则或市场惯例作为或不作为而造成的损失等；</w:t>
      </w:r>
    </w:p>
    <w:p w14:paraId="4C61D2C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3、基金管理人由于按照基金合同规定的投资原则行使或不行使其投资权而造成的损失等。</w:t>
      </w:r>
    </w:p>
    <w:p w14:paraId="5FDF52D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7C213E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由于基金管理人、基金托管人不可控制的因素导致业务出现差错，基金管理人和基金托管人虽然已经采取必要、适当、合理的措施进行检查，但是未能发现错误的或虽发现错误但是因为前述原因无法更正的，由此造成基金财产或投资人损失，基金管理人和基金托管人免除赔偿责任。但是基金管理人和基金托管人应积极采取必要的措施消除或减轻由此造成的影响。</w:t>
      </w:r>
    </w:p>
    <w:p w14:paraId="157AC1D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计划资产受损的行为不被视为过错、疏忽行为，则基金管理人和基金托管人免责。在依照约定的诉讼或仲裁程序确定境外投资顾问、境外托管人存在过错、疏忽行为之前，基金管理人或基金托管人有权拒绝向基金份额持有人承担相关责任。</w:t>
      </w:r>
    </w:p>
    <w:p w14:paraId="216A97D1"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114EF070"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39" w:name="第二十一部分__争议的处理和适用的法律"/>
      <w:bookmarkStart w:id="140" w:name="_Toc5112"/>
      <w:bookmarkStart w:id="141" w:name="_Toc22214"/>
      <w:bookmarkStart w:id="142" w:name="_Toc24306"/>
      <w:bookmarkStart w:id="143" w:name="_Toc156822893"/>
      <w:bookmarkStart w:id="144" w:name="_Toc22653"/>
      <w:bookmarkEnd w:id="139"/>
      <w:r>
        <w:rPr>
          <w:rFonts w:asciiTheme="minorEastAsia" w:eastAsiaTheme="minorEastAsia" w:hAnsiTheme="minorEastAsia" w:cstheme="minorEastAsia" w:hint="eastAsia"/>
          <w:b/>
          <w:bCs/>
          <w:sz w:val="24"/>
          <w:szCs w:val="24"/>
          <w:lang w:eastAsia="zh-CN"/>
        </w:rPr>
        <w:lastRenderedPageBreak/>
        <w:t>第二十一部分 争议的处理和适用的法律</w:t>
      </w:r>
      <w:bookmarkEnd w:id="140"/>
      <w:bookmarkEnd w:id="141"/>
      <w:bookmarkEnd w:id="142"/>
      <w:bookmarkEnd w:id="143"/>
      <w:bookmarkEnd w:id="144"/>
    </w:p>
    <w:p w14:paraId="1C6AC56B"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47244D5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各方当事人同意，因《基金合同》而产生的或与《基金合同》有关的一切争议，如经友好协商未能解决的，应提交深圳国际仲裁院，根据提交仲裁时深圳国际仲裁院的仲裁规则进行仲裁，仲裁地点为深圳市。仲裁裁决是终局性的并对各方当事人具有约束力，除非仲裁裁决另有规定，仲裁费用、律师费用由败诉方承担。</w:t>
      </w:r>
    </w:p>
    <w:p w14:paraId="56B8210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争议处理期间，相关各方当事人应恪守基金管理人和基金托管人职责，继续忠实、勤勉、尽责地履行《基金合同》和托管协议规定的义务，维护基金份额持有人的合法权益。</w:t>
      </w:r>
    </w:p>
    <w:p w14:paraId="70D6FCC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《基金合同》受中国法律（为本基金合同之目的，在此不包括香港特别行政区、澳门特别行政区和台湾地区法律）管辖。</w:t>
      </w:r>
    </w:p>
    <w:p w14:paraId="02AB4658"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7FB6435B"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45" w:name="第二十二部分__基金合同的效力"/>
      <w:bookmarkStart w:id="146" w:name="_Toc26441"/>
      <w:bookmarkStart w:id="147" w:name="_Toc156822894"/>
      <w:bookmarkStart w:id="148" w:name="_Toc15276"/>
      <w:bookmarkStart w:id="149" w:name="_Toc30345"/>
      <w:bookmarkStart w:id="150" w:name="_Toc10912"/>
      <w:bookmarkStart w:id="151" w:name="_Hlk183012166"/>
      <w:bookmarkEnd w:id="145"/>
      <w:r>
        <w:rPr>
          <w:rFonts w:asciiTheme="minorEastAsia" w:eastAsiaTheme="minorEastAsia" w:hAnsiTheme="minorEastAsia" w:cstheme="minorEastAsia" w:hint="eastAsia"/>
          <w:b/>
          <w:bCs/>
          <w:sz w:val="24"/>
          <w:szCs w:val="24"/>
          <w:lang w:eastAsia="zh-CN"/>
        </w:rPr>
        <w:lastRenderedPageBreak/>
        <w:t>第二十二部分 基金合同的效力</w:t>
      </w:r>
      <w:bookmarkEnd w:id="146"/>
      <w:bookmarkEnd w:id="147"/>
      <w:bookmarkEnd w:id="148"/>
      <w:bookmarkEnd w:id="149"/>
      <w:bookmarkEnd w:id="150"/>
    </w:p>
    <w:p w14:paraId="0E42EC68"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rPr>
      </w:pPr>
    </w:p>
    <w:p w14:paraId="3873FD0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《基金合同》是约定基金合同当事人之间权利义务关系的法律文件。</w:t>
      </w:r>
    </w:p>
    <w:p w14:paraId="54BE54E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1、《基金合同》经基金管理人、基金托管人双方盖章以及双方法定代表人或授权代表签章并在募集结束后经基金管理人向中国证监会办理基金备案手续，并经中国证监会书面确认后生效。</w:t>
      </w:r>
    </w:p>
    <w:p w14:paraId="24CAE7B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2、《基金合同》的有效期自其生效之日起至基金财产清算结果报中国证监会备案并公告之日止。</w:t>
      </w:r>
    </w:p>
    <w:p w14:paraId="17286F9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3、《基金合同》自生效之日起对包括基金管理人、基金托管人和基金份额持有人在内的《基金合同》各方当事人具有同等的法律约束力。</w:t>
      </w:r>
    </w:p>
    <w:p w14:paraId="054D9CF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4、《基金合同》正本一式三份，除上报有关监管机构一式一份外，基金管理人、基金托管人各持有一份，每份具有同等的法律效力。</w:t>
      </w:r>
    </w:p>
    <w:p w14:paraId="0D8C8B6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5、《基金合同》可印制成册，供投资者在基金管理人、基金托管人、销售机构的办公场所和营业场所查阅。</w:t>
      </w:r>
    </w:p>
    <w:p w14:paraId="63CC9AB3" w14:textId="77777777" w:rsidR="00721099" w:rsidRDefault="00721099">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3B57AC47"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52" w:name="第二十三部分__其他事项"/>
      <w:bookmarkStart w:id="153" w:name="_Toc12295"/>
      <w:bookmarkStart w:id="154" w:name="_Toc156822895"/>
      <w:bookmarkStart w:id="155" w:name="_Toc24234"/>
      <w:bookmarkStart w:id="156" w:name="_Toc27618"/>
      <w:bookmarkStart w:id="157" w:name="_Toc14004"/>
      <w:bookmarkEnd w:id="151"/>
      <w:bookmarkEnd w:id="152"/>
      <w:r>
        <w:rPr>
          <w:rFonts w:asciiTheme="minorEastAsia" w:eastAsiaTheme="minorEastAsia" w:hAnsiTheme="minorEastAsia" w:cstheme="minorEastAsia" w:hint="eastAsia"/>
          <w:b/>
          <w:bCs/>
          <w:sz w:val="24"/>
          <w:szCs w:val="24"/>
          <w:lang w:eastAsia="zh-CN"/>
        </w:rPr>
        <w:lastRenderedPageBreak/>
        <w:t>第二十三部分 其他事项</w:t>
      </w:r>
      <w:bookmarkEnd w:id="153"/>
      <w:bookmarkEnd w:id="154"/>
      <w:bookmarkEnd w:id="155"/>
      <w:bookmarkEnd w:id="156"/>
      <w:bookmarkEnd w:id="157"/>
    </w:p>
    <w:p w14:paraId="2D79052C"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16C8399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《基金合同》如有未尽事宜，由《基金合同》当事人各方按有关法律法规协商解决。</w:t>
      </w:r>
    </w:p>
    <w:p w14:paraId="1A56DA3C"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10FEEAFE" w14:textId="77777777" w:rsidR="00721099" w:rsidRDefault="006B4706">
      <w:pPr>
        <w:autoSpaceDE/>
        <w:autoSpaceDN/>
        <w:spacing w:line="360" w:lineRule="auto"/>
        <w:jc w:val="center"/>
        <w:outlineLvl w:val="0"/>
        <w:rPr>
          <w:rFonts w:asciiTheme="minorEastAsia" w:eastAsiaTheme="minorEastAsia" w:hAnsiTheme="minorEastAsia" w:cstheme="minorEastAsia"/>
          <w:b/>
          <w:bCs/>
          <w:sz w:val="24"/>
          <w:szCs w:val="24"/>
          <w:lang w:eastAsia="zh-CN"/>
        </w:rPr>
      </w:pPr>
      <w:bookmarkStart w:id="158" w:name="第二十四部分__基金合同内容摘要"/>
      <w:bookmarkStart w:id="159" w:name="_Toc20574"/>
      <w:bookmarkStart w:id="160" w:name="_Toc21117"/>
      <w:bookmarkStart w:id="161" w:name="_Toc22926"/>
      <w:bookmarkStart w:id="162" w:name="_Toc156822896"/>
      <w:bookmarkStart w:id="163" w:name="_Toc22379"/>
      <w:bookmarkStart w:id="164" w:name="_Hlk183012176"/>
      <w:bookmarkEnd w:id="158"/>
      <w:r>
        <w:rPr>
          <w:rFonts w:asciiTheme="minorEastAsia" w:eastAsiaTheme="minorEastAsia" w:hAnsiTheme="minorEastAsia" w:cstheme="minorEastAsia" w:hint="eastAsia"/>
          <w:b/>
          <w:bCs/>
          <w:sz w:val="24"/>
          <w:szCs w:val="24"/>
          <w:lang w:eastAsia="zh-CN"/>
        </w:rPr>
        <w:lastRenderedPageBreak/>
        <w:t>第二十四部分 基金合同内容摘要</w:t>
      </w:r>
      <w:bookmarkEnd w:id="159"/>
      <w:bookmarkEnd w:id="160"/>
      <w:bookmarkEnd w:id="161"/>
      <w:bookmarkEnd w:id="162"/>
      <w:bookmarkEnd w:id="163"/>
    </w:p>
    <w:p w14:paraId="1E89D8C9"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p w14:paraId="294E4793"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一、基金合同当事人的权利、义务</w:t>
      </w:r>
    </w:p>
    <w:p w14:paraId="3B1CA0DA"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（一）基金管理人的权利与义务</w:t>
      </w:r>
    </w:p>
    <w:p w14:paraId="5453ABD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1、根据《基金法》、《运作办法》及其他有关规定，基金管理人的权利包括但不限于：</w:t>
      </w:r>
    </w:p>
    <w:p w14:paraId="28F4B02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（1）依法募集资金；</w:t>
      </w:r>
    </w:p>
    <w:p w14:paraId="4E1769F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（2）自《基金合同》生效之日起，根据法律法规和《基金合同》独立运用并管理基金财产；</w:t>
      </w:r>
    </w:p>
    <w:p w14:paraId="7349FF3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（3）依照《基金合同》收取基金管理费以及法律法规规定或中国证监会批准的其他费用；</w:t>
      </w:r>
    </w:p>
    <w:p w14:paraId="78D1389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（4）销售基金份额；</w:t>
      </w:r>
    </w:p>
    <w:p w14:paraId="0D7622F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（5）按照规定召集基金份额持有人大会；</w:t>
      </w:r>
    </w:p>
    <w:p w14:paraId="0828840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（6）依据《基金合同》及有关法律规定监督基金托管人，如认为基金托管人违反了《基金合同》及国家有关法律规定，应呈报中国证监会和其他监管部门，并采取必要措施保护基金投资者的利益；</w:t>
      </w:r>
    </w:p>
    <w:p w14:paraId="155CA9C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（7）在基金托管人更换时，提名新的基金托管人；</w:t>
      </w:r>
    </w:p>
    <w:p w14:paraId="1EEAE0F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（8）选择、更换基金销售机构，对基金销售机构的相关行为进行监督和处理；</w:t>
      </w:r>
    </w:p>
    <w:p w14:paraId="33C5F04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（9）担任或委托其他符合条件的机构担任基金登记机构办理基金登记业务并获得《基金合同》规定的费用；</w:t>
      </w:r>
    </w:p>
    <w:p w14:paraId="4B9F874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（10）依据《基金合同》及有关法律规定决定基金收益的分配方案；</w:t>
      </w:r>
    </w:p>
    <w:p w14:paraId="421533B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（11）在《基金合同》约定的范围内，拒绝或暂停受理申购、赎回与转换申请；</w:t>
      </w:r>
    </w:p>
    <w:p w14:paraId="426EB30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（12）依照法律法规为基金的利益对被投资公司行使股东权利，为基金的利益行使因基金财产投资于证券所产生的权利；</w:t>
      </w:r>
    </w:p>
    <w:p w14:paraId="2BD7C7F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（13）在法律法规允许的前提下，为基金的利益依法为基金进行融资；</w:t>
      </w:r>
    </w:p>
    <w:p w14:paraId="101E810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（14）以基金管理人的名义，代表基金份额持有人的利益行使诉讼权利或者实施其他法律行为；</w:t>
      </w:r>
    </w:p>
    <w:p w14:paraId="7D48DBE1" w14:textId="758CEF5A"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（15）选择、更换律师事务所、会计师事务所、证券、期货经纪商或其他为基金提供服务的外部机构，并与选择的证券经纪机构签订相关协议，就证券经纪机构应履行的异常交易监控等职责进行约定；</w:t>
      </w:r>
    </w:p>
    <w:p w14:paraId="6F284DF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（16）在符合有关法律、法规的前提下，制订和调整有关基金认购、申购、赎回、转换、定期定额投资、转托管和非交易过户等业务规则，开通人民币之外的其他销售币种基金份额的申购、赎回等业务；</w:t>
      </w:r>
    </w:p>
    <w:p w14:paraId="7844912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w:t>
      </w:r>
      <w:r>
        <w:rPr>
          <w:rFonts w:asciiTheme="minorEastAsia" w:eastAsiaTheme="minorEastAsia" w:hAnsiTheme="minorEastAsia" w:cstheme="minorEastAsia" w:hint="eastAsia"/>
          <w:bCs/>
          <w:sz w:val="24"/>
          <w:szCs w:val="24"/>
          <w:lang w:eastAsia="zh-CN"/>
        </w:rPr>
        <w:t>选择</w:t>
      </w:r>
      <w:r>
        <w:rPr>
          <w:rFonts w:asciiTheme="minorEastAsia" w:eastAsiaTheme="minorEastAsia" w:hAnsiTheme="minorEastAsia" w:cstheme="minorEastAsia"/>
          <w:bCs/>
          <w:sz w:val="24"/>
          <w:szCs w:val="24"/>
          <w:lang w:eastAsia="zh-CN"/>
        </w:rPr>
        <w:t>、增加、更换或撤销基金境外投资顾问；</w:t>
      </w:r>
    </w:p>
    <w:p w14:paraId="7980EEC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8</w:t>
      </w:r>
      <w:r>
        <w:rPr>
          <w:rFonts w:asciiTheme="minorEastAsia" w:eastAsiaTheme="minorEastAsia" w:hAnsiTheme="minorEastAsia" w:cstheme="minorEastAsia" w:hint="eastAsia"/>
          <w:sz w:val="24"/>
          <w:szCs w:val="24"/>
          <w:lang w:eastAsia="zh-CN"/>
        </w:rPr>
        <w:t>）法律法规及中国证监会规定的和《基金合同》约定的其他权利。</w:t>
      </w:r>
    </w:p>
    <w:p w14:paraId="6254A33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2、根据《基金法》、《运作办法》及其他有关规定，基金管理人的义务包括但不限于：</w:t>
      </w:r>
    </w:p>
    <w:p w14:paraId="6405DF2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（1）依法募集资金，办理或者委托经中国证监会认定的其他机构代为办理基金份额的发售、申购、赎回和登记事宜；</w:t>
      </w:r>
    </w:p>
    <w:p w14:paraId="504FA0A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（2）办理基金备案手续；</w:t>
      </w:r>
    </w:p>
    <w:p w14:paraId="19D328A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（3）自《基金合同》生效之日起，以诚实信用、谨慎勤勉的原则管理和运用基金财产；</w:t>
      </w:r>
    </w:p>
    <w:p w14:paraId="54CC079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（4）配备足够的具有专业资格的人员进行基金投资分析、决策，以专业化的经营方式管理和运作基金财产；</w:t>
      </w:r>
    </w:p>
    <w:p w14:paraId="324BA25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（5）建立健全内部风险控制、监察与稽核、财务管理及人事管理等制度，保证所管理的基金财产和基金管理人的财产相互独立，对所管理的不同基金分别管理，分别记账，进行证券投资；</w:t>
      </w:r>
    </w:p>
    <w:p w14:paraId="1A9FBAD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（6）除依据《基金法》、《基金合同》及其他有关规定外，不得利用基金财产为自己及任何第三人谋取利益，不得委托第三人运作基金财产；</w:t>
      </w:r>
    </w:p>
    <w:p w14:paraId="7CCEF49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（7）依法接受基金托管人的监督；</w:t>
      </w:r>
    </w:p>
    <w:p w14:paraId="2A8AFB3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（8）采取适当合理的措施使计算基金份额认购、申购、赎回和注销价格的方法符合《基金合同》等法律文件的规定，按有关规定计算并公告基金净值信息，确定基金份额申购、赎回的价格；</w:t>
      </w:r>
    </w:p>
    <w:p w14:paraId="30D407E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（9）进行基金会计核算并编制基金财务会计报告；</w:t>
      </w:r>
    </w:p>
    <w:p w14:paraId="513F249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（10）编制季度报告、中期报告和年度报告；</w:t>
      </w:r>
    </w:p>
    <w:p w14:paraId="7E6BBD9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（11）严格按照《基金法》、《基金合同》及其他有关规定，履行信息披露及报告义务；</w:t>
      </w:r>
    </w:p>
    <w:p w14:paraId="0655836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w:t>
      </w:r>
      <w:r>
        <w:rPr>
          <w:rFonts w:asciiTheme="minorEastAsia" w:eastAsiaTheme="minorEastAsia" w:hAnsiTheme="minorEastAsia" w:cstheme="minorEastAsia" w:hint="eastAsia"/>
          <w:sz w:val="24"/>
          <w:szCs w:val="24"/>
          <w:lang w:eastAsia="zh-CN"/>
        </w:rPr>
        <w:lastRenderedPageBreak/>
        <w:t>业顾问提供服务需要提供的情况除外；</w:t>
      </w:r>
    </w:p>
    <w:p w14:paraId="199DF03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（13）按《基金合同》的约定确定基金收益分配方案，及时向基金份额持有人分配基金收益；</w:t>
      </w:r>
    </w:p>
    <w:p w14:paraId="5B14340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（14）按规定受理申购与赎回申请，及时、足额支付赎回款项；</w:t>
      </w:r>
    </w:p>
    <w:p w14:paraId="311C110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（15）依据《基金法》、《基金合同》及其他有关规定召集基金份额持有人大会或配合基金托管人、基金份额持有人依法召集基金份额持有人大会；</w:t>
      </w:r>
    </w:p>
    <w:p w14:paraId="1CC5633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（16）按规定保存基金财产管理业务活动的会计账册、报表、记录和其他相关资料，保存期限不低于法律法规规定的最低期限；</w:t>
      </w:r>
    </w:p>
    <w:p w14:paraId="5B7C785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120A9D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（18）组织并参加基金财产清算小组，参与基金财产的保管、清理、估价、变现和分配；</w:t>
      </w:r>
    </w:p>
    <w:p w14:paraId="6D219FC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（19）面临解散、依法被撤销或者被依法宣告破产时，及时报告中国证监会并通知基金托管人；</w:t>
      </w:r>
    </w:p>
    <w:p w14:paraId="3DFCB33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（20）因违反《基金合同》导致基金财产的损失或损害基金份额持有人合法权益时，应当承担赔偿责任，其赔偿责任不因其退任而免除；</w:t>
      </w:r>
    </w:p>
    <w:p w14:paraId="22736DB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（21）监督基金托管人按法律法规和《基金合同》规定履行自己的义务，基金托管人违反《基金合同》造成基金财产损失时，基金管理人应为基金份额持有人利益向基金托管人追偿；</w:t>
      </w:r>
    </w:p>
    <w:p w14:paraId="4143E1B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（22）当基金管理人将其义务委托第三方处理时，应当对第三方处理有关基金事务的行为承担责任；</w:t>
      </w:r>
    </w:p>
    <w:p w14:paraId="6435F43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（23）以基金管理人名义，代表基金份额持有人利益行使诉讼权利或实施其他法律行为；</w:t>
      </w:r>
    </w:p>
    <w:p w14:paraId="04E7465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14:paraId="378329D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（25）执行生效的基金份额持有人大会的决议；</w:t>
      </w:r>
    </w:p>
    <w:p w14:paraId="3DE8DE9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（26）建立并保存基金份额持有人名册；</w:t>
      </w:r>
    </w:p>
    <w:p w14:paraId="29B03D9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sz w:val="24"/>
          <w:szCs w:val="24"/>
          <w:lang w:eastAsia="zh-CN"/>
        </w:rPr>
        <w:t>（27）</w:t>
      </w:r>
      <w:r>
        <w:rPr>
          <w:rFonts w:asciiTheme="minorEastAsia" w:eastAsiaTheme="minorEastAsia" w:hAnsiTheme="minorEastAsia" w:cstheme="minorEastAsia" w:hint="eastAsia"/>
          <w:bCs/>
          <w:sz w:val="24"/>
          <w:szCs w:val="24"/>
          <w:lang w:eastAsia="zh-CN"/>
        </w:rPr>
        <w:t>委托境外证券服务机构代理买卖证券的，应当严格履行受信责任，并按</w:t>
      </w:r>
      <w:r>
        <w:rPr>
          <w:rFonts w:asciiTheme="minorEastAsia" w:eastAsiaTheme="minorEastAsia" w:hAnsiTheme="minorEastAsia" w:cstheme="minorEastAsia" w:hint="eastAsia"/>
          <w:bCs/>
          <w:sz w:val="24"/>
          <w:szCs w:val="24"/>
          <w:lang w:eastAsia="zh-CN"/>
        </w:rPr>
        <w:lastRenderedPageBreak/>
        <w:t>照有关规定对投资交易的流程、信息披露、记录保存进行管理；</w:t>
      </w:r>
    </w:p>
    <w:p w14:paraId="6938AC6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28</w:t>
      </w:r>
      <w:r>
        <w:rPr>
          <w:rFonts w:asciiTheme="minorEastAsia" w:eastAsiaTheme="minorEastAsia" w:hAnsiTheme="minorEastAsia" w:cstheme="minorEastAsia" w:hint="eastAsia"/>
          <w:bCs/>
          <w:sz w:val="24"/>
          <w:szCs w:val="24"/>
          <w:lang w:eastAsia="zh-CN"/>
        </w:rPr>
        <w:t>）与境外证券服务机构之间的证券交易和研究服务安排，应当严格按照《试行办法》规定的原则进行；</w:t>
      </w:r>
    </w:p>
    <w:p w14:paraId="3E3B4C6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29</w:t>
      </w:r>
      <w:r>
        <w:rPr>
          <w:rFonts w:asciiTheme="minorEastAsia" w:eastAsiaTheme="minorEastAsia" w:hAnsiTheme="minorEastAsia" w:cstheme="minorEastAsia" w:hint="eastAsia"/>
          <w:bCs/>
          <w:sz w:val="24"/>
          <w:szCs w:val="24"/>
          <w:lang w:eastAsia="zh-CN"/>
        </w:rPr>
        <w:t>）进行境外证券投资，应当遵守当地监管机构、交易所的有关法律法规规定；</w:t>
      </w:r>
    </w:p>
    <w:p w14:paraId="03EFDD5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Cs/>
          <w:sz w:val="24"/>
          <w:szCs w:val="24"/>
          <w:lang w:eastAsia="zh-CN"/>
        </w:rPr>
        <w:t>（30）</w:t>
      </w:r>
      <w:r>
        <w:rPr>
          <w:rFonts w:asciiTheme="minorEastAsia" w:eastAsiaTheme="minorEastAsia" w:hAnsiTheme="minorEastAsia" w:cstheme="minorEastAsia" w:hint="eastAsia"/>
          <w:sz w:val="24"/>
          <w:szCs w:val="24"/>
          <w:lang w:eastAsia="zh-CN"/>
        </w:rPr>
        <w:t>法律法规及中国证监会规定的和《基金合同》约定的其他义务。</w:t>
      </w:r>
    </w:p>
    <w:p w14:paraId="240B5A74"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（二）基金托管人的权利与义务</w:t>
      </w:r>
    </w:p>
    <w:p w14:paraId="6299D3A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1、根据《基金法》、《运作办法》及其他有关规定，基金托管人的权利包括但不限于：</w:t>
      </w:r>
    </w:p>
    <w:p w14:paraId="425A954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（1）自《基金合同》生效之日起，依法律法规和《基金合同》的规定安全保管基金财产；</w:t>
      </w:r>
    </w:p>
    <w:p w14:paraId="281C865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（2）依《基金合同》约定获得基金托管费以及法律法规规定或监管部门批准的其他费用；</w:t>
      </w:r>
    </w:p>
    <w:p w14:paraId="695A025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D184B1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（4）根据相关市场规则，为基金开设资金账户、证券账户、期货账户等投资所需账户，为基金办理证券、期货交易资金清算；</w:t>
      </w:r>
    </w:p>
    <w:p w14:paraId="6805DE3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（5）提议召开或召集基金份额持有人大会；</w:t>
      </w:r>
    </w:p>
    <w:p w14:paraId="442ABF8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（6）在基金管理人更换时，提名新的基金管理人；</w:t>
      </w:r>
    </w:p>
    <w:p w14:paraId="37030FF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bCs/>
          <w:sz w:val="24"/>
          <w:szCs w:val="24"/>
          <w:lang w:eastAsia="zh-CN"/>
        </w:rPr>
        <w:t>选择符合《试行办法》规定的境外托管人。对基金的境外财产，基金托管人可授权境外托管人代为履行其承担的职责并与之签署有关协议；</w:t>
      </w:r>
    </w:p>
    <w:p w14:paraId="0B89243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Cs/>
          <w:sz w:val="24"/>
          <w:szCs w:val="24"/>
          <w:lang w:eastAsia="zh-CN"/>
        </w:rPr>
        <w:t>（</w:t>
      </w:r>
      <w:r>
        <w:rPr>
          <w:rFonts w:asciiTheme="minorEastAsia" w:eastAsiaTheme="minorEastAsia" w:hAnsiTheme="minorEastAsia" w:cstheme="minorEastAsia" w:hint="eastAsia"/>
          <w:bCs/>
          <w:sz w:val="24"/>
          <w:szCs w:val="24"/>
          <w:lang w:eastAsia="zh-CN"/>
        </w:rPr>
        <w:t>8</w:t>
      </w:r>
      <w:r>
        <w:rPr>
          <w:rFonts w:asciiTheme="minorEastAsia" w:eastAsiaTheme="minorEastAsia" w:hAnsiTheme="minorEastAsia" w:cstheme="minorEastAsia"/>
          <w:bCs/>
          <w:sz w:val="24"/>
          <w:szCs w:val="24"/>
          <w:lang w:eastAsia="zh-CN"/>
        </w:rPr>
        <w:t>）</w:t>
      </w:r>
      <w:r>
        <w:rPr>
          <w:rFonts w:asciiTheme="minorEastAsia" w:eastAsiaTheme="minorEastAsia" w:hAnsiTheme="minorEastAsia" w:cstheme="minorEastAsia" w:hint="eastAsia"/>
          <w:sz w:val="24"/>
          <w:szCs w:val="24"/>
          <w:lang w:eastAsia="zh-CN"/>
        </w:rPr>
        <w:t>法律法规及中国证监会规定的和《基金合同》约定的其他权利。</w:t>
      </w:r>
    </w:p>
    <w:p w14:paraId="2740355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2、根据《基金法》、《运作办法》及其他有关规定，基金托管人的义务包括但不限于：</w:t>
      </w:r>
    </w:p>
    <w:p w14:paraId="654C1EA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（1）以诚实信用、勤勉尽责的原则持有并安全保管基金财产；</w:t>
      </w:r>
    </w:p>
    <w:p w14:paraId="343FEB4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（2）设立专门的基金托管部门，具有符合要求的营业场所，配备足够的、合格的熟悉基金托管业务的专职人员，负责基金财产托管事宜；</w:t>
      </w:r>
    </w:p>
    <w:p w14:paraId="1331754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（3）建立健全内部风险控制、监察与稽核、财务管理及人事管理等制度，确保基金财产的安全，保证其托管的基金财产与基金托管人自有财产以及不同的基金财</w:t>
      </w:r>
      <w:r>
        <w:rPr>
          <w:rFonts w:asciiTheme="minorEastAsia" w:eastAsiaTheme="minorEastAsia" w:hAnsiTheme="minorEastAsia" w:cstheme="minorEastAsia" w:hint="eastAsia"/>
          <w:sz w:val="24"/>
          <w:szCs w:val="24"/>
          <w:lang w:eastAsia="zh-CN"/>
        </w:rPr>
        <w:lastRenderedPageBreak/>
        <w:t>产相互独立；对所托管的不同的基金分别设置账户，独立核算，分账管理，保证不同基金之间在账户设置、资金划拨、账册记录等方面相互独立；</w:t>
      </w:r>
    </w:p>
    <w:p w14:paraId="6B6E16D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（4）除依据《基金法》、《基金合同》及其他有关规定外，不得利用基金财产为自己及任何第三人谋取利益，不得委托第三人托管基金财产；</w:t>
      </w:r>
    </w:p>
    <w:p w14:paraId="796FFAD7" w14:textId="1BA8398F"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（5）保管</w:t>
      </w:r>
      <w:r w:rsidR="00067C35" w:rsidRPr="00067C35">
        <w:rPr>
          <w:rFonts w:asciiTheme="minorEastAsia" w:eastAsiaTheme="minorEastAsia" w:hAnsiTheme="minorEastAsia" w:cstheme="minorEastAsia" w:hint="eastAsia"/>
          <w:sz w:val="24"/>
          <w:szCs w:val="24"/>
          <w:lang w:eastAsia="zh-CN"/>
        </w:rPr>
        <w:t>（或委托境外托管人保管）</w:t>
      </w:r>
      <w:r>
        <w:rPr>
          <w:rFonts w:asciiTheme="minorEastAsia" w:eastAsiaTheme="minorEastAsia" w:hAnsiTheme="minorEastAsia" w:cstheme="minorEastAsia" w:hint="eastAsia"/>
          <w:sz w:val="24"/>
          <w:szCs w:val="24"/>
          <w:lang w:eastAsia="zh-CN"/>
        </w:rPr>
        <w:t>由基金管理人代表基金签订的与基金有关的重大合同及有关凭证；</w:t>
      </w:r>
    </w:p>
    <w:p w14:paraId="57F7134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（6）按规定开设基金财产的资金账户、证券账户、期货账户等投资所需账户，按照《基金合同》的约定，根据基金管理人的投资指令，及时办理清算、交割事宜；</w:t>
      </w:r>
    </w:p>
    <w:p w14:paraId="3CAC3AE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365D7AA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（8）复核、审查基金管理人计算的基金资产净值、各类基金份额的基金份额净值、基金份额申购、赎回价格；</w:t>
      </w:r>
    </w:p>
    <w:p w14:paraId="3B37295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（9）办理与基金托管业务活动有关的信息披露事项；</w:t>
      </w:r>
    </w:p>
    <w:p w14:paraId="4E3AC6A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FE4B849" w14:textId="49BEC97F"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w:t>
      </w:r>
      <w:r>
        <w:rPr>
          <w:rFonts w:asciiTheme="minorEastAsia" w:eastAsiaTheme="minorEastAsia" w:hAnsiTheme="minorEastAsia" w:cstheme="minorEastAsia" w:hint="eastAsia"/>
          <w:bCs/>
          <w:sz w:val="24"/>
          <w:szCs w:val="24"/>
          <w:lang w:eastAsia="zh-CN"/>
        </w:rPr>
        <w:t>基金托管人就管理本基金的资金汇出、汇入、兑换、收汇、付汇、资金往来、委托及成交记录等相关资料，</w:t>
      </w:r>
      <w:r w:rsidR="00067C35" w:rsidRPr="00067C35">
        <w:rPr>
          <w:rFonts w:asciiTheme="minorEastAsia" w:eastAsiaTheme="minorEastAsia" w:hAnsiTheme="minorEastAsia" w:cstheme="minorEastAsia" w:hint="eastAsia"/>
          <w:bCs/>
          <w:sz w:val="24"/>
          <w:szCs w:val="24"/>
          <w:lang w:eastAsia="zh-CN"/>
        </w:rPr>
        <w:t>保存期限不低于法律法规规定的最低期限</w:t>
      </w: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hint="eastAsia"/>
          <w:sz w:val="24"/>
          <w:szCs w:val="24"/>
          <w:lang w:eastAsia="zh-CN"/>
        </w:rPr>
        <w:t>保存基金托管业务活动的记录、账册、报表和其他相关资料，保存期限不低于法律法规规定的最低期限；</w:t>
      </w:r>
    </w:p>
    <w:p w14:paraId="447E8F6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（12）从基金管理人或其委托的登记机构处接收并保存基金份额持有人名册；</w:t>
      </w:r>
    </w:p>
    <w:p w14:paraId="465035D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（13）按规定制作相关账册并与基金管理人核对；</w:t>
      </w:r>
    </w:p>
    <w:p w14:paraId="0E2D4CC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（14）依据基金管理人的指令或有关规定向基金份额持有人支付基金收益和赎回款项；</w:t>
      </w:r>
    </w:p>
    <w:p w14:paraId="7AE7041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（15）依据《基金法》、《基金合同》及其他有关规定，召集基金份额持有人大会或配合基金管理人、基金份额持有人依法召集基金份额持有人大会；</w:t>
      </w:r>
    </w:p>
    <w:p w14:paraId="0B95077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（16）按照法律法规和《基金合同》的规定监督基金管理人的投资运作；</w:t>
      </w:r>
    </w:p>
    <w:p w14:paraId="6F4BB4F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（17）参加基金财产清算小组，参与基金财产的保管、清理、估价、变现和分配；</w:t>
      </w:r>
    </w:p>
    <w:p w14:paraId="466B7BE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（18）面临解散、依法被撤销或者被依法宣告破产时，及时报告中国证监会和银行业监督管理机构，并通知基金管理人；</w:t>
      </w:r>
    </w:p>
    <w:p w14:paraId="247CD15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（19）因违反《基金合同》导致基金财产损失时，应承担赔偿责任，其赔偿责任不因其退任而免除；</w:t>
      </w:r>
    </w:p>
    <w:p w14:paraId="6377C59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（20）按规定监督基金管理人按法律法规和《基金合同》规定履行自己的义务，基金管理人因违反《基金合同》造成基金财产损失时，应为基金份额持有人利益向基金管理人追偿；</w:t>
      </w:r>
    </w:p>
    <w:p w14:paraId="04E3A9D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（21）执行生效的基金份额持有人大会的决议；</w:t>
      </w:r>
    </w:p>
    <w:p w14:paraId="2CF7663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sz w:val="24"/>
          <w:szCs w:val="24"/>
          <w:lang w:eastAsia="zh-CN"/>
        </w:rPr>
        <w:t>（22）</w:t>
      </w:r>
      <w:r>
        <w:rPr>
          <w:rFonts w:asciiTheme="minorEastAsia" w:eastAsiaTheme="minorEastAsia" w:hAnsiTheme="minorEastAsia" w:cstheme="minorEastAsia" w:hint="eastAsia"/>
          <w:bCs/>
          <w:sz w:val="24"/>
          <w:szCs w:val="24"/>
          <w:lang w:eastAsia="zh-CN"/>
        </w:rPr>
        <w:t>选择符合《试行办法》规定的境外托管人。境外托管人在履行职责过程中，因本身过错、疏忽原因而导致的基金财产受损的，基金托管人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的要求托管资产的前提下，对境外托管人的破产而产生的损失，托管人不承担责任；</w:t>
      </w:r>
    </w:p>
    <w:p w14:paraId="2A19F06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23</w:t>
      </w:r>
      <w:r>
        <w:rPr>
          <w:rFonts w:asciiTheme="minorEastAsia" w:eastAsiaTheme="minorEastAsia" w:hAnsiTheme="minorEastAsia" w:cstheme="minorEastAsia" w:hint="eastAsia"/>
          <w:bCs/>
          <w:sz w:val="24"/>
          <w:szCs w:val="24"/>
          <w:lang w:eastAsia="zh-CN"/>
        </w:rPr>
        <w:t>）保护基金份额持有人利益，按照规定对基金日常投资行为和资金汇出入情况实施监督，如发现投资指令或资金汇出入违法、违规，应当及时向中国证监会、外管局报告；</w:t>
      </w:r>
    </w:p>
    <w:p w14:paraId="40295D44"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24</w:t>
      </w:r>
      <w:r>
        <w:rPr>
          <w:rFonts w:asciiTheme="minorEastAsia" w:eastAsiaTheme="minorEastAsia" w:hAnsiTheme="minorEastAsia" w:cstheme="minorEastAsia" w:hint="eastAsia"/>
          <w:bCs/>
          <w:sz w:val="24"/>
          <w:szCs w:val="24"/>
          <w:lang w:eastAsia="zh-CN"/>
        </w:rPr>
        <w:t>）安全保护基金财产，准时将公司行为信息通知基金管理人，确保基金及时收取所有应得收入；</w:t>
      </w:r>
    </w:p>
    <w:p w14:paraId="0DEBC11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bCs/>
          <w:sz w:val="24"/>
          <w:szCs w:val="24"/>
          <w:lang w:eastAsia="zh-CN"/>
        </w:rPr>
        <w:t>25</w:t>
      </w:r>
      <w:r>
        <w:rPr>
          <w:rFonts w:asciiTheme="minorEastAsia" w:eastAsiaTheme="minorEastAsia" w:hAnsiTheme="minorEastAsia" w:cstheme="minorEastAsia" w:hint="eastAsia"/>
          <w:bCs/>
          <w:sz w:val="24"/>
          <w:szCs w:val="24"/>
          <w:lang w:eastAsia="zh-CN"/>
        </w:rPr>
        <w:t>）办理基金管理人就管理本基金的有关结汇、售汇、收汇、付汇和人民币资金结算业务；</w:t>
      </w:r>
    </w:p>
    <w:p w14:paraId="285C2CF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bCs/>
          <w:sz w:val="24"/>
          <w:szCs w:val="24"/>
          <w:lang w:eastAsia="zh-CN"/>
        </w:rPr>
        <w:t>（26）</w:t>
      </w:r>
      <w:r>
        <w:rPr>
          <w:rFonts w:asciiTheme="minorEastAsia" w:eastAsiaTheme="minorEastAsia" w:hAnsiTheme="minorEastAsia" w:cstheme="minorEastAsia" w:hint="eastAsia"/>
          <w:bCs/>
          <w:sz w:val="24"/>
          <w:szCs w:val="24"/>
          <w:lang w:eastAsia="zh-CN"/>
        </w:rPr>
        <w:t>每月结束后</w:t>
      </w:r>
      <w:r>
        <w:rPr>
          <w:rFonts w:asciiTheme="minorEastAsia" w:eastAsiaTheme="minorEastAsia" w:hAnsiTheme="minorEastAsia" w:cstheme="minorEastAsia"/>
          <w:bCs/>
          <w:sz w:val="24"/>
          <w:szCs w:val="24"/>
          <w:lang w:eastAsia="zh-CN"/>
        </w:rPr>
        <w:t>7个工作日内，向中国证监会和外管局报告基金管理人境外投资情况，并按规定进行国际收支申报；</w:t>
      </w:r>
    </w:p>
    <w:p w14:paraId="6E458606" w14:textId="77777777" w:rsidR="00067C35"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bCs/>
          <w:sz w:val="24"/>
          <w:szCs w:val="24"/>
          <w:lang w:eastAsia="zh-CN"/>
        </w:rPr>
        <w:t>（27）</w:t>
      </w:r>
      <w:r>
        <w:rPr>
          <w:rFonts w:asciiTheme="minorEastAsia" w:eastAsiaTheme="minorEastAsia" w:hAnsiTheme="minorEastAsia" w:cstheme="minorEastAsia" w:hint="eastAsia"/>
          <w:sz w:val="24"/>
          <w:szCs w:val="24"/>
          <w:lang w:eastAsia="zh-CN"/>
        </w:rPr>
        <w:t>法律法规及中国证监会、外管局规定的和《基金合同》约定的其他义务。</w:t>
      </w:r>
    </w:p>
    <w:p w14:paraId="733682E8" w14:textId="7C3394E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（三）基金份额持有人的权利与义务</w:t>
      </w:r>
    </w:p>
    <w:p w14:paraId="0D48E37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基金投资者持有本基金基金份额的行为即视为对《基金合同》的承认和接受，基金投资者自依据《基金合同》取得基金份额，即成为本基金基金份额持有人和</w:t>
      </w:r>
      <w:r>
        <w:rPr>
          <w:rFonts w:asciiTheme="minorEastAsia" w:eastAsiaTheme="minorEastAsia" w:hAnsiTheme="minorEastAsia" w:cstheme="minorEastAsia" w:hint="eastAsia"/>
          <w:sz w:val="24"/>
          <w:szCs w:val="24"/>
          <w:lang w:eastAsia="zh-CN"/>
        </w:rPr>
        <w:lastRenderedPageBreak/>
        <w:t>《基金合同》的当事人，直至其不再持有本基金的基金份额。基金份额持有人作为《基金合同》当事人并不以在《基金合同》上书面签章或签字为必要条件。</w:t>
      </w:r>
    </w:p>
    <w:p w14:paraId="4049FB8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除法律法规另有规定或基金合同另有约定外，同一类别的每份基金份额具有同等的合法权益。</w:t>
      </w:r>
    </w:p>
    <w:p w14:paraId="7144557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1、根据《基金法》、《运作办法》及其他有关规定，基金份额持有人的权利包括但不限于：</w:t>
      </w:r>
    </w:p>
    <w:p w14:paraId="658ECE9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（1）分享基金财产收益；</w:t>
      </w:r>
    </w:p>
    <w:p w14:paraId="3298E23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（2）参与分配清算后的剩余基金财产；</w:t>
      </w:r>
    </w:p>
    <w:p w14:paraId="2E2AD330"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（3）依法转让或者申请赎回其持有的基金份额；</w:t>
      </w:r>
    </w:p>
    <w:p w14:paraId="3BF49A4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（4）按照规定要求召开基金份额持有人大会或者召集基金份额持有人大会；</w:t>
      </w:r>
    </w:p>
    <w:p w14:paraId="31D048D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（5）出席或者委派代表出席基金份额持有人大会，对基金份额持有人大会审议事项行使表决权；</w:t>
      </w:r>
    </w:p>
    <w:p w14:paraId="1E87949C"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（6）查阅或者复制公开披露的基金信息资料；</w:t>
      </w:r>
    </w:p>
    <w:p w14:paraId="525CEE1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（7）监督基金管理人的投资运作；</w:t>
      </w:r>
    </w:p>
    <w:p w14:paraId="5227359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（8）对基金管理人、基金托管人、基金服务机构损害其合法权益的行为依法提起诉讼或仲裁；</w:t>
      </w:r>
    </w:p>
    <w:p w14:paraId="453F82A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（9）法律法规及中国证监会规定的和《基金合同》约定的其他权利。</w:t>
      </w:r>
    </w:p>
    <w:p w14:paraId="3084EFC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2、根据《基金法》、《运作办法》及其他有关规定，基金份额持有人的义务包括但不限于：</w:t>
      </w:r>
    </w:p>
    <w:p w14:paraId="76EE8ED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（1）认真阅读并遵守《基金合同》、招募说明书、基金产品资料概要等信息披露文件；</w:t>
      </w:r>
    </w:p>
    <w:p w14:paraId="38EA8BC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（2）了解所投资基金产品，了解自身风险承受能力，自主判断基金的投资价值，自主做出投资决策，自行承担投资风险；</w:t>
      </w:r>
    </w:p>
    <w:p w14:paraId="1900F14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（3）关注基金信息披露，及时行使权利和履行义务；</w:t>
      </w:r>
    </w:p>
    <w:p w14:paraId="54356CD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（4）交纳基金认购、申购款项及法律法规和《基金合同》所规定的费用；</w:t>
      </w:r>
    </w:p>
    <w:p w14:paraId="209E30F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（5）在其持有的基金份额范围内，承担基金亏损或者《基金合同》终止的有限责任；</w:t>
      </w:r>
    </w:p>
    <w:p w14:paraId="6FC9C6B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（6）不从事任何有损基金及其他《基金合同》当事人合法权益的活动；</w:t>
      </w:r>
    </w:p>
    <w:p w14:paraId="2AD9BA9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（7）执行生效的基金份额持有人大会的决议；</w:t>
      </w:r>
    </w:p>
    <w:p w14:paraId="7DD817C8"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（8）返还在基金交易过程中因任何原因获得的不当得利；</w:t>
      </w:r>
    </w:p>
    <w:p w14:paraId="6615473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（9）法律法规及中国证监会规定的和《基金合同》约定的其他义务。</w:t>
      </w:r>
    </w:p>
    <w:p w14:paraId="59592699"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sectPr w:rsidR="00721099">
          <w:pgSz w:w="11910" w:h="16840"/>
          <w:pgMar w:top="1340" w:right="1440" w:bottom="1400" w:left="1660" w:header="880" w:footer="1182" w:gutter="0"/>
          <w:cols w:space="720"/>
        </w:sectPr>
      </w:pPr>
    </w:p>
    <w:p w14:paraId="4C2AA8D4"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二、基金份额持有人大会召集、议事及表决的程序和规则</w:t>
      </w:r>
    </w:p>
    <w:p w14:paraId="1B9BA06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3C65BC5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本基金份额持有人大会不设日常机构。在本基金存续期内，根据本基金的运作需要，基金份额持有人大会可以增设日常机构，日常机构的设立与运作应当根据相关法律法规和中国证监会的规定进行。</w:t>
      </w:r>
    </w:p>
    <w:p w14:paraId="25F7AB3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（一）召开事由</w:t>
      </w:r>
    </w:p>
    <w:p w14:paraId="2970A47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1、当出现或需要决定下列事由之一的，应当召开基金份额持有人大会，但法律法规、中国证监会或基金合同另有约定的除外：</w:t>
      </w:r>
    </w:p>
    <w:p w14:paraId="61614AC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终止《基金合同》；</w:t>
      </w:r>
    </w:p>
    <w:p w14:paraId="6C7DC7CB"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更换基金管理人；</w:t>
      </w:r>
    </w:p>
    <w:p w14:paraId="3066B65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更换基金托管人；</w:t>
      </w:r>
    </w:p>
    <w:p w14:paraId="6F6E5B0E"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转换基金运作方式；</w:t>
      </w:r>
    </w:p>
    <w:p w14:paraId="77A8296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调整基金管理人、基金托管人的报酬标准或提高销售服务费率；</w:t>
      </w:r>
    </w:p>
    <w:p w14:paraId="09498EC5"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变更基金类别；</w:t>
      </w:r>
    </w:p>
    <w:p w14:paraId="65F6C526"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本基金与其他基金的合并；</w:t>
      </w:r>
    </w:p>
    <w:p w14:paraId="46F63BB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变更基金投资目标、范围或策略；</w:t>
      </w:r>
    </w:p>
    <w:p w14:paraId="6F5EA1F1"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9</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变更基金份额持有人大会程序；</w:t>
      </w:r>
    </w:p>
    <w:p w14:paraId="1C77840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0</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基金管理人或基金托管人要求召开基金份额持有人大会；</w:t>
      </w:r>
    </w:p>
    <w:p w14:paraId="3011B6F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单独或合计持有本基金总份额10%以上（含10%）基金份额的基金份额持有人（以基金管理人收到提议当日的基金份额计算，下同）就同一事项书面要求召开基金份额持有人大会；</w:t>
      </w:r>
    </w:p>
    <w:p w14:paraId="32A5368A"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对基金合同当事人权利和义务产生重大影响的其他事项；</w:t>
      </w:r>
    </w:p>
    <w:p w14:paraId="072A1BE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sz w:val="24"/>
          <w:szCs w:val="24"/>
          <w:lang w:eastAsia="zh-CN"/>
        </w:rPr>
        <w:t>）</w:t>
      </w:r>
      <w:r>
        <w:rPr>
          <w:rFonts w:asciiTheme="minorEastAsia" w:eastAsiaTheme="minorEastAsia" w:hAnsiTheme="minorEastAsia" w:cstheme="minorEastAsia" w:hint="eastAsia"/>
          <w:sz w:val="24"/>
          <w:szCs w:val="24"/>
          <w:lang w:eastAsia="zh-CN"/>
        </w:rPr>
        <w:t>法律法规、《基金合同》或中国证监会规定的其他应当召开基金份额持有人大会的事项。</w:t>
      </w:r>
    </w:p>
    <w:p w14:paraId="757E647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2、在法律法规规定和《基金合同》约定的范围内且对基金份额持有人利益无实质性不利影响的前提下，以下情况可由基金管理人和基金托管人协商后修改，不需召开基金份额持有人大会：</w:t>
      </w:r>
    </w:p>
    <w:p w14:paraId="0CE0C508"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法律法规要求增加的基金费用的收取；</w:t>
      </w:r>
    </w:p>
    <w:p w14:paraId="25F3865F" w14:textId="11F10CE0"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lastRenderedPageBreak/>
        <w:t>（2）</w:t>
      </w:r>
      <w:r>
        <w:rPr>
          <w:rFonts w:asciiTheme="minorEastAsia" w:eastAsiaTheme="minorEastAsia" w:hAnsiTheme="minorEastAsia" w:cstheme="minorEastAsia" w:hint="eastAsia"/>
          <w:sz w:val="24"/>
          <w:szCs w:val="24"/>
          <w:lang w:eastAsia="zh-CN"/>
        </w:rPr>
        <w:t>调整本基金的申购费率、降低销售服务费率、变更收费方式、调整基金份额类别设置</w:t>
      </w:r>
      <w:r w:rsidR="00067C35" w:rsidRPr="00067C35">
        <w:rPr>
          <w:rFonts w:asciiTheme="minorEastAsia" w:eastAsiaTheme="minorEastAsia" w:hAnsiTheme="minorEastAsia" w:cstheme="minorEastAsia" w:hint="eastAsia"/>
          <w:sz w:val="24"/>
          <w:szCs w:val="24"/>
          <w:lang w:eastAsia="zh-CN"/>
        </w:rPr>
        <w:t>、对基金份额分类办法及规则进行调整</w:t>
      </w:r>
      <w:r>
        <w:rPr>
          <w:rFonts w:asciiTheme="minorEastAsia" w:eastAsiaTheme="minorEastAsia" w:hAnsiTheme="minorEastAsia" w:cstheme="minorEastAsia" w:hint="eastAsia"/>
          <w:sz w:val="24"/>
          <w:szCs w:val="24"/>
          <w:lang w:eastAsia="zh-CN"/>
        </w:rPr>
        <w:t>；</w:t>
      </w:r>
    </w:p>
    <w:p w14:paraId="0A76A269"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因相应的法律法规发生变动而应当对《基金合同》进行修改；</w:t>
      </w:r>
    </w:p>
    <w:p w14:paraId="04415CF5"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对《基金合同》的修改对基金份额持有人利益无实质性不利影响或修改不涉及《基金合同》当事人权利义务关系发生重大变化；</w:t>
      </w:r>
    </w:p>
    <w:p w14:paraId="5A97C911"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基金管理人、登记机构、基金销售机构调整有关认购、申购、赎回、转换、基金交易、非交易过户、转托管等业务规则；</w:t>
      </w:r>
    </w:p>
    <w:p w14:paraId="0C097582"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履行适当程序后，基金推出新业务或服务；</w:t>
      </w:r>
    </w:p>
    <w:p w14:paraId="61EDB805" w14:textId="09ABCC46"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（7）</w:t>
      </w:r>
      <w:r w:rsidR="00067C35" w:rsidRPr="00067C35">
        <w:rPr>
          <w:rFonts w:asciiTheme="minorEastAsia" w:eastAsiaTheme="minorEastAsia" w:hAnsiTheme="minorEastAsia" w:cstheme="minorEastAsia" w:hint="eastAsia"/>
          <w:sz w:val="24"/>
          <w:szCs w:val="24"/>
          <w:lang w:eastAsia="zh-CN"/>
        </w:rPr>
        <w:t>根据基金实际运作情况，开通其它销售币种的申购赎回业务</w:t>
      </w:r>
      <w:r>
        <w:rPr>
          <w:rFonts w:asciiTheme="minorEastAsia" w:eastAsiaTheme="minorEastAsia" w:hAnsiTheme="minorEastAsia" w:cstheme="minorEastAsia" w:hint="eastAsia"/>
          <w:sz w:val="24"/>
          <w:szCs w:val="24"/>
          <w:lang w:eastAsia="zh-CN"/>
        </w:rPr>
        <w:t>；</w:t>
      </w:r>
    </w:p>
    <w:p w14:paraId="77B96FB4" w14:textId="77777777" w:rsidR="00721099" w:rsidRDefault="006B4706">
      <w:pPr>
        <w:autoSpaceDE/>
        <w:autoSpaceDN/>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（8）按照法律法规和《基金合同》规定不需召开基金份额持有人大会的其他情形。</w:t>
      </w:r>
    </w:p>
    <w:p w14:paraId="1FFF4F1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（二）会议召集人及召集方式</w:t>
      </w:r>
    </w:p>
    <w:p w14:paraId="208910A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1、除法律法规规定或《基金合同》另有约定外，基金份额持有人大会由基金管理人召集。</w:t>
      </w:r>
    </w:p>
    <w:p w14:paraId="454F8E9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2、基金管理人未按规定召集或不能召集时，由基金托管人召集。</w:t>
      </w:r>
    </w:p>
    <w:p w14:paraId="181ED1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14EC1F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5741DA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2A1C84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6、基金份额持有人会议的召集人负责选择确定开会时间、地点、方式和权益登记日。</w:t>
      </w:r>
    </w:p>
    <w:p w14:paraId="138C884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（三）召开基金份额持有人大会的通知时间、通知内容、通知方式</w:t>
      </w:r>
    </w:p>
    <w:p w14:paraId="1155191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1、召开基金份额持有人大会，召集人应于会议召开前30日，在规定媒介公告。基金份额持有人大会通知应至少载明以下内容：</w:t>
      </w:r>
    </w:p>
    <w:p w14:paraId="08B127A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（1）会议召开的时间、地点和会议形式；</w:t>
      </w:r>
    </w:p>
    <w:p w14:paraId="0F4C164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（2）会议拟审议的事项、议事程序和表决方式；</w:t>
      </w:r>
    </w:p>
    <w:p w14:paraId="74FE7F7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（3）有权出席基金份额持有人大会的基金份额持有人的权益登记日；</w:t>
      </w:r>
    </w:p>
    <w:p w14:paraId="626E1AB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（4）授权委托证明的内容要求（包括但不限于代理人身份，代理权限和代理有效期限等）、送达时间和地点；</w:t>
      </w:r>
    </w:p>
    <w:p w14:paraId="3503571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（5）会务常设联系人姓名及联系电话；</w:t>
      </w:r>
    </w:p>
    <w:p w14:paraId="5C2FDB5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（6）出席会议者必须准备的文件和必须履行的手续；</w:t>
      </w:r>
    </w:p>
    <w:p w14:paraId="32FDE92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（7）召集人需要通知的其他事项。</w:t>
      </w:r>
    </w:p>
    <w:p w14:paraId="51E73E0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42CAB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066945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（四）基金份额持有人出席会议的方式</w:t>
      </w:r>
    </w:p>
    <w:p w14:paraId="6A565FC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基金份额持有人大会可通过现场开会方式、通讯开会方式或法律法规、监管机构允许的其他方式召开，会议的召开方式由会议召集人确定。</w:t>
      </w:r>
    </w:p>
    <w:p w14:paraId="0EA4D3F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1、现场开会。由基金份额持有人本人出席或以代理投票授权委托证明委派代表</w:t>
      </w:r>
      <w:r>
        <w:rPr>
          <w:rFonts w:asciiTheme="minorEastAsia" w:eastAsiaTheme="minorEastAsia" w:hAnsiTheme="minorEastAsia" w:cstheme="minorEastAsia" w:hint="eastAsia"/>
          <w:sz w:val="24"/>
          <w:szCs w:val="24"/>
          <w:lang w:eastAsia="zh-CN"/>
        </w:rPr>
        <w:lastRenderedPageBreak/>
        <w:t>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463BA6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0F343A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F76707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通讯开会。通讯开会系指基金份额持有人将其对表决事项的投票以书面形式或基金合同约定的或大会公告载明的其他方式在表决截止日以前送达至召集人指定的地址。通讯开会应以书面方式或基金合同约定的或大会公告载明的其他方式进行表决。</w:t>
      </w:r>
    </w:p>
    <w:p w14:paraId="2DC69F6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在同时符合以下条件时，通讯开会的方式视为有效：</w:t>
      </w:r>
    </w:p>
    <w:p w14:paraId="37DD7E7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（1）会议召集人按《基金合同》约定公布会议通知后，在2个工作日内连续公布相关提示性公告；</w:t>
      </w:r>
    </w:p>
    <w:p w14:paraId="474A865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1104D9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w:t>
      </w:r>
      <w:r>
        <w:rPr>
          <w:rFonts w:asciiTheme="minorEastAsia" w:eastAsiaTheme="minorEastAsia" w:hAnsiTheme="minorEastAsia" w:cstheme="minorEastAsia" w:hint="eastAsia"/>
          <w:sz w:val="24"/>
          <w:szCs w:val="24"/>
          <w:lang w:eastAsia="zh-CN"/>
        </w:rPr>
        <w:lastRenderedPageBreak/>
        <w:t>有人大会。重新召集的基金份额持有人大会应当有代表三分之一以上（含三分之一）基金份额的持有人直接出具表决意见或授权他人代表出具表决意见；</w:t>
      </w:r>
    </w:p>
    <w:p w14:paraId="397C494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0132870" w14:textId="0A1EB8EE"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3、在</w:t>
      </w:r>
      <w:r w:rsidR="00067C35" w:rsidRPr="00067C35">
        <w:rPr>
          <w:rFonts w:asciiTheme="minorEastAsia" w:eastAsiaTheme="minorEastAsia" w:hAnsiTheme="minorEastAsia" w:cstheme="minorEastAsia" w:hint="eastAsia"/>
          <w:sz w:val="24"/>
          <w:szCs w:val="24"/>
          <w:lang w:eastAsia="zh-CN"/>
        </w:rPr>
        <w:t>不违反</w:t>
      </w:r>
      <w:r>
        <w:rPr>
          <w:rFonts w:asciiTheme="minorEastAsia" w:eastAsiaTheme="minorEastAsia" w:hAnsiTheme="minorEastAsia" w:cstheme="minorEastAsia" w:hint="eastAsia"/>
          <w:sz w:val="24"/>
          <w:szCs w:val="24"/>
          <w:lang w:eastAsia="zh-CN"/>
        </w:rPr>
        <w:t>法律法规和监管机关</w:t>
      </w:r>
      <w:r w:rsidR="00067C35">
        <w:rPr>
          <w:rFonts w:asciiTheme="minorEastAsia" w:eastAsiaTheme="minorEastAsia" w:hAnsiTheme="minorEastAsia" w:cstheme="minorEastAsia" w:hint="eastAsia"/>
          <w:sz w:val="24"/>
          <w:szCs w:val="24"/>
          <w:lang w:eastAsia="zh-CN"/>
        </w:rPr>
        <w:t>规定</w:t>
      </w:r>
      <w:r>
        <w:rPr>
          <w:rFonts w:asciiTheme="minorEastAsia" w:eastAsiaTheme="minorEastAsia" w:hAnsiTheme="minorEastAsia" w:cstheme="minorEastAsia" w:hint="eastAsia"/>
          <w:sz w:val="24"/>
          <w:szCs w:val="24"/>
          <w:lang w:eastAsia="zh-CN"/>
        </w:rPr>
        <w:t>的情况下，本基金亦可采用网络、电话等其他非现场方式或者以非现场方式与现场方式结合的方式召开基金份额持有人大会，或者采用网络、电话、短信或其他方式授权他人代为出席会议并表决，会议程序比照现场开会和通讯方式开会的程序进行，具体方式由会议召集人确定并在会议通知中列明。</w:t>
      </w:r>
    </w:p>
    <w:p w14:paraId="2A034B1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（五）议事内容与程序</w:t>
      </w:r>
    </w:p>
    <w:p w14:paraId="5B65B69B"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1、议事内容及提案权</w:t>
      </w:r>
    </w:p>
    <w:p w14:paraId="681B4A0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9F4A43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基金份额持有人大会的召集人发出召集会议的通知后，对原有提案的修改应当在基金份额持有人大会召开前及时公告。</w:t>
      </w:r>
    </w:p>
    <w:p w14:paraId="394CEDD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基金份额持有人大会不得对未事先公告的议事内容进行表决。</w:t>
      </w:r>
    </w:p>
    <w:p w14:paraId="574CD706"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2、议事程序</w:t>
      </w:r>
    </w:p>
    <w:p w14:paraId="39E1E86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（1）现场开会</w:t>
      </w:r>
    </w:p>
    <w:p w14:paraId="2A9EA95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3D33F3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7A2D7EF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（2）通讯开会</w:t>
      </w:r>
    </w:p>
    <w:p w14:paraId="3E6DB7D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在通讯开会的情况下，首先由召集人提前30日公布提案，在所通知的表决截止日期后2个工作日内在公证机关监督下由召集人统计全部有效表决，在公证机关监督下形成决议。</w:t>
      </w:r>
    </w:p>
    <w:p w14:paraId="12322D0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（六）表决</w:t>
      </w:r>
    </w:p>
    <w:p w14:paraId="29F6972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基金份额持有人所持每份基金份额有一票表决权。基金份额持有人大会决议分为一般决议和特别决议：</w:t>
      </w:r>
    </w:p>
    <w:p w14:paraId="74106CD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52C08C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7559E5F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基金份额持有人大会采取记名方式进行投票表决。</w:t>
      </w:r>
    </w:p>
    <w:p w14:paraId="14D7A0C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40A65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基金份额持有人大会的各项提案或同一项提案内并列的各项议题应当分开审议、逐项表决。</w:t>
      </w:r>
    </w:p>
    <w:p w14:paraId="5E398D6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（七）计票</w:t>
      </w:r>
    </w:p>
    <w:p w14:paraId="60F36F2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1、现场开会</w:t>
      </w:r>
    </w:p>
    <w:p w14:paraId="75FD16B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w:t>
      </w:r>
      <w:r>
        <w:rPr>
          <w:rFonts w:asciiTheme="minorEastAsia" w:eastAsiaTheme="minorEastAsia" w:hAnsiTheme="minorEastAsia" w:cstheme="minorEastAsia" w:hint="eastAsia"/>
          <w:sz w:val="24"/>
          <w:szCs w:val="24"/>
          <w:lang w:eastAsia="zh-CN"/>
        </w:rPr>
        <w:lastRenderedPageBreak/>
        <w:t>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95D76F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监票人应当在基金份额持有人表决后立即进行清点并由大会主持人当场公布计票结果。</w:t>
      </w:r>
    </w:p>
    <w:p w14:paraId="61A9F81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50A0393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计票过程应由公证机关予以公证；基金管理人或基金托管人拒不出席大会的，不影响计票的效力。</w:t>
      </w:r>
    </w:p>
    <w:p w14:paraId="2DBFD42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2、通讯开会</w:t>
      </w:r>
    </w:p>
    <w:p w14:paraId="333B194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D45F10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（八）生效与公告</w:t>
      </w:r>
    </w:p>
    <w:p w14:paraId="7F3CFF9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基金份额持有人大会的决议，召集人应当自通过之日起5日内报中国证监会备案。</w:t>
      </w:r>
    </w:p>
    <w:p w14:paraId="6225767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基金份额持有人大会的决议自表决通过之日起生效。</w:t>
      </w:r>
    </w:p>
    <w:p w14:paraId="3593EB8B" w14:textId="16ABF79D" w:rsidR="00721099" w:rsidRDefault="006B4706" w:rsidP="00067C35">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06C0056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0F9BBBA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（九）实施侧袋机制期间基金份额持有人大会的特殊约定</w:t>
      </w:r>
    </w:p>
    <w:p w14:paraId="6479AAF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AA178C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1、基金份额持有人行使提议权、召集权、提名权所需单独或合计代表相关基金</w:t>
      </w:r>
      <w:r>
        <w:rPr>
          <w:rFonts w:asciiTheme="minorEastAsia" w:eastAsiaTheme="minorEastAsia" w:hAnsiTheme="minorEastAsia" w:cstheme="minorEastAsia" w:hint="eastAsia"/>
          <w:sz w:val="24"/>
          <w:szCs w:val="24"/>
          <w:lang w:eastAsia="zh-CN"/>
        </w:rPr>
        <w:lastRenderedPageBreak/>
        <w:t>份额10%以上（含10%）；</w:t>
      </w:r>
    </w:p>
    <w:p w14:paraId="0FA39EC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2、现场开会的到会者在权益登记日代表的基金份额不少于本基金在权益登记日相关基金份额的二分之一（含二分之一）；</w:t>
      </w:r>
    </w:p>
    <w:p w14:paraId="130FC18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3、通讯开会的直接出具表决意见或授权他人代表出具表决意见的基金份额持有人所持有的基金份额不小于在权益登记日相关基金份额的二分之一（含二分之一）；</w:t>
      </w:r>
    </w:p>
    <w:p w14:paraId="5E80A54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E8290F1" w14:textId="5E47BB90" w:rsidR="00721099" w:rsidRDefault="006B4706" w:rsidP="00067C35">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5、现场开会由出席大会的基金份额持有人和代理人所持表决权的50%以上（含50%）选举产生一名基金份额持有人作为该次基金份额持有人大会的主持人；</w:t>
      </w:r>
    </w:p>
    <w:p w14:paraId="61FF3D4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6、一般决议须经参加大会的基金份额持有人或其代理人所持表决权的二分之一以上（含二分之一）通过；</w:t>
      </w:r>
    </w:p>
    <w:p w14:paraId="17DE8A7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7、特别决议应当经参加大会的基金份额持有人或其代理人所持表决权的三分之二以上（含三分之二）通过。</w:t>
      </w:r>
    </w:p>
    <w:p w14:paraId="1FEC92B2" w14:textId="77777777" w:rsidR="00067C35" w:rsidRPr="00067C35" w:rsidRDefault="00067C35" w:rsidP="00067C35">
      <w:pPr>
        <w:spacing w:line="360" w:lineRule="auto"/>
        <w:ind w:firstLineChars="200" w:firstLine="480"/>
        <w:jc w:val="both"/>
        <w:rPr>
          <w:rFonts w:asciiTheme="minorEastAsia" w:eastAsiaTheme="minorEastAsia" w:hAnsiTheme="minorEastAsia" w:cstheme="minorEastAsia"/>
          <w:sz w:val="24"/>
          <w:szCs w:val="24"/>
          <w:lang w:eastAsia="zh-CN"/>
        </w:rPr>
      </w:pPr>
      <w:r w:rsidRPr="00067C35">
        <w:rPr>
          <w:rFonts w:asciiTheme="minorEastAsia" w:eastAsiaTheme="minorEastAsia" w:hAnsiTheme="minorEastAsia" w:cstheme="minorEastAsia" w:hint="eastAsia"/>
          <w:sz w:val="24"/>
          <w:szCs w:val="24"/>
          <w:lang w:eastAsia="zh-CN"/>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795F3D5" w14:textId="77777777" w:rsidR="00067C35" w:rsidRDefault="00067C35">
      <w:pPr>
        <w:spacing w:line="360" w:lineRule="auto"/>
        <w:ind w:firstLineChars="200" w:firstLine="480"/>
        <w:jc w:val="both"/>
        <w:rPr>
          <w:rFonts w:asciiTheme="minorEastAsia" w:eastAsiaTheme="minorEastAsia" w:hAnsiTheme="minorEastAsia" w:cstheme="minorEastAsia"/>
          <w:sz w:val="24"/>
          <w:szCs w:val="24"/>
          <w:lang w:eastAsia="zh-CN"/>
        </w:rPr>
      </w:pPr>
      <w:r w:rsidRPr="00067C35">
        <w:rPr>
          <w:rFonts w:asciiTheme="minorEastAsia" w:eastAsiaTheme="minorEastAsia" w:hAnsiTheme="minorEastAsia" w:cstheme="minorEastAsia" w:hint="eastAsia"/>
          <w:sz w:val="24"/>
          <w:szCs w:val="24"/>
          <w:lang w:eastAsia="zh-CN"/>
        </w:rPr>
        <w:t>侧袋机制实施期间，关于基金份额持有人大会的相关规定以本节特殊约定内容为准，本节没有规定的适用上文相关约定。</w:t>
      </w:r>
    </w:p>
    <w:p w14:paraId="7A1D752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5725408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（十一）法律法规或监管部门对基金份额持有人大会另有规定的，从其规定。</w:t>
      </w:r>
    </w:p>
    <w:p w14:paraId="4B293437"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三、基金收益分配原则</w:t>
      </w:r>
    </w:p>
    <w:p w14:paraId="00051051" w14:textId="77777777" w:rsidR="00495741" w:rsidRPr="00495741" w:rsidRDefault="00495741" w:rsidP="00495741">
      <w:pPr>
        <w:spacing w:line="360" w:lineRule="auto"/>
        <w:ind w:firstLineChars="200" w:firstLine="480"/>
        <w:jc w:val="both"/>
        <w:outlineLvl w:val="1"/>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sz w:val="24"/>
          <w:szCs w:val="24"/>
          <w:lang w:eastAsia="zh-CN"/>
        </w:rPr>
        <w:t>1、在符合有关基金分红条件的前提下，本基金管理人可以根据实际情况进行收益分配，具体分配方案以公告为准，若《基金合同》生效不满3个月可不进行收益分</w:t>
      </w:r>
      <w:r w:rsidRPr="00495741">
        <w:rPr>
          <w:rFonts w:asciiTheme="minorEastAsia" w:eastAsiaTheme="minorEastAsia" w:hAnsiTheme="minorEastAsia" w:cstheme="minorEastAsia"/>
          <w:sz w:val="24"/>
          <w:szCs w:val="24"/>
          <w:lang w:eastAsia="zh-CN"/>
        </w:rPr>
        <w:lastRenderedPageBreak/>
        <w:t>配；</w:t>
      </w:r>
    </w:p>
    <w:p w14:paraId="5D4F9FDB" w14:textId="77777777" w:rsidR="00495741" w:rsidRPr="00495741" w:rsidRDefault="00495741" w:rsidP="00495741">
      <w:pPr>
        <w:spacing w:line="360" w:lineRule="auto"/>
        <w:ind w:firstLineChars="200" w:firstLine="480"/>
        <w:jc w:val="both"/>
        <w:outlineLvl w:val="1"/>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sz w:val="24"/>
          <w:szCs w:val="24"/>
          <w:lang w:eastAsia="zh-CN"/>
        </w:rPr>
        <w:t>2、本基金收益分配方式分两种：现金分红与红利再投资，投资者可选择现金红利或将现金红利自动转为相应类别的基金份额进行再投资；若投资者不选择，本基金默认的收益分配方式是现金分红；</w:t>
      </w:r>
    </w:p>
    <w:p w14:paraId="52B489BF" w14:textId="77777777" w:rsidR="00495741" w:rsidRPr="00495741" w:rsidRDefault="00495741" w:rsidP="00495741">
      <w:pPr>
        <w:spacing w:line="360" w:lineRule="auto"/>
        <w:ind w:firstLineChars="200" w:firstLine="480"/>
        <w:jc w:val="both"/>
        <w:outlineLvl w:val="1"/>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sz w:val="24"/>
          <w:szCs w:val="24"/>
          <w:lang w:eastAsia="zh-CN"/>
        </w:rPr>
        <w:t>3、基金收益分配后各类基金份额净值不能低于面值，即基金收益分配基准日的任一类基金份额净值减去每单位该类基金份额收益分配金额后不能低于面值；</w:t>
      </w:r>
    </w:p>
    <w:p w14:paraId="73154F62" w14:textId="77777777" w:rsidR="00495741" w:rsidRPr="00495741" w:rsidRDefault="00495741" w:rsidP="00495741">
      <w:pPr>
        <w:spacing w:line="360" w:lineRule="auto"/>
        <w:ind w:firstLineChars="200" w:firstLine="480"/>
        <w:jc w:val="both"/>
        <w:outlineLvl w:val="1"/>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sz w:val="24"/>
          <w:szCs w:val="24"/>
          <w:lang w:eastAsia="zh-CN"/>
        </w:rPr>
        <w:t>4、由于本基金A类基金份额不收取销售服务费，C类基金份额收取销售服务费，各基金份额类别对应的可供分配利润将有所不同。本基金同一类别每一基金份额享有同等分配权；</w:t>
      </w:r>
    </w:p>
    <w:p w14:paraId="13934B21" w14:textId="77777777" w:rsidR="00495741" w:rsidRPr="00495741" w:rsidRDefault="00495741" w:rsidP="00495741">
      <w:pPr>
        <w:spacing w:line="360" w:lineRule="auto"/>
        <w:ind w:firstLineChars="200" w:firstLine="480"/>
        <w:jc w:val="both"/>
        <w:outlineLvl w:val="1"/>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sz w:val="24"/>
          <w:szCs w:val="24"/>
          <w:lang w:eastAsia="zh-CN"/>
        </w:rPr>
        <w:t>5、法律法规或监管机关另有规定的，从其规定。</w:t>
      </w:r>
    </w:p>
    <w:p w14:paraId="750276B3" w14:textId="7C205622" w:rsidR="00721099" w:rsidRDefault="00495741">
      <w:pPr>
        <w:spacing w:line="360" w:lineRule="auto"/>
        <w:ind w:firstLineChars="200" w:firstLine="480"/>
        <w:jc w:val="both"/>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在不违反法律法规规定及基金合同约定，并对基金份额持有人利益无实质不利影响的前提下，基金管理人与基金托管人协商一致后可对基金收益分配原则和支付方式进行调整，不需召开基金份额持有人大会，但应于变更实施日前在规定媒介及时公告。</w:t>
      </w:r>
    </w:p>
    <w:p w14:paraId="7A90B7BF"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四、与基金财产管理、运用有关费用的提取、支付方式与比例</w:t>
      </w:r>
    </w:p>
    <w:p w14:paraId="1CE60B02"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（一）基金费用的种类</w:t>
      </w:r>
    </w:p>
    <w:p w14:paraId="4040FF81" w14:textId="361A6DC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1、基金管理人的管理费（</w:t>
      </w:r>
      <w:r w:rsidR="00495741" w:rsidRPr="00495741">
        <w:rPr>
          <w:rFonts w:asciiTheme="minorEastAsia" w:eastAsiaTheme="minorEastAsia" w:hAnsiTheme="minorEastAsia" w:cstheme="minorEastAsia" w:hint="eastAsia"/>
          <w:sz w:val="24"/>
          <w:szCs w:val="24"/>
          <w:lang w:eastAsia="zh-CN"/>
        </w:rPr>
        <w:t>如基金管理人境外投资顾问，</w:t>
      </w:r>
      <w:r>
        <w:rPr>
          <w:rFonts w:asciiTheme="minorEastAsia" w:eastAsiaTheme="minorEastAsia" w:hAnsiTheme="minorEastAsia" w:cstheme="minorEastAsia" w:hint="eastAsia"/>
          <w:sz w:val="24"/>
          <w:szCs w:val="24"/>
          <w:lang w:eastAsia="zh-CN"/>
        </w:rPr>
        <w:t>包含境外投资顾问的投资顾问费）；</w:t>
      </w:r>
    </w:p>
    <w:p w14:paraId="1896BF0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2、基金托管人的托管费（</w:t>
      </w:r>
      <w:r>
        <w:rPr>
          <w:rFonts w:hint="eastAsia"/>
          <w:sz w:val="24"/>
          <w:szCs w:val="24"/>
          <w:lang w:eastAsia="zh-CN"/>
        </w:rPr>
        <w:t>含境外托管人收取的费用）</w:t>
      </w:r>
      <w:r>
        <w:rPr>
          <w:rFonts w:asciiTheme="minorEastAsia" w:eastAsiaTheme="minorEastAsia" w:hAnsiTheme="minorEastAsia" w:cstheme="minorEastAsia" w:hint="eastAsia"/>
          <w:sz w:val="24"/>
          <w:szCs w:val="24"/>
          <w:lang w:eastAsia="zh-CN"/>
        </w:rPr>
        <w:t>；</w:t>
      </w:r>
    </w:p>
    <w:p w14:paraId="6A2BF84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3、销售服务费：本基金从C类基金份额的基金资产中计提的销售服务费；</w:t>
      </w:r>
    </w:p>
    <w:p w14:paraId="33E0186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4、《基金合同》生效后与基金相关的信息披露费用；</w:t>
      </w:r>
    </w:p>
    <w:p w14:paraId="3715F1A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5、《基金合同》生效后与基金相关的会计师费、律师费、诉讼费和仲裁费；</w:t>
      </w:r>
    </w:p>
    <w:p w14:paraId="5FE373C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6、基金份额持有人大会费用（包括但不限于场地费、会计师费、律师费和公证费）；</w:t>
      </w:r>
    </w:p>
    <w:p w14:paraId="33DD34F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基金的证券、期货、股票期权、信用衍生品等交易费用及在境外市场的交易、清算、登记等实际发生的费用（out-of-pocketfees），包括但不限于经手费、印花税、证管费、过户费、手续费、券商佣金交易的结算费、融资融券费、证券借贷费用、存托费、证券账户及其他类似性质的费用等；</w:t>
      </w:r>
    </w:p>
    <w:p w14:paraId="4844DC5D" w14:textId="0A3F04D3"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8、基金的银行汇划费用</w:t>
      </w:r>
      <w:r w:rsidR="00495741" w:rsidRPr="00495741">
        <w:rPr>
          <w:rFonts w:asciiTheme="minorEastAsia" w:eastAsiaTheme="minorEastAsia" w:hAnsiTheme="minorEastAsia" w:cstheme="minorEastAsia" w:hint="eastAsia"/>
          <w:sz w:val="24"/>
          <w:szCs w:val="24"/>
          <w:lang w:eastAsia="zh-CN"/>
        </w:rPr>
        <w:t>和外汇兑换交易的相关费用</w:t>
      </w:r>
      <w:r>
        <w:rPr>
          <w:rFonts w:asciiTheme="minorEastAsia" w:eastAsiaTheme="minorEastAsia" w:hAnsiTheme="minorEastAsia" w:cstheme="minorEastAsia" w:hint="eastAsia"/>
          <w:sz w:val="24"/>
          <w:szCs w:val="24"/>
          <w:lang w:eastAsia="zh-CN"/>
        </w:rPr>
        <w:t>；</w:t>
      </w:r>
    </w:p>
    <w:p w14:paraId="14C6BB5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9、基金依照有关法律法规应当缴纳的，购买或处置证券有关的任何税收、征费、</w:t>
      </w:r>
      <w:r>
        <w:rPr>
          <w:rFonts w:asciiTheme="minorEastAsia" w:eastAsiaTheme="minorEastAsia" w:hAnsiTheme="minorEastAsia" w:cstheme="minorEastAsia" w:hint="eastAsia"/>
          <w:sz w:val="24"/>
          <w:szCs w:val="24"/>
          <w:lang w:eastAsia="zh-CN"/>
        </w:rPr>
        <w:lastRenderedPageBreak/>
        <w:t>关税、印花税、交易及其他税收及预扣提税（以及与前述各项有关的任何利息及费用），以及为基金利益聘请税务顾问产生的费用；</w:t>
      </w:r>
    </w:p>
    <w:p w14:paraId="270D02F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10、基金的开户费用、账户维护费用；</w:t>
      </w:r>
    </w:p>
    <w:p w14:paraId="3937B73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11、因投资境外股票、</w:t>
      </w:r>
      <w:r>
        <w:rPr>
          <w:rFonts w:asciiTheme="minorEastAsia" w:eastAsiaTheme="minorEastAsia" w:hAnsiTheme="minorEastAsia" w:cstheme="minorEastAsia"/>
          <w:sz w:val="24"/>
          <w:szCs w:val="24"/>
          <w:lang w:eastAsia="zh-CN"/>
        </w:rPr>
        <w:t>港股通标的</w:t>
      </w:r>
      <w:r>
        <w:rPr>
          <w:rFonts w:asciiTheme="minorEastAsia" w:eastAsiaTheme="minorEastAsia" w:hAnsiTheme="minorEastAsia" w:cstheme="minorEastAsia" w:hint="eastAsia"/>
          <w:sz w:val="24"/>
          <w:szCs w:val="24"/>
          <w:lang w:eastAsia="zh-CN"/>
        </w:rPr>
        <w:t>股票而产生的各项合理费用；</w:t>
      </w:r>
    </w:p>
    <w:p w14:paraId="297B972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14:paraId="4B7F4F27" w14:textId="77777777" w:rsidR="00495741" w:rsidRDefault="00495741">
      <w:pPr>
        <w:spacing w:line="360" w:lineRule="auto"/>
        <w:ind w:firstLineChars="200" w:firstLine="480"/>
        <w:jc w:val="both"/>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sz w:val="24"/>
          <w:szCs w:val="24"/>
          <w:lang w:eastAsia="zh-CN"/>
        </w:rPr>
        <w:t>13、为应付赎回和交易清算而进行临时借款所发生的费用；</w:t>
      </w:r>
    </w:p>
    <w:p w14:paraId="0561E65F" w14:textId="349B2018"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sz w:val="24"/>
          <w:szCs w:val="24"/>
          <w:lang w:eastAsia="zh-CN"/>
        </w:rPr>
        <w:t>1</w:t>
      </w:r>
      <w:r w:rsidR="00495741">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、按照国家有关规定和《基金合同》约定，可以在基金财产中列支的其他费用。</w:t>
      </w:r>
    </w:p>
    <w:p w14:paraId="17CF7706"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（二）基金费用计提方法、计提标准和支付方式</w:t>
      </w:r>
    </w:p>
    <w:p w14:paraId="0D15D09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1、基金管理人的管理费</w:t>
      </w:r>
    </w:p>
    <w:p w14:paraId="18F0C9B0" w14:textId="211B2984"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本基金的管理费按前一日基金资产净值的</w:t>
      </w:r>
      <w:r w:rsidR="00495741" w:rsidRPr="00495741">
        <w:rPr>
          <w:rFonts w:asciiTheme="minorEastAsia" w:eastAsiaTheme="minorEastAsia" w:hAnsiTheme="minorEastAsia" w:cstheme="minorEastAsia"/>
          <w:sz w:val="24"/>
          <w:szCs w:val="24"/>
          <w:lang w:eastAsia="zh-CN"/>
        </w:rPr>
        <w:t>1.20</w:t>
      </w:r>
      <w:r>
        <w:rPr>
          <w:rFonts w:asciiTheme="minorEastAsia" w:eastAsiaTheme="minorEastAsia" w:hAnsiTheme="minorEastAsia" w:cstheme="minorEastAsia" w:hint="eastAsia"/>
          <w:sz w:val="24"/>
          <w:szCs w:val="24"/>
          <w:lang w:eastAsia="zh-CN"/>
        </w:rPr>
        <w:t>%年费率计提。管理费的计算方法如下：</w:t>
      </w:r>
    </w:p>
    <w:p w14:paraId="687636AF" w14:textId="211CFD56"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H＝E×</w:t>
      </w:r>
      <w:r w:rsidR="00495741" w:rsidRPr="00495741">
        <w:rPr>
          <w:rFonts w:asciiTheme="minorEastAsia" w:eastAsiaTheme="minorEastAsia" w:hAnsiTheme="minorEastAsia" w:cstheme="minorEastAsia"/>
          <w:sz w:val="24"/>
          <w:szCs w:val="24"/>
          <w:lang w:eastAsia="zh-CN"/>
        </w:rPr>
        <w:t>1.20</w:t>
      </w:r>
      <w:r>
        <w:rPr>
          <w:rFonts w:asciiTheme="minorEastAsia" w:eastAsiaTheme="minorEastAsia" w:hAnsiTheme="minorEastAsia" w:cstheme="minorEastAsia" w:hint="eastAsia"/>
          <w:sz w:val="24"/>
          <w:szCs w:val="24"/>
          <w:lang w:eastAsia="zh-CN"/>
        </w:rPr>
        <w:t>%÷当年天数</w:t>
      </w:r>
    </w:p>
    <w:p w14:paraId="1A1CB7E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H为每日应计提的基金管理费</w:t>
      </w:r>
    </w:p>
    <w:p w14:paraId="5AC915E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E为前一日的基金资产净值</w:t>
      </w:r>
    </w:p>
    <w:p w14:paraId="14A4C450" w14:textId="01ADCEDB" w:rsidR="00721099" w:rsidRDefault="00495741">
      <w:pPr>
        <w:spacing w:line="360" w:lineRule="auto"/>
        <w:ind w:firstLineChars="200" w:firstLine="480"/>
        <w:jc w:val="both"/>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基金管理费每日计提，逐日累计至每月月末，按月支付，由基金管理人向基金托管人发送基金管理费划款指令，基金托管人复核后于次月首日起</w:t>
      </w:r>
      <w:r w:rsidRPr="00495741">
        <w:rPr>
          <w:rFonts w:asciiTheme="minorEastAsia" w:eastAsiaTheme="minorEastAsia" w:hAnsiTheme="minorEastAsia" w:cstheme="minorEastAsia"/>
          <w:sz w:val="24"/>
          <w:szCs w:val="24"/>
          <w:lang w:eastAsia="zh-CN"/>
        </w:rPr>
        <w:t>5个工作日内从基金财产中一次性支付给基金管理人。若遇法定节假日、公休假或不可抗力等，支付日期顺延。</w:t>
      </w:r>
    </w:p>
    <w:p w14:paraId="100BFD6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2、基金托管人的托管费</w:t>
      </w:r>
    </w:p>
    <w:p w14:paraId="3705A8DF" w14:textId="55004E65"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本基金的托管费按前一日基金资产净值的</w:t>
      </w:r>
      <w:r w:rsidR="00495741" w:rsidRPr="00495741">
        <w:rPr>
          <w:rFonts w:asciiTheme="minorEastAsia" w:eastAsiaTheme="minorEastAsia" w:hAnsiTheme="minorEastAsia" w:cstheme="minorEastAsia"/>
          <w:sz w:val="24"/>
          <w:szCs w:val="24"/>
          <w:lang w:eastAsia="zh-CN"/>
        </w:rPr>
        <w:t>0.20</w:t>
      </w:r>
      <w:r>
        <w:rPr>
          <w:rFonts w:asciiTheme="minorEastAsia" w:eastAsiaTheme="minorEastAsia" w:hAnsiTheme="minorEastAsia" w:cstheme="minorEastAsia" w:hint="eastAsia"/>
          <w:sz w:val="24"/>
          <w:szCs w:val="24"/>
          <w:lang w:eastAsia="zh-CN"/>
        </w:rPr>
        <w:t>%的年费率计提。托管费的计算方法如下：</w:t>
      </w:r>
    </w:p>
    <w:p w14:paraId="6F2C32EC" w14:textId="471B93BD"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H＝E×</w:t>
      </w:r>
      <w:r w:rsidR="00495741" w:rsidRPr="00495741">
        <w:rPr>
          <w:rFonts w:asciiTheme="minorEastAsia" w:eastAsiaTheme="minorEastAsia" w:hAnsiTheme="minorEastAsia" w:cstheme="minorEastAsia"/>
          <w:sz w:val="24"/>
          <w:szCs w:val="24"/>
          <w:lang w:eastAsia="zh-CN"/>
        </w:rPr>
        <w:t>0.20</w:t>
      </w:r>
      <w:r>
        <w:rPr>
          <w:rFonts w:asciiTheme="minorEastAsia" w:eastAsiaTheme="minorEastAsia" w:hAnsiTheme="minorEastAsia" w:cstheme="minorEastAsia" w:hint="eastAsia"/>
          <w:sz w:val="24"/>
          <w:szCs w:val="24"/>
          <w:lang w:eastAsia="zh-CN"/>
        </w:rPr>
        <w:t>%÷当年天数</w:t>
      </w:r>
    </w:p>
    <w:p w14:paraId="0DAA859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H为每日应计提的基金托管费</w:t>
      </w:r>
    </w:p>
    <w:p w14:paraId="61D4B7D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E为前一日的基金资产净值</w:t>
      </w:r>
    </w:p>
    <w:p w14:paraId="3612898E" w14:textId="77777777" w:rsidR="00495741" w:rsidRDefault="00495741">
      <w:pPr>
        <w:spacing w:line="360" w:lineRule="auto"/>
        <w:ind w:firstLineChars="200" w:firstLine="480"/>
        <w:jc w:val="both"/>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基金托管费每日计提，逐日累计至每月月末，按月支付，由基金管理人向基金托管人发送基金托管费划款指令，基金托管人复核后于次月首日起</w:t>
      </w:r>
      <w:r w:rsidRPr="00495741">
        <w:rPr>
          <w:rFonts w:asciiTheme="minorEastAsia" w:eastAsiaTheme="minorEastAsia" w:hAnsiTheme="minorEastAsia" w:cstheme="minorEastAsia"/>
          <w:sz w:val="24"/>
          <w:szCs w:val="24"/>
          <w:lang w:eastAsia="zh-CN"/>
        </w:rPr>
        <w:t>5个工作日内从基金财产中一次性支取。若遇法定节假日、公休假或不可抗力等，支付日期顺延。</w:t>
      </w:r>
    </w:p>
    <w:p w14:paraId="3947AD0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3、销售服务费</w:t>
      </w:r>
    </w:p>
    <w:p w14:paraId="0DC4C533" w14:textId="4FE49F51"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本基金A类基金份额不收取销售服务费，C类基金份额的销售服务费年费率为</w:t>
      </w:r>
      <w:r w:rsidR="00495741">
        <w:rPr>
          <w:rFonts w:asciiTheme="minorEastAsia" w:eastAsiaTheme="minorEastAsia" w:hAnsiTheme="minorEastAsia" w:cstheme="minorEastAsia"/>
          <w:sz w:val="24"/>
          <w:szCs w:val="24"/>
          <w:lang w:eastAsia="zh-CN"/>
        </w:rPr>
        <w:t>0.60</w:t>
      </w:r>
      <w:r>
        <w:rPr>
          <w:rFonts w:asciiTheme="minorEastAsia" w:eastAsiaTheme="minorEastAsia" w:hAnsiTheme="minorEastAsia" w:cstheme="minorEastAsia" w:hint="eastAsia"/>
          <w:sz w:val="24"/>
          <w:szCs w:val="24"/>
          <w:lang w:eastAsia="zh-CN"/>
        </w:rPr>
        <w:t>%。</w:t>
      </w:r>
    </w:p>
    <w:p w14:paraId="50CDF417" w14:textId="3CAA660A"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本基金C类基金份额的销售服务费按前一日C类基金份额的基金资产净值的</w:t>
      </w:r>
      <w:r w:rsidR="00495741">
        <w:rPr>
          <w:rFonts w:asciiTheme="minorEastAsia" w:eastAsiaTheme="minorEastAsia" w:hAnsiTheme="minorEastAsia" w:cstheme="minorEastAsia"/>
          <w:sz w:val="24"/>
          <w:szCs w:val="24"/>
          <w:lang w:eastAsia="zh-CN"/>
        </w:rPr>
        <w:t>0.60</w:t>
      </w:r>
      <w:r>
        <w:rPr>
          <w:rFonts w:asciiTheme="minorEastAsia" w:eastAsiaTheme="minorEastAsia" w:hAnsiTheme="minorEastAsia" w:cstheme="minorEastAsia" w:hint="eastAsia"/>
          <w:sz w:val="24"/>
          <w:szCs w:val="24"/>
          <w:lang w:eastAsia="zh-CN"/>
        </w:rPr>
        <w:t>%年费率计提。</w:t>
      </w:r>
    </w:p>
    <w:p w14:paraId="081A09E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计算方法如下：</w:t>
      </w:r>
    </w:p>
    <w:p w14:paraId="69FA737A" w14:textId="59C9BF00"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H＝E×</w:t>
      </w:r>
      <w:r w:rsidR="00495741">
        <w:rPr>
          <w:rFonts w:asciiTheme="minorEastAsia" w:eastAsiaTheme="minorEastAsia" w:hAnsiTheme="minorEastAsia" w:cstheme="minorEastAsia"/>
          <w:sz w:val="24"/>
          <w:szCs w:val="24"/>
          <w:lang w:eastAsia="zh-CN"/>
        </w:rPr>
        <w:t>0.60</w:t>
      </w:r>
      <w:r>
        <w:rPr>
          <w:rFonts w:asciiTheme="minorEastAsia" w:eastAsiaTheme="minorEastAsia" w:hAnsiTheme="minorEastAsia" w:cstheme="minorEastAsia" w:hint="eastAsia"/>
          <w:sz w:val="24"/>
          <w:szCs w:val="24"/>
          <w:lang w:eastAsia="zh-CN"/>
        </w:rPr>
        <w:t>%÷当年天数</w:t>
      </w:r>
    </w:p>
    <w:p w14:paraId="482CEEA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H为C类基金份额每日应计提的销售服务费</w:t>
      </w:r>
    </w:p>
    <w:p w14:paraId="7ECB721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E为C类基金份额前一日基金资产净值</w:t>
      </w:r>
    </w:p>
    <w:p w14:paraId="5DE61515" w14:textId="29CF4486" w:rsidR="00721099" w:rsidRDefault="00495741">
      <w:pPr>
        <w:spacing w:line="360" w:lineRule="auto"/>
        <w:ind w:firstLineChars="200" w:firstLine="480"/>
        <w:jc w:val="both"/>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销售服务费每日计提，逐日累计至每月月末，按月支付，经基金管理人与基金托管人双方核对无误后向基金托管人发送基金销售服务费划付指令，基金托管人复核后于次月首日起</w:t>
      </w:r>
      <w:r w:rsidRPr="00495741">
        <w:rPr>
          <w:rFonts w:asciiTheme="minorEastAsia" w:eastAsiaTheme="minorEastAsia" w:hAnsiTheme="minorEastAsia" w:cstheme="minorEastAsia"/>
          <w:sz w:val="24"/>
          <w:szCs w:val="24"/>
          <w:lang w:eastAsia="zh-CN"/>
        </w:rPr>
        <w:t>5个工作日内从基金财产中一次性支付给基金管理人，由基金管理人代付给销售机构。若遇法定节假日、公休假或不可抗力等，支付日期顺延。</w:t>
      </w:r>
    </w:p>
    <w:p w14:paraId="5EC3B05A" w14:textId="34E98F50"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上述“</w:t>
      </w:r>
      <w:r w:rsidR="0049574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一</w:t>
      </w:r>
      <w:r w:rsidR="0049574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基金费用的种类”中第4－1</w:t>
      </w:r>
      <w:r w:rsidR="00495741">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项费用，根据有关法规及相应协议规定，按费用实际支出金额列入当期费用，由基金托管人从基金财产中支付。</w:t>
      </w:r>
    </w:p>
    <w:p w14:paraId="31515D67" w14:textId="77777777" w:rsidR="00495741"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（三）不列入基金费用的项目</w:t>
      </w:r>
    </w:p>
    <w:p w14:paraId="145151DA" w14:textId="19790BAA"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下列费用不列入基金费用：</w:t>
      </w:r>
    </w:p>
    <w:p w14:paraId="0EBDD3E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1、基金管理人和基金托管人因未履行或未完全履行义务导致的费用支出或基金财产的损失；</w:t>
      </w:r>
    </w:p>
    <w:p w14:paraId="237788E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2、基金管理人和基金托管人处理与基金运作无关的事项发生的费用；</w:t>
      </w:r>
    </w:p>
    <w:p w14:paraId="3BCCF2E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3、《基金合同》生效前的相关费用；</w:t>
      </w:r>
    </w:p>
    <w:p w14:paraId="4AD654B5" w14:textId="40AD6484" w:rsidR="00721099" w:rsidRDefault="006B4706" w:rsidP="00495741">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4、其他根据相关法律法规及中国证监会的有关规定不得列入基金费用的项目。</w:t>
      </w:r>
    </w:p>
    <w:p w14:paraId="1B7C92F3"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（四）实施侧袋机制期间的基金费用</w:t>
      </w:r>
    </w:p>
    <w:p w14:paraId="151E3D0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若本基金实施侧袋机制的，与侧袋账户有关的费用可以从侧袋账户中列支，但应待侧袋账户资产变现后方可列支，有关费用可酌情收取或减免，但不得收取管理费，详见招募说明书的规定。</w:t>
      </w:r>
    </w:p>
    <w:p w14:paraId="4418440F"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（五）基金税收</w:t>
      </w:r>
    </w:p>
    <w:p w14:paraId="71F7B95B" w14:textId="3344F78C"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本基金运作过程中涉及的各纳税主体，其纳税义务按国家税收法律法规和境外市场的规定执行。</w:t>
      </w:r>
      <w:r w:rsidR="00495741" w:rsidRPr="00495741">
        <w:rPr>
          <w:rFonts w:asciiTheme="minorEastAsia" w:eastAsiaTheme="minorEastAsia" w:hAnsiTheme="minorEastAsia" w:cstheme="minorEastAsia" w:hint="eastAsia"/>
          <w:sz w:val="24"/>
          <w:szCs w:val="24"/>
          <w:lang w:eastAsia="zh-CN"/>
        </w:rPr>
        <w:t>除因基金管理人或基金托管人疏忽、故意行为导致基金在税收方面的损失外，基金管理人和基金托管人不承担责任。基金财产投资的</w:t>
      </w:r>
      <w:r>
        <w:rPr>
          <w:rFonts w:asciiTheme="minorEastAsia" w:eastAsiaTheme="minorEastAsia" w:hAnsiTheme="minorEastAsia" w:cstheme="minorEastAsia" w:hint="eastAsia"/>
          <w:sz w:val="24"/>
          <w:szCs w:val="24"/>
          <w:lang w:eastAsia="zh-CN"/>
        </w:rPr>
        <w:t>根据《基金</w:t>
      </w:r>
      <w:r>
        <w:rPr>
          <w:rFonts w:asciiTheme="minorEastAsia" w:eastAsiaTheme="minorEastAsia" w:hAnsiTheme="minorEastAsia" w:cstheme="minorEastAsia" w:hint="eastAsia"/>
          <w:sz w:val="24"/>
          <w:szCs w:val="24"/>
          <w:lang w:eastAsia="zh-CN"/>
        </w:rPr>
        <w:lastRenderedPageBreak/>
        <w:t>法》，基金财产投资的相关税收，由基金份额持有人承担，基金管理人或者其他扣缴义务人按照国家有关税收征收的规定代扣代缴。</w:t>
      </w:r>
    </w:p>
    <w:p w14:paraId="478EC3F5"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五、基金财产的投资范围和投资限制</w:t>
      </w:r>
    </w:p>
    <w:p w14:paraId="4B00570F"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（一）投资范围</w:t>
      </w:r>
    </w:p>
    <w:p w14:paraId="331A340D" w14:textId="0C243765" w:rsidR="00495741" w:rsidRPr="00495741" w:rsidRDefault="00495741" w:rsidP="00495741">
      <w:pPr>
        <w:spacing w:line="360" w:lineRule="auto"/>
        <w:ind w:firstLineChars="200" w:firstLine="480"/>
        <w:jc w:val="both"/>
        <w:outlineLvl w:val="2"/>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境外市场投资工具包括在</w:t>
      </w:r>
      <w:r w:rsidR="00925C2C">
        <w:rPr>
          <w:rFonts w:asciiTheme="minorEastAsia" w:eastAsiaTheme="minorEastAsia" w:hAnsiTheme="minorEastAsia" w:cstheme="minorEastAsia" w:hint="eastAsia"/>
          <w:sz w:val="24"/>
          <w:szCs w:val="24"/>
          <w:lang w:eastAsia="zh-CN"/>
        </w:rPr>
        <w:t>香港</w:t>
      </w:r>
      <w:r w:rsidRPr="00495741">
        <w:rPr>
          <w:rFonts w:asciiTheme="minorEastAsia" w:eastAsiaTheme="minorEastAsia" w:hAnsiTheme="minorEastAsia" w:cstheme="minorEastAsia" w:hint="eastAsia"/>
          <w:sz w:val="24"/>
          <w:szCs w:val="24"/>
          <w:lang w:eastAsia="zh-CN"/>
        </w:rPr>
        <w:t>证券监管机构登记注册的公募基金（包括开放式基金和交易型开放式基金（</w:t>
      </w:r>
      <w:r w:rsidRPr="00495741">
        <w:rPr>
          <w:rFonts w:asciiTheme="minorEastAsia" w:eastAsiaTheme="minorEastAsia" w:hAnsiTheme="minorEastAsia" w:cstheme="minorEastAsia"/>
          <w:sz w:val="24"/>
          <w:szCs w:val="24"/>
          <w:lang w:eastAsia="zh-CN"/>
        </w:rPr>
        <w:t>ETF））；</w:t>
      </w:r>
      <w:r w:rsidR="00880B0C" w:rsidRPr="00880B0C">
        <w:rPr>
          <w:rFonts w:asciiTheme="minorEastAsia" w:eastAsiaTheme="minorEastAsia" w:hAnsiTheme="minorEastAsia" w:cstheme="minorEastAsia" w:hint="eastAsia"/>
          <w:sz w:val="24"/>
          <w:szCs w:val="24"/>
          <w:lang w:eastAsia="zh-CN"/>
        </w:rPr>
        <w:t>香港证券市场挂牌交易的普通股、优先股、存托凭证</w:t>
      </w:r>
      <w:r w:rsidRPr="00495741">
        <w:rPr>
          <w:rFonts w:asciiTheme="minorEastAsia" w:eastAsiaTheme="minorEastAsia" w:hAnsiTheme="minorEastAsia" w:cstheme="minorEastAsia"/>
          <w:sz w:val="24"/>
          <w:szCs w:val="24"/>
          <w:lang w:eastAsia="zh-CN"/>
        </w:rPr>
        <w:t>（含港股通标的股票）；政府债券、公司债券（包括公司发行的金融债券）、可转换债券、住房按揭支持证券、资产支持证券等以及经中国证监会认可的国际金融组织发行的证券；银行存款、可转让存单、银行承兑汇票、银行票据、商</w:t>
      </w:r>
      <w:r w:rsidRPr="00495741">
        <w:rPr>
          <w:rFonts w:asciiTheme="minorEastAsia" w:eastAsiaTheme="minorEastAsia" w:hAnsiTheme="minorEastAsia" w:cstheme="minorEastAsia" w:hint="eastAsia"/>
          <w:sz w:val="24"/>
          <w:szCs w:val="24"/>
          <w:lang w:eastAsia="zh-CN"/>
        </w:rPr>
        <w:t>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可以进行境外证券借贷交易、境外正回购交易、逆回购交易。</w:t>
      </w:r>
    </w:p>
    <w:p w14:paraId="0F4BB702" w14:textId="77777777" w:rsidR="00495741" w:rsidRPr="00495741" w:rsidRDefault="00495741" w:rsidP="00495741">
      <w:pPr>
        <w:spacing w:line="360" w:lineRule="auto"/>
        <w:ind w:firstLineChars="200" w:firstLine="480"/>
        <w:jc w:val="both"/>
        <w:outlineLvl w:val="2"/>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境内市场投资工具包括国内依法发行上市的股票（包括主板、创业板、科创板及其他中国证监会允许上市的股票、存托凭证）、衍生工具（股指期货、国债期货、股票期权）、债券（包括国债、地方政府债券、政府支持机构债券、政府支持债券、金融债、企业债、公司债、次级债、可转换债券、可交换债券、分离交易可转债、央行票据、中期票据、短期融资券、超短期融资券等）、资产支持证券、信用衍生品、债券回购、银行存款（包括协议存款、定期存款及其他银行存款）、同业存单、货币市场工具、现金以及法律法规或中国证监会允许基金投资的其他金融工具（但须符合中国证监会的相关规定）。本基金将根据法律法规的规定参与融资业务。</w:t>
      </w:r>
    </w:p>
    <w:p w14:paraId="66B88ADC" w14:textId="77777777" w:rsidR="00495741" w:rsidRPr="00495741" w:rsidRDefault="00495741" w:rsidP="00495741">
      <w:pPr>
        <w:spacing w:line="360" w:lineRule="auto"/>
        <w:ind w:firstLineChars="200" w:firstLine="480"/>
        <w:jc w:val="both"/>
        <w:outlineLvl w:val="2"/>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香港市场可通过合格境内机构投资者（</w:t>
      </w:r>
      <w:r w:rsidRPr="00495741">
        <w:rPr>
          <w:rFonts w:asciiTheme="minorEastAsia" w:eastAsiaTheme="minorEastAsia" w:hAnsiTheme="minorEastAsia" w:cstheme="minorEastAsia"/>
          <w:sz w:val="24"/>
          <w:szCs w:val="24"/>
          <w:lang w:eastAsia="zh-CN"/>
        </w:rPr>
        <w:t>QDII）境外投资额度、内地与香港股票市场交易互联互通机制或内地与香港债券市场互联互通南向合作进行投资。</w:t>
      </w:r>
    </w:p>
    <w:p w14:paraId="50B41088" w14:textId="77777777" w:rsidR="00495741" w:rsidRPr="00495741" w:rsidRDefault="00495741" w:rsidP="00495741">
      <w:pPr>
        <w:spacing w:line="360" w:lineRule="auto"/>
        <w:ind w:firstLineChars="200" w:firstLine="480"/>
        <w:jc w:val="both"/>
        <w:outlineLvl w:val="2"/>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如法律法规或中国证监会以后允许基金投资其他品种，本基金管理人在履行适当程序后，可以将其纳入本基金的投资范围。</w:t>
      </w:r>
    </w:p>
    <w:p w14:paraId="26EB1FDA" w14:textId="77777777" w:rsidR="00495741" w:rsidRPr="00495741" w:rsidRDefault="00495741" w:rsidP="00495741">
      <w:pPr>
        <w:spacing w:line="360" w:lineRule="auto"/>
        <w:ind w:firstLineChars="200" w:firstLine="480"/>
        <w:jc w:val="both"/>
        <w:outlineLvl w:val="2"/>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基金的投资组合比例为：本基金股票资产（含普通股、优先股、港股通标的股票、存托凭证等）占基金资产的比例不低于</w:t>
      </w:r>
      <w:r w:rsidRPr="00495741">
        <w:rPr>
          <w:rFonts w:asciiTheme="minorEastAsia" w:eastAsiaTheme="minorEastAsia" w:hAnsiTheme="minorEastAsia" w:cstheme="minorEastAsia"/>
          <w:sz w:val="24"/>
          <w:szCs w:val="24"/>
          <w:lang w:eastAsia="zh-CN"/>
        </w:rPr>
        <w:t>80%，其中投资于港股医疗主题的股票不低于非现金基金资产的80%。每个交易日日终，在扣除股指期货、国债期货和股票期权合约需缴纳的交易保证金后，本基金应当保持不低于基金资产净值5%的现金（不</w:t>
      </w:r>
      <w:r w:rsidRPr="00495741">
        <w:rPr>
          <w:rFonts w:asciiTheme="minorEastAsia" w:eastAsiaTheme="minorEastAsia" w:hAnsiTheme="minorEastAsia" w:cstheme="minorEastAsia"/>
          <w:sz w:val="24"/>
          <w:szCs w:val="24"/>
          <w:lang w:eastAsia="zh-CN"/>
        </w:rPr>
        <w:lastRenderedPageBreak/>
        <w:t>包括结算备付金、存出保证金、应收申购款等）或到期日在一年以内的政府债券。</w:t>
      </w:r>
    </w:p>
    <w:p w14:paraId="6593753D" w14:textId="1DFD488B" w:rsidR="00721099" w:rsidRDefault="00495741">
      <w:pPr>
        <w:spacing w:line="360" w:lineRule="auto"/>
        <w:ind w:firstLineChars="200" w:firstLine="480"/>
        <w:jc w:val="both"/>
        <w:rPr>
          <w:rFonts w:asciiTheme="minorEastAsia" w:eastAsiaTheme="minorEastAsia" w:hAnsiTheme="minorEastAsia" w:cstheme="minorEastAsia"/>
          <w:sz w:val="24"/>
          <w:szCs w:val="24"/>
          <w:lang w:eastAsia="zh-CN"/>
        </w:rPr>
      </w:pPr>
      <w:r w:rsidRPr="00495741">
        <w:rPr>
          <w:rFonts w:asciiTheme="minorEastAsia" w:eastAsiaTheme="minorEastAsia" w:hAnsiTheme="minorEastAsia" w:cstheme="minorEastAsia" w:hint="eastAsia"/>
          <w:sz w:val="24"/>
          <w:szCs w:val="24"/>
          <w:lang w:eastAsia="zh-CN"/>
        </w:rPr>
        <w:t>如果法律法规或中国证监会允许基金变更投资品种的投资比例限制，基金管理人在履行适当程序后，可以调整上述投资品种的投资比例。</w:t>
      </w:r>
    </w:p>
    <w:p w14:paraId="650590C1"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（二）投资限制</w:t>
      </w:r>
    </w:p>
    <w:p w14:paraId="218F360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1、组合限制</w:t>
      </w:r>
    </w:p>
    <w:p w14:paraId="0E184BF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基金的投资组合应遵循以下限制：</w:t>
      </w:r>
    </w:p>
    <w:p w14:paraId="6069CA11"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w:t>
      </w:r>
      <w:r w:rsidRPr="00EB0E65">
        <w:rPr>
          <w:rFonts w:ascii="Times New Roman" w:hAnsi="Times New Roman"/>
          <w:bCs/>
          <w:sz w:val="24"/>
          <w:lang w:eastAsia="zh-CN"/>
        </w:rPr>
        <w:t>1</w:t>
      </w:r>
      <w:r w:rsidRPr="00EB0E65">
        <w:rPr>
          <w:rFonts w:ascii="Times New Roman" w:hAnsi="Times New Roman"/>
          <w:bCs/>
          <w:sz w:val="24"/>
          <w:lang w:eastAsia="zh-CN"/>
        </w:rPr>
        <w:t>）本基金股票资产（含普通股、优先股、港股通标的股票、存托凭证等）占基金资产的比例不低于</w:t>
      </w:r>
      <w:r w:rsidRPr="00EB0E65">
        <w:rPr>
          <w:rFonts w:ascii="Times New Roman" w:hAnsi="Times New Roman"/>
          <w:bCs/>
          <w:sz w:val="24"/>
          <w:lang w:eastAsia="zh-CN"/>
        </w:rPr>
        <w:t>80%</w:t>
      </w:r>
      <w:r w:rsidRPr="00EB0E65">
        <w:rPr>
          <w:rFonts w:ascii="Times New Roman" w:hAnsi="Times New Roman"/>
          <w:bCs/>
          <w:sz w:val="24"/>
          <w:lang w:eastAsia="zh-CN"/>
        </w:rPr>
        <w:t>，其中投资于港股医疗主题的股票不低于非现金基金资产的</w:t>
      </w:r>
      <w:r w:rsidRPr="00EB0E65">
        <w:rPr>
          <w:rFonts w:ascii="Times New Roman" w:hAnsi="Times New Roman"/>
          <w:bCs/>
          <w:sz w:val="24"/>
          <w:lang w:eastAsia="zh-CN"/>
        </w:rPr>
        <w:t>80%;</w:t>
      </w:r>
    </w:p>
    <w:p w14:paraId="5579E144"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w:t>
      </w:r>
      <w:r w:rsidRPr="00EB0E65">
        <w:rPr>
          <w:rFonts w:ascii="Times New Roman" w:hAnsi="Times New Roman"/>
          <w:bCs/>
          <w:sz w:val="24"/>
          <w:lang w:eastAsia="zh-CN"/>
        </w:rPr>
        <w:t>2</w:t>
      </w:r>
      <w:r w:rsidRPr="00EB0E65">
        <w:rPr>
          <w:rFonts w:ascii="Times New Roman" w:hAnsi="Times New Roman"/>
          <w:bCs/>
          <w:sz w:val="24"/>
          <w:lang w:eastAsia="zh-CN"/>
        </w:rPr>
        <w:t>）每个交易日日终，在扣除股指期货、国债期货和股票期权合约需缴纳的交易保证金后，本基金应当保持不低于基金资产净值</w:t>
      </w:r>
      <w:r w:rsidRPr="00EB0E65">
        <w:rPr>
          <w:rFonts w:ascii="Times New Roman" w:hAnsi="Times New Roman"/>
          <w:bCs/>
          <w:sz w:val="24"/>
          <w:lang w:eastAsia="zh-CN"/>
        </w:rPr>
        <w:t>5%</w:t>
      </w:r>
      <w:r w:rsidRPr="00EB0E65">
        <w:rPr>
          <w:rFonts w:ascii="Times New Roman" w:hAnsi="Times New Roman"/>
          <w:bCs/>
          <w:sz w:val="24"/>
          <w:lang w:eastAsia="zh-CN"/>
        </w:rPr>
        <w:t>的现金（不包括结算备付金、存出保证金、应收申购款等）或到期日在一年以内的政府债券；</w:t>
      </w:r>
    </w:p>
    <w:p w14:paraId="3FC3C78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w:t>
      </w:r>
      <w:r w:rsidRPr="00EB0E65">
        <w:rPr>
          <w:rFonts w:ascii="Times New Roman" w:hAnsi="Times New Roman"/>
          <w:bCs/>
          <w:sz w:val="24"/>
          <w:lang w:eastAsia="zh-CN"/>
        </w:rPr>
        <w:t>3</w:t>
      </w:r>
      <w:r w:rsidRPr="00EB0E65">
        <w:rPr>
          <w:rFonts w:ascii="Times New Roman" w:hAnsi="Times New Roman"/>
          <w:bCs/>
          <w:sz w:val="24"/>
          <w:lang w:eastAsia="zh-CN"/>
        </w:rPr>
        <w:t>）本基金的基金资产总值不得超过基金资产净值的</w:t>
      </w:r>
      <w:r w:rsidRPr="00EB0E65">
        <w:rPr>
          <w:rFonts w:ascii="Times New Roman" w:hAnsi="Times New Roman"/>
          <w:bCs/>
          <w:sz w:val="24"/>
          <w:lang w:eastAsia="zh-CN"/>
        </w:rPr>
        <w:t>140%</w:t>
      </w:r>
      <w:r w:rsidRPr="00EB0E65">
        <w:rPr>
          <w:rFonts w:ascii="Times New Roman" w:hAnsi="Times New Roman"/>
          <w:bCs/>
          <w:sz w:val="24"/>
          <w:lang w:eastAsia="zh-CN"/>
        </w:rPr>
        <w:t>；</w:t>
      </w:r>
    </w:p>
    <w:p w14:paraId="54CAF12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w:t>
      </w:r>
      <w:r w:rsidRPr="00EB0E65">
        <w:rPr>
          <w:rFonts w:ascii="Times New Roman" w:hAnsi="Times New Roman"/>
          <w:bCs/>
          <w:sz w:val="24"/>
          <w:lang w:eastAsia="zh-CN"/>
        </w:rPr>
        <w:t>4</w:t>
      </w:r>
      <w:r w:rsidRPr="00EB0E65">
        <w:rPr>
          <w:rFonts w:ascii="Times New Roman" w:hAnsi="Times New Roman"/>
          <w:bCs/>
          <w:sz w:val="24"/>
          <w:lang w:eastAsia="zh-CN"/>
        </w:rPr>
        <w:t>）法律法规及中国证监会规定的和《基金合同》约定的其他投资限制。</w:t>
      </w:r>
    </w:p>
    <w:p w14:paraId="0892D804"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因证券</w:t>
      </w:r>
      <w:r w:rsidRPr="00EB0E65">
        <w:rPr>
          <w:rFonts w:ascii="Times New Roman" w:hAnsi="Times New Roman"/>
          <w:bCs/>
          <w:sz w:val="24"/>
          <w:lang w:eastAsia="zh-CN"/>
        </w:rPr>
        <w:t>/</w:t>
      </w:r>
      <w:r w:rsidRPr="00EB0E65">
        <w:rPr>
          <w:rFonts w:ascii="Times New Roman" w:hAnsi="Times New Roman"/>
          <w:bCs/>
          <w:sz w:val="24"/>
          <w:lang w:eastAsia="zh-CN"/>
        </w:rPr>
        <w:t>期货市场波动、证券发行人合并、基金规模变动等基金管理人之外的因素致使基金投资比例不符合上述第（</w:t>
      </w:r>
      <w:r w:rsidRPr="00EB0E65">
        <w:rPr>
          <w:rFonts w:ascii="Times New Roman" w:hAnsi="Times New Roman"/>
          <w:bCs/>
          <w:sz w:val="24"/>
          <w:lang w:eastAsia="zh-CN"/>
        </w:rPr>
        <w:t>1</w:t>
      </w:r>
      <w:r w:rsidRPr="00EB0E65">
        <w:rPr>
          <w:rFonts w:ascii="Times New Roman" w:hAnsi="Times New Roman"/>
          <w:bCs/>
          <w:sz w:val="24"/>
          <w:lang w:eastAsia="zh-CN"/>
        </w:rPr>
        <w:t>）项规定的投资比例的，基金管理人应当</w:t>
      </w:r>
      <w:r w:rsidRPr="00EB0E65">
        <w:rPr>
          <w:rFonts w:ascii="Times New Roman" w:hAnsi="Times New Roman"/>
          <w:bCs/>
          <w:sz w:val="24"/>
          <w:lang w:eastAsia="zh-CN"/>
        </w:rPr>
        <w:t>30</w:t>
      </w:r>
      <w:r w:rsidRPr="00EB0E65">
        <w:rPr>
          <w:rFonts w:ascii="Times New Roman" w:hAnsi="Times New Roman"/>
          <w:bCs/>
          <w:sz w:val="24"/>
          <w:lang w:eastAsia="zh-CN"/>
        </w:rPr>
        <w:t>个交易日内进行调整；不符合上述第（</w:t>
      </w:r>
      <w:r w:rsidRPr="00EB0E65">
        <w:rPr>
          <w:rFonts w:ascii="Times New Roman" w:hAnsi="Times New Roman"/>
          <w:bCs/>
          <w:sz w:val="24"/>
          <w:lang w:eastAsia="zh-CN"/>
        </w:rPr>
        <w:t>2</w:t>
      </w:r>
      <w:r w:rsidRPr="00EB0E65">
        <w:rPr>
          <w:rFonts w:ascii="Times New Roman" w:hAnsi="Times New Roman"/>
          <w:bCs/>
          <w:sz w:val="24"/>
          <w:lang w:eastAsia="zh-CN"/>
        </w:rPr>
        <w:t>）、（</w:t>
      </w:r>
      <w:r w:rsidRPr="00EB0E65">
        <w:rPr>
          <w:rFonts w:ascii="Times New Roman" w:hAnsi="Times New Roman"/>
          <w:bCs/>
          <w:sz w:val="24"/>
          <w:lang w:eastAsia="zh-CN"/>
        </w:rPr>
        <w:t>3</w:t>
      </w:r>
      <w:r w:rsidRPr="00EB0E65">
        <w:rPr>
          <w:rFonts w:ascii="Times New Roman" w:hAnsi="Times New Roman"/>
          <w:bCs/>
          <w:sz w:val="24"/>
          <w:lang w:eastAsia="zh-CN"/>
        </w:rPr>
        <w:t>）、（</w:t>
      </w:r>
      <w:r w:rsidRPr="00EB0E65">
        <w:rPr>
          <w:rFonts w:ascii="Times New Roman" w:hAnsi="Times New Roman"/>
          <w:bCs/>
          <w:sz w:val="24"/>
          <w:lang w:eastAsia="zh-CN"/>
        </w:rPr>
        <w:t>4</w:t>
      </w:r>
      <w:r w:rsidRPr="00EB0E65">
        <w:rPr>
          <w:rFonts w:ascii="Times New Roman" w:hAnsi="Times New Roman"/>
          <w:bCs/>
          <w:sz w:val="24"/>
          <w:lang w:eastAsia="zh-CN"/>
        </w:rPr>
        <w:t>）项规定的投资比例的，基金管理人应当</w:t>
      </w:r>
      <w:r w:rsidRPr="00EB0E65">
        <w:rPr>
          <w:rFonts w:ascii="Times New Roman" w:hAnsi="Times New Roman"/>
          <w:bCs/>
          <w:sz w:val="24"/>
          <w:lang w:eastAsia="zh-CN"/>
        </w:rPr>
        <w:t>10</w:t>
      </w:r>
      <w:r w:rsidRPr="00EB0E65">
        <w:rPr>
          <w:rFonts w:ascii="Times New Roman" w:hAnsi="Times New Roman"/>
          <w:bCs/>
          <w:sz w:val="24"/>
          <w:lang w:eastAsia="zh-CN"/>
        </w:rPr>
        <w:t>个交易日内进行调整；但中国证监会规定的特殊情形除外。</w:t>
      </w:r>
    </w:p>
    <w:p w14:paraId="0475B952"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w:t>
      </w:r>
      <w:r w:rsidRPr="00EB0E65">
        <w:rPr>
          <w:rFonts w:ascii="Times New Roman" w:hAnsi="Times New Roman"/>
          <w:bCs/>
          <w:sz w:val="24"/>
          <w:lang w:eastAsia="zh-CN"/>
        </w:rPr>
        <w:t>5</w:t>
      </w:r>
      <w:r w:rsidRPr="00EB0E65">
        <w:rPr>
          <w:rFonts w:ascii="Times New Roman" w:hAnsi="Times New Roman"/>
          <w:bCs/>
          <w:sz w:val="24"/>
          <w:lang w:eastAsia="zh-CN"/>
        </w:rPr>
        <w:t>）本基金境外投资组合应遵循以下限制：</w:t>
      </w:r>
    </w:p>
    <w:p w14:paraId="3353242E"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w:t>
      </w:r>
      <w:r w:rsidRPr="00EB0E65">
        <w:rPr>
          <w:rFonts w:ascii="Times New Roman" w:hAnsi="Times New Roman"/>
          <w:bCs/>
          <w:sz w:val="24"/>
          <w:lang w:eastAsia="zh-CN"/>
        </w:rPr>
        <w:t>）本基金持有同一家银行的存款不得超过基金净值的</w:t>
      </w:r>
      <w:r w:rsidRPr="00EB0E65">
        <w:rPr>
          <w:rFonts w:ascii="Times New Roman" w:hAnsi="Times New Roman"/>
          <w:bCs/>
          <w:sz w:val="24"/>
          <w:lang w:eastAsia="zh-CN"/>
        </w:rPr>
        <w:t>20%</w:t>
      </w:r>
      <w:r w:rsidRPr="00EB0E65">
        <w:rPr>
          <w:rFonts w:ascii="Times New Roman" w:hAnsi="Times New Roman"/>
          <w:bCs/>
          <w:sz w:val="24"/>
          <w:lang w:eastAsia="zh-CN"/>
        </w:rPr>
        <w:t>，在基金托管账户的存款可以不受上述限制；</w:t>
      </w:r>
    </w:p>
    <w:p w14:paraId="674974D1" w14:textId="3E186D19" w:rsidR="00EB0E65" w:rsidRPr="00EB0E65" w:rsidRDefault="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2</w:t>
      </w:r>
      <w:r w:rsidRPr="00EB0E65">
        <w:rPr>
          <w:rFonts w:ascii="Times New Roman" w:hAnsi="Times New Roman"/>
          <w:bCs/>
          <w:sz w:val="24"/>
          <w:lang w:eastAsia="zh-CN"/>
        </w:rPr>
        <w:t>）本基金持有境外基金的市值合计不得超过基金资产净值的</w:t>
      </w:r>
      <w:r w:rsidRPr="00EB0E65">
        <w:rPr>
          <w:rFonts w:ascii="Times New Roman" w:hAnsi="Times New Roman"/>
          <w:bCs/>
          <w:sz w:val="24"/>
          <w:lang w:eastAsia="zh-CN"/>
        </w:rPr>
        <w:t>10%</w:t>
      </w:r>
      <w:r w:rsidRPr="00EB0E65">
        <w:rPr>
          <w:rFonts w:ascii="Times New Roman" w:hAnsi="Times New Roman"/>
          <w:bCs/>
          <w:sz w:val="24"/>
          <w:lang w:eastAsia="zh-CN"/>
        </w:rPr>
        <w:t>，持有货币市场基金可以不受上述限制；</w:t>
      </w:r>
    </w:p>
    <w:p w14:paraId="081370D0" w14:textId="2B9D84D2"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3</w:t>
      </w:r>
      <w:r w:rsidR="00EB0E65" w:rsidRPr="00EB0E65">
        <w:rPr>
          <w:rFonts w:ascii="Times New Roman" w:hAnsi="Times New Roman"/>
          <w:bCs/>
          <w:sz w:val="24"/>
          <w:lang w:eastAsia="zh-CN"/>
        </w:rPr>
        <w:t>）本基金管理人管理的全部基金持有任何一只境外基金，不得超过该境外基金总份额的</w:t>
      </w:r>
      <w:r w:rsidR="00EB0E65" w:rsidRPr="00EB0E65">
        <w:rPr>
          <w:rFonts w:ascii="Times New Roman" w:hAnsi="Times New Roman"/>
          <w:bCs/>
          <w:sz w:val="24"/>
          <w:lang w:eastAsia="zh-CN"/>
        </w:rPr>
        <w:t>20</w:t>
      </w:r>
      <w:r w:rsidR="00EB0E65" w:rsidRPr="00EB0E65">
        <w:rPr>
          <w:rFonts w:ascii="Times New Roman" w:hAnsi="Times New Roman"/>
          <w:bCs/>
          <w:sz w:val="24"/>
          <w:lang w:eastAsia="zh-CN"/>
        </w:rPr>
        <w:t>％；</w:t>
      </w:r>
    </w:p>
    <w:p w14:paraId="6CDB8AD7" w14:textId="4B028EA8"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4</w:t>
      </w:r>
      <w:r w:rsidR="00EB0E65" w:rsidRPr="00EB0E65">
        <w:rPr>
          <w:rFonts w:ascii="Times New Roman" w:hAnsi="Times New Roman"/>
          <w:bCs/>
          <w:sz w:val="24"/>
          <w:lang w:eastAsia="zh-CN"/>
        </w:rPr>
        <w:t>）为应付赎回、交易清算等临时用途借入现金的比例不得超过基金资产净值的</w:t>
      </w:r>
      <w:r w:rsidR="00EB0E65" w:rsidRPr="00EB0E65">
        <w:rPr>
          <w:rFonts w:ascii="Times New Roman" w:hAnsi="Times New Roman"/>
          <w:bCs/>
          <w:sz w:val="24"/>
          <w:lang w:eastAsia="zh-CN"/>
        </w:rPr>
        <w:t>10%</w:t>
      </w:r>
      <w:r w:rsidR="00EB0E65" w:rsidRPr="00EB0E65">
        <w:rPr>
          <w:rFonts w:ascii="Times New Roman" w:hAnsi="Times New Roman"/>
          <w:bCs/>
          <w:sz w:val="24"/>
          <w:lang w:eastAsia="zh-CN"/>
        </w:rPr>
        <w:t>；</w:t>
      </w:r>
    </w:p>
    <w:p w14:paraId="3D6A4B8C" w14:textId="5024247A"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5</w:t>
      </w:r>
      <w:r w:rsidR="00EB0E65" w:rsidRPr="00EB0E65">
        <w:rPr>
          <w:rFonts w:ascii="Times New Roman" w:hAnsi="Times New Roman"/>
          <w:bCs/>
          <w:sz w:val="24"/>
          <w:lang w:eastAsia="zh-CN"/>
        </w:rPr>
        <w:t>）本基金持有非流动性资产市值不得超过基金资产净值的</w:t>
      </w:r>
      <w:r w:rsidR="00EB0E65" w:rsidRPr="00EB0E65">
        <w:rPr>
          <w:rFonts w:ascii="Times New Roman" w:hAnsi="Times New Roman"/>
          <w:bCs/>
          <w:sz w:val="24"/>
          <w:lang w:eastAsia="zh-CN"/>
        </w:rPr>
        <w:t>10%</w:t>
      </w:r>
      <w:r w:rsidR="00EB0E65" w:rsidRPr="00EB0E65">
        <w:rPr>
          <w:rFonts w:ascii="Times New Roman" w:hAnsi="Times New Roman"/>
          <w:bCs/>
          <w:sz w:val="24"/>
          <w:lang w:eastAsia="zh-CN"/>
        </w:rPr>
        <w:t>，前项非流动性资产是指法律或基金合同规定的流通受限证券以及中国证监会认定的其他资产；</w:t>
      </w:r>
    </w:p>
    <w:p w14:paraId="31E11400" w14:textId="55086D34"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6</w:t>
      </w:r>
      <w:r w:rsidR="00EB0E65" w:rsidRPr="00EB0E65">
        <w:rPr>
          <w:rFonts w:ascii="Times New Roman" w:hAnsi="Times New Roman"/>
          <w:bCs/>
          <w:sz w:val="24"/>
          <w:lang w:eastAsia="zh-CN"/>
        </w:rPr>
        <w:t>）境外金融衍生品投资</w:t>
      </w:r>
    </w:p>
    <w:p w14:paraId="22C90B2F"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lastRenderedPageBreak/>
        <w:t>本基金投资衍生品应当仅限于投资组合避险或有效管理，不得用于投机或放大交易，同时应当严格遵守下列规定：</w:t>
      </w:r>
    </w:p>
    <w:p w14:paraId="15BED2F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A.</w:t>
      </w:r>
      <w:r w:rsidRPr="00EB0E65">
        <w:rPr>
          <w:rFonts w:ascii="Times New Roman" w:hAnsi="Times New Roman"/>
          <w:bCs/>
          <w:sz w:val="24"/>
          <w:lang w:eastAsia="zh-CN"/>
        </w:rPr>
        <w:tab/>
      </w:r>
      <w:r w:rsidRPr="00EB0E65">
        <w:rPr>
          <w:rFonts w:ascii="Times New Roman" w:hAnsi="Times New Roman"/>
          <w:bCs/>
          <w:sz w:val="24"/>
          <w:lang w:eastAsia="zh-CN"/>
        </w:rPr>
        <w:t>本基金的金融衍生品全部敞口不得高于基金资产净值的</w:t>
      </w:r>
      <w:r w:rsidRPr="00EB0E65">
        <w:rPr>
          <w:rFonts w:ascii="Times New Roman" w:hAnsi="Times New Roman"/>
          <w:bCs/>
          <w:sz w:val="24"/>
          <w:lang w:eastAsia="zh-CN"/>
        </w:rPr>
        <w:t>100</w:t>
      </w:r>
      <w:r w:rsidRPr="00EB0E65">
        <w:rPr>
          <w:rFonts w:ascii="Times New Roman" w:hAnsi="Times New Roman"/>
          <w:bCs/>
          <w:sz w:val="24"/>
          <w:lang w:eastAsia="zh-CN"/>
        </w:rPr>
        <w:t>％；</w:t>
      </w:r>
    </w:p>
    <w:p w14:paraId="54B0B6E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B.</w:t>
      </w:r>
      <w:r w:rsidRPr="00EB0E65">
        <w:rPr>
          <w:rFonts w:ascii="Times New Roman" w:hAnsi="Times New Roman"/>
          <w:bCs/>
          <w:sz w:val="24"/>
          <w:lang w:eastAsia="zh-CN"/>
        </w:rPr>
        <w:tab/>
      </w:r>
      <w:r w:rsidRPr="00EB0E65">
        <w:rPr>
          <w:rFonts w:ascii="Times New Roman" w:hAnsi="Times New Roman"/>
          <w:bCs/>
          <w:sz w:val="24"/>
          <w:lang w:eastAsia="zh-CN"/>
        </w:rPr>
        <w:t>本基金投资期货支付的初始保证金、投资期权支付或收取的期权费、投资柜台交易衍生品支付的初始费用的总额不得高于基金资产净值的</w:t>
      </w:r>
      <w:r w:rsidRPr="00EB0E65">
        <w:rPr>
          <w:rFonts w:ascii="Times New Roman" w:hAnsi="Times New Roman"/>
          <w:bCs/>
          <w:sz w:val="24"/>
          <w:lang w:eastAsia="zh-CN"/>
        </w:rPr>
        <w:t>10</w:t>
      </w:r>
      <w:r w:rsidRPr="00EB0E65">
        <w:rPr>
          <w:rFonts w:ascii="Times New Roman" w:hAnsi="Times New Roman"/>
          <w:bCs/>
          <w:sz w:val="24"/>
          <w:lang w:eastAsia="zh-CN"/>
        </w:rPr>
        <w:t>％；</w:t>
      </w:r>
    </w:p>
    <w:p w14:paraId="1A65C650"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C.</w:t>
      </w:r>
      <w:r w:rsidRPr="00EB0E65">
        <w:rPr>
          <w:rFonts w:ascii="Times New Roman" w:hAnsi="Times New Roman"/>
          <w:bCs/>
          <w:sz w:val="24"/>
          <w:lang w:eastAsia="zh-CN"/>
        </w:rPr>
        <w:tab/>
      </w:r>
      <w:r w:rsidRPr="00EB0E65">
        <w:rPr>
          <w:rFonts w:ascii="Times New Roman" w:hAnsi="Times New Roman"/>
          <w:bCs/>
          <w:sz w:val="24"/>
          <w:lang w:eastAsia="zh-CN"/>
        </w:rPr>
        <w:t>本基金投资于远期合约、互换等柜台交易金融衍生品，应当符合以下要求：</w:t>
      </w:r>
    </w:p>
    <w:p w14:paraId="4D75B15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①所有参与交易的对手方（中资商业银行除外）应当具有不低于中国证监会认可的信用评级机构评级；</w:t>
      </w:r>
    </w:p>
    <w:p w14:paraId="3721655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②交易对手方应当至少每个工作日对交易进行估值，并且基金可在任何时候以公允价值终止交易；</w:t>
      </w:r>
    </w:p>
    <w:p w14:paraId="1739BBC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③任一交易对手方的市值计价敞口不得超过基金资产净值的</w:t>
      </w:r>
      <w:r w:rsidRPr="00EB0E65">
        <w:rPr>
          <w:rFonts w:ascii="Times New Roman" w:hAnsi="Times New Roman"/>
          <w:bCs/>
          <w:sz w:val="24"/>
          <w:lang w:eastAsia="zh-CN"/>
        </w:rPr>
        <w:t>20</w:t>
      </w:r>
      <w:r w:rsidRPr="00EB0E65">
        <w:rPr>
          <w:rFonts w:ascii="Times New Roman" w:hAnsi="Times New Roman"/>
          <w:bCs/>
          <w:sz w:val="24"/>
          <w:lang w:eastAsia="zh-CN"/>
        </w:rPr>
        <w:t>％。</w:t>
      </w:r>
    </w:p>
    <w:p w14:paraId="1CE5C731"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D.</w:t>
      </w:r>
      <w:r w:rsidRPr="00EB0E65">
        <w:rPr>
          <w:rFonts w:ascii="Times New Roman" w:hAnsi="Times New Roman"/>
          <w:bCs/>
          <w:sz w:val="24"/>
          <w:lang w:eastAsia="zh-CN"/>
        </w:rPr>
        <w:tab/>
      </w:r>
      <w:r w:rsidRPr="00EB0E65">
        <w:rPr>
          <w:rFonts w:ascii="Times New Roman" w:hAnsi="Times New Roman"/>
          <w:bCs/>
          <w:sz w:val="24"/>
          <w:lang w:eastAsia="zh-CN"/>
        </w:rPr>
        <w:t>基金管理人应当在基金会计年度结束后</w:t>
      </w:r>
      <w:r w:rsidRPr="00EB0E65">
        <w:rPr>
          <w:rFonts w:ascii="Times New Roman" w:hAnsi="Times New Roman"/>
          <w:bCs/>
          <w:sz w:val="24"/>
          <w:lang w:eastAsia="zh-CN"/>
        </w:rPr>
        <w:t>60</w:t>
      </w:r>
      <w:r w:rsidRPr="00EB0E65">
        <w:rPr>
          <w:rFonts w:ascii="Times New Roman" w:hAnsi="Times New Roman"/>
          <w:bCs/>
          <w:sz w:val="24"/>
          <w:lang w:eastAsia="zh-CN"/>
        </w:rPr>
        <w:t>个工作日内向中国证监会提交包括衍生品头寸及风险分析年度报告；</w:t>
      </w:r>
    </w:p>
    <w:p w14:paraId="36176CF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E.</w:t>
      </w:r>
      <w:r w:rsidRPr="00EB0E65">
        <w:rPr>
          <w:rFonts w:ascii="Times New Roman" w:hAnsi="Times New Roman"/>
          <w:bCs/>
          <w:sz w:val="24"/>
          <w:lang w:eastAsia="zh-CN"/>
        </w:rPr>
        <w:tab/>
      </w:r>
      <w:r w:rsidRPr="00EB0E65">
        <w:rPr>
          <w:rFonts w:ascii="Times New Roman" w:hAnsi="Times New Roman"/>
          <w:bCs/>
          <w:sz w:val="24"/>
          <w:lang w:eastAsia="zh-CN"/>
        </w:rPr>
        <w:t>本基金不得直接投资与实物商品相关的衍生品。</w:t>
      </w:r>
    </w:p>
    <w:p w14:paraId="3BBCAC48" w14:textId="2123B187"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7</w:t>
      </w:r>
      <w:r w:rsidR="00EB0E65" w:rsidRPr="00EB0E65">
        <w:rPr>
          <w:rFonts w:ascii="Times New Roman" w:hAnsi="Times New Roman"/>
          <w:bCs/>
          <w:sz w:val="24"/>
          <w:lang w:eastAsia="zh-CN"/>
        </w:rPr>
        <w:t>）本基金可以参与境外证券借贷交易，并且应当遵守下列规定：</w:t>
      </w:r>
    </w:p>
    <w:p w14:paraId="502A0A7D"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A.</w:t>
      </w:r>
      <w:r w:rsidRPr="00EB0E65">
        <w:rPr>
          <w:rFonts w:ascii="Times New Roman" w:hAnsi="Times New Roman"/>
          <w:bCs/>
          <w:sz w:val="24"/>
          <w:lang w:eastAsia="zh-CN"/>
        </w:rPr>
        <w:tab/>
      </w:r>
      <w:r w:rsidRPr="00EB0E65">
        <w:rPr>
          <w:rFonts w:ascii="Times New Roman" w:hAnsi="Times New Roman"/>
          <w:bCs/>
          <w:sz w:val="24"/>
          <w:lang w:eastAsia="zh-CN"/>
        </w:rPr>
        <w:t>所有参与交易的对手方（中资商业银行除外）应当具有中国证监会认可的信用评级机构评级；</w:t>
      </w:r>
    </w:p>
    <w:p w14:paraId="77E1506C"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B.</w:t>
      </w:r>
      <w:r w:rsidRPr="00EB0E65">
        <w:rPr>
          <w:rFonts w:ascii="Times New Roman" w:hAnsi="Times New Roman"/>
          <w:bCs/>
          <w:sz w:val="24"/>
          <w:lang w:eastAsia="zh-CN"/>
        </w:rPr>
        <w:tab/>
      </w:r>
      <w:r w:rsidRPr="00EB0E65">
        <w:rPr>
          <w:rFonts w:ascii="Times New Roman" w:hAnsi="Times New Roman"/>
          <w:bCs/>
          <w:sz w:val="24"/>
          <w:lang w:eastAsia="zh-CN"/>
        </w:rPr>
        <w:t>应当采取市值计价制度进行调整以确保担保物市值不低于已借出证券市值的</w:t>
      </w:r>
      <w:r w:rsidRPr="00EB0E65">
        <w:rPr>
          <w:rFonts w:ascii="Times New Roman" w:hAnsi="Times New Roman"/>
          <w:bCs/>
          <w:sz w:val="24"/>
          <w:lang w:eastAsia="zh-CN"/>
        </w:rPr>
        <w:t>102</w:t>
      </w:r>
      <w:r w:rsidRPr="00EB0E65">
        <w:rPr>
          <w:rFonts w:ascii="Times New Roman" w:hAnsi="Times New Roman"/>
          <w:bCs/>
          <w:sz w:val="24"/>
          <w:lang w:eastAsia="zh-CN"/>
        </w:rPr>
        <w:t>％；</w:t>
      </w:r>
    </w:p>
    <w:p w14:paraId="19D7387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C.</w:t>
      </w:r>
      <w:r w:rsidRPr="00EB0E65">
        <w:rPr>
          <w:rFonts w:ascii="Times New Roman" w:hAnsi="Times New Roman"/>
          <w:bCs/>
          <w:sz w:val="24"/>
          <w:lang w:eastAsia="zh-CN"/>
        </w:rPr>
        <w:tab/>
      </w:r>
      <w:r w:rsidRPr="00EB0E65">
        <w:rPr>
          <w:rFonts w:ascii="Times New Roman" w:hAnsi="Times New Roman"/>
          <w:bCs/>
          <w:sz w:val="24"/>
          <w:lang w:eastAsia="zh-CN"/>
        </w:rPr>
        <w:t>借方应当在交易期内及时向本基金支付已借出证券产生的所有股息、利息和分红。一旦借方违约，本基金根据协议和有关法律有权保留和处置担保物以满足索赔需要；</w:t>
      </w:r>
    </w:p>
    <w:p w14:paraId="709E298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D.</w:t>
      </w:r>
      <w:r w:rsidRPr="00EB0E65">
        <w:rPr>
          <w:rFonts w:ascii="Times New Roman" w:hAnsi="Times New Roman"/>
          <w:bCs/>
          <w:sz w:val="24"/>
          <w:lang w:eastAsia="zh-CN"/>
        </w:rPr>
        <w:tab/>
      </w:r>
      <w:r w:rsidRPr="00EB0E65">
        <w:rPr>
          <w:rFonts w:ascii="Times New Roman" w:hAnsi="Times New Roman"/>
          <w:bCs/>
          <w:sz w:val="24"/>
          <w:lang w:eastAsia="zh-CN"/>
        </w:rPr>
        <w:t>除中国证监会另有规定外，担保物可以是以下金融工具或品种：</w:t>
      </w:r>
    </w:p>
    <w:p w14:paraId="7EAC53B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①现金；</w:t>
      </w:r>
    </w:p>
    <w:p w14:paraId="3414A9DD"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②存款证明；</w:t>
      </w:r>
    </w:p>
    <w:p w14:paraId="17C54C0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③商业票据；</w:t>
      </w:r>
    </w:p>
    <w:p w14:paraId="070303C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④政府债券；</w:t>
      </w:r>
    </w:p>
    <w:p w14:paraId="19B4FBEE"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⑤中资商业银行或由不低于中国证监会认可的信用评级机构评级的境外金融机构（作为交易对手方或其关联方的除外）出具的不可撤销信用证；</w:t>
      </w:r>
    </w:p>
    <w:p w14:paraId="4F319EFE"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E.</w:t>
      </w:r>
      <w:r w:rsidRPr="00EB0E65">
        <w:rPr>
          <w:rFonts w:ascii="Times New Roman" w:hAnsi="Times New Roman"/>
          <w:bCs/>
          <w:sz w:val="24"/>
          <w:lang w:eastAsia="zh-CN"/>
        </w:rPr>
        <w:tab/>
      </w:r>
      <w:r w:rsidRPr="00EB0E65">
        <w:rPr>
          <w:rFonts w:ascii="Times New Roman" w:hAnsi="Times New Roman"/>
          <w:bCs/>
          <w:sz w:val="24"/>
          <w:lang w:eastAsia="zh-CN"/>
        </w:rPr>
        <w:t>本基金有权在任何时候终止证券借贷交易并在正常市场惯例的合理期限内要</w:t>
      </w:r>
      <w:r w:rsidRPr="00EB0E65">
        <w:rPr>
          <w:rFonts w:ascii="Times New Roman" w:hAnsi="Times New Roman"/>
          <w:bCs/>
          <w:sz w:val="24"/>
          <w:lang w:eastAsia="zh-CN"/>
        </w:rPr>
        <w:lastRenderedPageBreak/>
        <w:t>求归还任一或所有已借出的证券；</w:t>
      </w:r>
    </w:p>
    <w:p w14:paraId="3DAD65B1"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F.</w:t>
      </w:r>
      <w:r w:rsidRPr="00EB0E65">
        <w:rPr>
          <w:rFonts w:ascii="Times New Roman" w:hAnsi="Times New Roman"/>
          <w:bCs/>
          <w:sz w:val="24"/>
          <w:lang w:eastAsia="zh-CN"/>
        </w:rPr>
        <w:tab/>
      </w:r>
      <w:r w:rsidRPr="00EB0E65">
        <w:rPr>
          <w:rFonts w:ascii="Times New Roman" w:hAnsi="Times New Roman"/>
          <w:bCs/>
          <w:sz w:val="24"/>
          <w:lang w:eastAsia="zh-CN"/>
        </w:rPr>
        <w:t>基金管理人应当对基金参与证券借贷交易中发生的任何损失负相应责任。</w:t>
      </w:r>
    </w:p>
    <w:p w14:paraId="402314F6" w14:textId="0B9C975F"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8</w:t>
      </w:r>
      <w:r w:rsidR="00EB0E65" w:rsidRPr="00EB0E65">
        <w:rPr>
          <w:rFonts w:ascii="Times New Roman" w:hAnsi="Times New Roman"/>
          <w:bCs/>
          <w:sz w:val="24"/>
          <w:lang w:eastAsia="zh-CN"/>
        </w:rPr>
        <w:t>）基金可以根据正常市场惯例参与境外正回购交易、逆回购交易，并且应当遵守下列规定：</w:t>
      </w:r>
    </w:p>
    <w:p w14:paraId="1CE7FD2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A.</w:t>
      </w:r>
      <w:r w:rsidRPr="00EB0E65">
        <w:rPr>
          <w:rFonts w:ascii="Times New Roman" w:hAnsi="Times New Roman"/>
          <w:bCs/>
          <w:sz w:val="24"/>
          <w:lang w:eastAsia="zh-CN"/>
        </w:rPr>
        <w:tab/>
      </w:r>
      <w:r w:rsidRPr="00EB0E65">
        <w:rPr>
          <w:rFonts w:ascii="Times New Roman" w:hAnsi="Times New Roman"/>
          <w:bCs/>
          <w:sz w:val="24"/>
          <w:lang w:eastAsia="zh-CN"/>
        </w:rPr>
        <w:t>所有参与正回购交易的对手方（中资商业银行除外）应当具有中国证监会认可的信用评级机构信用评级；</w:t>
      </w:r>
    </w:p>
    <w:p w14:paraId="0AE7AE91"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B.</w:t>
      </w:r>
      <w:r w:rsidRPr="00EB0E65">
        <w:rPr>
          <w:rFonts w:ascii="Times New Roman" w:hAnsi="Times New Roman"/>
          <w:bCs/>
          <w:sz w:val="24"/>
          <w:lang w:eastAsia="zh-CN"/>
        </w:rPr>
        <w:tab/>
      </w:r>
      <w:r w:rsidRPr="00EB0E65">
        <w:rPr>
          <w:rFonts w:ascii="Times New Roman" w:hAnsi="Times New Roman"/>
          <w:bCs/>
          <w:sz w:val="24"/>
          <w:lang w:eastAsia="zh-CN"/>
        </w:rPr>
        <w:t>参与正回购交易，应当采取市值计价制度对卖出收益进行调整以确保现金不低于已售出证券市值的</w:t>
      </w:r>
      <w:r w:rsidRPr="00EB0E65">
        <w:rPr>
          <w:rFonts w:ascii="Times New Roman" w:hAnsi="Times New Roman"/>
          <w:bCs/>
          <w:sz w:val="24"/>
          <w:lang w:eastAsia="zh-CN"/>
        </w:rPr>
        <w:t>102</w:t>
      </w:r>
      <w:r w:rsidRPr="00EB0E65">
        <w:rPr>
          <w:rFonts w:ascii="Times New Roman" w:hAnsi="Times New Roman"/>
          <w:bCs/>
          <w:sz w:val="24"/>
          <w:lang w:eastAsia="zh-CN"/>
        </w:rPr>
        <w:t>％。一旦买方违约，本基金根据协议和有关法律有权保留或处置卖出收益以满足索赔需要；</w:t>
      </w:r>
    </w:p>
    <w:p w14:paraId="7520ABA4"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C.</w:t>
      </w:r>
      <w:r w:rsidRPr="00EB0E65">
        <w:rPr>
          <w:rFonts w:ascii="Times New Roman" w:hAnsi="Times New Roman"/>
          <w:bCs/>
          <w:sz w:val="24"/>
          <w:lang w:eastAsia="zh-CN"/>
        </w:rPr>
        <w:tab/>
      </w:r>
      <w:r w:rsidRPr="00EB0E65">
        <w:rPr>
          <w:rFonts w:ascii="Times New Roman" w:hAnsi="Times New Roman"/>
          <w:bCs/>
          <w:sz w:val="24"/>
          <w:lang w:eastAsia="zh-CN"/>
        </w:rPr>
        <w:t>买方应当在正回购交易期内及时向本基金支付售出证券产生的所有股息、利息和分红；</w:t>
      </w:r>
    </w:p>
    <w:p w14:paraId="0165B0E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D.</w:t>
      </w:r>
      <w:r w:rsidRPr="00EB0E65">
        <w:rPr>
          <w:rFonts w:ascii="Times New Roman" w:hAnsi="Times New Roman"/>
          <w:bCs/>
          <w:sz w:val="24"/>
          <w:lang w:eastAsia="zh-CN"/>
        </w:rPr>
        <w:tab/>
      </w:r>
      <w:r w:rsidRPr="00EB0E65">
        <w:rPr>
          <w:rFonts w:ascii="Times New Roman" w:hAnsi="Times New Roman"/>
          <w:bCs/>
          <w:sz w:val="24"/>
          <w:lang w:eastAsia="zh-CN"/>
        </w:rPr>
        <w:t>参与逆回购交易，应当对购入证券采取市值计价制度进行调整以确保已购入证券市值不低于支付现金的</w:t>
      </w:r>
      <w:r w:rsidRPr="00EB0E65">
        <w:rPr>
          <w:rFonts w:ascii="Times New Roman" w:hAnsi="Times New Roman"/>
          <w:bCs/>
          <w:sz w:val="24"/>
          <w:lang w:eastAsia="zh-CN"/>
        </w:rPr>
        <w:t>102</w:t>
      </w:r>
      <w:r w:rsidRPr="00EB0E65">
        <w:rPr>
          <w:rFonts w:ascii="Times New Roman" w:hAnsi="Times New Roman"/>
          <w:bCs/>
          <w:sz w:val="24"/>
          <w:lang w:eastAsia="zh-CN"/>
        </w:rPr>
        <w:t>％。一旦卖方违约，本基金根据协议和有关法律有权保留或处置已购入证券以满足索赔需要；</w:t>
      </w:r>
    </w:p>
    <w:p w14:paraId="354097B6"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E.</w:t>
      </w:r>
      <w:r w:rsidRPr="00EB0E65">
        <w:rPr>
          <w:rFonts w:ascii="Times New Roman" w:hAnsi="Times New Roman"/>
          <w:bCs/>
          <w:sz w:val="24"/>
          <w:lang w:eastAsia="zh-CN"/>
        </w:rPr>
        <w:tab/>
      </w:r>
      <w:r w:rsidRPr="00EB0E65">
        <w:rPr>
          <w:rFonts w:ascii="Times New Roman" w:hAnsi="Times New Roman"/>
          <w:bCs/>
          <w:sz w:val="24"/>
          <w:lang w:eastAsia="zh-CN"/>
        </w:rPr>
        <w:t>基金管理人应当对本基金参与证券正回购交易、逆回购交易中发生的任何损失负相应责任。</w:t>
      </w:r>
    </w:p>
    <w:p w14:paraId="0A08FC62" w14:textId="37B1750D"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9</w:t>
      </w:r>
      <w:r w:rsidR="00EB0E65" w:rsidRPr="00EB0E65">
        <w:rPr>
          <w:rFonts w:ascii="Times New Roman" w:hAnsi="Times New Roman"/>
          <w:bCs/>
          <w:sz w:val="24"/>
          <w:lang w:eastAsia="zh-CN"/>
        </w:rPr>
        <w:t>）本基金参与境外证券借贷交易、正回购交易，所有已借出而未归还证券总市值或所有已售出而未回购证券总市值均不得超过本基金总资产的</w:t>
      </w:r>
      <w:r w:rsidR="00EB0E65" w:rsidRPr="00EB0E65">
        <w:rPr>
          <w:rFonts w:ascii="Times New Roman" w:hAnsi="Times New Roman"/>
          <w:bCs/>
          <w:sz w:val="24"/>
          <w:lang w:eastAsia="zh-CN"/>
        </w:rPr>
        <w:t>50</w:t>
      </w:r>
      <w:r w:rsidR="00EB0E65" w:rsidRPr="00EB0E65">
        <w:rPr>
          <w:rFonts w:ascii="Times New Roman" w:hAnsi="Times New Roman"/>
          <w:bCs/>
          <w:sz w:val="24"/>
          <w:lang w:eastAsia="zh-CN"/>
        </w:rPr>
        <w:t>％。</w:t>
      </w:r>
    </w:p>
    <w:p w14:paraId="15C703B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前项比例限制计算，本基金因参与证券借贷交易、正回购交易而持有的担保物、现金不得计入基金总资产。</w:t>
      </w:r>
    </w:p>
    <w:p w14:paraId="0EE69050" w14:textId="3C9DAB55" w:rsidR="00EB0E65" w:rsidRPr="00EB0E65" w:rsidRDefault="00880B0C"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w:t>
      </w:r>
      <w:r>
        <w:rPr>
          <w:rFonts w:ascii="Times New Roman" w:hAnsi="Times New Roman"/>
          <w:bCs/>
          <w:sz w:val="24"/>
          <w:lang w:eastAsia="zh-CN"/>
        </w:rPr>
        <w:t>0</w:t>
      </w:r>
      <w:r w:rsidR="00EB0E65" w:rsidRPr="00EB0E65">
        <w:rPr>
          <w:rFonts w:ascii="Times New Roman" w:hAnsi="Times New Roman"/>
          <w:bCs/>
          <w:sz w:val="24"/>
          <w:lang w:eastAsia="zh-CN"/>
        </w:rPr>
        <w:t>）本基金持有同一机构（政府、国际金融组织除外）发行的证券市值不得超过基金净值的</w:t>
      </w:r>
      <w:r w:rsidR="00EB0E65" w:rsidRPr="00EB0E65">
        <w:rPr>
          <w:rFonts w:ascii="Times New Roman" w:hAnsi="Times New Roman"/>
          <w:bCs/>
          <w:sz w:val="24"/>
          <w:lang w:eastAsia="zh-CN"/>
        </w:rPr>
        <w:t>10%</w:t>
      </w:r>
      <w:r w:rsidR="00EB0E65" w:rsidRPr="00EB0E65">
        <w:rPr>
          <w:rFonts w:ascii="Times New Roman" w:hAnsi="Times New Roman"/>
          <w:bCs/>
          <w:sz w:val="24"/>
          <w:lang w:eastAsia="zh-CN"/>
        </w:rPr>
        <w:t>。</w:t>
      </w:r>
    </w:p>
    <w:p w14:paraId="3E3AFC75" w14:textId="11503DD2"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11</w:t>
      </w:r>
      <w:r w:rsidR="00EB0E65" w:rsidRPr="00EB0E65">
        <w:rPr>
          <w:rFonts w:ascii="Times New Roman" w:hAnsi="Times New Roman"/>
          <w:bCs/>
          <w:sz w:val="24"/>
          <w:lang w:eastAsia="zh-CN"/>
        </w:rPr>
        <w:t>）基金不得购买证券用于控制或影响发行该证券的机构或其管理层。本基金管理人管理的全部基金不得持有同一机构</w:t>
      </w:r>
      <w:r w:rsidR="00EB0E65" w:rsidRPr="00EB0E65">
        <w:rPr>
          <w:rFonts w:ascii="Times New Roman" w:hAnsi="Times New Roman"/>
          <w:bCs/>
          <w:sz w:val="24"/>
          <w:lang w:eastAsia="zh-CN"/>
        </w:rPr>
        <w:t>10%</w:t>
      </w:r>
      <w:r w:rsidR="00EB0E65" w:rsidRPr="00EB0E65">
        <w:rPr>
          <w:rFonts w:ascii="Times New Roman" w:hAnsi="Times New Roman"/>
          <w:bCs/>
          <w:sz w:val="24"/>
          <w:lang w:eastAsia="zh-CN"/>
        </w:rPr>
        <w:t>以上具有投票权的证券发行总量。完全按照有关指数的构成比例进行证券投资的基金品种可以不受此条款规定的比例限制。</w:t>
      </w:r>
    </w:p>
    <w:p w14:paraId="77F3D6DA"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前项投资比例限制应当合并计算同一机构境内外上市的总股本，同时应当一并计算全球存托凭证和美国存托凭证所代表的基础证券，并假设对持有的股本权证行使转换；</w:t>
      </w:r>
    </w:p>
    <w:p w14:paraId="60865025" w14:textId="7C665F9A" w:rsidR="00EB0E65" w:rsidRPr="00EB0E65" w:rsidRDefault="00880B0C" w:rsidP="00EB0E65">
      <w:pPr>
        <w:spacing w:line="360" w:lineRule="auto"/>
        <w:ind w:firstLineChars="200" w:firstLine="480"/>
        <w:jc w:val="both"/>
        <w:rPr>
          <w:rFonts w:ascii="Times New Roman" w:hAnsi="Times New Roman"/>
          <w:bCs/>
          <w:sz w:val="24"/>
          <w:lang w:eastAsia="zh-CN"/>
        </w:rPr>
      </w:pPr>
      <w:r>
        <w:rPr>
          <w:rFonts w:ascii="Times New Roman" w:hAnsi="Times New Roman"/>
          <w:bCs/>
          <w:sz w:val="24"/>
          <w:lang w:eastAsia="zh-CN"/>
        </w:rPr>
        <w:t>12</w:t>
      </w:r>
      <w:r w:rsidR="00EB0E65" w:rsidRPr="00EB0E65">
        <w:rPr>
          <w:rFonts w:ascii="Times New Roman" w:hAnsi="Times New Roman"/>
          <w:bCs/>
          <w:sz w:val="24"/>
          <w:lang w:eastAsia="zh-CN"/>
        </w:rPr>
        <w:t>）法律法规和《基金合同》约定的其他投资比例限制。</w:t>
      </w:r>
    </w:p>
    <w:p w14:paraId="1BBD8B76" w14:textId="4A87A42B"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lastRenderedPageBreak/>
        <w:t>本基金投资境外投资组合的，除上述第（</w:t>
      </w:r>
      <w:r w:rsidRPr="00EB0E65">
        <w:rPr>
          <w:rFonts w:ascii="Times New Roman" w:hAnsi="Times New Roman"/>
          <w:bCs/>
          <w:sz w:val="24"/>
          <w:lang w:eastAsia="zh-CN"/>
        </w:rPr>
        <w:t>5</w:t>
      </w:r>
      <w:r w:rsidRPr="00EB0E65">
        <w:rPr>
          <w:rFonts w:ascii="Times New Roman" w:hAnsi="Times New Roman"/>
          <w:bCs/>
          <w:sz w:val="24"/>
          <w:lang w:eastAsia="zh-CN"/>
        </w:rPr>
        <w:t>）项的</w:t>
      </w:r>
      <w:r w:rsidR="009A0224">
        <w:rPr>
          <w:rFonts w:ascii="Times New Roman" w:hAnsi="Times New Roman"/>
          <w:bCs/>
          <w:sz w:val="24"/>
          <w:lang w:eastAsia="zh-CN"/>
        </w:rPr>
        <w:t>4</w:t>
      </w:r>
      <w:r w:rsidRPr="00EB0E65">
        <w:rPr>
          <w:rFonts w:ascii="Times New Roman" w:hAnsi="Times New Roman"/>
          <w:bCs/>
          <w:sz w:val="24"/>
          <w:lang w:eastAsia="zh-CN"/>
        </w:rPr>
        <w:t>）、</w:t>
      </w:r>
      <w:r w:rsidR="009A0224">
        <w:rPr>
          <w:rFonts w:ascii="Times New Roman" w:hAnsi="Times New Roman"/>
          <w:bCs/>
          <w:sz w:val="24"/>
          <w:lang w:eastAsia="zh-CN"/>
        </w:rPr>
        <w:t>6</w:t>
      </w:r>
      <w:r w:rsidRPr="00EB0E65">
        <w:rPr>
          <w:rFonts w:ascii="Times New Roman" w:hAnsi="Times New Roman"/>
          <w:bCs/>
          <w:sz w:val="24"/>
          <w:lang w:eastAsia="zh-CN"/>
        </w:rPr>
        <w:t>）、</w:t>
      </w:r>
      <w:r w:rsidR="009A0224">
        <w:rPr>
          <w:rFonts w:ascii="Times New Roman" w:hAnsi="Times New Roman"/>
          <w:bCs/>
          <w:sz w:val="24"/>
          <w:lang w:eastAsia="zh-CN"/>
        </w:rPr>
        <w:t>7</w:t>
      </w:r>
      <w:r w:rsidRPr="00EB0E65">
        <w:rPr>
          <w:rFonts w:ascii="Times New Roman" w:hAnsi="Times New Roman"/>
          <w:bCs/>
          <w:sz w:val="24"/>
          <w:lang w:eastAsia="zh-CN"/>
        </w:rPr>
        <w:t>）、</w:t>
      </w:r>
      <w:r w:rsidR="009A0224">
        <w:rPr>
          <w:rFonts w:ascii="Times New Roman" w:hAnsi="Times New Roman"/>
          <w:bCs/>
          <w:sz w:val="24"/>
          <w:lang w:eastAsia="zh-CN"/>
        </w:rPr>
        <w:t>8</w:t>
      </w:r>
      <w:r w:rsidRPr="00EB0E65">
        <w:rPr>
          <w:rFonts w:ascii="Times New Roman" w:hAnsi="Times New Roman"/>
          <w:bCs/>
          <w:sz w:val="24"/>
          <w:lang w:eastAsia="zh-CN"/>
        </w:rPr>
        <w:t>）、</w:t>
      </w:r>
      <w:r w:rsidR="009A0224">
        <w:rPr>
          <w:rFonts w:ascii="Times New Roman" w:hAnsi="Times New Roman"/>
          <w:bCs/>
          <w:sz w:val="24"/>
          <w:lang w:eastAsia="zh-CN"/>
        </w:rPr>
        <w:t>9</w:t>
      </w:r>
      <w:r w:rsidRPr="00EB0E65">
        <w:rPr>
          <w:rFonts w:ascii="Times New Roman" w:hAnsi="Times New Roman"/>
          <w:bCs/>
          <w:sz w:val="24"/>
          <w:lang w:eastAsia="zh-CN"/>
        </w:rPr>
        <w:t>）外，若基金超过上述投资比例限制，应当在超过比例后</w:t>
      </w:r>
      <w:r w:rsidRPr="00EB0E65">
        <w:rPr>
          <w:rFonts w:ascii="Times New Roman" w:hAnsi="Times New Roman"/>
          <w:bCs/>
          <w:sz w:val="24"/>
          <w:lang w:eastAsia="zh-CN"/>
        </w:rPr>
        <w:t>30</w:t>
      </w:r>
      <w:r w:rsidRPr="00EB0E65">
        <w:rPr>
          <w:rFonts w:ascii="Times New Roman" w:hAnsi="Times New Roman"/>
          <w:bCs/>
          <w:sz w:val="24"/>
          <w:lang w:eastAsia="zh-CN"/>
        </w:rPr>
        <w:t>个工作日内采用合理的商业措施减仓，以符合投资比例限制要求，但中国证监会规定的特殊情形除外。</w:t>
      </w:r>
    </w:p>
    <w:p w14:paraId="519BF68C"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w:t>
      </w:r>
      <w:r w:rsidRPr="00EB0E65">
        <w:rPr>
          <w:rFonts w:ascii="Times New Roman" w:hAnsi="Times New Roman"/>
          <w:bCs/>
          <w:sz w:val="24"/>
          <w:lang w:eastAsia="zh-CN"/>
        </w:rPr>
        <w:t>6</w:t>
      </w:r>
      <w:r w:rsidRPr="00EB0E65">
        <w:rPr>
          <w:rFonts w:ascii="Times New Roman" w:hAnsi="Times New Roman"/>
          <w:bCs/>
          <w:sz w:val="24"/>
          <w:lang w:eastAsia="zh-CN"/>
        </w:rPr>
        <w:t>）本基金境内投资组合应遵循以下限制：</w:t>
      </w:r>
    </w:p>
    <w:p w14:paraId="674E3A0A"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w:t>
      </w:r>
      <w:r w:rsidRPr="00EB0E65">
        <w:rPr>
          <w:rFonts w:ascii="Times New Roman" w:hAnsi="Times New Roman"/>
          <w:bCs/>
          <w:sz w:val="24"/>
          <w:lang w:eastAsia="zh-CN"/>
        </w:rPr>
        <w:t>）本基金持有一家公司的证券，其市值（同一家公司在境内和境外同时上市的合并计算）不超过基金资产净值的</w:t>
      </w:r>
      <w:r w:rsidRPr="00EB0E65">
        <w:rPr>
          <w:rFonts w:ascii="Times New Roman" w:hAnsi="Times New Roman"/>
          <w:bCs/>
          <w:sz w:val="24"/>
          <w:lang w:eastAsia="zh-CN"/>
        </w:rPr>
        <w:t>10</w:t>
      </w:r>
      <w:r w:rsidRPr="00EB0E65">
        <w:rPr>
          <w:rFonts w:ascii="Times New Roman" w:hAnsi="Times New Roman"/>
          <w:bCs/>
          <w:sz w:val="24"/>
          <w:lang w:eastAsia="zh-CN"/>
        </w:rPr>
        <w:t>％；</w:t>
      </w:r>
    </w:p>
    <w:p w14:paraId="3F158207"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2</w:t>
      </w:r>
      <w:r w:rsidRPr="00EB0E65">
        <w:rPr>
          <w:rFonts w:ascii="Times New Roman" w:hAnsi="Times New Roman"/>
          <w:bCs/>
          <w:sz w:val="24"/>
          <w:lang w:eastAsia="zh-CN"/>
        </w:rPr>
        <w:t>）本基金管理人管理的全部基金持有一家公司发行的证券（同一家公司在境内</w:t>
      </w:r>
    </w:p>
    <w:p w14:paraId="372A0BB4"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和境外同时上市的合并计算），不超过该证券的</w:t>
      </w:r>
      <w:r w:rsidRPr="00EB0E65">
        <w:rPr>
          <w:rFonts w:ascii="Times New Roman" w:hAnsi="Times New Roman"/>
          <w:bCs/>
          <w:sz w:val="24"/>
          <w:lang w:eastAsia="zh-CN"/>
        </w:rPr>
        <w:t>10</w:t>
      </w:r>
      <w:r w:rsidRPr="00EB0E65">
        <w:rPr>
          <w:rFonts w:ascii="Times New Roman" w:hAnsi="Times New Roman"/>
          <w:bCs/>
          <w:sz w:val="24"/>
          <w:lang w:eastAsia="zh-CN"/>
        </w:rPr>
        <w:t>％，完全按照有关指数的构成比例进行证券投资的基金品种可以不受此条款规定的比例限制；</w:t>
      </w:r>
    </w:p>
    <w:p w14:paraId="6F0429FE" w14:textId="5A518DD8" w:rsidR="00EB0E65" w:rsidRPr="00EB0E65" w:rsidRDefault="00EB0E65" w:rsidP="00880B0C">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3</w:t>
      </w:r>
      <w:r w:rsidRPr="00EB0E65">
        <w:rPr>
          <w:rFonts w:ascii="Times New Roman" w:hAnsi="Times New Roman"/>
          <w:bCs/>
          <w:sz w:val="24"/>
          <w:lang w:eastAsia="zh-CN"/>
        </w:rPr>
        <w:t>）本基金管理人管理的全部开放式基金（包括开放式基金以及处于开放期的定期开放基金）持有一家上市公司发行的可流通股票，不得超过该上市公司可流通股票的</w:t>
      </w:r>
      <w:r w:rsidRPr="00EB0E65">
        <w:rPr>
          <w:rFonts w:ascii="Times New Roman" w:hAnsi="Times New Roman"/>
          <w:bCs/>
          <w:sz w:val="24"/>
          <w:lang w:eastAsia="zh-CN"/>
        </w:rPr>
        <w:t>15%</w:t>
      </w:r>
      <w:r w:rsidRPr="00EB0E65">
        <w:rPr>
          <w:rFonts w:ascii="Times New Roman" w:hAnsi="Times New Roman"/>
          <w:bCs/>
          <w:sz w:val="24"/>
          <w:lang w:eastAsia="zh-CN"/>
        </w:rPr>
        <w:t>，本基金管理人管理的全部投资组合持有一家上市公司发行的可流通股票，不得超过该上市公司可流通股票的</w:t>
      </w:r>
      <w:r w:rsidRPr="00EB0E65">
        <w:rPr>
          <w:rFonts w:ascii="Times New Roman" w:hAnsi="Times New Roman"/>
          <w:bCs/>
          <w:sz w:val="24"/>
          <w:lang w:eastAsia="zh-CN"/>
        </w:rPr>
        <w:t>30%</w:t>
      </w:r>
      <w:r w:rsidRPr="00EB0E65">
        <w:rPr>
          <w:rFonts w:ascii="Times New Roman" w:hAnsi="Times New Roman"/>
          <w:bCs/>
          <w:sz w:val="24"/>
          <w:lang w:eastAsia="zh-CN"/>
        </w:rPr>
        <w:t>，完全按照有关指数的构成比例进行证券投资的开放式基金以及中国证监会认定的特殊投资组合可不受前述比例限制；</w:t>
      </w:r>
    </w:p>
    <w:p w14:paraId="0DCBF58E"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4</w:t>
      </w:r>
      <w:r w:rsidRPr="00EB0E65">
        <w:rPr>
          <w:rFonts w:ascii="Times New Roman" w:hAnsi="Times New Roman"/>
          <w:bCs/>
          <w:sz w:val="24"/>
          <w:lang w:eastAsia="zh-CN"/>
        </w:rPr>
        <w:t>）本基金投资于同一原始权益人的各类资产支持证券的比例，不得超过基金资产净值的</w:t>
      </w:r>
      <w:r w:rsidRPr="00EB0E65">
        <w:rPr>
          <w:rFonts w:ascii="Times New Roman" w:hAnsi="Times New Roman"/>
          <w:bCs/>
          <w:sz w:val="24"/>
          <w:lang w:eastAsia="zh-CN"/>
        </w:rPr>
        <w:t>10%</w:t>
      </w:r>
      <w:r w:rsidRPr="00EB0E65">
        <w:rPr>
          <w:rFonts w:ascii="Times New Roman" w:hAnsi="Times New Roman"/>
          <w:bCs/>
          <w:sz w:val="24"/>
          <w:lang w:eastAsia="zh-CN"/>
        </w:rPr>
        <w:t>；</w:t>
      </w:r>
    </w:p>
    <w:p w14:paraId="6497FADC"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5</w:t>
      </w:r>
      <w:r w:rsidRPr="00EB0E65">
        <w:rPr>
          <w:rFonts w:ascii="Times New Roman" w:hAnsi="Times New Roman"/>
          <w:bCs/>
          <w:sz w:val="24"/>
          <w:lang w:eastAsia="zh-CN"/>
        </w:rPr>
        <w:t>）本基金持有的全部资产支持证券，其市值不得超过基金资产净值的</w:t>
      </w:r>
      <w:r w:rsidRPr="00EB0E65">
        <w:rPr>
          <w:rFonts w:ascii="Times New Roman" w:hAnsi="Times New Roman"/>
          <w:bCs/>
          <w:sz w:val="24"/>
          <w:lang w:eastAsia="zh-CN"/>
        </w:rPr>
        <w:t>20%</w:t>
      </w:r>
      <w:r w:rsidRPr="00EB0E65">
        <w:rPr>
          <w:rFonts w:ascii="Times New Roman" w:hAnsi="Times New Roman"/>
          <w:bCs/>
          <w:sz w:val="24"/>
          <w:lang w:eastAsia="zh-CN"/>
        </w:rPr>
        <w:t>；</w:t>
      </w:r>
    </w:p>
    <w:p w14:paraId="357FC58E"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6</w:t>
      </w:r>
      <w:r w:rsidRPr="00EB0E65">
        <w:rPr>
          <w:rFonts w:ascii="Times New Roman" w:hAnsi="Times New Roman"/>
          <w:bCs/>
          <w:sz w:val="24"/>
          <w:lang w:eastAsia="zh-CN"/>
        </w:rPr>
        <w:t>）本基金持有的同一（指同一信用级别）资产支持证券的比例，不得超过该资产支持证券规模的</w:t>
      </w:r>
      <w:r w:rsidRPr="00EB0E65">
        <w:rPr>
          <w:rFonts w:ascii="Times New Roman" w:hAnsi="Times New Roman"/>
          <w:bCs/>
          <w:sz w:val="24"/>
          <w:lang w:eastAsia="zh-CN"/>
        </w:rPr>
        <w:t>10%</w:t>
      </w:r>
      <w:r w:rsidRPr="00EB0E65">
        <w:rPr>
          <w:rFonts w:ascii="Times New Roman" w:hAnsi="Times New Roman"/>
          <w:bCs/>
          <w:sz w:val="24"/>
          <w:lang w:eastAsia="zh-CN"/>
        </w:rPr>
        <w:t>；</w:t>
      </w:r>
    </w:p>
    <w:p w14:paraId="01CAA731"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7</w:t>
      </w:r>
      <w:r w:rsidRPr="00EB0E65">
        <w:rPr>
          <w:rFonts w:ascii="Times New Roman" w:hAnsi="Times New Roman"/>
          <w:bCs/>
          <w:sz w:val="24"/>
          <w:lang w:eastAsia="zh-CN"/>
        </w:rPr>
        <w:t>）本基金管理人管理的全部基金投资于同一原始权益人的各类资产支持证券，不得超过其各类资产支持证券合计规模的</w:t>
      </w:r>
      <w:r w:rsidRPr="00EB0E65">
        <w:rPr>
          <w:rFonts w:ascii="Times New Roman" w:hAnsi="Times New Roman"/>
          <w:bCs/>
          <w:sz w:val="24"/>
          <w:lang w:eastAsia="zh-CN"/>
        </w:rPr>
        <w:t>10%</w:t>
      </w:r>
      <w:r w:rsidRPr="00EB0E65">
        <w:rPr>
          <w:rFonts w:ascii="Times New Roman" w:hAnsi="Times New Roman"/>
          <w:bCs/>
          <w:sz w:val="24"/>
          <w:lang w:eastAsia="zh-CN"/>
        </w:rPr>
        <w:t>；</w:t>
      </w:r>
    </w:p>
    <w:p w14:paraId="567CA4A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8</w:t>
      </w:r>
      <w:r w:rsidRPr="00EB0E65">
        <w:rPr>
          <w:rFonts w:ascii="Times New Roman" w:hAnsi="Times New Roman"/>
          <w:bCs/>
          <w:sz w:val="24"/>
          <w:lang w:eastAsia="zh-CN"/>
        </w:rPr>
        <w:t>）本基金应投资于信用级别评级为</w:t>
      </w:r>
      <w:r w:rsidRPr="00EB0E65">
        <w:rPr>
          <w:rFonts w:ascii="Times New Roman" w:hAnsi="Times New Roman"/>
          <w:bCs/>
          <w:sz w:val="24"/>
          <w:lang w:eastAsia="zh-CN"/>
        </w:rPr>
        <w:t>BBB</w:t>
      </w:r>
      <w:r w:rsidRPr="00EB0E65">
        <w:rPr>
          <w:rFonts w:ascii="Times New Roman" w:hAnsi="Times New Roman"/>
          <w:bCs/>
          <w:sz w:val="24"/>
          <w:lang w:eastAsia="zh-CN"/>
        </w:rPr>
        <w:t>以上</w:t>
      </w:r>
      <w:r w:rsidRPr="00EB0E65">
        <w:rPr>
          <w:rFonts w:ascii="Times New Roman" w:hAnsi="Times New Roman"/>
          <w:bCs/>
          <w:sz w:val="24"/>
          <w:lang w:eastAsia="zh-CN"/>
        </w:rPr>
        <w:t>(</w:t>
      </w:r>
      <w:r w:rsidRPr="00EB0E65">
        <w:rPr>
          <w:rFonts w:ascii="Times New Roman" w:hAnsi="Times New Roman"/>
          <w:bCs/>
          <w:sz w:val="24"/>
          <w:lang w:eastAsia="zh-CN"/>
        </w:rPr>
        <w:t>含</w:t>
      </w:r>
      <w:r w:rsidRPr="00EB0E65">
        <w:rPr>
          <w:rFonts w:ascii="Times New Roman" w:hAnsi="Times New Roman"/>
          <w:bCs/>
          <w:sz w:val="24"/>
          <w:lang w:eastAsia="zh-CN"/>
        </w:rPr>
        <w:t>BBB)</w:t>
      </w:r>
      <w:r w:rsidRPr="00EB0E65">
        <w:rPr>
          <w:rFonts w:ascii="Times New Roman" w:hAnsi="Times New Roman"/>
          <w:bCs/>
          <w:sz w:val="24"/>
          <w:lang w:eastAsia="zh-CN"/>
        </w:rPr>
        <w:t>的资产支持证券。基金持有资产支持证券期间，如果其信用等级下降、不再符合投资标准，应在评级报告发布之日起</w:t>
      </w:r>
      <w:r w:rsidRPr="00EB0E65">
        <w:rPr>
          <w:rFonts w:ascii="Times New Roman" w:hAnsi="Times New Roman"/>
          <w:bCs/>
          <w:sz w:val="24"/>
          <w:lang w:eastAsia="zh-CN"/>
        </w:rPr>
        <w:t>3</w:t>
      </w:r>
      <w:r w:rsidRPr="00EB0E65">
        <w:rPr>
          <w:rFonts w:ascii="Times New Roman" w:hAnsi="Times New Roman"/>
          <w:bCs/>
          <w:sz w:val="24"/>
          <w:lang w:eastAsia="zh-CN"/>
        </w:rPr>
        <w:t>个月内予以全部卖出；</w:t>
      </w:r>
    </w:p>
    <w:p w14:paraId="06C611DD"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9</w:t>
      </w:r>
      <w:r w:rsidRPr="00EB0E65">
        <w:rPr>
          <w:rFonts w:ascii="Times New Roman" w:hAnsi="Times New Roman"/>
          <w:bCs/>
          <w:sz w:val="24"/>
          <w:lang w:eastAsia="zh-CN"/>
        </w:rPr>
        <w:t>）基金财产参与股票发行申购，本基金所申报的金额不超过本基金的总资产，本基金所申报的股票数量不超过拟发行股票公司本次发行股票的总量；</w:t>
      </w:r>
    </w:p>
    <w:p w14:paraId="77A7F850"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10</w:t>
      </w:r>
      <w:r w:rsidRPr="00EB0E65">
        <w:rPr>
          <w:rFonts w:ascii="Times New Roman" w:hAnsi="Times New Roman"/>
          <w:bCs/>
          <w:sz w:val="24"/>
          <w:lang w:eastAsia="zh-CN"/>
        </w:rPr>
        <w:t>）本基金若参与股指期货交易，依据下列标准建构组合：</w:t>
      </w:r>
    </w:p>
    <w:p w14:paraId="01EE1BA3"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A.</w:t>
      </w:r>
      <w:r w:rsidRPr="00EB0E65">
        <w:rPr>
          <w:rFonts w:ascii="Times New Roman" w:hAnsi="Times New Roman"/>
          <w:bCs/>
          <w:sz w:val="24"/>
          <w:lang w:eastAsia="zh-CN"/>
        </w:rPr>
        <w:tab/>
      </w:r>
      <w:r w:rsidRPr="00EB0E65">
        <w:rPr>
          <w:rFonts w:ascii="Times New Roman" w:hAnsi="Times New Roman"/>
          <w:bCs/>
          <w:sz w:val="24"/>
          <w:lang w:eastAsia="zh-CN"/>
        </w:rPr>
        <w:t>本基金在任何交易日日终，持有的买入股指期货合约价值，不得超过基金资产净值的</w:t>
      </w:r>
      <w:r w:rsidRPr="00EB0E65">
        <w:rPr>
          <w:rFonts w:ascii="Times New Roman" w:hAnsi="Times New Roman"/>
          <w:bCs/>
          <w:sz w:val="24"/>
          <w:lang w:eastAsia="zh-CN"/>
        </w:rPr>
        <w:t>10%</w:t>
      </w:r>
      <w:r w:rsidRPr="00EB0E65">
        <w:rPr>
          <w:rFonts w:ascii="Times New Roman" w:hAnsi="Times New Roman"/>
          <w:bCs/>
          <w:sz w:val="24"/>
          <w:lang w:eastAsia="zh-CN"/>
        </w:rPr>
        <w:t>；</w:t>
      </w:r>
    </w:p>
    <w:p w14:paraId="26A6F862"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B.</w:t>
      </w:r>
      <w:r w:rsidRPr="00EB0E65">
        <w:rPr>
          <w:rFonts w:ascii="Times New Roman" w:hAnsi="Times New Roman"/>
          <w:bCs/>
          <w:sz w:val="24"/>
          <w:lang w:eastAsia="zh-CN"/>
        </w:rPr>
        <w:tab/>
      </w:r>
      <w:r w:rsidRPr="00EB0E65">
        <w:rPr>
          <w:rFonts w:ascii="Times New Roman" w:hAnsi="Times New Roman"/>
          <w:bCs/>
          <w:sz w:val="24"/>
          <w:lang w:eastAsia="zh-CN"/>
        </w:rPr>
        <w:t>本基金在任何交易日日终，持有的买入国债期货和股指期货合约价值与有价</w:t>
      </w:r>
      <w:r w:rsidRPr="00EB0E65">
        <w:rPr>
          <w:rFonts w:ascii="Times New Roman" w:hAnsi="Times New Roman"/>
          <w:bCs/>
          <w:sz w:val="24"/>
          <w:lang w:eastAsia="zh-CN"/>
        </w:rPr>
        <w:lastRenderedPageBreak/>
        <w:t>证券市值之和不得超过基金资产净值的</w:t>
      </w:r>
      <w:r w:rsidRPr="00EB0E65">
        <w:rPr>
          <w:rFonts w:ascii="Times New Roman" w:hAnsi="Times New Roman"/>
          <w:bCs/>
          <w:sz w:val="24"/>
          <w:lang w:eastAsia="zh-CN"/>
        </w:rPr>
        <w:t>95%</w:t>
      </w:r>
      <w:r w:rsidRPr="00EB0E65">
        <w:rPr>
          <w:rFonts w:ascii="Times New Roman" w:hAnsi="Times New Roman"/>
          <w:bCs/>
          <w:sz w:val="24"/>
          <w:lang w:eastAsia="zh-CN"/>
        </w:rPr>
        <w:t>，其中，有价证券指股票、债券（不含到期日在一年以内的政府债券）、资产支持证券、买入返售金融资产（不含质押式回购）等；</w:t>
      </w:r>
    </w:p>
    <w:p w14:paraId="6E939BF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C.</w:t>
      </w:r>
      <w:r w:rsidRPr="00EB0E65">
        <w:rPr>
          <w:rFonts w:ascii="Times New Roman" w:hAnsi="Times New Roman"/>
          <w:bCs/>
          <w:sz w:val="24"/>
          <w:lang w:eastAsia="zh-CN"/>
        </w:rPr>
        <w:tab/>
      </w:r>
      <w:r w:rsidRPr="00EB0E65">
        <w:rPr>
          <w:rFonts w:ascii="Times New Roman" w:hAnsi="Times New Roman"/>
          <w:bCs/>
          <w:sz w:val="24"/>
          <w:lang w:eastAsia="zh-CN"/>
        </w:rPr>
        <w:t>本基金在任何交易日日终，持有的卖出股指期货合约价值不得超过本基金持有的股票总市值的</w:t>
      </w:r>
      <w:r w:rsidRPr="00EB0E65">
        <w:rPr>
          <w:rFonts w:ascii="Times New Roman" w:hAnsi="Times New Roman"/>
          <w:bCs/>
          <w:sz w:val="24"/>
          <w:lang w:eastAsia="zh-CN"/>
        </w:rPr>
        <w:t>20%</w:t>
      </w:r>
      <w:r w:rsidRPr="00EB0E65">
        <w:rPr>
          <w:rFonts w:ascii="Times New Roman" w:hAnsi="Times New Roman"/>
          <w:bCs/>
          <w:sz w:val="24"/>
          <w:lang w:eastAsia="zh-CN"/>
        </w:rPr>
        <w:t>；</w:t>
      </w:r>
    </w:p>
    <w:p w14:paraId="2FD37E2B"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D.</w:t>
      </w:r>
      <w:r w:rsidRPr="00EB0E65">
        <w:rPr>
          <w:rFonts w:ascii="Times New Roman" w:hAnsi="Times New Roman"/>
          <w:bCs/>
          <w:sz w:val="24"/>
          <w:lang w:eastAsia="zh-CN"/>
        </w:rPr>
        <w:tab/>
      </w:r>
      <w:r w:rsidRPr="00EB0E65">
        <w:rPr>
          <w:rFonts w:ascii="Times New Roman" w:hAnsi="Times New Roman"/>
          <w:bCs/>
          <w:sz w:val="24"/>
          <w:lang w:eastAsia="zh-CN"/>
        </w:rPr>
        <w:t>本基金所持有的股票市值和买入、卖出股指期货合约价值，合计（轧差计算）应当符合基金合同关于股票投资比例的有关约定；</w:t>
      </w:r>
    </w:p>
    <w:p w14:paraId="5F9C01E0"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E.</w:t>
      </w:r>
      <w:r w:rsidRPr="00EB0E65">
        <w:rPr>
          <w:rFonts w:ascii="Times New Roman" w:hAnsi="Times New Roman"/>
          <w:bCs/>
          <w:sz w:val="24"/>
          <w:lang w:eastAsia="zh-CN"/>
        </w:rPr>
        <w:tab/>
      </w:r>
      <w:r w:rsidRPr="00EB0E65">
        <w:rPr>
          <w:rFonts w:ascii="Times New Roman" w:hAnsi="Times New Roman"/>
          <w:bCs/>
          <w:sz w:val="24"/>
          <w:lang w:eastAsia="zh-CN"/>
        </w:rPr>
        <w:t>本基金在任何交易日内交易（不包括平仓）的股指期货合约的成交金额不得超过上一交易日基金资产净值的</w:t>
      </w:r>
      <w:r w:rsidRPr="00EB0E65">
        <w:rPr>
          <w:rFonts w:ascii="Times New Roman" w:hAnsi="Times New Roman"/>
          <w:bCs/>
          <w:sz w:val="24"/>
          <w:lang w:eastAsia="zh-CN"/>
        </w:rPr>
        <w:t>20%</w:t>
      </w:r>
      <w:r w:rsidRPr="00EB0E65">
        <w:rPr>
          <w:rFonts w:ascii="Times New Roman" w:hAnsi="Times New Roman"/>
          <w:bCs/>
          <w:sz w:val="24"/>
          <w:lang w:eastAsia="zh-CN"/>
        </w:rPr>
        <w:t>；</w:t>
      </w:r>
    </w:p>
    <w:p w14:paraId="7F00C86F"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11</w:t>
      </w:r>
      <w:r w:rsidRPr="00EB0E65">
        <w:rPr>
          <w:rFonts w:ascii="Times New Roman" w:hAnsi="Times New Roman"/>
          <w:bCs/>
          <w:sz w:val="24"/>
          <w:lang w:eastAsia="zh-CN"/>
        </w:rPr>
        <w:t>）本基金若参与国债期货交易，应当符合下列投资限制：</w:t>
      </w:r>
    </w:p>
    <w:p w14:paraId="5C165743"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A.</w:t>
      </w:r>
      <w:r w:rsidRPr="00EB0E65">
        <w:rPr>
          <w:rFonts w:ascii="Times New Roman" w:hAnsi="Times New Roman"/>
          <w:bCs/>
          <w:sz w:val="24"/>
          <w:lang w:eastAsia="zh-CN"/>
        </w:rPr>
        <w:tab/>
      </w:r>
      <w:r w:rsidRPr="00EB0E65">
        <w:rPr>
          <w:rFonts w:ascii="Times New Roman" w:hAnsi="Times New Roman"/>
          <w:bCs/>
          <w:sz w:val="24"/>
          <w:lang w:eastAsia="zh-CN"/>
        </w:rPr>
        <w:t>本基金在任何交易日日终，持有的买入国债期货合约价值，不得超过基金资产净值的</w:t>
      </w:r>
      <w:r w:rsidRPr="00EB0E65">
        <w:rPr>
          <w:rFonts w:ascii="Times New Roman" w:hAnsi="Times New Roman"/>
          <w:bCs/>
          <w:sz w:val="24"/>
          <w:lang w:eastAsia="zh-CN"/>
        </w:rPr>
        <w:t>15%</w:t>
      </w:r>
      <w:r w:rsidRPr="00EB0E65">
        <w:rPr>
          <w:rFonts w:ascii="Times New Roman" w:hAnsi="Times New Roman"/>
          <w:bCs/>
          <w:sz w:val="24"/>
          <w:lang w:eastAsia="zh-CN"/>
        </w:rPr>
        <w:t>；</w:t>
      </w:r>
    </w:p>
    <w:p w14:paraId="601E98CD"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B.</w:t>
      </w:r>
      <w:r w:rsidRPr="00EB0E65">
        <w:rPr>
          <w:rFonts w:ascii="Times New Roman" w:hAnsi="Times New Roman"/>
          <w:bCs/>
          <w:sz w:val="24"/>
          <w:lang w:eastAsia="zh-CN"/>
        </w:rPr>
        <w:tab/>
      </w:r>
      <w:r w:rsidRPr="00EB0E65">
        <w:rPr>
          <w:rFonts w:ascii="Times New Roman" w:hAnsi="Times New Roman"/>
          <w:bCs/>
          <w:sz w:val="24"/>
          <w:lang w:eastAsia="zh-CN"/>
        </w:rPr>
        <w:t>本基金在任何交易日日终，持有的卖出国债期货合约价值不得超过基金持有的债券总市值的</w:t>
      </w:r>
      <w:r w:rsidRPr="00EB0E65">
        <w:rPr>
          <w:rFonts w:ascii="Times New Roman" w:hAnsi="Times New Roman"/>
          <w:bCs/>
          <w:sz w:val="24"/>
          <w:lang w:eastAsia="zh-CN"/>
        </w:rPr>
        <w:t>30%</w:t>
      </w:r>
      <w:r w:rsidRPr="00EB0E65">
        <w:rPr>
          <w:rFonts w:ascii="Times New Roman" w:hAnsi="Times New Roman"/>
          <w:bCs/>
          <w:sz w:val="24"/>
          <w:lang w:eastAsia="zh-CN"/>
        </w:rPr>
        <w:t>；</w:t>
      </w:r>
    </w:p>
    <w:p w14:paraId="10D8ED2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C.</w:t>
      </w:r>
      <w:r w:rsidRPr="00EB0E65">
        <w:rPr>
          <w:rFonts w:ascii="Times New Roman" w:hAnsi="Times New Roman"/>
          <w:bCs/>
          <w:sz w:val="24"/>
          <w:lang w:eastAsia="zh-CN"/>
        </w:rPr>
        <w:tab/>
      </w:r>
      <w:r w:rsidRPr="00EB0E65">
        <w:rPr>
          <w:rFonts w:ascii="Times New Roman" w:hAnsi="Times New Roman"/>
          <w:bCs/>
          <w:sz w:val="24"/>
          <w:lang w:eastAsia="zh-CN"/>
        </w:rPr>
        <w:t>本基金在任何交易日内交易（不包括平仓）的国债期货合约的成交金额不得超过上一交易日基金资产净值的</w:t>
      </w:r>
      <w:r w:rsidRPr="00EB0E65">
        <w:rPr>
          <w:rFonts w:ascii="Times New Roman" w:hAnsi="Times New Roman"/>
          <w:bCs/>
          <w:sz w:val="24"/>
          <w:lang w:eastAsia="zh-CN"/>
        </w:rPr>
        <w:t>30%</w:t>
      </w:r>
      <w:r w:rsidRPr="00EB0E65">
        <w:rPr>
          <w:rFonts w:ascii="Times New Roman" w:hAnsi="Times New Roman"/>
          <w:bCs/>
          <w:sz w:val="24"/>
          <w:lang w:eastAsia="zh-CN"/>
        </w:rPr>
        <w:t>；</w:t>
      </w:r>
    </w:p>
    <w:p w14:paraId="6D0ED49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D.</w:t>
      </w:r>
      <w:r w:rsidRPr="00EB0E65">
        <w:rPr>
          <w:rFonts w:ascii="Times New Roman" w:hAnsi="Times New Roman"/>
          <w:bCs/>
          <w:sz w:val="24"/>
          <w:lang w:eastAsia="zh-CN"/>
        </w:rPr>
        <w:tab/>
      </w:r>
      <w:r w:rsidRPr="00EB0E65">
        <w:rPr>
          <w:rFonts w:ascii="Times New Roman" w:hAnsi="Times New Roman"/>
          <w:bCs/>
          <w:sz w:val="24"/>
          <w:lang w:eastAsia="zh-CN"/>
        </w:rPr>
        <w:t>本基金所持有的债券（不含到期日在一年以内的政府债券）市值和买入、卖出国债期货合约价值，合计（轧差计算）应当符合基金合同关于债券投资比例的有关约定；</w:t>
      </w:r>
    </w:p>
    <w:p w14:paraId="6CFECCD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E.</w:t>
      </w:r>
      <w:r w:rsidRPr="00EB0E65">
        <w:rPr>
          <w:rFonts w:ascii="Times New Roman" w:hAnsi="Times New Roman"/>
          <w:bCs/>
          <w:sz w:val="24"/>
          <w:lang w:eastAsia="zh-CN"/>
        </w:rPr>
        <w:tab/>
      </w:r>
      <w:r w:rsidRPr="00EB0E65">
        <w:rPr>
          <w:rFonts w:ascii="Times New Roman" w:hAnsi="Times New Roman"/>
          <w:bCs/>
          <w:sz w:val="24"/>
          <w:lang w:eastAsia="zh-CN"/>
        </w:rPr>
        <w:t>本基金在任何交易日日终，持有的买入国债期货和股指期货合约价值与有价证券市值之和不得超过基金资产净值的</w:t>
      </w:r>
      <w:r w:rsidRPr="00EB0E65">
        <w:rPr>
          <w:rFonts w:ascii="Times New Roman" w:hAnsi="Times New Roman"/>
          <w:bCs/>
          <w:sz w:val="24"/>
          <w:lang w:eastAsia="zh-CN"/>
        </w:rPr>
        <w:t>95%</w:t>
      </w:r>
      <w:r w:rsidRPr="00EB0E65">
        <w:rPr>
          <w:rFonts w:ascii="Times New Roman" w:hAnsi="Times New Roman"/>
          <w:bCs/>
          <w:sz w:val="24"/>
          <w:lang w:eastAsia="zh-CN"/>
        </w:rPr>
        <w:t>，其中，有价证券指股票、债券（不含到期日在一年以内的政府债券）、资产支持证券、买入返售金融资产（不含质押式回购）等；</w:t>
      </w:r>
    </w:p>
    <w:p w14:paraId="06055D9A"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12</w:t>
      </w:r>
      <w:r w:rsidRPr="00EB0E65">
        <w:rPr>
          <w:rFonts w:ascii="Times New Roman" w:hAnsi="Times New Roman"/>
          <w:bCs/>
          <w:sz w:val="24"/>
          <w:lang w:eastAsia="zh-CN"/>
        </w:rPr>
        <w:t>）基金因未平仓的股票期权合约支付和收取的权利金总额不得超过基金资产净值的</w:t>
      </w:r>
      <w:r w:rsidRPr="00EB0E65">
        <w:rPr>
          <w:rFonts w:ascii="Times New Roman" w:hAnsi="Times New Roman"/>
          <w:bCs/>
          <w:sz w:val="24"/>
          <w:lang w:eastAsia="zh-CN"/>
        </w:rPr>
        <w:t>10%</w:t>
      </w:r>
      <w:r w:rsidRPr="00EB0E65">
        <w:rPr>
          <w:rFonts w:ascii="Times New Roman" w:hAnsi="Times New Roman"/>
          <w:bCs/>
          <w:sz w:val="24"/>
          <w:lang w:eastAsia="zh-CN"/>
        </w:rPr>
        <w:t>；开仓卖出认购股票期权的，应持有足额标的证券；开仓卖出认沽期权的，应持有合约行权所需的全额现金或交易所规则认可的可冲抵期权保证金的现金等价物；未平仓的股票期权合约面值不得超过基金资产净值的</w:t>
      </w:r>
      <w:r w:rsidRPr="00EB0E65">
        <w:rPr>
          <w:rFonts w:ascii="Times New Roman" w:hAnsi="Times New Roman"/>
          <w:bCs/>
          <w:sz w:val="24"/>
          <w:lang w:eastAsia="zh-CN"/>
        </w:rPr>
        <w:t>20%</w:t>
      </w:r>
      <w:r w:rsidRPr="00EB0E65">
        <w:rPr>
          <w:rFonts w:ascii="Times New Roman" w:hAnsi="Times New Roman"/>
          <w:bCs/>
          <w:sz w:val="24"/>
          <w:lang w:eastAsia="zh-CN"/>
        </w:rPr>
        <w:t>。其中，合约面值按照行权价乘以合约乘数计算；</w:t>
      </w:r>
    </w:p>
    <w:p w14:paraId="16E49C6A"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13</w:t>
      </w:r>
      <w:r w:rsidRPr="00EB0E65">
        <w:rPr>
          <w:rFonts w:ascii="Times New Roman" w:hAnsi="Times New Roman"/>
          <w:bCs/>
          <w:sz w:val="24"/>
          <w:lang w:eastAsia="zh-CN"/>
        </w:rPr>
        <w:t>）本基金参与融资的，每个交易日日终，本基金持有的融资买入股票与其他有价证券市值之和，不得超过基金资产净值的</w:t>
      </w:r>
      <w:r w:rsidRPr="00EB0E65">
        <w:rPr>
          <w:rFonts w:ascii="Times New Roman" w:hAnsi="Times New Roman"/>
          <w:bCs/>
          <w:sz w:val="24"/>
          <w:lang w:eastAsia="zh-CN"/>
        </w:rPr>
        <w:t>95%</w:t>
      </w:r>
      <w:r w:rsidRPr="00EB0E65">
        <w:rPr>
          <w:rFonts w:ascii="Times New Roman" w:hAnsi="Times New Roman"/>
          <w:bCs/>
          <w:sz w:val="24"/>
          <w:lang w:eastAsia="zh-CN"/>
        </w:rPr>
        <w:t>；</w:t>
      </w:r>
    </w:p>
    <w:p w14:paraId="5B513C36"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lastRenderedPageBreak/>
        <w:t>14</w:t>
      </w:r>
      <w:r w:rsidRPr="00EB0E65">
        <w:rPr>
          <w:rFonts w:ascii="Times New Roman" w:hAnsi="Times New Roman"/>
          <w:bCs/>
          <w:sz w:val="24"/>
          <w:lang w:eastAsia="zh-CN"/>
        </w:rPr>
        <w:t>）本基金主动投资于流动性受限资产的市值合计不得超过本基金资产净值的</w:t>
      </w:r>
      <w:r w:rsidRPr="00EB0E65">
        <w:rPr>
          <w:rFonts w:ascii="Times New Roman" w:hAnsi="Times New Roman"/>
          <w:bCs/>
          <w:sz w:val="24"/>
          <w:lang w:eastAsia="zh-CN"/>
        </w:rPr>
        <w:t>15%</w:t>
      </w:r>
      <w:r w:rsidRPr="00EB0E65">
        <w:rPr>
          <w:rFonts w:ascii="Times New Roman" w:hAnsi="Times New Roman"/>
          <w:bCs/>
          <w:sz w:val="24"/>
          <w:lang w:eastAsia="zh-CN"/>
        </w:rPr>
        <w:t>；因证券市场波动、上市公司股票停牌、基金规模变动等基金管理人之外的因素致使基金不符合该比例限制的，基金管理人不得主动新增流动性受限资产的投资；</w:t>
      </w:r>
    </w:p>
    <w:p w14:paraId="567FDC2D"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15</w:t>
      </w:r>
      <w:r w:rsidRPr="00EB0E65">
        <w:rPr>
          <w:rFonts w:ascii="Times New Roman" w:hAnsi="Times New Roman"/>
          <w:bCs/>
          <w:sz w:val="24"/>
          <w:lang w:eastAsia="zh-CN"/>
        </w:rPr>
        <w:t>）本基金与私募类证券资管产品及中国证监会认定的其他主体为交易对手开展逆回购交易的，可接受质押品的资质要求应当与基金合同约定的投资范围保持一致；</w:t>
      </w:r>
    </w:p>
    <w:p w14:paraId="022E8E28"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16</w:t>
      </w:r>
      <w:r w:rsidRPr="00EB0E65">
        <w:rPr>
          <w:rFonts w:ascii="Times New Roman" w:hAnsi="Times New Roman"/>
          <w:bCs/>
          <w:sz w:val="24"/>
          <w:lang w:eastAsia="zh-CN"/>
        </w:rPr>
        <w:t>）本基金投资境内发行的存托凭证比例限制依照境内上市交易股票执行，与境内上市交易的股票合并计算；</w:t>
      </w:r>
    </w:p>
    <w:p w14:paraId="4F1045E9"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17</w:t>
      </w:r>
      <w:r w:rsidRPr="00EB0E65">
        <w:rPr>
          <w:rFonts w:ascii="Times New Roman" w:hAnsi="Times New Roman"/>
          <w:bCs/>
          <w:sz w:val="24"/>
          <w:lang w:eastAsia="zh-CN"/>
        </w:rPr>
        <w:t>）本基金不持有具有信用保护卖方属性的信用衍生品；不持有合约类信用衍生品；本基金持有的信用衍生品名义本金不得超过本基金中所对应受保护债券面值的</w:t>
      </w:r>
      <w:r w:rsidRPr="00EB0E65">
        <w:rPr>
          <w:rFonts w:ascii="Times New Roman" w:hAnsi="Times New Roman"/>
          <w:bCs/>
          <w:sz w:val="24"/>
          <w:lang w:eastAsia="zh-CN"/>
        </w:rPr>
        <w:t>100%</w:t>
      </w:r>
      <w:r w:rsidRPr="00EB0E65">
        <w:rPr>
          <w:rFonts w:ascii="Times New Roman" w:hAnsi="Times New Roman"/>
          <w:bCs/>
          <w:sz w:val="24"/>
          <w:lang w:eastAsia="zh-CN"/>
        </w:rPr>
        <w:t>；本基金投资于同一信用保护卖方的各类信用衍生品名义本金合计不得超过基金资产净值的</w:t>
      </w:r>
      <w:r w:rsidRPr="00EB0E65">
        <w:rPr>
          <w:rFonts w:ascii="Times New Roman" w:hAnsi="Times New Roman"/>
          <w:bCs/>
          <w:sz w:val="24"/>
          <w:lang w:eastAsia="zh-CN"/>
        </w:rPr>
        <w:t>10%</w:t>
      </w:r>
      <w:r w:rsidRPr="00EB0E65">
        <w:rPr>
          <w:rFonts w:ascii="Times New Roman" w:hAnsi="Times New Roman"/>
          <w:bCs/>
          <w:sz w:val="24"/>
          <w:lang w:eastAsia="zh-CN"/>
        </w:rPr>
        <w:t>；因证券市场波动、期货市场波动、证券发行人合并、基金规模变动等基金管理人之外的因素致使基金投资比例不符合上述规定投资比例的，基金管理人应当在</w:t>
      </w:r>
      <w:r w:rsidRPr="00EB0E65">
        <w:rPr>
          <w:rFonts w:ascii="Times New Roman" w:hAnsi="Times New Roman"/>
          <w:bCs/>
          <w:sz w:val="24"/>
          <w:lang w:eastAsia="zh-CN"/>
        </w:rPr>
        <w:t>3</w:t>
      </w:r>
      <w:r w:rsidRPr="00EB0E65">
        <w:rPr>
          <w:rFonts w:ascii="Times New Roman" w:hAnsi="Times New Roman"/>
          <w:bCs/>
          <w:sz w:val="24"/>
          <w:lang w:eastAsia="zh-CN"/>
        </w:rPr>
        <w:t>个月内进行调整；</w:t>
      </w:r>
    </w:p>
    <w:p w14:paraId="3E56CA06"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bCs/>
          <w:sz w:val="24"/>
          <w:lang w:eastAsia="zh-CN"/>
        </w:rPr>
        <w:t>18</w:t>
      </w:r>
      <w:r w:rsidRPr="00EB0E65">
        <w:rPr>
          <w:rFonts w:ascii="Times New Roman" w:hAnsi="Times New Roman"/>
          <w:bCs/>
          <w:sz w:val="24"/>
          <w:lang w:eastAsia="zh-CN"/>
        </w:rPr>
        <w:t>）法律法规及中国证监会规定的和《基金合同》约定的其他投资限制。</w:t>
      </w:r>
    </w:p>
    <w:p w14:paraId="22911283"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本基金投资境内投资组合的，除上述第（</w:t>
      </w:r>
      <w:r w:rsidRPr="00EB0E65">
        <w:rPr>
          <w:rFonts w:ascii="Times New Roman" w:hAnsi="Times New Roman"/>
          <w:bCs/>
          <w:sz w:val="24"/>
          <w:lang w:eastAsia="zh-CN"/>
        </w:rPr>
        <w:t>6</w:t>
      </w:r>
      <w:r w:rsidRPr="00EB0E65">
        <w:rPr>
          <w:rFonts w:ascii="Times New Roman" w:hAnsi="Times New Roman"/>
          <w:bCs/>
          <w:sz w:val="24"/>
          <w:lang w:eastAsia="zh-CN"/>
        </w:rPr>
        <w:t>）项的</w:t>
      </w:r>
      <w:r w:rsidRPr="00EB0E65">
        <w:rPr>
          <w:rFonts w:ascii="Times New Roman" w:hAnsi="Times New Roman"/>
          <w:bCs/>
          <w:sz w:val="24"/>
          <w:lang w:eastAsia="zh-CN"/>
        </w:rPr>
        <w:t>8</w:t>
      </w:r>
      <w:r w:rsidRPr="00EB0E65">
        <w:rPr>
          <w:rFonts w:ascii="Times New Roman" w:hAnsi="Times New Roman"/>
          <w:bCs/>
          <w:sz w:val="24"/>
          <w:lang w:eastAsia="zh-CN"/>
        </w:rPr>
        <w:t>）、</w:t>
      </w:r>
      <w:r w:rsidRPr="00EB0E65">
        <w:rPr>
          <w:rFonts w:ascii="Times New Roman" w:hAnsi="Times New Roman"/>
          <w:bCs/>
          <w:sz w:val="24"/>
          <w:lang w:eastAsia="zh-CN"/>
        </w:rPr>
        <w:t>14</w:t>
      </w:r>
      <w:r w:rsidRPr="00EB0E65">
        <w:rPr>
          <w:rFonts w:ascii="Times New Roman" w:hAnsi="Times New Roman"/>
          <w:bCs/>
          <w:sz w:val="24"/>
          <w:lang w:eastAsia="zh-CN"/>
        </w:rPr>
        <w:t>）、</w:t>
      </w:r>
      <w:r w:rsidRPr="00EB0E65">
        <w:rPr>
          <w:rFonts w:ascii="Times New Roman" w:hAnsi="Times New Roman"/>
          <w:bCs/>
          <w:sz w:val="24"/>
          <w:lang w:eastAsia="zh-CN"/>
        </w:rPr>
        <w:t>15</w:t>
      </w:r>
      <w:r w:rsidRPr="00EB0E65">
        <w:rPr>
          <w:rFonts w:ascii="Times New Roman" w:hAnsi="Times New Roman"/>
          <w:bCs/>
          <w:sz w:val="24"/>
          <w:lang w:eastAsia="zh-CN"/>
        </w:rPr>
        <w:t>）、</w:t>
      </w:r>
      <w:r w:rsidRPr="00EB0E65">
        <w:rPr>
          <w:rFonts w:ascii="Times New Roman" w:hAnsi="Times New Roman"/>
          <w:bCs/>
          <w:sz w:val="24"/>
          <w:lang w:eastAsia="zh-CN"/>
        </w:rPr>
        <w:t>17</w:t>
      </w:r>
      <w:r w:rsidRPr="00EB0E65">
        <w:rPr>
          <w:rFonts w:ascii="Times New Roman" w:hAnsi="Times New Roman"/>
          <w:bCs/>
          <w:sz w:val="24"/>
          <w:lang w:eastAsia="zh-CN"/>
        </w:rPr>
        <w:t>）项外，因证券市场波动、期货市场波动、证券发行人合并、基金规模变动等基金管理人之外的因素致使基金投资比例不符合上述规定投资比例的，基金管理人应当在</w:t>
      </w:r>
      <w:r w:rsidRPr="00EB0E65">
        <w:rPr>
          <w:rFonts w:ascii="Times New Roman" w:hAnsi="Times New Roman"/>
          <w:bCs/>
          <w:sz w:val="24"/>
          <w:lang w:eastAsia="zh-CN"/>
        </w:rPr>
        <w:t>10</w:t>
      </w:r>
      <w:r w:rsidRPr="00EB0E65">
        <w:rPr>
          <w:rFonts w:ascii="Times New Roman" w:hAnsi="Times New Roman"/>
          <w:bCs/>
          <w:sz w:val="24"/>
          <w:lang w:eastAsia="zh-CN"/>
        </w:rPr>
        <w:t>个交易日内进行调整，但中国证监会规定的特殊情形除外。</w:t>
      </w:r>
    </w:p>
    <w:p w14:paraId="327FE643" w14:textId="77777777" w:rsidR="00EB0E65" w:rsidRPr="00EB0E65" w:rsidRDefault="00EB0E65" w:rsidP="00EB0E65">
      <w:pPr>
        <w:spacing w:line="360" w:lineRule="auto"/>
        <w:ind w:firstLineChars="200" w:firstLine="480"/>
        <w:jc w:val="both"/>
        <w:rPr>
          <w:rFonts w:ascii="Times New Roman" w:hAnsi="Times New Roman"/>
          <w:bCs/>
          <w:sz w:val="24"/>
          <w:lang w:eastAsia="zh-CN"/>
        </w:rPr>
      </w:pPr>
      <w:r w:rsidRPr="00EB0E65">
        <w:rPr>
          <w:rFonts w:ascii="Times New Roman" w:hAnsi="Times New Roman" w:hint="eastAsia"/>
          <w:bCs/>
          <w:sz w:val="24"/>
          <w:lang w:eastAsia="zh-CN"/>
        </w:rPr>
        <w:t>基金管理人应当自基金合同生效之日起</w:t>
      </w:r>
      <w:r w:rsidRPr="00EB0E65">
        <w:rPr>
          <w:rFonts w:ascii="Times New Roman" w:hAnsi="Times New Roman"/>
          <w:bCs/>
          <w:sz w:val="24"/>
          <w:lang w:eastAsia="zh-CN"/>
        </w:rPr>
        <w:t>6</w:t>
      </w:r>
      <w:r w:rsidRPr="00EB0E65">
        <w:rPr>
          <w:rFonts w:ascii="Times New Roman" w:hAnsi="Times New Roman"/>
          <w:bCs/>
          <w:sz w:val="24"/>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14:paraId="4ED19CC2" w14:textId="34A6872B" w:rsidR="00721099" w:rsidRDefault="00EB0E65" w:rsidP="00EB0E65">
      <w:pPr>
        <w:spacing w:line="360" w:lineRule="auto"/>
        <w:ind w:firstLineChars="200" w:firstLine="480"/>
        <w:jc w:val="both"/>
        <w:rPr>
          <w:rFonts w:asciiTheme="minorEastAsia" w:eastAsiaTheme="minorEastAsia" w:hAnsiTheme="minorEastAsia" w:cstheme="minorEastAsia"/>
          <w:sz w:val="24"/>
          <w:szCs w:val="24"/>
          <w:lang w:eastAsia="zh-CN"/>
        </w:rPr>
      </w:pPr>
      <w:r w:rsidRPr="00EB0E65">
        <w:rPr>
          <w:rFonts w:ascii="Times New Roman" w:hAnsi="Times New Roman" w:hint="eastAsia"/>
          <w:bCs/>
          <w:sz w:val="24"/>
          <w:lang w:eastAsia="zh-CN"/>
        </w:rPr>
        <w:t>如果法律法规对上述投资组合比例限制进行变更的，以变更后的规定为准。法律法规或监管部门取消上述限制，如适用于本基金，基金管理人在履行适当程序后，则本基金投资不再受相关限制。</w:t>
      </w:r>
    </w:p>
    <w:p w14:paraId="5A77908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2、禁止行为</w:t>
      </w:r>
    </w:p>
    <w:p w14:paraId="37F03A8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（1）为维护基金份额持有人的合法权益，除中国证监会另有规定外，本基金境外投资禁止从事下列行为：</w:t>
      </w:r>
    </w:p>
    <w:p w14:paraId="1602ECD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1）承销证券；</w:t>
      </w:r>
    </w:p>
    <w:p w14:paraId="0944E81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2）违反规定向他人贷款或提供担保；</w:t>
      </w:r>
    </w:p>
    <w:p w14:paraId="3388C17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3）从事承担无限责任的投资；</w:t>
      </w:r>
    </w:p>
    <w:p w14:paraId="207245B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4）购买不动产；</w:t>
      </w:r>
    </w:p>
    <w:p w14:paraId="5AE9A81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5）购买房地产抵押按揭；</w:t>
      </w:r>
    </w:p>
    <w:p w14:paraId="50E26B0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6）购买贵重金属或代表贵重金属的凭证；</w:t>
      </w:r>
    </w:p>
    <w:p w14:paraId="19318C6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7）购买实物商品；</w:t>
      </w:r>
    </w:p>
    <w:p w14:paraId="1CE3BAC9" w14:textId="28A7994A"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8）除应付赎回、交易清算等临时用途以外，借入现金。临时用途借入现金的比例超过基金资产净值的10%；</w:t>
      </w:r>
    </w:p>
    <w:p w14:paraId="67817E6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9）利用融资购买证券，但投资金融衍生品以及法律法规及中国证监会另有规定的除外；</w:t>
      </w:r>
    </w:p>
    <w:p w14:paraId="6DDBC10F"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10）参与未持有基础资产的卖空交易；</w:t>
      </w:r>
    </w:p>
    <w:p w14:paraId="228A55C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11）购买证券用于控制或影响发行该证券的机构或其管理层；</w:t>
      </w:r>
    </w:p>
    <w:p w14:paraId="3008D05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12）直接投资与实物商品相关的衍生品；</w:t>
      </w:r>
    </w:p>
    <w:p w14:paraId="5D2C68E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13）向基金管理人、基金托管人出资；</w:t>
      </w:r>
    </w:p>
    <w:p w14:paraId="0BC21A1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14）从事内幕交易、操纵证券价格及其他不正当的证券交易活动；</w:t>
      </w:r>
    </w:p>
    <w:p w14:paraId="30700E4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15）当时有效的法律法规、中国证监会及基金合同规定禁止从事的其他行为。</w:t>
      </w:r>
    </w:p>
    <w:p w14:paraId="55E12B9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（2）为维护基金份额持有人的合法权益，本基金境内投资禁止参与下列投资或者活动：</w:t>
      </w:r>
    </w:p>
    <w:p w14:paraId="3A51F94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1）承销证券；</w:t>
      </w:r>
    </w:p>
    <w:p w14:paraId="75D3EB5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2）违反规定向他人贷款或者提供担保；</w:t>
      </w:r>
    </w:p>
    <w:p w14:paraId="5DF808F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3）从事承担无限责任的投资；</w:t>
      </w:r>
    </w:p>
    <w:p w14:paraId="0F7D244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4）买卖其他基金份额，但是法律法规或中国证监会另有规定的除外；</w:t>
      </w:r>
    </w:p>
    <w:p w14:paraId="4EE5A03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5）向其基金管理人、基金托管人出资；</w:t>
      </w:r>
    </w:p>
    <w:p w14:paraId="5A414C4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6）从事内幕交易、操纵证券交易价格及其他不正当的证券交易活动；</w:t>
      </w:r>
    </w:p>
    <w:p w14:paraId="161927C0"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7)法律、行政法规和中国证监会规定禁止的其他活动。</w:t>
      </w:r>
    </w:p>
    <w:p w14:paraId="5E16BB4D"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w:t>
      </w:r>
      <w:r>
        <w:rPr>
          <w:rFonts w:asciiTheme="minorEastAsia" w:eastAsiaTheme="minorEastAsia" w:hAnsiTheme="minorEastAsia" w:cstheme="minorEastAsia" w:hint="eastAsia"/>
          <w:sz w:val="24"/>
          <w:szCs w:val="24"/>
          <w:lang w:eastAsia="zh-CN"/>
        </w:rPr>
        <w:lastRenderedPageBreak/>
        <w:t>通过。基金管理人董事会应至少每半年对关联交易事项进行审查。</w:t>
      </w:r>
    </w:p>
    <w:p w14:paraId="291C6EE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法律、行政法规或监管部门取消或变更上述限制，如适用于本基金，基金管理人在履行适当程序后，则本基金投资不再受相关限制或以变更以后的规定为准。</w:t>
      </w:r>
    </w:p>
    <w:p w14:paraId="42D7B6BD"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六、基金资产净值的计算方法和公告方式</w:t>
      </w:r>
    </w:p>
    <w:p w14:paraId="688A3F2F"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（一）基金资产净值</w:t>
      </w:r>
    </w:p>
    <w:p w14:paraId="1AA6D5B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基金资产净值是指基金资产总值减去基金负债后的价值。</w:t>
      </w:r>
    </w:p>
    <w:p w14:paraId="0D6115E3"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（二）估值方法</w:t>
      </w:r>
    </w:p>
    <w:p w14:paraId="6091617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1、证券交易所上市的有价证券的估值</w:t>
      </w:r>
    </w:p>
    <w:p w14:paraId="4455987B"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2C776A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（2）交易所上市交易或挂牌转让的不含权固定收益品种，选取估值日第三方估值基准服务机构提供的相应品种当日的估值全价进行估值；</w:t>
      </w:r>
    </w:p>
    <w:p w14:paraId="591EF76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（3）交易所上市交易或挂牌转让的含权固定收益品种，选取估值日第三方估值基准服务机构提供的相应品种当日的唯一估值全价或推荐估值全价进行估值；</w:t>
      </w:r>
    </w:p>
    <w:p w14:paraId="1406CA8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3941373" w14:textId="4D1D4F02"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sidR="00EB0E65" w:rsidRPr="00EB0E65">
        <w:rPr>
          <w:rFonts w:asciiTheme="minorEastAsia" w:eastAsiaTheme="minorEastAsia" w:hAnsiTheme="minorEastAsia" w:cstheme="minorEastAsia"/>
          <w:sz w:val="24"/>
          <w:szCs w:val="24"/>
          <w:lang w:eastAsia="zh-CN"/>
        </w:rPr>
        <w:t>交易所上市交易的可转换债券等有活跃市场的含转股权的债券，实行全价交易的债券以每日收盘价作为估值全价；实行净价交易的债券选取估值日收盘价并加计每百元税前应计利息作为估值全价；</w:t>
      </w:r>
    </w:p>
    <w:p w14:paraId="42BB1964"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（5）交易所上市不存在活跃市场的有价证券，采用估值技术确定公允价值；</w:t>
      </w:r>
    </w:p>
    <w:p w14:paraId="497E6972" w14:textId="77777777" w:rsidR="00EB0E65"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（6）对于交易所未上市或未挂牌转让且不存在活跃市场的固定收益品种，采用在当前情况下适用并且有足够可利用数据和其他信息支持的估值技术确定其公允价值。</w:t>
      </w:r>
    </w:p>
    <w:p w14:paraId="1EC9D969" w14:textId="11A021E5" w:rsidR="00721099" w:rsidRDefault="00EB0E65">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sidRPr="00EB0E65">
        <w:rPr>
          <w:rFonts w:asciiTheme="minorEastAsia" w:eastAsiaTheme="minorEastAsia" w:hAnsiTheme="minorEastAsia" w:cstheme="minorEastAsia" w:hint="eastAsia"/>
          <w:sz w:val="24"/>
          <w:szCs w:val="24"/>
          <w:lang w:eastAsia="zh-CN"/>
        </w:rPr>
        <w:t>（</w:t>
      </w:r>
      <w:r w:rsidRPr="00EB0E65">
        <w:rPr>
          <w:rFonts w:asciiTheme="minorEastAsia" w:eastAsiaTheme="minorEastAsia" w:hAnsiTheme="minorEastAsia" w:cstheme="minorEastAsia"/>
          <w:sz w:val="24"/>
          <w:szCs w:val="24"/>
          <w:lang w:eastAsia="zh-CN"/>
        </w:rPr>
        <w:t>7）对于境外上市流通的债券，证券交易所市场实行净价交易 的债券，按估</w:t>
      </w:r>
      <w:r w:rsidRPr="00EB0E65">
        <w:rPr>
          <w:rFonts w:asciiTheme="minorEastAsia" w:eastAsiaTheme="minorEastAsia" w:hAnsiTheme="minorEastAsia" w:cstheme="minorEastAsia"/>
          <w:sz w:val="24"/>
          <w:szCs w:val="24"/>
          <w:lang w:eastAsia="zh-CN"/>
        </w:rPr>
        <w:lastRenderedPageBreak/>
        <w:t>值日收盘净价或第三方估值机构提供的估值净价估值。 证券交易所市场实行全价交易的债券（可转债除外），按估值日收盘价或第三方估值机构提供的估值全价减去收盘价或估值全价中所含的债券应收利息得到的净价进行估值。</w:t>
      </w:r>
    </w:p>
    <w:p w14:paraId="40A660F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2、处于未上市期间的有价证券应区分如下情况处理：</w:t>
      </w:r>
    </w:p>
    <w:p w14:paraId="49E1E88C"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（1）送股、转增股、配股和公开增发的新股，按估值日在证券交易所挂牌的同一股票的估值方法估值；该日无交易的，以最近一日的市价（收盘价）估值；</w:t>
      </w:r>
    </w:p>
    <w:p w14:paraId="7AA32B6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（2）首次公开发行未上市的股票、债券，采用估值技术确定公允价值；</w:t>
      </w:r>
    </w:p>
    <w:p w14:paraId="60C4375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28C4F23"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3BC4CA9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4、本基金投资期货合约，一般以估值当日结算价进行估值，估值当日无结算价的，且最近交易日后经济环境未发生重大变化的，采用最近交易日结算价估值。</w:t>
      </w:r>
    </w:p>
    <w:p w14:paraId="079C79F1"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5、存款的估值方法</w:t>
      </w:r>
    </w:p>
    <w:p w14:paraId="18FED4C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持有的银行定期存款或通知存款按实际利率法逐日确认利息收入。</w:t>
      </w:r>
    </w:p>
    <w:p w14:paraId="033612B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6、同一证券同时在两个或两个以上市场交易的，按证券所处的市场分别估值。</w:t>
      </w:r>
    </w:p>
    <w:p w14:paraId="4C79AFD5"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7、本基金投资股票期权，根据相关法律法规以及监管部门的规定估值。</w:t>
      </w:r>
    </w:p>
    <w:p w14:paraId="735B49A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信用衍生品按第三方估值基准服务机构提供的当日的估值价格进行估值，但基金管理人依法应当承担的估值责任不因委托而免除；选定的第三方估值基准服务机构未提供估值价格的，依照有关法律法规及《企业会计准则》要求采用合理估值技术确定公允价值。</w:t>
      </w:r>
    </w:p>
    <w:p w14:paraId="10269E1C" w14:textId="53F46DC6"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w:t>
      </w:r>
      <w:r w:rsidR="00EB0E65" w:rsidRPr="00EB0E65">
        <w:rPr>
          <w:rFonts w:asciiTheme="minorEastAsia" w:eastAsiaTheme="minorEastAsia" w:hAnsiTheme="minorEastAsia" w:cstheme="minorEastAsia" w:hint="eastAsia"/>
          <w:sz w:val="24"/>
          <w:szCs w:val="24"/>
          <w:lang w:eastAsia="zh-CN"/>
        </w:rPr>
        <w:t>境外</w:t>
      </w:r>
      <w:r>
        <w:rPr>
          <w:rFonts w:asciiTheme="minorEastAsia" w:eastAsiaTheme="minorEastAsia" w:hAnsiTheme="minorEastAsia" w:cstheme="minorEastAsia" w:hint="eastAsia"/>
          <w:sz w:val="24"/>
          <w:szCs w:val="24"/>
          <w:lang w:eastAsia="zh-CN"/>
        </w:rPr>
        <w:t>衍生工具估值方法</w:t>
      </w:r>
    </w:p>
    <w:p w14:paraId="348C626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（1）上市流通衍生工具按估值日当日其所在证券交易所的收盘价估值；估值日</w:t>
      </w:r>
      <w:r>
        <w:rPr>
          <w:rFonts w:asciiTheme="minorEastAsia" w:eastAsiaTheme="minorEastAsia" w:hAnsiTheme="minorEastAsia" w:cstheme="minorEastAsia" w:hint="eastAsia"/>
          <w:sz w:val="24"/>
          <w:szCs w:val="24"/>
          <w:lang w:eastAsia="zh-CN"/>
        </w:rPr>
        <w:lastRenderedPageBreak/>
        <w:t>无交易的，以最近交易日的收盘价估值；</w:t>
      </w:r>
    </w:p>
    <w:p w14:paraId="08A8C9AA" w14:textId="12C698B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sidR="00EB0E65" w:rsidRPr="00EB0E65">
        <w:rPr>
          <w:rFonts w:asciiTheme="minorEastAsia" w:eastAsiaTheme="minorEastAsia" w:hAnsiTheme="minorEastAsia" w:cstheme="minorEastAsia"/>
          <w:sz w:val="24"/>
          <w:szCs w:val="24"/>
          <w:lang w:eastAsia="zh-CN"/>
        </w:rPr>
        <w:t>未上市的衍生工具采用估值基准服务机构提供的相应品种对应的估值报价估值，估值基准服务机构未提供估值价格的，则采用估值技术确定公允价值；若衍生品价格无法通过公开信息取得，参照最近一个交易日可取得的主要做市商或其他权威价格提供机构的报价进行估值。</w:t>
      </w:r>
    </w:p>
    <w:p w14:paraId="4E4D3EF9" w14:textId="35E11067" w:rsidR="00721099" w:rsidRDefault="00EB0E65">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sidRPr="00EB0E65">
        <w:rPr>
          <w:rFonts w:asciiTheme="minorEastAsia" w:eastAsiaTheme="minorEastAsia" w:hAnsiTheme="minorEastAsia" w:cstheme="minorEastAsia"/>
          <w:sz w:val="24"/>
          <w:szCs w:val="24"/>
          <w:lang w:eastAsia="zh-CN"/>
        </w:rPr>
        <w:t>10、</w:t>
      </w:r>
      <w:r w:rsidR="006B4706">
        <w:rPr>
          <w:rFonts w:asciiTheme="minorEastAsia" w:eastAsiaTheme="minorEastAsia" w:hAnsiTheme="minorEastAsia" w:cstheme="minorEastAsia" w:hint="eastAsia"/>
          <w:sz w:val="24"/>
          <w:szCs w:val="24"/>
          <w:lang w:eastAsia="zh-CN"/>
        </w:rPr>
        <w:t>本基金参与融资业务的，按照相关法律法规及行业协会的相关规定进行估值。</w:t>
      </w:r>
    </w:p>
    <w:p w14:paraId="0475A37D" w14:textId="11AE95F9"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1</w:t>
      </w:r>
      <w:r>
        <w:rPr>
          <w:rFonts w:asciiTheme="minorEastAsia" w:eastAsiaTheme="minorEastAsia" w:hAnsiTheme="minorEastAsia" w:cstheme="minorEastAsia" w:hint="eastAsia"/>
          <w:sz w:val="24"/>
          <w:szCs w:val="24"/>
          <w:lang w:eastAsia="zh-CN"/>
        </w:rPr>
        <w:t>、本基金投资</w:t>
      </w:r>
      <w:r w:rsidR="00EB0E65" w:rsidRPr="00EB0E65">
        <w:rPr>
          <w:rFonts w:asciiTheme="minorEastAsia" w:eastAsiaTheme="minorEastAsia" w:hAnsiTheme="minorEastAsia" w:cstheme="minorEastAsia" w:hint="eastAsia"/>
          <w:sz w:val="24"/>
          <w:szCs w:val="24"/>
          <w:lang w:eastAsia="zh-CN"/>
        </w:rPr>
        <w:t>境内</w:t>
      </w:r>
      <w:r>
        <w:rPr>
          <w:rFonts w:asciiTheme="minorEastAsia" w:eastAsiaTheme="minorEastAsia" w:hAnsiTheme="minorEastAsia" w:cstheme="minorEastAsia" w:hint="eastAsia"/>
          <w:sz w:val="24"/>
          <w:szCs w:val="24"/>
          <w:lang w:eastAsia="zh-CN"/>
        </w:rPr>
        <w:t>存托凭证的估值核算，依照境内上市交易的股票执行；美国存托凭证、全球存托凭证按其所在证券交易所的最近交易日的收盘价估值。</w:t>
      </w:r>
    </w:p>
    <w:p w14:paraId="300D9B66" w14:textId="66E54924"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2</w:t>
      </w:r>
      <w:r>
        <w:rPr>
          <w:rFonts w:asciiTheme="minorEastAsia" w:eastAsiaTheme="minorEastAsia" w:hAnsiTheme="minorEastAsia" w:cstheme="minorEastAsia" w:hint="eastAsia"/>
          <w:sz w:val="24"/>
          <w:szCs w:val="24"/>
          <w:lang w:eastAsia="zh-CN"/>
        </w:rPr>
        <w:t>、基金估值方法</w:t>
      </w:r>
    </w:p>
    <w:p w14:paraId="150F593F"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（1）本基金投资于交易所上市基金的估值</w:t>
      </w:r>
    </w:p>
    <w:p w14:paraId="08DF7A6A"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本基金投资的上市定期开放式基金、封闭式基金、ETF基金，按所投资基金估值日的收盘价估值。</w:t>
      </w:r>
    </w:p>
    <w:p w14:paraId="0067F4A7"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（2）如遇所投资基金不公布基金份额净值、进行折算或拆分、估值日无交易等特殊情况，本基金根据以下原则进行估值：</w:t>
      </w:r>
    </w:p>
    <w:p w14:paraId="2F214A5D"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2）如果所投资基金前一估值日至估值日期间发生分红除权、折算或拆分，基金管理人应根据基金份额净值或收盘价、单位基金份额分红金额、折算拆分比例、持仓份额等因素合理确定公允价值。</w:t>
      </w:r>
    </w:p>
    <w:p w14:paraId="2B2EA542"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（3）当基金管理人认为所投资基金按上述第（1）至第（2）条进行估值存在不公允时，应与基金托管人协商一致采用合理的估值技术或估值标准确定其公允价值。</w:t>
      </w:r>
    </w:p>
    <w:p w14:paraId="6714AFD8" w14:textId="77777777" w:rsidR="00EB0E65" w:rsidRDefault="00EB0E65">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sidRPr="00EB0E65">
        <w:rPr>
          <w:rFonts w:asciiTheme="minorEastAsia" w:eastAsiaTheme="minorEastAsia" w:hAnsiTheme="minorEastAsia" w:cstheme="minorEastAsia" w:hint="eastAsia"/>
          <w:sz w:val="24"/>
          <w:szCs w:val="24"/>
          <w:lang w:eastAsia="zh-CN"/>
        </w:rPr>
        <w:t>（</w:t>
      </w:r>
      <w:r w:rsidRPr="00EB0E65">
        <w:rPr>
          <w:rFonts w:asciiTheme="minorEastAsia" w:eastAsiaTheme="minorEastAsia" w:hAnsiTheme="minorEastAsia" w:cstheme="minorEastAsia"/>
          <w:sz w:val="24"/>
          <w:szCs w:val="24"/>
          <w:lang w:eastAsia="zh-CN"/>
        </w:rPr>
        <w:t>4）开放式基金按照可取得的最近估值日的基金份额净值估值，若基金份额净值无法通过公开公开渠道获得，则由基金管理人和托管人协商一致，按照最能反映基金公允价值的基金份额净值估值。货币基金以成本估值，每日按当日的万份收益计提红利。</w:t>
      </w:r>
    </w:p>
    <w:p w14:paraId="3786A42D" w14:textId="2EC2BC69"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3</w:t>
      </w:r>
      <w:r>
        <w:rPr>
          <w:rFonts w:asciiTheme="minorEastAsia" w:eastAsiaTheme="minorEastAsia" w:hAnsiTheme="minorEastAsia" w:cstheme="minorEastAsia" w:hint="eastAsia"/>
          <w:sz w:val="24"/>
          <w:szCs w:val="24"/>
          <w:lang w:eastAsia="zh-CN"/>
        </w:rPr>
        <w:t>、估值计算中涉及主要货币对人民币汇率的，可参考估值日中国人民银行公布的人民币汇率中间价，或其他可以反映公允价值的汇率进行估值。</w:t>
      </w:r>
    </w:p>
    <w:p w14:paraId="43552BF6"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外币交易涉及人民币与上述主要货币以外的其他货币之间折算的，以指定数据</w:t>
      </w:r>
      <w:r>
        <w:rPr>
          <w:rFonts w:asciiTheme="minorEastAsia" w:eastAsiaTheme="minorEastAsia" w:hAnsiTheme="minorEastAsia" w:cstheme="minorEastAsia" w:hint="eastAsia"/>
          <w:sz w:val="24"/>
          <w:szCs w:val="24"/>
          <w:lang w:eastAsia="zh-CN"/>
        </w:rPr>
        <w:lastRenderedPageBreak/>
        <w:t>服务商提供的当日各种货币对美元折算率采用套算的方法进行折算。</w:t>
      </w:r>
    </w:p>
    <w:p w14:paraId="35845F80" w14:textId="3CC3563C"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4</w:t>
      </w:r>
      <w:r>
        <w:rPr>
          <w:rFonts w:asciiTheme="minorEastAsia" w:eastAsiaTheme="minorEastAsia" w:hAnsiTheme="minorEastAsia" w:cstheme="minorEastAsia" w:hint="eastAsia"/>
          <w:sz w:val="24"/>
          <w:szCs w:val="24"/>
          <w:lang w:eastAsia="zh-CN"/>
        </w:rPr>
        <w:t>、税收</w:t>
      </w:r>
    </w:p>
    <w:p w14:paraId="325070E4"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5307A7EE"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对于非代扣代缴的税收，基金管理人可以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及中国与该国家或地区签署的相关税收协定履行纳税义务。除因基金管理人或基金托管人疏忽、故意行为导致的基金在税收方面造成的损失外，基金管理人和基金托管人不承担责任。</w:t>
      </w:r>
    </w:p>
    <w:p w14:paraId="67C22BC7" w14:textId="09D9D943"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5</w:t>
      </w:r>
      <w:r>
        <w:rPr>
          <w:rFonts w:asciiTheme="minorEastAsia" w:eastAsiaTheme="minorEastAsia" w:hAnsiTheme="minorEastAsia" w:cstheme="minorEastAsia" w:hint="eastAsia"/>
          <w:sz w:val="24"/>
          <w:szCs w:val="24"/>
          <w:lang w:eastAsia="zh-CN"/>
        </w:rPr>
        <w:t>、如有确凿证据表明按上述方法进行估值不能客观反映其公允价值的，基金管理人可根据具体情况与基金托管人商定后，按最能反映公允价值的价格估值。</w:t>
      </w:r>
    </w:p>
    <w:p w14:paraId="1F1654BA" w14:textId="25F93F4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6</w:t>
      </w:r>
      <w:r>
        <w:rPr>
          <w:rFonts w:asciiTheme="minorEastAsia" w:eastAsiaTheme="minorEastAsia" w:hAnsiTheme="minorEastAsia" w:cstheme="minorEastAsia" w:hint="eastAsia"/>
          <w:sz w:val="24"/>
          <w:szCs w:val="24"/>
          <w:lang w:eastAsia="zh-CN"/>
        </w:rPr>
        <w:t>、当发生大额申购或赎回情形时，基金管理人可以采用摆动定价机制，以确保基金估值的公平性。</w:t>
      </w:r>
    </w:p>
    <w:p w14:paraId="36BD1878" w14:textId="77CBF7C5"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sidR="00EB0E65">
        <w:rPr>
          <w:rFonts w:asciiTheme="minorEastAsia" w:eastAsiaTheme="minorEastAsia" w:hAnsiTheme="minorEastAsia" w:cstheme="minorEastAsia"/>
          <w:sz w:val="24"/>
          <w:szCs w:val="24"/>
          <w:lang w:eastAsia="zh-CN"/>
        </w:rPr>
        <w:t>7</w:t>
      </w:r>
      <w:r>
        <w:rPr>
          <w:rFonts w:asciiTheme="minorEastAsia" w:eastAsiaTheme="minorEastAsia" w:hAnsiTheme="minorEastAsia" w:cstheme="minorEastAsia" w:hint="eastAsia"/>
          <w:sz w:val="24"/>
          <w:szCs w:val="24"/>
          <w:lang w:eastAsia="zh-CN"/>
        </w:rPr>
        <w:t>、相关法律法规以及监管部门有强制规定的，从其规定。如有新增事项，按国家最新规定估值。</w:t>
      </w:r>
    </w:p>
    <w:p w14:paraId="0F609694" w14:textId="77777777" w:rsidR="00721099" w:rsidRDefault="006B4706">
      <w:pPr>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077D5D3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F6E02AF"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（三）基金净值信息</w:t>
      </w:r>
    </w:p>
    <w:p w14:paraId="6A69EF8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《基金合同》生效后，在开始办理基金份额申购或者赎回前，基金管理人应当至少每周在规定网站披露一次各类基金份额净值和基金份额累计净值。</w:t>
      </w:r>
    </w:p>
    <w:p w14:paraId="7D16127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在开始办理基金份额申购或者赎回后，基金管理人应当在每个开放日后的2个工作日内，通过规定网站、基金销售机构网站或者营业网点披露开放日的各类基金份</w:t>
      </w:r>
      <w:r>
        <w:rPr>
          <w:rFonts w:asciiTheme="minorEastAsia" w:eastAsiaTheme="minorEastAsia" w:hAnsiTheme="minorEastAsia" w:cstheme="minorEastAsia" w:hint="eastAsia"/>
          <w:sz w:val="24"/>
          <w:szCs w:val="24"/>
          <w:lang w:eastAsia="zh-CN"/>
        </w:rPr>
        <w:lastRenderedPageBreak/>
        <w:t>额净值和基金份额累计净值。</w:t>
      </w:r>
    </w:p>
    <w:p w14:paraId="52D00B1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基金管理人应当在不晚于半年度和年度最后一日后的2个工作日内，在规定网站披露半年度和年度最后一日的各类基金份额净值和基金份额累计净值。</w:t>
      </w:r>
    </w:p>
    <w:p w14:paraId="12466EDD"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七、基金合同解除和终止的事由、程序以及基金财产清算方式</w:t>
      </w:r>
    </w:p>
    <w:p w14:paraId="3317D147"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（一）《基金合同》的变更</w:t>
      </w:r>
    </w:p>
    <w:p w14:paraId="33C4651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066E41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2、关于《基金合同》变更的基金份额持有人大会决议自生效后方可执行，自决议生效后依照《信息披露办法》的有关规定在规定媒介公告。</w:t>
      </w:r>
    </w:p>
    <w:p w14:paraId="56494429"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（二）《基金合同》的终止事由</w:t>
      </w:r>
    </w:p>
    <w:p w14:paraId="53C8B1C2"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有下列情形之一的，经履行相关程序后，《基金合同》应当终止：</w:t>
      </w:r>
    </w:p>
    <w:p w14:paraId="555849A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1、基金份额持有人大会决定终止的；</w:t>
      </w:r>
    </w:p>
    <w:p w14:paraId="370E4DE8"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2、基金管理人、基金托管人职责终止，在6个月内没有新基金管理人、新基金托管人承接的；</w:t>
      </w:r>
    </w:p>
    <w:p w14:paraId="3ACF86A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3、《基金合同》约定的其他情形；</w:t>
      </w:r>
    </w:p>
    <w:p w14:paraId="466CEE63"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4、相关法律法规和中国证监会规定的其他情况。</w:t>
      </w:r>
    </w:p>
    <w:p w14:paraId="5C021744"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（三）基金财产的清算</w:t>
      </w:r>
    </w:p>
    <w:p w14:paraId="57437A9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1、基金财产清算小组：自出现《基金合同》终止事由之日起30个工作日内成立清算小组，基金管理人组织基金财产清算小组并在中国证监会的监督下进行基金清算。</w:t>
      </w:r>
    </w:p>
    <w:p w14:paraId="52C312D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0B6214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3、基金财产清算小组职责：基金财产清算小组负责基金财产的保管、清理、估价、变现和分配。基金财产清算小组可以依法进行必要的民事活动。</w:t>
      </w:r>
    </w:p>
    <w:p w14:paraId="0627D84C"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4、基金财产清算程序：</w:t>
      </w:r>
    </w:p>
    <w:p w14:paraId="41A188DE"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（1）《基金合同》终止情形出现时，由基金财产清算小组统一接管基金；</w:t>
      </w:r>
    </w:p>
    <w:p w14:paraId="6D0C7B65"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（2）对基金财产和债权债务进行清理和确认；</w:t>
      </w:r>
    </w:p>
    <w:p w14:paraId="12E6CE3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（3）对基金财产进行估值和变现；</w:t>
      </w:r>
    </w:p>
    <w:p w14:paraId="3B82365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（4）制作清算报告；</w:t>
      </w:r>
    </w:p>
    <w:p w14:paraId="0D6BE5C7"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（5）聘请会计师事务所对清算报告进行外部审计，聘请律师事务所对清算报告出具法律意见书；</w:t>
      </w:r>
    </w:p>
    <w:p w14:paraId="7F5AB6EA"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（6）将清算报告报中国证监会备案并公告；</w:t>
      </w:r>
    </w:p>
    <w:p w14:paraId="562834F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（7）对基金剩余财产进行分配。</w:t>
      </w:r>
    </w:p>
    <w:p w14:paraId="5F85525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5、基金财产清算的期限为6个月，但因本基金所持证券的流动性受到限制而不能及时变现的，清算期限相应顺延。</w:t>
      </w:r>
    </w:p>
    <w:p w14:paraId="18B455DB"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（四）清算费用</w:t>
      </w:r>
    </w:p>
    <w:p w14:paraId="594E7744"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清算费用是指基金财产清算小组在进行基金财产清算过程中发生的所有合理费用，清算费用由基金财产清算小组优先从基金剩余财产中支付。</w:t>
      </w:r>
    </w:p>
    <w:p w14:paraId="32425B33"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（五）基金财产清算剩余资产的分配</w:t>
      </w:r>
    </w:p>
    <w:p w14:paraId="36B171C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依据基金财产清算的分配方案，将基金财产清算后的全部剩余资产扣除基金财产清算费用、交纳所欠税款并清偿基金债务后，按基金份额持有人持有的基金份额比例进行分配。</w:t>
      </w:r>
    </w:p>
    <w:p w14:paraId="50675069"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（六）基金财产清算的公告</w:t>
      </w:r>
    </w:p>
    <w:p w14:paraId="2684B9EB"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清算过程中的有关重大事项须及时公告；基金财产清算报告经符合《中华人民共和国证券法》规定的会计师事务所审计并由律师事务所出具法律意见书后报中国证监会备案并公告。基金财产清算报告于基金财产清算报告报中国证监会备案后5个工作日内由基金财产清算小组进行公告。基金财产清算小组应当将清算报告登载在规定网站上，并将清算报告提示性公告登载在规定报刊上。</w:t>
      </w:r>
    </w:p>
    <w:p w14:paraId="4CDD23D1" w14:textId="77777777" w:rsidR="00721099" w:rsidRDefault="006B4706">
      <w:pPr>
        <w:spacing w:line="360" w:lineRule="auto"/>
        <w:ind w:firstLineChars="200" w:firstLine="480"/>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（七）基金财产清算账册及文件的保存</w:t>
      </w:r>
    </w:p>
    <w:p w14:paraId="5AB3F2A6"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基金财产清算账册及有关文件由基金托管人保存，保存期限不少于法定最低期限。</w:t>
      </w:r>
    </w:p>
    <w:p w14:paraId="4470AF75"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八、争议解决方式</w:t>
      </w:r>
    </w:p>
    <w:p w14:paraId="3207FD96" w14:textId="265D447F"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各方当事人同意，因《基金合同》而产生的或与《基金合同》有关的一切争议，如经友好协商未能解决的，应提交深圳国际仲裁院，根据提交仲裁时深圳国际仲裁院的仲裁规则进行仲裁，仲裁地点为深圳市。仲裁裁决是终局性的并对各方当事人具有约束力，</w:t>
      </w:r>
      <w:r w:rsidR="00495741" w:rsidRPr="00495741">
        <w:rPr>
          <w:rFonts w:asciiTheme="minorEastAsia" w:eastAsiaTheme="minorEastAsia" w:hAnsiTheme="minorEastAsia" w:cstheme="minorEastAsia" w:hint="eastAsia"/>
          <w:sz w:val="24"/>
          <w:szCs w:val="24"/>
          <w:lang w:eastAsia="zh-CN"/>
        </w:rPr>
        <w:t>除非仲裁裁决另有规定，</w:t>
      </w:r>
      <w:r>
        <w:rPr>
          <w:rFonts w:asciiTheme="minorEastAsia" w:eastAsiaTheme="minorEastAsia" w:hAnsiTheme="minorEastAsia" w:cstheme="minorEastAsia" w:hint="eastAsia"/>
          <w:sz w:val="24"/>
          <w:szCs w:val="24"/>
          <w:lang w:eastAsia="zh-CN"/>
        </w:rPr>
        <w:t>仲裁费用、律师费用由败诉方承担。</w:t>
      </w:r>
    </w:p>
    <w:p w14:paraId="77983469"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争议处理期间，相关各方当事人应恪守基金管理人和基金托管人职责，继续忠</w:t>
      </w:r>
      <w:r>
        <w:rPr>
          <w:rFonts w:asciiTheme="minorEastAsia" w:eastAsiaTheme="minorEastAsia" w:hAnsiTheme="minorEastAsia" w:cstheme="minorEastAsia" w:hint="eastAsia"/>
          <w:sz w:val="24"/>
          <w:szCs w:val="24"/>
          <w:lang w:eastAsia="zh-CN"/>
        </w:rPr>
        <w:lastRenderedPageBreak/>
        <w:t>实、勤勉、尽责地履行《基金合同》和托管协议规定的义务，维护基金份额持有人的合法权益。</w:t>
      </w:r>
    </w:p>
    <w:p w14:paraId="251FA6F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《基金合同》受中国法律（为本基金合同之目的，在此不包括香港特别行政区、澳门特别行政区和台湾地区法律）管辖。</w:t>
      </w:r>
    </w:p>
    <w:p w14:paraId="4A543CB3" w14:textId="77777777" w:rsidR="00721099" w:rsidRDefault="006B4706">
      <w:pPr>
        <w:spacing w:line="360" w:lineRule="auto"/>
        <w:ind w:firstLineChars="200" w:firstLine="480"/>
        <w:jc w:val="both"/>
        <w:outlineLvl w:val="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九、基金合同存放地和投资者取得基金合同的方式</w:t>
      </w:r>
    </w:p>
    <w:p w14:paraId="1CA96E01" w14:textId="77777777" w:rsidR="00721099" w:rsidRDefault="006B4706">
      <w:pPr>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《基金合同》可印制成册，供投资者在基金管理人、基金托管人、销售机构的办公场所和营业场所查阅。</w:t>
      </w:r>
    </w:p>
    <w:p w14:paraId="2AEDE11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br w:type="page"/>
      </w:r>
    </w:p>
    <w:p w14:paraId="02E05F09" w14:textId="43C4B9D7" w:rsidR="00721099" w:rsidRDefault="006B4706">
      <w:pPr>
        <w:autoSpaceDE/>
        <w:autoSpaceDN/>
        <w:adjustRightInd w:val="0"/>
        <w:snapToGrid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本页无正文，为《平安港股医疗优选股票型证券投资基金（QDII）基金合同》签字页。</w:t>
      </w:r>
    </w:p>
    <w:p w14:paraId="74AA9A88"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4FF75170"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5DFC142C"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2A9EB7B3"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基金管理人：平安基金管理有限公司（公章）</w:t>
      </w:r>
    </w:p>
    <w:p w14:paraId="25FA0E18"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04FB6DD0"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3CB075CA"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58A3AD2F"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法定代表人或授权代表：（签字或</w:t>
      </w:r>
      <w:r>
        <w:rPr>
          <w:rFonts w:asciiTheme="minorEastAsia" w:eastAsiaTheme="minorEastAsia" w:hAnsiTheme="minorEastAsia" w:cstheme="minorEastAsia" w:hint="eastAsia"/>
          <w:sz w:val="24"/>
          <w:szCs w:val="24"/>
          <w:lang w:eastAsia="zh-Hans"/>
        </w:rPr>
        <w:t>盖</w:t>
      </w:r>
      <w:r>
        <w:rPr>
          <w:rFonts w:asciiTheme="minorEastAsia" w:eastAsiaTheme="minorEastAsia" w:hAnsiTheme="minorEastAsia" w:cstheme="minorEastAsia" w:hint="eastAsia"/>
          <w:sz w:val="24"/>
          <w:szCs w:val="24"/>
          <w:lang w:eastAsia="zh-CN"/>
        </w:rPr>
        <w:t>章）</w:t>
      </w:r>
    </w:p>
    <w:p w14:paraId="1A37C602"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68B3FDB6"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5C1917CA"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49B29712"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635A5C96"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1C9ED889"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基金托管人：上海浦东发展银行股份有限公司（公章）</w:t>
      </w:r>
    </w:p>
    <w:p w14:paraId="14E5C4C8"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4DBAEB4C"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16E196C2"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67614347"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法定代表人或授权代表：（签字或</w:t>
      </w:r>
      <w:r>
        <w:rPr>
          <w:rFonts w:asciiTheme="minorEastAsia" w:eastAsiaTheme="minorEastAsia" w:hAnsiTheme="minorEastAsia" w:cstheme="minorEastAsia" w:hint="eastAsia"/>
          <w:sz w:val="24"/>
          <w:szCs w:val="24"/>
          <w:lang w:eastAsia="zh-Hans"/>
        </w:rPr>
        <w:t>盖</w:t>
      </w:r>
      <w:r>
        <w:rPr>
          <w:rFonts w:asciiTheme="minorEastAsia" w:eastAsiaTheme="minorEastAsia" w:hAnsiTheme="minorEastAsia" w:cstheme="minorEastAsia" w:hint="eastAsia"/>
          <w:sz w:val="24"/>
          <w:szCs w:val="24"/>
          <w:lang w:eastAsia="zh-CN"/>
        </w:rPr>
        <w:t>章）</w:t>
      </w:r>
    </w:p>
    <w:p w14:paraId="195EDA7B"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66F0526F"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2C975D8B"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45EC6294"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188EB3BD"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359229AF" w14:textId="77777777" w:rsidR="00721099" w:rsidRDefault="00721099">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lang w:eastAsia="zh-CN"/>
        </w:rPr>
      </w:pPr>
    </w:p>
    <w:p w14:paraId="4355F81D"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签订地点：</w:t>
      </w:r>
    </w:p>
    <w:p w14:paraId="541C4CB2" w14:textId="77777777" w:rsidR="00721099" w:rsidRDefault="006B4706">
      <w:pPr>
        <w:autoSpaceDE/>
        <w:autoSpaceDN/>
        <w:adjustRightInd w:val="0"/>
        <w:snapToGrid w:val="0"/>
        <w:spacing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签订日：</w:t>
      </w:r>
    </w:p>
    <w:bookmarkEnd w:id="164"/>
    <w:p w14:paraId="5CB73289" w14:textId="77777777" w:rsidR="00721099" w:rsidRDefault="00721099">
      <w:pPr>
        <w:spacing w:line="360" w:lineRule="auto"/>
        <w:ind w:firstLineChars="200" w:firstLine="480"/>
        <w:jc w:val="both"/>
        <w:rPr>
          <w:rFonts w:asciiTheme="minorEastAsia" w:eastAsiaTheme="minorEastAsia" w:hAnsiTheme="minorEastAsia" w:cstheme="minorEastAsia"/>
          <w:sz w:val="24"/>
          <w:szCs w:val="24"/>
          <w:lang w:eastAsia="zh-CN"/>
        </w:rPr>
      </w:pPr>
    </w:p>
    <w:sectPr w:rsidR="00721099">
      <w:pgSz w:w="11910" w:h="16840"/>
      <w:pgMar w:top="1340" w:right="1440" w:bottom="1400" w:left="1660" w:header="880" w:footer="120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556B9F" w16cex:dateUtc="2025-10-1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F9B78" w16cid:durableId="4EDF9B78"/>
  <w16cid:commentId w16cid:paraId="741E137F" w16cid:durableId="5F556B9F"/>
  <w16cid:commentId w16cid:paraId="030AB984" w16cid:durableId="030AB984"/>
  <w16cid:commentId w16cid:paraId="446365BA" w16cid:durableId="446365BA"/>
  <w16cid:commentId w16cid:paraId="786B822B" w16cid:durableId="786B822B"/>
  <w16cid:commentId w16cid:paraId="066FC6DB" w16cid:durableId="066FC6DB"/>
  <w16cid:commentId w16cid:paraId="43B9961D" w16cid:durableId="43B9961D"/>
  <w16cid:commentId w16cid:paraId="79F5817E" w16cid:durableId="79F5817E"/>
  <w16cid:commentId w16cid:paraId="07274FD1" w16cid:durableId="07274FD1"/>
  <w16cid:commentId w16cid:paraId="1282B7CF" w16cid:durableId="1282B7CF"/>
  <w16cid:commentId w16cid:paraId="3F26FEAF" w16cid:durableId="3F26FEAF"/>
  <w16cid:commentId w16cid:paraId="0C33797D" w16cid:durableId="0C33797D"/>
  <w16cid:commentId w16cid:paraId="69FD69F2" w16cid:durableId="69FD69F2"/>
  <w16cid:commentId w16cid:paraId="2B8AFA92" w16cid:durableId="2B8AFA92"/>
  <w16cid:commentId w16cid:paraId="727DDDB3" w16cid:durableId="727DDDB3"/>
  <w16cid:commentId w16cid:paraId="2FDB0B40" w16cid:durableId="2FDB0B40"/>
  <w16cid:commentId w16cid:paraId="511C91FB" w16cid:durableId="511C91FB"/>
  <w16cid:commentId w16cid:paraId="35E49136" w16cid:durableId="35E491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BA055" w14:textId="77777777" w:rsidR="007E0638" w:rsidRDefault="007E0638">
      <w:r>
        <w:separator/>
      </w:r>
    </w:p>
  </w:endnote>
  <w:endnote w:type="continuationSeparator" w:id="0">
    <w:p w14:paraId="17DB0D45" w14:textId="77777777" w:rsidR="007E0638" w:rsidRDefault="007E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2A87" w:usb1="080E0000" w:usb2="00000010" w:usb3="00000000" w:csb0="0004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665225"/>
    </w:sdtPr>
    <w:sdtEndPr/>
    <w:sdtContent>
      <w:p w14:paraId="261DDBB3" w14:textId="1D91338E" w:rsidR="00386AF4" w:rsidRDefault="00386AF4">
        <w:pPr>
          <w:pStyle w:val="aa"/>
          <w:jc w:val="center"/>
        </w:pPr>
        <w:r>
          <w:fldChar w:fldCharType="begin"/>
        </w:r>
        <w:r>
          <w:instrText>PAGE   \* MERGEFORMAT</w:instrText>
        </w:r>
        <w:r>
          <w:fldChar w:fldCharType="separate"/>
        </w:r>
        <w:r w:rsidR="001918E5" w:rsidRPr="001918E5">
          <w:rPr>
            <w:noProof/>
            <w:lang w:val="zh-CN" w:eastAsia="zh-CN"/>
          </w:rPr>
          <w:t>2</w:t>
        </w:r>
        <w:r>
          <w:fldChar w:fldCharType="end"/>
        </w:r>
      </w:p>
    </w:sdtContent>
  </w:sdt>
  <w:p w14:paraId="62821E31" w14:textId="77777777" w:rsidR="00386AF4" w:rsidRDefault="00386AF4">
    <w:pPr>
      <w:pStyle w:val="a5"/>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59811"/>
    </w:sdtPr>
    <w:sdtEndPr/>
    <w:sdtContent>
      <w:p w14:paraId="3FFEA77A" w14:textId="4A942C63" w:rsidR="00386AF4" w:rsidRDefault="00386AF4">
        <w:pPr>
          <w:pStyle w:val="aa"/>
          <w:jc w:val="center"/>
        </w:pPr>
        <w:r>
          <w:fldChar w:fldCharType="begin"/>
        </w:r>
        <w:r>
          <w:instrText>PAGE   \* MERGEFORMAT</w:instrText>
        </w:r>
        <w:r>
          <w:fldChar w:fldCharType="separate"/>
        </w:r>
        <w:r w:rsidR="001918E5" w:rsidRPr="001918E5">
          <w:rPr>
            <w:noProof/>
            <w:lang w:val="zh-CN" w:eastAsia="zh-CN"/>
          </w:rPr>
          <w:t>21</w:t>
        </w:r>
        <w:r>
          <w:fldChar w:fldCharType="end"/>
        </w:r>
      </w:p>
    </w:sdtContent>
  </w:sdt>
  <w:p w14:paraId="276BC6A4" w14:textId="77777777" w:rsidR="00386AF4" w:rsidRDefault="00386AF4">
    <w:pPr>
      <w:pStyle w:val="a5"/>
      <w:spacing w:before="0" w:line="14" w:lineRule="auto"/>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9D630" w14:textId="77777777" w:rsidR="007E0638" w:rsidRDefault="007E0638">
      <w:r>
        <w:separator/>
      </w:r>
    </w:p>
  </w:footnote>
  <w:footnote w:type="continuationSeparator" w:id="0">
    <w:p w14:paraId="2CBB4FEF" w14:textId="77777777" w:rsidR="007E0638" w:rsidRDefault="007E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996D" w14:textId="77777777" w:rsidR="00386AF4" w:rsidRDefault="00386AF4">
    <w:pPr>
      <w:pStyle w:val="a5"/>
      <w:spacing w:before="0" w:line="14" w:lineRule="auto"/>
      <w:ind w:left="0"/>
      <w:rPr>
        <w:sz w:val="20"/>
      </w:rPr>
    </w:pPr>
    <w:r>
      <w:rPr>
        <w:noProof/>
        <w:lang w:eastAsia="zh-CN" w:bidi="ar-SA"/>
      </w:rPr>
      <mc:AlternateContent>
        <mc:Choice Requires="wps">
          <w:drawing>
            <wp:anchor distT="0" distB="0" distL="114300" distR="114300" simplePos="0" relativeHeight="251656704" behindDoc="1" locked="0" layoutInCell="1" allowOverlap="1" wp14:anchorId="00EB9E37" wp14:editId="6CD96A0B">
              <wp:simplePos x="0" y="0"/>
              <wp:positionH relativeFrom="page">
                <wp:posOffset>1130300</wp:posOffset>
              </wp:positionH>
              <wp:positionV relativeFrom="page">
                <wp:posOffset>552450</wp:posOffset>
              </wp:positionV>
              <wp:extent cx="2673350" cy="139700"/>
              <wp:effectExtent l="0" t="0" r="12700"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139700"/>
                      </a:xfrm>
                      <a:prstGeom prst="rect">
                        <a:avLst/>
                      </a:prstGeom>
                      <a:noFill/>
                      <a:ln>
                        <a:noFill/>
                      </a:ln>
                    </wps:spPr>
                    <wps:txbx>
                      <w:txbxContent>
                        <w:p w14:paraId="09D82CDA" w14:textId="77777777" w:rsidR="00386AF4" w:rsidRDefault="00386AF4">
                          <w:pPr>
                            <w:spacing w:line="220" w:lineRule="exact"/>
                            <w:ind w:left="20"/>
                            <w:rPr>
                              <w:sz w:val="18"/>
                              <w:lang w:eastAsia="zh-CN"/>
                            </w:rPr>
                          </w:pPr>
                          <w:r>
                            <w:rPr>
                              <w:rFonts w:hint="eastAsia"/>
                              <w:sz w:val="18"/>
                              <w:lang w:eastAsia="zh-CN"/>
                            </w:rPr>
                            <w:t>平安港股医疗优选股票型证券投资基金（</w:t>
                          </w:r>
                          <w:r>
                            <w:rPr>
                              <w:sz w:val="18"/>
                              <w:lang w:eastAsia="zh-CN"/>
                            </w:rPr>
                            <w:t>QDII）</w:t>
                          </w:r>
                        </w:p>
                      </w:txbxContent>
                    </wps:txbx>
                    <wps:bodyPr rot="0" vert="horz" wrap="square" lIns="0" tIns="0" rIns="0" bIns="0" anchor="t" anchorCtr="0" upright="1">
                      <a:noAutofit/>
                    </wps:bodyPr>
                  </wps:wsp>
                </a:graphicData>
              </a:graphic>
            </wp:anchor>
          </w:drawing>
        </mc:Choice>
        <mc:Fallback>
          <w:pict>
            <v:shapetype w14:anchorId="00EB9E37" id="_x0000_t202" coordsize="21600,21600" o:spt="202" path="m,l,21600r21600,l21600,xe">
              <v:stroke joinstyle="miter"/>
              <v:path gradientshapeok="t" o:connecttype="rect"/>
            </v:shapetype>
            <v:shape id="Text Box 7" o:spid="_x0000_s1026" type="#_x0000_t202" style="position:absolute;margin-left:89pt;margin-top:43.5pt;width:210.5pt;height:1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" filled="f" stroked="f">
              <v:textbox inset="0,0,0,0">
                <w:txbxContent>
                  <w:p w14:paraId="09D82CDA" w14:textId="77777777" w:rsidR="00386AF4" w:rsidRDefault="00386AF4">
                    <w:pPr>
                      <w:spacing w:line="220" w:lineRule="exact"/>
                      <w:ind w:left="20"/>
                      <w:rPr>
                        <w:sz w:val="18"/>
                        <w:lang w:eastAsia="zh-CN"/>
                      </w:rPr>
                    </w:pPr>
                    <w:r>
                      <w:rPr>
                        <w:rFonts w:hint="eastAsia"/>
                        <w:sz w:val="18"/>
                        <w:lang w:eastAsia="zh-CN"/>
                      </w:rPr>
                      <w:t>平安港股医疗优选股票型证券投资基金（</w:t>
                    </w:r>
                    <w:r>
                      <w:rPr>
                        <w:sz w:val="18"/>
                        <w:lang w:eastAsia="zh-CN"/>
                      </w:rPr>
                      <w:t>QDII）</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7728" behindDoc="1" locked="0" layoutInCell="1" allowOverlap="1" wp14:anchorId="1E8659C3" wp14:editId="1AA46B28">
              <wp:simplePos x="0" y="0"/>
              <wp:positionH relativeFrom="page">
                <wp:posOffset>5535295</wp:posOffset>
              </wp:positionH>
              <wp:positionV relativeFrom="page">
                <wp:posOffset>546100</wp:posOffset>
              </wp:positionV>
              <wp:extent cx="975995" cy="193040"/>
              <wp:effectExtent l="1270" t="3175" r="381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93040"/>
                      </a:xfrm>
                      <a:prstGeom prst="rect">
                        <a:avLst/>
                      </a:prstGeom>
                      <a:noFill/>
                      <a:ln>
                        <a:noFill/>
                      </a:ln>
                    </wps:spPr>
                    <wps:txbx>
                      <w:txbxContent>
                        <w:p w14:paraId="5BCCA12D" w14:textId="3894FABD" w:rsidR="00386AF4" w:rsidRDefault="00386AF4" w:rsidP="00541193">
                          <w:pPr>
                            <w:spacing w:line="220" w:lineRule="exact"/>
                            <w:ind w:left="20"/>
                            <w:jc w:val="right"/>
                            <w:rPr>
                              <w:sz w:val="18"/>
                              <w:lang w:eastAsia="zh-CN"/>
                            </w:rPr>
                          </w:pPr>
                          <w:r>
                            <w:rPr>
                              <w:sz w:val="18"/>
                            </w:rPr>
                            <w:t>基金合同</w:t>
                          </w:r>
                        </w:p>
                      </w:txbxContent>
                    </wps:txbx>
                    <wps:bodyPr rot="0" vert="horz" wrap="square" lIns="0" tIns="0" rIns="0" bIns="0" anchor="t" anchorCtr="0" upright="1">
                      <a:noAutofit/>
                    </wps:bodyPr>
                  </wps:wsp>
                </a:graphicData>
              </a:graphic>
            </wp:anchor>
          </w:drawing>
        </mc:Choice>
        <mc:Fallback>
          <w:pict>
            <v:shapetype w14:anchorId="1E8659C3" id="_x0000_t202" coordsize="21600,21600" o:spt="202" path="m,l,21600r21600,l21600,xe">
              <v:stroke joinstyle="miter"/>
              <v:path gradientshapeok="t" o:connecttype="rect"/>
            </v:shapetype>
            <v:shape id="Text Box 6" o:spid="_x0000_s1027" type="#_x0000_t202" style="position:absolute;margin-left:435.85pt;margin-top:43pt;width:76.85pt;height:15.2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" filled="f" stroked="f">
              <v:textbox inset="0,0,0,0">
                <w:txbxContent>
                  <w:p w14:paraId="5BCCA12D" w14:textId="3894FABD" w:rsidR="00386AF4" w:rsidRDefault="00386AF4" w:rsidP="00541193">
                    <w:pPr>
                      <w:spacing w:line="220" w:lineRule="exact"/>
                      <w:ind w:left="20"/>
                      <w:jc w:val="right"/>
                      <w:rPr>
                        <w:sz w:val="18"/>
                        <w:lang w:eastAsia="zh-CN"/>
                      </w:rPr>
                    </w:pPr>
                    <w:r>
                      <w:rPr>
                        <w:sz w:val="18"/>
                      </w:rPr>
                      <w:t>基金合同</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8752" behindDoc="1" locked="0" layoutInCell="1" allowOverlap="1" wp14:anchorId="43809016" wp14:editId="36246BB8">
              <wp:simplePos x="0" y="0"/>
              <wp:positionH relativeFrom="page">
                <wp:posOffset>1130300</wp:posOffset>
              </wp:positionH>
              <wp:positionV relativeFrom="page">
                <wp:posOffset>739140</wp:posOffset>
              </wp:positionV>
              <wp:extent cx="5311140" cy="0"/>
              <wp:effectExtent l="6350" t="5715" r="6985"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Line 8" o:spid="_x0000_s1026" o:spt="20" style="position:absolute;left:0pt;margin-left:89pt;margin-top:58.2pt;height:0pt;width:418.2pt;mso-position-horizontal-relative:page;mso-position-vertical-relative:page;z-index:-251656192;mso-width-relative:page;mso-height-relative:page;" filled="f" stroked="t" coordsize="21600,21600" o:gfxdata="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O4q81gAAAAwBAAAPAAAAAAAAAAEAIAAAACIAAABkcnMvZG93&#10;bnJldi54bWxQSwECFAAUAAAACACHTuJAuQs7eMkBAACfAwAADgAAAAAAAAABACAAAAAlAQAAZHJz&#10;L2Uyb0RvYy54bWxQSwUGAAAAAAYABgBZAQAAYAU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12E45"/>
    <w:multiLevelType w:val="singleLevel"/>
    <w:tmpl w:val="9C112E45"/>
    <w:lvl w:ilvl="0">
      <w:start w:val="3"/>
      <w:numFmt w:val="chineseCounting"/>
      <w:suff w:val="nothing"/>
      <w:lvlText w:val="%1、"/>
      <w:lvlJc w:val="left"/>
      <w:rPr>
        <w:rFonts w:hint="eastAsia"/>
      </w:rPr>
    </w:lvl>
  </w:abstractNum>
  <w:abstractNum w:abstractNumId="1" w15:restartNumberingAfterBreak="0">
    <w:nsid w:val="1F362251"/>
    <w:multiLevelType w:val="multilevel"/>
    <w:tmpl w:val="1F362251"/>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A674DC6"/>
    <w:multiLevelType w:val="multilevel"/>
    <w:tmpl w:val="3A674DC6"/>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62E3BF4"/>
    <w:multiLevelType w:val="multilevel"/>
    <w:tmpl w:val="662E3BF4"/>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6B403DC2"/>
    <w:multiLevelType w:val="multilevel"/>
    <w:tmpl w:val="6B403DC2"/>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704D1B19"/>
    <w:multiLevelType w:val="multilevel"/>
    <w:tmpl w:val="704D1B19"/>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5D96554"/>
    <w:multiLevelType w:val="multilevel"/>
    <w:tmpl w:val="75D96554"/>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6C"/>
    <w:rsid w:val="00001BDB"/>
    <w:rsid w:val="000034EF"/>
    <w:rsid w:val="00015305"/>
    <w:rsid w:val="00015E74"/>
    <w:rsid w:val="00017BA3"/>
    <w:rsid w:val="0002160C"/>
    <w:rsid w:val="00035A3C"/>
    <w:rsid w:val="000508E4"/>
    <w:rsid w:val="00053851"/>
    <w:rsid w:val="00057C69"/>
    <w:rsid w:val="000671D6"/>
    <w:rsid w:val="00067C35"/>
    <w:rsid w:val="00072309"/>
    <w:rsid w:val="0007627D"/>
    <w:rsid w:val="00090F46"/>
    <w:rsid w:val="00096EFF"/>
    <w:rsid w:val="000A29F4"/>
    <w:rsid w:val="000A40F3"/>
    <w:rsid w:val="000B3D04"/>
    <w:rsid w:val="000B40C0"/>
    <w:rsid w:val="000B6CF5"/>
    <w:rsid w:val="000B6FF4"/>
    <w:rsid w:val="000B7711"/>
    <w:rsid w:val="000B7F2B"/>
    <w:rsid w:val="000C0F62"/>
    <w:rsid w:val="000C30C1"/>
    <w:rsid w:val="000C6F5D"/>
    <w:rsid w:val="000D53F0"/>
    <w:rsid w:val="000E4AC4"/>
    <w:rsid w:val="000E5B85"/>
    <w:rsid w:val="000F1FA3"/>
    <w:rsid w:val="000F50B5"/>
    <w:rsid w:val="00115923"/>
    <w:rsid w:val="00116643"/>
    <w:rsid w:val="00123FAC"/>
    <w:rsid w:val="00124636"/>
    <w:rsid w:val="00125729"/>
    <w:rsid w:val="00136EA4"/>
    <w:rsid w:val="00142091"/>
    <w:rsid w:val="00150DD3"/>
    <w:rsid w:val="00155A90"/>
    <w:rsid w:val="00155FB9"/>
    <w:rsid w:val="00162011"/>
    <w:rsid w:val="00172A27"/>
    <w:rsid w:val="00173634"/>
    <w:rsid w:val="00173BBC"/>
    <w:rsid w:val="00174F83"/>
    <w:rsid w:val="00175B47"/>
    <w:rsid w:val="00181597"/>
    <w:rsid w:val="00182D54"/>
    <w:rsid w:val="00186ECC"/>
    <w:rsid w:val="001904AB"/>
    <w:rsid w:val="0019135E"/>
    <w:rsid w:val="001918E5"/>
    <w:rsid w:val="00192E9B"/>
    <w:rsid w:val="001A0B0B"/>
    <w:rsid w:val="001A1761"/>
    <w:rsid w:val="001A550F"/>
    <w:rsid w:val="001B285E"/>
    <w:rsid w:val="001B2CAF"/>
    <w:rsid w:val="001B3A5E"/>
    <w:rsid w:val="001B3C64"/>
    <w:rsid w:val="001B6539"/>
    <w:rsid w:val="001C1CA1"/>
    <w:rsid w:val="001C4D3E"/>
    <w:rsid w:val="001C6B50"/>
    <w:rsid w:val="001D3B7B"/>
    <w:rsid w:val="001D448B"/>
    <w:rsid w:val="001D6C2E"/>
    <w:rsid w:val="001E0273"/>
    <w:rsid w:val="001E19B0"/>
    <w:rsid w:val="001E6304"/>
    <w:rsid w:val="001F10C7"/>
    <w:rsid w:val="001F12CE"/>
    <w:rsid w:val="001F7C3A"/>
    <w:rsid w:val="00200B47"/>
    <w:rsid w:val="002112E3"/>
    <w:rsid w:val="002148F6"/>
    <w:rsid w:val="00216248"/>
    <w:rsid w:val="002174C6"/>
    <w:rsid w:val="00222269"/>
    <w:rsid w:val="00225DBA"/>
    <w:rsid w:val="00226707"/>
    <w:rsid w:val="00241FF6"/>
    <w:rsid w:val="002479EF"/>
    <w:rsid w:val="00247EF1"/>
    <w:rsid w:val="0025325F"/>
    <w:rsid w:val="00260D29"/>
    <w:rsid w:val="00263F03"/>
    <w:rsid w:val="002654D4"/>
    <w:rsid w:val="00265EFD"/>
    <w:rsid w:val="0026690E"/>
    <w:rsid w:val="002679D7"/>
    <w:rsid w:val="00273451"/>
    <w:rsid w:val="002739F8"/>
    <w:rsid w:val="002776C0"/>
    <w:rsid w:val="00281B5F"/>
    <w:rsid w:val="00286397"/>
    <w:rsid w:val="00286BAF"/>
    <w:rsid w:val="00291B05"/>
    <w:rsid w:val="00292636"/>
    <w:rsid w:val="00293F22"/>
    <w:rsid w:val="00295EFE"/>
    <w:rsid w:val="00297D8F"/>
    <w:rsid w:val="00297D9D"/>
    <w:rsid w:val="002A0FF4"/>
    <w:rsid w:val="002A29AC"/>
    <w:rsid w:val="002A3496"/>
    <w:rsid w:val="002A6264"/>
    <w:rsid w:val="002B04D4"/>
    <w:rsid w:val="002B3D9A"/>
    <w:rsid w:val="002B4AE6"/>
    <w:rsid w:val="002B66A6"/>
    <w:rsid w:val="002B6FE8"/>
    <w:rsid w:val="002C622F"/>
    <w:rsid w:val="002D11EB"/>
    <w:rsid w:val="002D31AA"/>
    <w:rsid w:val="002D65E0"/>
    <w:rsid w:val="002E1A76"/>
    <w:rsid w:val="002E3382"/>
    <w:rsid w:val="002F0835"/>
    <w:rsid w:val="002F1CDD"/>
    <w:rsid w:val="002F5B5F"/>
    <w:rsid w:val="002F6DDD"/>
    <w:rsid w:val="00307E28"/>
    <w:rsid w:val="00312488"/>
    <w:rsid w:val="00313FA4"/>
    <w:rsid w:val="00316948"/>
    <w:rsid w:val="00321C50"/>
    <w:rsid w:val="00332C76"/>
    <w:rsid w:val="00336EAE"/>
    <w:rsid w:val="00342938"/>
    <w:rsid w:val="00343AE6"/>
    <w:rsid w:val="00346E93"/>
    <w:rsid w:val="003526AE"/>
    <w:rsid w:val="00353A5E"/>
    <w:rsid w:val="003607DF"/>
    <w:rsid w:val="0037405C"/>
    <w:rsid w:val="00374BBC"/>
    <w:rsid w:val="00376CD6"/>
    <w:rsid w:val="003773D0"/>
    <w:rsid w:val="00380EEB"/>
    <w:rsid w:val="0038155F"/>
    <w:rsid w:val="00381ECD"/>
    <w:rsid w:val="0038250B"/>
    <w:rsid w:val="00386AF4"/>
    <w:rsid w:val="00390D53"/>
    <w:rsid w:val="00394C55"/>
    <w:rsid w:val="00395392"/>
    <w:rsid w:val="00396362"/>
    <w:rsid w:val="003A14F9"/>
    <w:rsid w:val="003A342E"/>
    <w:rsid w:val="003A474A"/>
    <w:rsid w:val="003B1B0D"/>
    <w:rsid w:val="003B2B7D"/>
    <w:rsid w:val="003B339E"/>
    <w:rsid w:val="003B7F41"/>
    <w:rsid w:val="003C4DF0"/>
    <w:rsid w:val="003C6AA7"/>
    <w:rsid w:val="003C7312"/>
    <w:rsid w:val="003C7C7E"/>
    <w:rsid w:val="003C7E3F"/>
    <w:rsid w:val="003D1CC1"/>
    <w:rsid w:val="003D7AF3"/>
    <w:rsid w:val="003E0272"/>
    <w:rsid w:val="003E4345"/>
    <w:rsid w:val="003E61D7"/>
    <w:rsid w:val="003E7621"/>
    <w:rsid w:val="003F2C81"/>
    <w:rsid w:val="003F63CC"/>
    <w:rsid w:val="00410737"/>
    <w:rsid w:val="00410E3D"/>
    <w:rsid w:val="00413E8C"/>
    <w:rsid w:val="0041587B"/>
    <w:rsid w:val="0042046E"/>
    <w:rsid w:val="00421B7D"/>
    <w:rsid w:val="00421C68"/>
    <w:rsid w:val="004241B1"/>
    <w:rsid w:val="004244C0"/>
    <w:rsid w:val="0043245E"/>
    <w:rsid w:val="00433FFB"/>
    <w:rsid w:val="00437FDE"/>
    <w:rsid w:val="004434A3"/>
    <w:rsid w:val="004466F8"/>
    <w:rsid w:val="004506DD"/>
    <w:rsid w:val="004517F4"/>
    <w:rsid w:val="00452CC2"/>
    <w:rsid w:val="0045740E"/>
    <w:rsid w:val="00464075"/>
    <w:rsid w:val="004679BE"/>
    <w:rsid w:val="00476BA4"/>
    <w:rsid w:val="0047733B"/>
    <w:rsid w:val="0048121E"/>
    <w:rsid w:val="004855CF"/>
    <w:rsid w:val="00490020"/>
    <w:rsid w:val="0049023D"/>
    <w:rsid w:val="004922AF"/>
    <w:rsid w:val="00495668"/>
    <w:rsid w:val="00495741"/>
    <w:rsid w:val="004A2005"/>
    <w:rsid w:val="004A677D"/>
    <w:rsid w:val="004A76BB"/>
    <w:rsid w:val="004C4BB1"/>
    <w:rsid w:val="004E04AE"/>
    <w:rsid w:val="004F2618"/>
    <w:rsid w:val="00504AE9"/>
    <w:rsid w:val="00504B1A"/>
    <w:rsid w:val="0050629E"/>
    <w:rsid w:val="00506E76"/>
    <w:rsid w:val="005271BC"/>
    <w:rsid w:val="005302F4"/>
    <w:rsid w:val="0054075C"/>
    <w:rsid w:val="00541193"/>
    <w:rsid w:val="00541A00"/>
    <w:rsid w:val="00544E37"/>
    <w:rsid w:val="005452BB"/>
    <w:rsid w:val="0054681C"/>
    <w:rsid w:val="00546930"/>
    <w:rsid w:val="00546A61"/>
    <w:rsid w:val="00547196"/>
    <w:rsid w:val="00554E28"/>
    <w:rsid w:val="005628A0"/>
    <w:rsid w:val="00563DDC"/>
    <w:rsid w:val="00572730"/>
    <w:rsid w:val="005757A2"/>
    <w:rsid w:val="0057597A"/>
    <w:rsid w:val="00585D29"/>
    <w:rsid w:val="00586B6B"/>
    <w:rsid w:val="005A50C0"/>
    <w:rsid w:val="005A5B7F"/>
    <w:rsid w:val="005B0392"/>
    <w:rsid w:val="005B0A99"/>
    <w:rsid w:val="005B1945"/>
    <w:rsid w:val="005B1D5B"/>
    <w:rsid w:val="005B3EE0"/>
    <w:rsid w:val="005C2C34"/>
    <w:rsid w:val="005C44CC"/>
    <w:rsid w:val="005C6832"/>
    <w:rsid w:val="005E0A9D"/>
    <w:rsid w:val="005E3F80"/>
    <w:rsid w:val="005E4EC4"/>
    <w:rsid w:val="005E6138"/>
    <w:rsid w:val="005E7C8D"/>
    <w:rsid w:val="005F3A4B"/>
    <w:rsid w:val="005F5A28"/>
    <w:rsid w:val="005F7C29"/>
    <w:rsid w:val="006076BB"/>
    <w:rsid w:val="0061087B"/>
    <w:rsid w:val="0061797F"/>
    <w:rsid w:val="00620C47"/>
    <w:rsid w:val="00634672"/>
    <w:rsid w:val="00636DDA"/>
    <w:rsid w:val="00642406"/>
    <w:rsid w:val="006447B6"/>
    <w:rsid w:val="00646B0D"/>
    <w:rsid w:val="006503C7"/>
    <w:rsid w:val="00651A12"/>
    <w:rsid w:val="0065450D"/>
    <w:rsid w:val="00654596"/>
    <w:rsid w:val="006666FD"/>
    <w:rsid w:val="00682C3C"/>
    <w:rsid w:val="00682FB0"/>
    <w:rsid w:val="0068391E"/>
    <w:rsid w:val="00691E28"/>
    <w:rsid w:val="006924BA"/>
    <w:rsid w:val="00695965"/>
    <w:rsid w:val="00696749"/>
    <w:rsid w:val="006A1980"/>
    <w:rsid w:val="006A2090"/>
    <w:rsid w:val="006A21CB"/>
    <w:rsid w:val="006A304E"/>
    <w:rsid w:val="006A71F8"/>
    <w:rsid w:val="006B3494"/>
    <w:rsid w:val="006B4706"/>
    <w:rsid w:val="006B7348"/>
    <w:rsid w:val="006C1C9E"/>
    <w:rsid w:val="006C573F"/>
    <w:rsid w:val="006C70FD"/>
    <w:rsid w:val="006E3AB8"/>
    <w:rsid w:val="006E54A6"/>
    <w:rsid w:val="006E5F3A"/>
    <w:rsid w:val="006E66D1"/>
    <w:rsid w:val="006F3FAA"/>
    <w:rsid w:val="006F516D"/>
    <w:rsid w:val="007027A2"/>
    <w:rsid w:val="00711BE0"/>
    <w:rsid w:val="00716100"/>
    <w:rsid w:val="0071755F"/>
    <w:rsid w:val="00721099"/>
    <w:rsid w:val="00721292"/>
    <w:rsid w:val="00721BE4"/>
    <w:rsid w:val="0072434C"/>
    <w:rsid w:val="0072766B"/>
    <w:rsid w:val="0073295D"/>
    <w:rsid w:val="007415A2"/>
    <w:rsid w:val="00744540"/>
    <w:rsid w:val="00745926"/>
    <w:rsid w:val="00746BE2"/>
    <w:rsid w:val="00747407"/>
    <w:rsid w:val="007503B4"/>
    <w:rsid w:val="00752AA0"/>
    <w:rsid w:val="00752B15"/>
    <w:rsid w:val="00752EA2"/>
    <w:rsid w:val="00757442"/>
    <w:rsid w:val="00772EDB"/>
    <w:rsid w:val="00774915"/>
    <w:rsid w:val="0077771E"/>
    <w:rsid w:val="007836B5"/>
    <w:rsid w:val="007918DA"/>
    <w:rsid w:val="007922D3"/>
    <w:rsid w:val="00794D4E"/>
    <w:rsid w:val="00797935"/>
    <w:rsid w:val="007A79F2"/>
    <w:rsid w:val="007B138C"/>
    <w:rsid w:val="007B2C3C"/>
    <w:rsid w:val="007C0810"/>
    <w:rsid w:val="007C2FAB"/>
    <w:rsid w:val="007C40FA"/>
    <w:rsid w:val="007D41EE"/>
    <w:rsid w:val="007D5553"/>
    <w:rsid w:val="007E0638"/>
    <w:rsid w:val="007E109F"/>
    <w:rsid w:val="007E3795"/>
    <w:rsid w:val="007E4D0A"/>
    <w:rsid w:val="007F1B83"/>
    <w:rsid w:val="007F1D79"/>
    <w:rsid w:val="00804672"/>
    <w:rsid w:val="008133F4"/>
    <w:rsid w:val="00814CF1"/>
    <w:rsid w:val="00815DFF"/>
    <w:rsid w:val="0081629C"/>
    <w:rsid w:val="008179AC"/>
    <w:rsid w:val="00820CEF"/>
    <w:rsid w:val="00822615"/>
    <w:rsid w:val="00823F66"/>
    <w:rsid w:val="00832482"/>
    <w:rsid w:val="00832B0E"/>
    <w:rsid w:val="008338F3"/>
    <w:rsid w:val="008349F8"/>
    <w:rsid w:val="008367D1"/>
    <w:rsid w:val="00841C87"/>
    <w:rsid w:val="008429BF"/>
    <w:rsid w:val="008464EC"/>
    <w:rsid w:val="00846CCF"/>
    <w:rsid w:val="00852938"/>
    <w:rsid w:val="0085364C"/>
    <w:rsid w:val="00853734"/>
    <w:rsid w:val="00853EF4"/>
    <w:rsid w:val="008612E7"/>
    <w:rsid w:val="00861368"/>
    <w:rsid w:val="00861922"/>
    <w:rsid w:val="00870D38"/>
    <w:rsid w:val="00874621"/>
    <w:rsid w:val="00875C08"/>
    <w:rsid w:val="00880B0C"/>
    <w:rsid w:val="00884274"/>
    <w:rsid w:val="00884A0A"/>
    <w:rsid w:val="008907EB"/>
    <w:rsid w:val="00895E09"/>
    <w:rsid w:val="008A5A14"/>
    <w:rsid w:val="008B0FA0"/>
    <w:rsid w:val="008B51E1"/>
    <w:rsid w:val="008B7832"/>
    <w:rsid w:val="008B7B6A"/>
    <w:rsid w:val="008C0D19"/>
    <w:rsid w:val="008C2EEE"/>
    <w:rsid w:val="008D0F77"/>
    <w:rsid w:val="008D2991"/>
    <w:rsid w:val="008D72EB"/>
    <w:rsid w:val="008E25E3"/>
    <w:rsid w:val="008E4ACB"/>
    <w:rsid w:val="008E6CB1"/>
    <w:rsid w:val="008E6D56"/>
    <w:rsid w:val="008E7990"/>
    <w:rsid w:val="008F1BDA"/>
    <w:rsid w:val="00915409"/>
    <w:rsid w:val="0091705D"/>
    <w:rsid w:val="009244C3"/>
    <w:rsid w:val="009255B4"/>
    <w:rsid w:val="00925C2C"/>
    <w:rsid w:val="009262AD"/>
    <w:rsid w:val="009466AC"/>
    <w:rsid w:val="009507FA"/>
    <w:rsid w:val="00952C2C"/>
    <w:rsid w:val="009569AF"/>
    <w:rsid w:val="00956D2E"/>
    <w:rsid w:val="009626B6"/>
    <w:rsid w:val="00965E31"/>
    <w:rsid w:val="00965E67"/>
    <w:rsid w:val="00970BA4"/>
    <w:rsid w:val="00980049"/>
    <w:rsid w:val="00983285"/>
    <w:rsid w:val="00984328"/>
    <w:rsid w:val="00984E9C"/>
    <w:rsid w:val="00987709"/>
    <w:rsid w:val="00987C94"/>
    <w:rsid w:val="009930CE"/>
    <w:rsid w:val="00993671"/>
    <w:rsid w:val="0099496B"/>
    <w:rsid w:val="009A0224"/>
    <w:rsid w:val="009A1DEB"/>
    <w:rsid w:val="009A22AE"/>
    <w:rsid w:val="009A2987"/>
    <w:rsid w:val="009B0035"/>
    <w:rsid w:val="009B3652"/>
    <w:rsid w:val="009B48EE"/>
    <w:rsid w:val="009B4BC7"/>
    <w:rsid w:val="009B6704"/>
    <w:rsid w:val="009C0C43"/>
    <w:rsid w:val="009C1D98"/>
    <w:rsid w:val="009C73CA"/>
    <w:rsid w:val="009E159A"/>
    <w:rsid w:val="009E75A2"/>
    <w:rsid w:val="009F77C4"/>
    <w:rsid w:val="00A02573"/>
    <w:rsid w:val="00A02A3E"/>
    <w:rsid w:val="00A03A19"/>
    <w:rsid w:val="00A03D7D"/>
    <w:rsid w:val="00A05079"/>
    <w:rsid w:val="00A12E44"/>
    <w:rsid w:val="00A13140"/>
    <w:rsid w:val="00A13DB0"/>
    <w:rsid w:val="00A152B8"/>
    <w:rsid w:val="00A20C87"/>
    <w:rsid w:val="00A251F6"/>
    <w:rsid w:val="00A3098A"/>
    <w:rsid w:val="00A41596"/>
    <w:rsid w:val="00A45216"/>
    <w:rsid w:val="00A47C32"/>
    <w:rsid w:val="00A553C3"/>
    <w:rsid w:val="00A567FE"/>
    <w:rsid w:val="00A65D87"/>
    <w:rsid w:val="00A67BF3"/>
    <w:rsid w:val="00A72A0D"/>
    <w:rsid w:val="00A72A7F"/>
    <w:rsid w:val="00A73161"/>
    <w:rsid w:val="00A752B3"/>
    <w:rsid w:val="00A81E6B"/>
    <w:rsid w:val="00A825F4"/>
    <w:rsid w:val="00A846C5"/>
    <w:rsid w:val="00A90655"/>
    <w:rsid w:val="00A96407"/>
    <w:rsid w:val="00AA0A5B"/>
    <w:rsid w:val="00AA79D3"/>
    <w:rsid w:val="00AC3A8D"/>
    <w:rsid w:val="00AD006D"/>
    <w:rsid w:val="00AD126C"/>
    <w:rsid w:val="00AD376A"/>
    <w:rsid w:val="00AE0BD6"/>
    <w:rsid w:val="00AE2864"/>
    <w:rsid w:val="00AE44F4"/>
    <w:rsid w:val="00AF5068"/>
    <w:rsid w:val="00AF6601"/>
    <w:rsid w:val="00B04939"/>
    <w:rsid w:val="00B076DA"/>
    <w:rsid w:val="00B13345"/>
    <w:rsid w:val="00B14C80"/>
    <w:rsid w:val="00B173B6"/>
    <w:rsid w:val="00B179EB"/>
    <w:rsid w:val="00B22AE1"/>
    <w:rsid w:val="00B22BE1"/>
    <w:rsid w:val="00B275C6"/>
    <w:rsid w:val="00B3208E"/>
    <w:rsid w:val="00B333E0"/>
    <w:rsid w:val="00B340DE"/>
    <w:rsid w:val="00B3430E"/>
    <w:rsid w:val="00B36E05"/>
    <w:rsid w:val="00B401B4"/>
    <w:rsid w:val="00B4061E"/>
    <w:rsid w:val="00B41C42"/>
    <w:rsid w:val="00B4527F"/>
    <w:rsid w:val="00B524CC"/>
    <w:rsid w:val="00B525EF"/>
    <w:rsid w:val="00B53E70"/>
    <w:rsid w:val="00B54480"/>
    <w:rsid w:val="00B602E1"/>
    <w:rsid w:val="00B60CC8"/>
    <w:rsid w:val="00B61F2E"/>
    <w:rsid w:val="00B63931"/>
    <w:rsid w:val="00B641F5"/>
    <w:rsid w:val="00B64F41"/>
    <w:rsid w:val="00B74DFC"/>
    <w:rsid w:val="00B77DE9"/>
    <w:rsid w:val="00B83D67"/>
    <w:rsid w:val="00B87942"/>
    <w:rsid w:val="00B87BA1"/>
    <w:rsid w:val="00B87C8D"/>
    <w:rsid w:val="00B924AB"/>
    <w:rsid w:val="00B9370F"/>
    <w:rsid w:val="00B9504E"/>
    <w:rsid w:val="00BA1381"/>
    <w:rsid w:val="00BA7C7E"/>
    <w:rsid w:val="00BB27A0"/>
    <w:rsid w:val="00BB4BE7"/>
    <w:rsid w:val="00BC7804"/>
    <w:rsid w:val="00BD0931"/>
    <w:rsid w:val="00BD2286"/>
    <w:rsid w:val="00BD4E1E"/>
    <w:rsid w:val="00BD4F94"/>
    <w:rsid w:val="00BE7BFA"/>
    <w:rsid w:val="00BF136A"/>
    <w:rsid w:val="00BF1E4B"/>
    <w:rsid w:val="00BF4111"/>
    <w:rsid w:val="00BF417B"/>
    <w:rsid w:val="00C02D93"/>
    <w:rsid w:val="00C04BAE"/>
    <w:rsid w:val="00C17B34"/>
    <w:rsid w:val="00C20A3D"/>
    <w:rsid w:val="00C210F5"/>
    <w:rsid w:val="00C21AA5"/>
    <w:rsid w:val="00C2496B"/>
    <w:rsid w:val="00C360FD"/>
    <w:rsid w:val="00C4025C"/>
    <w:rsid w:val="00C4055D"/>
    <w:rsid w:val="00C460D2"/>
    <w:rsid w:val="00C47518"/>
    <w:rsid w:val="00C50F75"/>
    <w:rsid w:val="00C618D8"/>
    <w:rsid w:val="00C61EB5"/>
    <w:rsid w:val="00C63C3B"/>
    <w:rsid w:val="00C64AC7"/>
    <w:rsid w:val="00C70D8C"/>
    <w:rsid w:val="00C71828"/>
    <w:rsid w:val="00C73243"/>
    <w:rsid w:val="00C74540"/>
    <w:rsid w:val="00C85130"/>
    <w:rsid w:val="00C86362"/>
    <w:rsid w:val="00C91468"/>
    <w:rsid w:val="00C9296F"/>
    <w:rsid w:val="00C92BC1"/>
    <w:rsid w:val="00C93BF4"/>
    <w:rsid w:val="00C93F24"/>
    <w:rsid w:val="00C967CB"/>
    <w:rsid w:val="00CA1578"/>
    <w:rsid w:val="00CC6C2A"/>
    <w:rsid w:val="00CD3E53"/>
    <w:rsid w:val="00CE22CA"/>
    <w:rsid w:val="00D02335"/>
    <w:rsid w:val="00D121AC"/>
    <w:rsid w:val="00D1313E"/>
    <w:rsid w:val="00D13F00"/>
    <w:rsid w:val="00D238CB"/>
    <w:rsid w:val="00D27B91"/>
    <w:rsid w:val="00D31B53"/>
    <w:rsid w:val="00D31EBD"/>
    <w:rsid w:val="00D33FD8"/>
    <w:rsid w:val="00D37503"/>
    <w:rsid w:val="00D411D4"/>
    <w:rsid w:val="00D435D2"/>
    <w:rsid w:val="00D43C5A"/>
    <w:rsid w:val="00D4549B"/>
    <w:rsid w:val="00D468BD"/>
    <w:rsid w:val="00D46D6F"/>
    <w:rsid w:val="00D46E6A"/>
    <w:rsid w:val="00D537BF"/>
    <w:rsid w:val="00D5517C"/>
    <w:rsid w:val="00D62D5D"/>
    <w:rsid w:val="00D64F5F"/>
    <w:rsid w:val="00D66A38"/>
    <w:rsid w:val="00D718D1"/>
    <w:rsid w:val="00D822CE"/>
    <w:rsid w:val="00D91418"/>
    <w:rsid w:val="00D9372E"/>
    <w:rsid w:val="00D93B8D"/>
    <w:rsid w:val="00D96F04"/>
    <w:rsid w:val="00DA1A15"/>
    <w:rsid w:val="00DA377E"/>
    <w:rsid w:val="00DA5CB5"/>
    <w:rsid w:val="00DB0596"/>
    <w:rsid w:val="00DB11D8"/>
    <w:rsid w:val="00DB1A64"/>
    <w:rsid w:val="00DB4B97"/>
    <w:rsid w:val="00DB6733"/>
    <w:rsid w:val="00DC1B4B"/>
    <w:rsid w:val="00DC39D6"/>
    <w:rsid w:val="00DC4639"/>
    <w:rsid w:val="00DD198E"/>
    <w:rsid w:val="00DD644C"/>
    <w:rsid w:val="00DE4E91"/>
    <w:rsid w:val="00DF39E3"/>
    <w:rsid w:val="00DF45FD"/>
    <w:rsid w:val="00E014B4"/>
    <w:rsid w:val="00E01783"/>
    <w:rsid w:val="00E019E6"/>
    <w:rsid w:val="00E044A7"/>
    <w:rsid w:val="00E05C73"/>
    <w:rsid w:val="00E115CB"/>
    <w:rsid w:val="00E14A13"/>
    <w:rsid w:val="00E20A12"/>
    <w:rsid w:val="00E23616"/>
    <w:rsid w:val="00E23C0A"/>
    <w:rsid w:val="00E2689B"/>
    <w:rsid w:val="00E27204"/>
    <w:rsid w:val="00E30139"/>
    <w:rsid w:val="00E30F53"/>
    <w:rsid w:val="00E33B4B"/>
    <w:rsid w:val="00E34A64"/>
    <w:rsid w:val="00E41831"/>
    <w:rsid w:val="00E421F6"/>
    <w:rsid w:val="00E53A37"/>
    <w:rsid w:val="00E54F62"/>
    <w:rsid w:val="00E57477"/>
    <w:rsid w:val="00E67E19"/>
    <w:rsid w:val="00E7441C"/>
    <w:rsid w:val="00E77D5E"/>
    <w:rsid w:val="00E828D3"/>
    <w:rsid w:val="00E85975"/>
    <w:rsid w:val="00E864B9"/>
    <w:rsid w:val="00E92FC5"/>
    <w:rsid w:val="00E95C07"/>
    <w:rsid w:val="00E96A6F"/>
    <w:rsid w:val="00EA1BCF"/>
    <w:rsid w:val="00EA1FD8"/>
    <w:rsid w:val="00EA556A"/>
    <w:rsid w:val="00EB0BB4"/>
    <w:rsid w:val="00EB0E65"/>
    <w:rsid w:val="00EB5FF2"/>
    <w:rsid w:val="00EC3D04"/>
    <w:rsid w:val="00EC6938"/>
    <w:rsid w:val="00EC6F77"/>
    <w:rsid w:val="00ED2C90"/>
    <w:rsid w:val="00ED592A"/>
    <w:rsid w:val="00EE01C4"/>
    <w:rsid w:val="00EE4125"/>
    <w:rsid w:val="00EF305E"/>
    <w:rsid w:val="00EF56A7"/>
    <w:rsid w:val="00EF627D"/>
    <w:rsid w:val="00F04EA8"/>
    <w:rsid w:val="00F065E6"/>
    <w:rsid w:val="00F07D77"/>
    <w:rsid w:val="00F1345B"/>
    <w:rsid w:val="00F14194"/>
    <w:rsid w:val="00F14665"/>
    <w:rsid w:val="00F17D5E"/>
    <w:rsid w:val="00F205AE"/>
    <w:rsid w:val="00F21125"/>
    <w:rsid w:val="00F34096"/>
    <w:rsid w:val="00F40C2D"/>
    <w:rsid w:val="00F432B4"/>
    <w:rsid w:val="00F43A36"/>
    <w:rsid w:val="00F44CE8"/>
    <w:rsid w:val="00F53B9A"/>
    <w:rsid w:val="00F61542"/>
    <w:rsid w:val="00F63EC5"/>
    <w:rsid w:val="00F64776"/>
    <w:rsid w:val="00F67BBC"/>
    <w:rsid w:val="00F72A2F"/>
    <w:rsid w:val="00F73AAC"/>
    <w:rsid w:val="00F834F3"/>
    <w:rsid w:val="00F84FE4"/>
    <w:rsid w:val="00F8528B"/>
    <w:rsid w:val="00F8748A"/>
    <w:rsid w:val="00F905E7"/>
    <w:rsid w:val="00F9077A"/>
    <w:rsid w:val="00FA6A4D"/>
    <w:rsid w:val="00FB0C3D"/>
    <w:rsid w:val="00FB514D"/>
    <w:rsid w:val="00FC2096"/>
    <w:rsid w:val="00FC5A0E"/>
    <w:rsid w:val="00FD3C65"/>
    <w:rsid w:val="00FD5C99"/>
    <w:rsid w:val="00FE366A"/>
    <w:rsid w:val="00FF1F34"/>
    <w:rsid w:val="00FF4CC5"/>
    <w:rsid w:val="00FF67B8"/>
    <w:rsid w:val="014C5DFB"/>
    <w:rsid w:val="02B3201F"/>
    <w:rsid w:val="034C27B8"/>
    <w:rsid w:val="07774AE8"/>
    <w:rsid w:val="07F153EB"/>
    <w:rsid w:val="0A1761BE"/>
    <w:rsid w:val="0B2848BD"/>
    <w:rsid w:val="0DE314D8"/>
    <w:rsid w:val="0F34473F"/>
    <w:rsid w:val="11F9585F"/>
    <w:rsid w:val="12295D68"/>
    <w:rsid w:val="12977AFE"/>
    <w:rsid w:val="1709569C"/>
    <w:rsid w:val="1C313340"/>
    <w:rsid w:val="1C912476"/>
    <w:rsid w:val="1E865DF2"/>
    <w:rsid w:val="268D4433"/>
    <w:rsid w:val="28804C1E"/>
    <w:rsid w:val="2A591288"/>
    <w:rsid w:val="30EF1D45"/>
    <w:rsid w:val="31055C73"/>
    <w:rsid w:val="37C8610C"/>
    <w:rsid w:val="384A6072"/>
    <w:rsid w:val="3B400D24"/>
    <w:rsid w:val="3E3E19C1"/>
    <w:rsid w:val="3F5E6C02"/>
    <w:rsid w:val="4574168B"/>
    <w:rsid w:val="4643738A"/>
    <w:rsid w:val="49704CB6"/>
    <w:rsid w:val="4A3F2009"/>
    <w:rsid w:val="507C3554"/>
    <w:rsid w:val="540A7145"/>
    <w:rsid w:val="57C63014"/>
    <w:rsid w:val="5860155A"/>
    <w:rsid w:val="59F3124C"/>
    <w:rsid w:val="5A507C22"/>
    <w:rsid w:val="5A767F53"/>
    <w:rsid w:val="5B8E6E93"/>
    <w:rsid w:val="5C701ACD"/>
    <w:rsid w:val="5CDB6BB7"/>
    <w:rsid w:val="5FAD0249"/>
    <w:rsid w:val="61175D98"/>
    <w:rsid w:val="64C87651"/>
    <w:rsid w:val="652B6F8E"/>
    <w:rsid w:val="65524132"/>
    <w:rsid w:val="66915A37"/>
    <w:rsid w:val="67961102"/>
    <w:rsid w:val="679717E4"/>
    <w:rsid w:val="6A7A3720"/>
    <w:rsid w:val="6B8823DD"/>
    <w:rsid w:val="7057216D"/>
    <w:rsid w:val="716E33EF"/>
    <w:rsid w:val="78987CF4"/>
    <w:rsid w:val="7B81539F"/>
    <w:rsid w:val="7BB33DB4"/>
    <w:rsid w:val="7CC53995"/>
    <w:rsid w:val="7CED477F"/>
    <w:rsid w:val="7D3D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070CC"/>
  <w15:docId w15:val="{8264C90A-B8C6-450F-ADA9-F2940528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eastAsia="en-US" w:bidi="en-US"/>
    </w:rPr>
  </w:style>
  <w:style w:type="paragraph" w:styleId="1">
    <w:name w:val="heading 1"/>
    <w:basedOn w:val="a"/>
    <w:uiPriority w:val="1"/>
    <w:qFormat/>
    <w:pPr>
      <w:spacing w:before="58"/>
      <w:outlineLvl w:val="0"/>
    </w:pPr>
    <w:rPr>
      <w:b/>
      <w:bCs/>
      <w:sz w:val="30"/>
      <w:szCs w:val="30"/>
    </w:rPr>
  </w:style>
  <w:style w:type="paragraph" w:styleId="2">
    <w:name w:val="heading 2"/>
    <w:basedOn w:val="a"/>
    <w:uiPriority w:val="1"/>
    <w:qFormat/>
    <w:pPr>
      <w:spacing w:before="62"/>
      <w:ind w:right="220"/>
      <w:jc w:val="center"/>
      <w:outlineLvl w:val="1"/>
    </w:pPr>
    <w:rPr>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ody Text"/>
    <w:basedOn w:val="a"/>
    <w:link w:val="a6"/>
    <w:uiPriority w:val="1"/>
    <w:qFormat/>
    <w:pPr>
      <w:spacing w:before="1"/>
      <w:ind w:left="140"/>
    </w:pPr>
    <w:rPr>
      <w:sz w:val="24"/>
      <w:szCs w:val="24"/>
    </w:rPr>
  </w:style>
  <w:style w:type="paragraph" w:styleId="a7">
    <w:name w:val="Date"/>
    <w:basedOn w:val="a"/>
    <w:next w:val="a"/>
    <w:link w:val="10"/>
    <w:qFormat/>
    <w:pPr>
      <w:autoSpaceDE/>
      <w:autoSpaceDN/>
      <w:jc w:val="both"/>
    </w:pPr>
    <w:rPr>
      <w:rFonts w:ascii="Times New Roman" w:eastAsia="仿宋_GB2312" w:hAnsi="Times New Roman" w:cs="Times New Roman"/>
      <w:kern w:val="2"/>
      <w:sz w:val="32"/>
      <w:szCs w:val="20"/>
      <w:lang w:val="zh-CN" w:eastAsia="zh-CN" w:bidi="ar-SA"/>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uiPriority w:val="39"/>
    <w:qFormat/>
    <w:pPr>
      <w:spacing w:before="199"/>
      <w:ind w:left="145"/>
    </w:pPr>
    <w:rPr>
      <w:sz w:val="21"/>
      <w:szCs w:val="21"/>
    </w:rPr>
  </w:style>
  <w:style w:type="paragraph" w:styleId="ae">
    <w:name w:val="Normal (Web)"/>
    <w:basedOn w:val="a"/>
    <w:uiPriority w:val="99"/>
    <w:semiHidden/>
    <w:unhideWhenUsed/>
    <w:qFormat/>
    <w:pPr>
      <w:spacing w:beforeAutospacing="1" w:afterAutospacing="1"/>
    </w:pPr>
    <w:rPr>
      <w:rFonts w:cs="Times New Roman"/>
      <w:sz w:val="24"/>
      <w:lang w:eastAsia="zh-CN" w:bidi="ar-SA"/>
    </w:rPr>
  </w:style>
  <w:style w:type="paragraph" w:styleId="af">
    <w:name w:val="annotation subject"/>
    <w:basedOn w:val="a3"/>
    <w:next w:val="a3"/>
    <w:link w:val="af0"/>
    <w:uiPriority w:val="99"/>
    <w:semiHidden/>
    <w:unhideWhenUsed/>
    <w:qFormat/>
    <w:rPr>
      <w:b/>
      <w:bCs/>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3">
    <w:name w:val="List Paragraph"/>
    <w:basedOn w:val="a"/>
    <w:uiPriority w:val="1"/>
    <w:qFormat/>
    <w:pPr>
      <w:spacing w:before="1"/>
      <w:ind w:left="140" w:firstLine="480"/>
    </w:pPr>
  </w:style>
  <w:style w:type="paragraph" w:customStyle="1" w:styleId="TableParagraph">
    <w:name w:val="Table Paragraph"/>
    <w:basedOn w:val="a"/>
    <w:uiPriority w:val="1"/>
    <w:qFormat/>
  </w:style>
  <w:style w:type="character" w:customStyle="1" w:styleId="ad">
    <w:name w:val="页眉 字符"/>
    <w:basedOn w:val="a0"/>
    <w:link w:val="ac"/>
    <w:uiPriority w:val="99"/>
    <w:qFormat/>
    <w:rPr>
      <w:rFonts w:ascii="宋体" w:eastAsia="宋体" w:hAnsi="宋体" w:cs="宋体"/>
      <w:sz w:val="18"/>
      <w:szCs w:val="18"/>
      <w:lang w:bidi="en-US"/>
    </w:rPr>
  </w:style>
  <w:style w:type="character" w:customStyle="1" w:styleId="ab">
    <w:name w:val="页脚 字符"/>
    <w:basedOn w:val="a0"/>
    <w:link w:val="aa"/>
    <w:uiPriority w:val="99"/>
    <w:qFormat/>
    <w:rPr>
      <w:rFonts w:ascii="宋体" w:eastAsia="宋体" w:hAnsi="宋体" w:cs="宋体"/>
      <w:sz w:val="18"/>
      <w:szCs w:val="18"/>
      <w:lang w:bidi="en-US"/>
    </w:rPr>
  </w:style>
  <w:style w:type="character" w:customStyle="1" w:styleId="50">
    <w:name w:val="标题 5 字符"/>
    <w:basedOn w:val="a0"/>
    <w:link w:val="5"/>
    <w:uiPriority w:val="9"/>
    <w:semiHidden/>
    <w:qFormat/>
    <w:rPr>
      <w:rFonts w:ascii="宋体" w:eastAsia="宋体" w:hAnsi="宋体" w:cs="宋体"/>
      <w:b/>
      <w:bCs/>
      <w:sz w:val="28"/>
      <w:szCs w:val="28"/>
      <w:lang w:bidi="en-US"/>
    </w:rPr>
  </w:style>
  <w:style w:type="character" w:customStyle="1" w:styleId="read">
    <w:name w:val="read"/>
    <w:basedOn w:val="a0"/>
    <w:link w:val="12"/>
    <w:qFormat/>
  </w:style>
  <w:style w:type="paragraph" w:customStyle="1" w:styleId="12">
    <w:name w:val="正文1"/>
    <w:link w:val="read"/>
    <w:qFormat/>
    <w:pPr>
      <w:widowControl w:val="0"/>
      <w:spacing w:after="200" w:line="276" w:lineRule="auto"/>
      <w:jc w:val="both"/>
    </w:pPr>
  </w:style>
  <w:style w:type="paragraph" w:customStyle="1" w:styleId="unnamed1">
    <w:name w:val="unnamed1"/>
    <w:basedOn w:val="a"/>
    <w:qFormat/>
    <w:pPr>
      <w:autoSpaceDE/>
      <w:autoSpaceDN/>
      <w:spacing w:before="60" w:after="60"/>
      <w:ind w:left="15" w:right="15"/>
      <w:jc w:val="both"/>
    </w:pPr>
    <w:rPr>
      <w:rFonts w:cs="Times New Roman" w:hint="eastAsia"/>
      <w:color w:val="000000"/>
      <w:kern w:val="2"/>
      <w:sz w:val="18"/>
      <w:szCs w:val="18"/>
      <w:lang w:eastAsia="zh-CN" w:bidi="ar-SA"/>
    </w:rPr>
  </w:style>
  <w:style w:type="character" w:customStyle="1" w:styleId="a4">
    <w:name w:val="批注文字 字符"/>
    <w:basedOn w:val="a0"/>
    <w:link w:val="a3"/>
    <w:qFormat/>
    <w:rPr>
      <w:rFonts w:ascii="宋体" w:eastAsia="宋体" w:hAnsi="宋体" w:cs="宋体"/>
      <w:lang w:bidi="en-US"/>
    </w:rPr>
  </w:style>
  <w:style w:type="character" w:customStyle="1" w:styleId="af0">
    <w:name w:val="批注主题 字符"/>
    <w:basedOn w:val="a4"/>
    <w:link w:val="af"/>
    <w:uiPriority w:val="99"/>
    <w:semiHidden/>
    <w:qFormat/>
    <w:rPr>
      <w:rFonts w:ascii="宋体" w:eastAsia="宋体" w:hAnsi="宋体" w:cs="宋体"/>
      <w:b/>
      <w:bCs/>
      <w:lang w:bidi="en-US"/>
    </w:rPr>
  </w:style>
  <w:style w:type="character" w:customStyle="1" w:styleId="a9">
    <w:name w:val="批注框文本 字符"/>
    <w:basedOn w:val="a0"/>
    <w:link w:val="a8"/>
    <w:uiPriority w:val="99"/>
    <w:semiHidden/>
    <w:qFormat/>
    <w:rPr>
      <w:rFonts w:ascii="宋体" w:eastAsia="宋体" w:hAnsi="宋体" w:cs="宋体"/>
      <w:sz w:val="18"/>
      <w:szCs w:val="18"/>
      <w:lang w:bidi="en-US"/>
    </w:rPr>
  </w:style>
  <w:style w:type="character" w:customStyle="1" w:styleId="a6">
    <w:name w:val="正文文本 字符"/>
    <w:basedOn w:val="a0"/>
    <w:link w:val="a5"/>
    <w:uiPriority w:val="1"/>
    <w:qFormat/>
    <w:rPr>
      <w:rFonts w:ascii="宋体" w:eastAsia="宋体" w:hAnsi="宋体" w:cs="宋体"/>
      <w:sz w:val="24"/>
      <w:szCs w:val="24"/>
      <w:lang w:bidi="en-US"/>
    </w:rPr>
  </w:style>
  <w:style w:type="paragraph" w:customStyle="1" w:styleId="13">
    <w:name w:val="修订1"/>
    <w:hidden/>
    <w:uiPriority w:val="99"/>
    <w:semiHidden/>
    <w:qFormat/>
    <w:rPr>
      <w:rFonts w:ascii="宋体" w:hAnsi="宋体" w:cs="宋体"/>
      <w:sz w:val="22"/>
      <w:szCs w:val="22"/>
      <w:lang w:eastAsia="en-US" w:bidi="en-US"/>
    </w:rPr>
  </w:style>
  <w:style w:type="character" w:customStyle="1" w:styleId="af4">
    <w:name w:val="日期 字符"/>
    <w:basedOn w:val="a0"/>
    <w:uiPriority w:val="99"/>
    <w:semiHidden/>
    <w:qFormat/>
    <w:rPr>
      <w:rFonts w:ascii="宋体" w:eastAsia="宋体" w:hAnsi="宋体" w:cs="宋体"/>
      <w:lang w:bidi="en-US"/>
    </w:rPr>
  </w:style>
  <w:style w:type="character" w:customStyle="1" w:styleId="10">
    <w:name w:val="日期 字符1"/>
    <w:link w:val="a7"/>
    <w:qFormat/>
    <w:rPr>
      <w:rFonts w:ascii="Times New Roman" w:eastAsia="仿宋_GB2312" w:hAnsi="Times New Roman" w:cs="Times New Roman"/>
      <w:kern w:val="2"/>
      <w:sz w:val="32"/>
      <w:szCs w:val="20"/>
      <w:lang w:val="zh-CN" w:eastAsia="zh-CN"/>
    </w:rPr>
  </w:style>
  <w:style w:type="paragraph" w:customStyle="1" w:styleId="Default">
    <w:name w:val="Default"/>
    <w:unhideWhenUsed/>
    <w:qFormat/>
    <w:pPr>
      <w:widowControl w:val="0"/>
      <w:autoSpaceDE w:val="0"/>
      <w:autoSpaceDN w:val="0"/>
      <w:adjustRightInd w:val="0"/>
    </w:pPr>
    <w:rPr>
      <w:rFonts w:ascii="宋体" w:hAnsi="宋体"/>
      <w:color w:val="000000"/>
      <w:sz w:val="24"/>
      <w:szCs w:val="24"/>
    </w:rPr>
  </w:style>
  <w:style w:type="paragraph" w:customStyle="1" w:styleId="110">
    <w:name w:val="列出段落11"/>
    <w:basedOn w:val="a"/>
    <w:qFormat/>
    <w:pPr>
      <w:ind w:firstLineChars="200" w:firstLine="420"/>
      <w:jc w:val="both"/>
    </w:pPr>
  </w:style>
  <w:style w:type="paragraph" w:customStyle="1" w:styleId="20">
    <w:name w:val="修订2"/>
    <w:hidden/>
    <w:uiPriority w:val="99"/>
    <w:semiHidden/>
    <w:qFormat/>
    <w:rPr>
      <w:rFonts w:ascii="宋体" w:hAnsi="宋体" w:cs="宋体"/>
      <w:sz w:val="22"/>
      <w:szCs w:val="22"/>
      <w:lang w:eastAsia="en-US" w:bidi="en-US"/>
    </w:rPr>
  </w:style>
  <w:style w:type="paragraph" w:customStyle="1" w:styleId="3">
    <w:name w:val="修订3"/>
    <w:hidden/>
    <w:uiPriority w:val="99"/>
    <w:semiHidden/>
    <w:qFormat/>
    <w:rPr>
      <w:rFonts w:ascii="宋体" w:hAnsi="宋体" w:cs="宋体"/>
      <w:sz w:val="22"/>
      <w:szCs w:val="22"/>
      <w:lang w:eastAsia="en-US" w:bidi="en-US"/>
    </w:rPr>
  </w:style>
  <w:style w:type="paragraph" w:customStyle="1" w:styleId="content">
    <w:name w:val="content"/>
    <w:basedOn w:val="a"/>
    <w:qFormat/>
    <w:pPr>
      <w:widowControl/>
      <w:spacing w:line="300" w:lineRule="auto"/>
      <w:jc w:val="both"/>
    </w:pPr>
    <w:rPr>
      <w:rFonts w:ascii="华文仿宋" w:eastAsia="华文仿宋" w:hAnsi="华文仿宋" w:cs="Times New Roman" w:hint="eastAsia"/>
      <w:sz w:val="32"/>
      <w:szCs w:val="32"/>
      <w:lang w:eastAsia="zh-CN" w:bidi="ar-SA"/>
    </w:rPr>
  </w:style>
  <w:style w:type="paragraph" w:customStyle="1" w:styleId="4">
    <w:name w:val="修订4"/>
    <w:hidden/>
    <w:uiPriority w:val="99"/>
    <w:semiHidden/>
    <w:qFormat/>
    <w:rPr>
      <w:rFonts w:ascii="宋体" w:hAnsi="宋体" w:cs="宋体"/>
      <w:sz w:val="22"/>
      <w:szCs w:val="22"/>
      <w:lang w:eastAsia="en-US" w:bidi="en-US"/>
    </w:rPr>
  </w:style>
  <w:style w:type="paragraph" w:styleId="af5">
    <w:name w:val="Revision"/>
    <w:hidden/>
    <w:uiPriority w:val="99"/>
    <w:semiHidden/>
    <w:rsid w:val="00841C87"/>
    <w:rPr>
      <w:rFonts w:ascii="宋体" w:hAnsi="宋体" w:cs="宋体"/>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EB45C-4C29-47ED-A91D-B59BEBAE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125</Pages>
  <Words>13678</Words>
  <Characters>77968</Characters>
  <Application>Microsoft Office Word</Application>
  <DocSecurity>0</DocSecurity>
  <Lines>649</Lines>
  <Paragraphs>182</Paragraphs>
  <ScaleCrop>false</ScaleCrop>
  <Company>PAIG</Company>
  <LinksUpToDate>false</LinksUpToDate>
  <CharactersWithSpaces>91464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雷静(基金公司总部产品企划中心机构产品室)</dc:creator>
  <cp:lastModifiedBy>chenshu</cp:lastModifiedBy>
  <cp:revision>7</cp:revision>
  <dcterms:created xsi:type="dcterms:W3CDTF">2025-12-09T06:05:00Z</dcterms:created>
  <dcterms:modified xsi:type="dcterms:W3CDTF">2025-12-24T07:37:00Z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Acrobat PDFMaker 17 for Word</vt:lpwstr>
  </property>
  <property fmtid="{D5CDD505-2E9C-101B-9397-08002B2CF9AE}" pid="4" name="LastSaved">
    <vt:filetime>2024-01-12T00:00:00Z</vt:filetime>
  </property>
  <property fmtid="{D5CDD505-2E9C-101B-9397-08002B2CF9AE}" pid="5" name="KSOProductBuildVer">
    <vt:lpwstr>2052-12.8.2.21555</vt:lpwstr>
  </property>
  <property fmtid="{D5CDD505-2E9C-101B-9397-08002B2CF9AE}" pid="6" name="ICV">
    <vt:lpwstr>8AC6E18B43784D12B89604BAB9D0406D_13</vt:lpwstr>
  </property>
</Properties>
</file>