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85729">
      <w:pPr>
        <w:rPr>
          <w:rFonts w:hint="eastAsia" w:ascii="宋体" w:hAnsi="宋体"/>
          <w:sz w:val="24"/>
        </w:rPr>
      </w:pPr>
    </w:p>
    <w:p w14:paraId="4CEAC0C4">
      <w:pPr>
        <w:ind w:right="-17" w:rightChars="-8"/>
        <w:rPr>
          <w:rFonts w:eastAsia="黑体"/>
          <w:sz w:val="32"/>
          <w:szCs w:val="32"/>
        </w:rPr>
      </w:pPr>
    </w:p>
    <w:p w14:paraId="01A27A4D">
      <w:pPr>
        <w:rPr>
          <w:rFonts w:eastAsia="黑体"/>
          <w:sz w:val="52"/>
          <w:szCs w:val="52"/>
        </w:rPr>
      </w:pPr>
    </w:p>
    <w:p w14:paraId="27936B8F">
      <w:pPr>
        <w:tabs>
          <w:tab w:val="left" w:pos="3495"/>
        </w:tabs>
        <w:rPr>
          <w:rFonts w:eastAsia="黑体"/>
          <w:sz w:val="52"/>
          <w:szCs w:val="52"/>
        </w:rPr>
      </w:pPr>
    </w:p>
    <w:p w14:paraId="3675D89B">
      <w:pPr>
        <w:tabs>
          <w:tab w:val="center" w:pos="4164"/>
          <w:tab w:val="left" w:pos="5455"/>
        </w:tabs>
        <w:ind w:right="-17" w:rightChars="-8"/>
        <w:jc w:val="center"/>
        <w:rPr>
          <w:rFonts w:eastAsia="黑体"/>
          <w:sz w:val="52"/>
          <w:szCs w:val="52"/>
        </w:rPr>
      </w:pPr>
    </w:p>
    <w:p w14:paraId="462E3C2C">
      <w:pPr>
        <w:tabs>
          <w:tab w:val="center" w:pos="4164"/>
          <w:tab w:val="left" w:pos="5455"/>
        </w:tabs>
        <w:ind w:right="-17" w:rightChars="-8"/>
        <w:jc w:val="center"/>
        <w:rPr>
          <w:rFonts w:eastAsia="黑体"/>
          <w:sz w:val="52"/>
          <w:szCs w:val="52"/>
        </w:rPr>
      </w:pPr>
    </w:p>
    <w:p w14:paraId="6C40C778">
      <w:pPr>
        <w:jc w:val="center"/>
        <w:rPr>
          <w:rFonts w:hint="eastAsia" w:ascii="宋体" w:hAnsi="宋体"/>
          <w:sz w:val="24"/>
        </w:rPr>
      </w:pPr>
    </w:p>
    <w:p w14:paraId="7428DB5A">
      <w:pPr>
        <w:jc w:val="center"/>
        <w:rPr>
          <w:b/>
          <w:sz w:val="52"/>
          <w:szCs w:val="52"/>
        </w:rPr>
      </w:pPr>
    </w:p>
    <w:p w14:paraId="60FBD23D">
      <w:pPr>
        <w:jc w:val="center"/>
        <w:rPr>
          <w:rFonts w:ascii="仿宋_GB2312" w:eastAsia="仿宋_GB2312"/>
          <w:b/>
          <w:sz w:val="32"/>
          <w:szCs w:val="32"/>
        </w:rPr>
      </w:pPr>
    </w:p>
    <w:p w14:paraId="7F45EA4C">
      <w:pPr>
        <w:jc w:val="center"/>
        <w:rPr>
          <w:rFonts w:hint="eastAsia" w:ascii="黑体" w:hAnsi="黑体" w:eastAsia="黑体"/>
          <w:b/>
          <w:sz w:val="44"/>
          <w:szCs w:val="44"/>
        </w:rPr>
      </w:pPr>
      <w:r>
        <w:rPr>
          <w:rFonts w:hint="eastAsia" w:ascii="黑体" w:hAnsi="黑体" w:eastAsia="黑体"/>
          <w:b/>
          <w:sz w:val="44"/>
          <w:szCs w:val="44"/>
        </w:rPr>
        <w:t>博时中证800指数增强型证券投资基金托管协议</w:t>
      </w:r>
    </w:p>
    <w:p w14:paraId="257D28A0">
      <w:pPr>
        <w:jc w:val="center"/>
        <w:rPr>
          <w:rFonts w:hint="eastAsia" w:ascii="宋体" w:hAnsi="宋体"/>
          <w:sz w:val="44"/>
          <w:szCs w:val="44"/>
        </w:rPr>
      </w:pPr>
    </w:p>
    <w:p w14:paraId="7932EF31">
      <w:pPr>
        <w:jc w:val="center"/>
        <w:rPr>
          <w:rFonts w:hint="eastAsia" w:ascii="宋体" w:hAnsi="宋体"/>
          <w:sz w:val="44"/>
          <w:szCs w:val="44"/>
        </w:rPr>
      </w:pPr>
    </w:p>
    <w:p w14:paraId="52B9694C">
      <w:pPr>
        <w:jc w:val="center"/>
        <w:rPr>
          <w:rFonts w:hint="eastAsia" w:ascii="宋体" w:hAnsi="宋体"/>
          <w:sz w:val="44"/>
          <w:szCs w:val="44"/>
        </w:rPr>
      </w:pPr>
    </w:p>
    <w:p w14:paraId="6F5CF43C">
      <w:pPr>
        <w:jc w:val="center"/>
        <w:rPr>
          <w:rFonts w:hint="eastAsia" w:ascii="宋体" w:hAnsi="宋体"/>
          <w:sz w:val="44"/>
          <w:szCs w:val="44"/>
        </w:rPr>
      </w:pPr>
    </w:p>
    <w:p w14:paraId="60AD0DDD">
      <w:pPr>
        <w:rPr>
          <w:rFonts w:ascii="宋体"/>
          <w:sz w:val="30"/>
        </w:rPr>
      </w:pPr>
    </w:p>
    <w:p w14:paraId="059A461D">
      <w:pPr>
        <w:ind w:left="1135" w:leftChars="540" w:hanging="1"/>
        <w:jc w:val="left"/>
        <w:rPr>
          <w:sz w:val="32"/>
          <w:szCs w:val="32"/>
          <w:u w:val="single"/>
        </w:rPr>
      </w:pPr>
      <w:bookmarkStart w:id="0" w:name="_Toc382818591"/>
      <w:bookmarkStart w:id="1" w:name="_Toc382819065"/>
      <w:r>
        <w:rPr>
          <w:rFonts w:hint="eastAsia"/>
          <w:sz w:val="32"/>
          <w:szCs w:val="32"/>
        </w:rPr>
        <w:t>基金管理人：</w:t>
      </w:r>
      <w:bookmarkEnd w:id="0"/>
      <w:bookmarkEnd w:id="1"/>
      <w:r>
        <w:rPr>
          <w:rFonts w:hint="eastAsia"/>
          <w:sz w:val="32"/>
          <w:szCs w:val="32"/>
        </w:rPr>
        <w:t>博时基金管理有限公司</w:t>
      </w:r>
    </w:p>
    <w:p w14:paraId="4EF37A1C">
      <w:pPr>
        <w:ind w:left="1135" w:leftChars="540" w:hanging="1"/>
        <w:jc w:val="left"/>
        <w:rPr>
          <w:sz w:val="32"/>
          <w:szCs w:val="32"/>
        </w:rPr>
      </w:pPr>
      <w:bookmarkStart w:id="2" w:name="_Toc382819066"/>
      <w:bookmarkStart w:id="3" w:name="_Toc382818592"/>
      <w:r>
        <w:rPr>
          <w:rFonts w:hint="eastAsia"/>
          <w:sz w:val="32"/>
          <w:szCs w:val="32"/>
        </w:rPr>
        <w:t>基金托管人：上海浦东发展银行股份有限公司</w:t>
      </w:r>
      <w:bookmarkEnd w:id="2"/>
      <w:bookmarkEnd w:id="3"/>
    </w:p>
    <w:p w14:paraId="6F05E860">
      <w:pPr>
        <w:spacing w:line="500" w:lineRule="atLeast"/>
        <w:jc w:val="center"/>
        <w:outlineLvl w:val="0"/>
        <w:rPr>
          <w:rFonts w:hint="eastAsia" w:ascii="黑体" w:hAnsi="宋体" w:eastAsia="黑体"/>
          <w:b/>
          <w:sz w:val="28"/>
          <w:szCs w:val="28"/>
        </w:rPr>
      </w:pPr>
      <w:r>
        <w:rPr>
          <w:rFonts w:hint="eastAsia" w:ascii="黑体" w:hAnsi="宋体" w:eastAsia="黑体"/>
          <w:b/>
          <w:sz w:val="28"/>
          <w:szCs w:val="28"/>
        </w:rPr>
        <w:br w:type="page"/>
      </w:r>
      <w:bookmarkStart w:id="4" w:name="_Toc382818593"/>
      <w:bookmarkStart w:id="5" w:name="_Toc382819067"/>
    </w:p>
    <w:p w14:paraId="3210F2B3">
      <w:pPr>
        <w:spacing w:line="500" w:lineRule="atLeast"/>
        <w:jc w:val="center"/>
        <w:outlineLvl w:val="0"/>
        <w:rPr>
          <w:rFonts w:hint="eastAsia" w:ascii="宋体" w:hAnsi="宋体"/>
          <w:b/>
          <w:sz w:val="36"/>
          <w:szCs w:val="28"/>
        </w:rPr>
      </w:pPr>
      <w:r>
        <w:rPr>
          <w:rFonts w:hint="eastAsia" w:ascii="宋体" w:hAnsi="宋体"/>
          <w:b/>
          <w:sz w:val="32"/>
          <w:szCs w:val="28"/>
        </w:rPr>
        <w:t>目 录</w:t>
      </w:r>
      <w:bookmarkEnd w:id="4"/>
      <w:bookmarkEnd w:id="5"/>
    </w:p>
    <w:p w14:paraId="0C1943BF">
      <w:pPr>
        <w:pStyle w:val="16"/>
        <w:tabs>
          <w:tab w:val="left" w:pos="440"/>
          <w:tab w:val="right" w:leader="dot" w:pos="8296"/>
        </w:tabs>
        <w:spacing w:line="360" w:lineRule="auto"/>
        <w:rPr>
          <w:rFonts w:ascii="Calibri" w:hAnsi="Calibri"/>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257DC361">
      <w:pPr>
        <w:pStyle w:val="16"/>
        <w:tabs>
          <w:tab w:val="right" w:leader="dot" w:pos="8296"/>
        </w:tabs>
        <w:spacing w:line="360" w:lineRule="auto"/>
        <w:rPr>
          <w:rFonts w:ascii="Calibri" w:hAnsi="Calibri"/>
          <w:szCs w:val="21"/>
        </w:rPr>
      </w:pPr>
      <w:r>
        <w:fldChar w:fldCharType="begin"/>
      </w:r>
      <w:r>
        <w:instrText xml:space="preserve">HYPERLINK \l "_Toc382819071"</w:instrText>
      </w:r>
      <w:r>
        <w:fldChar w:fldCharType="separate"/>
      </w:r>
      <w:r>
        <w:rPr>
          <w:rStyle w:val="22"/>
          <w:rFonts w:hint="eastAsia" w:ascii="宋体" w:hAnsi="宋体" w:cs="Arial"/>
          <w:szCs w:val="21"/>
        </w:rPr>
        <w:t>一、</w:t>
      </w:r>
      <w:r>
        <w:rPr>
          <w:rStyle w:val="22"/>
          <w:rFonts w:ascii="宋体" w:hAnsi="宋体" w:cs="Arial"/>
          <w:szCs w:val="21"/>
        </w:rPr>
        <w:t xml:space="preserve"> </w:t>
      </w:r>
      <w:r>
        <w:rPr>
          <w:rStyle w:val="22"/>
          <w:rFonts w:hint="eastAsia" w:ascii="宋体" w:hAnsi="宋体" w:cs="Arial"/>
          <w:szCs w:val="21"/>
        </w:rPr>
        <w:t>基金托管协议的依据、目的、原则和解释</w:t>
      </w:r>
      <w:r>
        <w:rPr>
          <w:szCs w:val="21"/>
        </w:rPr>
        <w:tab/>
      </w:r>
      <w:r>
        <w:rPr>
          <w:szCs w:val="21"/>
        </w:rPr>
        <w:fldChar w:fldCharType="begin"/>
      </w:r>
      <w:r>
        <w:rPr>
          <w:szCs w:val="21"/>
        </w:rPr>
        <w:instrText xml:space="preserve"> PAGEREF _Toc382819071 \h </w:instrText>
      </w:r>
      <w:r>
        <w:rPr>
          <w:szCs w:val="21"/>
        </w:rPr>
        <w:fldChar w:fldCharType="separate"/>
      </w:r>
      <w:r>
        <w:rPr>
          <w:szCs w:val="21"/>
        </w:rPr>
        <w:t>4</w:t>
      </w:r>
      <w:r>
        <w:rPr>
          <w:szCs w:val="21"/>
        </w:rPr>
        <w:fldChar w:fldCharType="end"/>
      </w:r>
      <w:r>
        <w:fldChar w:fldCharType="end"/>
      </w:r>
    </w:p>
    <w:p w14:paraId="07B7E964">
      <w:pPr>
        <w:pStyle w:val="16"/>
        <w:tabs>
          <w:tab w:val="right" w:leader="dot" w:pos="8296"/>
        </w:tabs>
        <w:spacing w:line="360" w:lineRule="auto"/>
        <w:rPr>
          <w:rFonts w:ascii="Calibri" w:hAnsi="Calibri"/>
          <w:szCs w:val="21"/>
        </w:rPr>
      </w:pPr>
      <w:r>
        <w:fldChar w:fldCharType="begin"/>
      </w:r>
      <w:r>
        <w:instrText xml:space="preserve">HYPERLINK \l "_Toc382819072"</w:instrText>
      </w:r>
      <w:r>
        <w:fldChar w:fldCharType="separate"/>
      </w:r>
      <w:r>
        <w:rPr>
          <w:rStyle w:val="22"/>
          <w:rFonts w:hint="eastAsia" w:ascii="宋体" w:hAnsi="宋体" w:cs="Arial"/>
          <w:szCs w:val="21"/>
        </w:rPr>
        <w:t>二、</w:t>
      </w:r>
      <w:r>
        <w:rPr>
          <w:rStyle w:val="22"/>
          <w:rFonts w:ascii="宋体" w:hAnsi="宋体" w:cs="Arial"/>
          <w:szCs w:val="21"/>
        </w:rPr>
        <w:t xml:space="preserve"> </w:t>
      </w:r>
      <w:r>
        <w:rPr>
          <w:rStyle w:val="22"/>
          <w:rFonts w:hint="eastAsia" w:ascii="宋体" w:hAnsi="宋体" w:cs="Arial"/>
          <w:szCs w:val="21"/>
        </w:rPr>
        <w:t>基金托管人对基金管理人的业务监督和核查</w:t>
      </w:r>
      <w:r>
        <w:rPr>
          <w:szCs w:val="21"/>
        </w:rPr>
        <w:tab/>
      </w:r>
      <w:r>
        <w:rPr>
          <w:szCs w:val="21"/>
        </w:rPr>
        <w:fldChar w:fldCharType="begin"/>
      </w:r>
      <w:r>
        <w:rPr>
          <w:szCs w:val="21"/>
        </w:rPr>
        <w:instrText xml:space="preserve"> PAGEREF _Toc382819072 \h </w:instrText>
      </w:r>
      <w:r>
        <w:rPr>
          <w:szCs w:val="21"/>
        </w:rPr>
        <w:fldChar w:fldCharType="separate"/>
      </w:r>
      <w:r>
        <w:rPr>
          <w:szCs w:val="21"/>
        </w:rPr>
        <w:t>5</w:t>
      </w:r>
      <w:r>
        <w:rPr>
          <w:szCs w:val="21"/>
        </w:rPr>
        <w:fldChar w:fldCharType="end"/>
      </w:r>
      <w:r>
        <w:fldChar w:fldCharType="end"/>
      </w:r>
    </w:p>
    <w:p w14:paraId="73615505">
      <w:pPr>
        <w:pStyle w:val="16"/>
        <w:tabs>
          <w:tab w:val="right" w:leader="dot" w:pos="8296"/>
        </w:tabs>
        <w:spacing w:line="360" w:lineRule="auto"/>
        <w:rPr>
          <w:rFonts w:ascii="Calibri" w:hAnsi="Calibri"/>
          <w:szCs w:val="21"/>
        </w:rPr>
      </w:pPr>
      <w:r>
        <w:fldChar w:fldCharType="begin"/>
      </w:r>
      <w:r>
        <w:instrText xml:space="preserve">HYPERLINK \l "_Toc382819076"</w:instrText>
      </w:r>
      <w:r>
        <w:fldChar w:fldCharType="separate"/>
      </w:r>
      <w:r>
        <w:rPr>
          <w:rStyle w:val="22"/>
          <w:rFonts w:hint="eastAsia" w:ascii="宋体" w:hAnsi="宋体" w:cs="Arial"/>
          <w:szCs w:val="21"/>
        </w:rPr>
        <w:t>三、</w:t>
      </w:r>
      <w:r>
        <w:rPr>
          <w:rStyle w:val="22"/>
          <w:rFonts w:ascii="宋体" w:hAnsi="宋体" w:cs="Arial"/>
          <w:szCs w:val="21"/>
        </w:rPr>
        <w:t xml:space="preserve"> </w:t>
      </w:r>
      <w:r>
        <w:rPr>
          <w:rStyle w:val="22"/>
          <w:rFonts w:hint="eastAsia" w:ascii="宋体" w:hAnsi="宋体" w:cs="Arial"/>
          <w:szCs w:val="21"/>
        </w:rPr>
        <w:t>基金管理人对基金托管人的业务核查</w:t>
      </w:r>
      <w:r>
        <w:rPr>
          <w:szCs w:val="21"/>
        </w:rPr>
        <w:tab/>
      </w:r>
      <w:r>
        <w:rPr>
          <w:szCs w:val="21"/>
        </w:rPr>
        <w:fldChar w:fldCharType="begin"/>
      </w:r>
      <w:r>
        <w:rPr>
          <w:szCs w:val="21"/>
        </w:rPr>
        <w:instrText xml:space="preserve"> PAGEREF _Toc382819076 \h </w:instrText>
      </w:r>
      <w:r>
        <w:rPr>
          <w:szCs w:val="21"/>
        </w:rPr>
        <w:fldChar w:fldCharType="separate"/>
      </w:r>
      <w:r>
        <w:rPr>
          <w:szCs w:val="21"/>
        </w:rPr>
        <w:t>13</w:t>
      </w:r>
      <w:r>
        <w:rPr>
          <w:szCs w:val="21"/>
        </w:rPr>
        <w:fldChar w:fldCharType="end"/>
      </w:r>
      <w:r>
        <w:fldChar w:fldCharType="end"/>
      </w:r>
    </w:p>
    <w:p w14:paraId="4A4979A0">
      <w:pPr>
        <w:pStyle w:val="16"/>
        <w:tabs>
          <w:tab w:val="right" w:leader="dot" w:pos="8296"/>
        </w:tabs>
        <w:spacing w:line="360" w:lineRule="auto"/>
        <w:rPr>
          <w:rFonts w:ascii="Calibri" w:hAnsi="Calibri"/>
          <w:szCs w:val="21"/>
        </w:rPr>
      </w:pPr>
      <w:r>
        <w:fldChar w:fldCharType="begin"/>
      </w:r>
      <w:r>
        <w:instrText xml:space="preserve">HYPERLINK \l "_Toc382819078"</w:instrText>
      </w:r>
      <w:r>
        <w:fldChar w:fldCharType="separate"/>
      </w:r>
      <w:r>
        <w:rPr>
          <w:rStyle w:val="22"/>
          <w:rFonts w:hint="eastAsia" w:ascii="宋体" w:hAnsi="宋体" w:cs="Arial"/>
          <w:szCs w:val="21"/>
        </w:rPr>
        <w:t>四、</w:t>
      </w:r>
      <w:r>
        <w:rPr>
          <w:rStyle w:val="22"/>
          <w:rFonts w:ascii="宋体" w:hAnsi="宋体" w:cs="Arial"/>
          <w:szCs w:val="21"/>
        </w:rPr>
        <w:t xml:space="preserve"> </w:t>
      </w:r>
      <w:r>
        <w:rPr>
          <w:rStyle w:val="22"/>
          <w:rFonts w:hint="eastAsia" w:ascii="宋体" w:hAnsi="宋体" w:cs="Arial"/>
          <w:szCs w:val="21"/>
        </w:rPr>
        <w:t>基金财产保管</w:t>
      </w:r>
      <w:r>
        <w:rPr>
          <w:szCs w:val="21"/>
        </w:rPr>
        <w:tab/>
      </w:r>
      <w:r>
        <w:rPr>
          <w:szCs w:val="21"/>
        </w:rPr>
        <w:fldChar w:fldCharType="begin"/>
      </w:r>
      <w:r>
        <w:rPr>
          <w:szCs w:val="21"/>
        </w:rPr>
        <w:instrText xml:space="preserve"> PAGEREF _Toc382819078 \h </w:instrText>
      </w:r>
      <w:r>
        <w:rPr>
          <w:szCs w:val="21"/>
        </w:rPr>
        <w:fldChar w:fldCharType="separate"/>
      </w:r>
      <w:r>
        <w:rPr>
          <w:szCs w:val="21"/>
        </w:rPr>
        <w:t>13</w:t>
      </w:r>
      <w:r>
        <w:rPr>
          <w:szCs w:val="21"/>
        </w:rPr>
        <w:fldChar w:fldCharType="end"/>
      </w:r>
      <w:r>
        <w:fldChar w:fldCharType="end"/>
      </w:r>
    </w:p>
    <w:p w14:paraId="131395F5">
      <w:pPr>
        <w:pStyle w:val="16"/>
        <w:tabs>
          <w:tab w:val="right" w:leader="dot" w:pos="8296"/>
        </w:tabs>
        <w:spacing w:line="360" w:lineRule="auto"/>
        <w:rPr>
          <w:rFonts w:ascii="Calibri" w:hAnsi="Calibri"/>
          <w:szCs w:val="21"/>
        </w:rPr>
      </w:pPr>
      <w:r>
        <w:fldChar w:fldCharType="begin"/>
      </w:r>
      <w:r>
        <w:instrText xml:space="preserve">HYPERLINK \l "_Toc382819088"</w:instrText>
      </w:r>
      <w:r>
        <w:fldChar w:fldCharType="separate"/>
      </w:r>
      <w:r>
        <w:rPr>
          <w:rStyle w:val="22"/>
          <w:rFonts w:hint="eastAsia" w:ascii="宋体" w:hAnsi="宋体" w:cs="Arial"/>
          <w:szCs w:val="21"/>
        </w:rPr>
        <w:t>五、</w:t>
      </w:r>
      <w:r>
        <w:rPr>
          <w:rStyle w:val="22"/>
          <w:rFonts w:ascii="宋体" w:hAnsi="宋体" w:cs="Arial"/>
          <w:szCs w:val="21"/>
        </w:rPr>
        <w:t xml:space="preserve"> </w:t>
      </w:r>
      <w:r>
        <w:rPr>
          <w:rStyle w:val="22"/>
          <w:rFonts w:hint="eastAsia" w:ascii="宋体" w:hAnsi="宋体" w:cs="Arial"/>
          <w:szCs w:val="21"/>
        </w:rPr>
        <w:t>指令的发送、确认和执行</w:t>
      </w:r>
      <w:r>
        <w:rPr>
          <w:szCs w:val="21"/>
        </w:rPr>
        <w:tab/>
      </w:r>
      <w:r>
        <w:rPr>
          <w:szCs w:val="21"/>
        </w:rPr>
        <w:fldChar w:fldCharType="begin"/>
      </w:r>
      <w:r>
        <w:rPr>
          <w:szCs w:val="21"/>
        </w:rPr>
        <w:instrText xml:space="preserve"> PAGEREF _Toc382819088 \h </w:instrText>
      </w:r>
      <w:r>
        <w:rPr>
          <w:szCs w:val="21"/>
        </w:rPr>
        <w:fldChar w:fldCharType="separate"/>
      </w:r>
      <w:r>
        <w:rPr>
          <w:szCs w:val="21"/>
        </w:rPr>
        <w:t>16</w:t>
      </w:r>
      <w:r>
        <w:rPr>
          <w:szCs w:val="21"/>
        </w:rPr>
        <w:fldChar w:fldCharType="end"/>
      </w:r>
      <w:r>
        <w:fldChar w:fldCharType="end"/>
      </w:r>
    </w:p>
    <w:p w14:paraId="4BA18773">
      <w:pPr>
        <w:pStyle w:val="16"/>
        <w:tabs>
          <w:tab w:val="right" w:leader="dot" w:pos="8296"/>
        </w:tabs>
        <w:spacing w:line="360" w:lineRule="auto"/>
        <w:rPr>
          <w:rFonts w:ascii="Calibri" w:hAnsi="Calibri"/>
          <w:szCs w:val="21"/>
        </w:rPr>
      </w:pPr>
      <w:r>
        <w:fldChar w:fldCharType="begin"/>
      </w:r>
      <w:r>
        <w:instrText xml:space="preserve">HYPERLINK \l "_Toc382819097"</w:instrText>
      </w:r>
      <w:r>
        <w:fldChar w:fldCharType="separate"/>
      </w:r>
      <w:r>
        <w:rPr>
          <w:rStyle w:val="22"/>
          <w:rFonts w:hint="eastAsia" w:ascii="宋体" w:hAnsi="宋体" w:cs="Arial"/>
          <w:szCs w:val="21"/>
        </w:rPr>
        <w:t>六、</w:t>
      </w:r>
      <w:r>
        <w:rPr>
          <w:rStyle w:val="22"/>
          <w:rFonts w:ascii="宋体" w:hAnsi="宋体" w:cs="Arial"/>
          <w:szCs w:val="21"/>
        </w:rPr>
        <w:t xml:space="preserve"> </w:t>
      </w:r>
      <w:r>
        <w:rPr>
          <w:rStyle w:val="22"/>
          <w:rFonts w:hint="eastAsia" w:ascii="宋体" w:hAnsi="宋体" w:cs="Arial"/>
          <w:szCs w:val="21"/>
        </w:rPr>
        <w:t>交易及清算交收安排</w:t>
      </w:r>
      <w:r>
        <w:rPr>
          <w:szCs w:val="21"/>
        </w:rPr>
        <w:tab/>
      </w:r>
      <w:r>
        <w:rPr>
          <w:szCs w:val="21"/>
        </w:rPr>
        <w:fldChar w:fldCharType="begin"/>
      </w:r>
      <w:r>
        <w:rPr>
          <w:szCs w:val="21"/>
        </w:rPr>
        <w:instrText xml:space="preserve"> PAGEREF _Toc382819097 \h </w:instrText>
      </w:r>
      <w:r>
        <w:rPr>
          <w:szCs w:val="21"/>
        </w:rPr>
        <w:fldChar w:fldCharType="separate"/>
      </w:r>
      <w:r>
        <w:rPr>
          <w:szCs w:val="21"/>
        </w:rPr>
        <w:t>20</w:t>
      </w:r>
      <w:r>
        <w:rPr>
          <w:szCs w:val="21"/>
        </w:rPr>
        <w:fldChar w:fldCharType="end"/>
      </w:r>
      <w:r>
        <w:fldChar w:fldCharType="end"/>
      </w:r>
    </w:p>
    <w:p w14:paraId="394D0645">
      <w:pPr>
        <w:pStyle w:val="16"/>
        <w:tabs>
          <w:tab w:val="right" w:leader="dot" w:pos="8296"/>
        </w:tabs>
        <w:spacing w:line="360" w:lineRule="auto"/>
        <w:rPr>
          <w:rFonts w:ascii="Calibri" w:hAnsi="Calibri"/>
          <w:szCs w:val="21"/>
        </w:rPr>
      </w:pPr>
      <w:r>
        <w:fldChar w:fldCharType="begin"/>
      </w:r>
      <w:r>
        <w:instrText xml:space="preserve">HYPERLINK \l "_Toc382819103"</w:instrText>
      </w:r>
      <w:r>
        <w:fldChar w:fldCharType="separate"/>
      </w:r>
      <w:r>
        <w:rPr>
          <w:rStyle w:val="22"/>
          <w:rFonts w:hint="eastAsia" w:ascii="宋体" w:hAnsi="宋体" w:cs="Arial"/>
          <w:szCs w:val="21"/>
        </w:rPr>
        <w:t>七、</w:t>
      </w:r>
      <w:r>
        <w:rPr>
          <w:rStyle w:val="22"/>
          <w:rFonts w:ascii="宋体" w:hAnsi="宋体" w:cs="Arial"/>
          <w:szCs w:val="21"/>
        </w:rPr>
        <w:t xml:space="preserve"> </w:t>
      </w:r>
      <w:r>
        <w:rPr>
          <w:rStyle w:val="22"/>
          <w:rFonts w:hint="eastAsia" w:ascii="宋体" w:hAnsi="宋体" w:cs="Arial"/>
          <w:szCs w:val="21"/>
        </w:rPr>
        <w:t>基金资产净值计算和会计核算</w:t>
      </w:r>
      <w:r>
        <w:rPr>
          <w:szCs w:val="21"/>
        </w:rPr>
        <w:tab/>
      </w:r>
      <w:r>
        <w:rPr>
          <w:szCs w:val="21"/>
        </w:rPr>
        <w:fldChar w:fldCharType="begin"/>
      </w:r>
      <w:r>
        <w:rPr>
          <w:szCs w:val="21"/>
        </w:rPr>
        <w:instrText xml:space="preserve"> PAGEREF _Toc382819103 \h </w:instrText>
      </w:r>
      <w:r>
        <w:rPr>
          <w:szCs w:val="21"/>
        </w:rPr>
        <w:fldChar w:fldCharType="separate"/>
      </w:r>
      <w:r>
        <w:rPr>
          <w:szCs w:val="21"/>
        </w:rPr>
        <w:t>25</w:t>
      </w:r>
      <w:r>
        <w:rPr>
          <w:szCs w:val="21"/>
        </w:rPr>
        <w:fldChar w:fldCharType="end"/>
      </w:r>
      <w:r>
        <w:fldChar w:fldCharType="end"/>
      </w:r>
    </w:p>
    <w:p w14:paraId="4EFBAFA9">
      <w:pPr>
        <w:pStyle w:val="16"/>
        <w:tabs>
          <w:tab w:val="right" w:leader="dot" w:pos="8296"/>
        </w:tabs>
        <w:spacing w:line="360" w:lineRule="auto"/>
        <w:rPr>
          <w:rFonts w:ascii="Calibri" w:hAnsi="Calibri"/>
          <w:szCs w:val="21"/>
        </w:rPr>
      </w:pPr>
      <w:r>
        <w:fldChar w:fldCharType="begin"/>
      </w:r>
      <w:r>
        <w:instrText xml:space="preserve">HYPERLINK \l "_Toc382819118"</w:instrText>
      </w:r>
      <w:r>
        <w:fldChar w:fldCharType="separate"/>
      </w:r>
      <w:r>
        <w:rPr>
          <w:rStyle w:val="22"/>
          <w:rFonts w:hint="eastAsia" w:ascii="宋体" w:hAnsi="宋体" w:cs="Arial"/>
          <w:szCs w:val="21"/>
        </w:rPr>
        <w:t>八、</w:t>
      </w:r>
      <w:r>
        <w:rPr>
          <w:rStyle w:val="22"/>
          <w:rFonts w:ascii="宋体" w:hAnsi="宋体" w:cs="Arial"/>
          <w:szCs w:val="21"/>
        </w:rPr>
        <w:t xml:space="preserve"> </w:t>
      </w:r>
      <w:r>
        <w:rPr>
          <w:rStyle w:val="22"/>
          <w:rFonts w:hint="eastAsia" w:ascii="宋体" w:hAnsi="宋体" w:cs="Arial"/>
          <w:szCs w:val="21"/>
        </w:rPr>
        <w:t>基金收益分配</w:t>
      </w:r>
      <w:r>
        <w:rPr>
          <w:szCs w:val="21"/>
        </w:rPr>
        <w:tab/>
      </w:r>
      <w:r>
        <w:rPr>
          <w:szCs w:val="21"/>
        </w:rPr>
        <w:fldChar w:fldCharType="begin"/>
      </w:r>
      <w:r>
        <w:rPr>
          <w:szCs w:val="21"/>
        </w:rPr>
        <w:instrText xml:space="preserve"> PAGEREF _Toc382819118 \h </w:instrText>
      </w:r>
      <w:r>
        <w:rPr>
          <w:szCs w:val="21"/>
        </w:rPr>
        <w:fldChar w:fldCharType="separate"/>
      </w:r>
      <w:r>
        <w:rPr>
          <w:szCs w:val="21"/>
        </w:rPr>
        <w:t>28</w:t>
      </w:r>
      <w:r>
        <w:rPr>
          <w:szCs w:val="21"/>
        </w:rPr>
        <w:fldChar w:fldCharType="end"/>
      </w:r>
      <w:r>
        <w:fldChar w:fldCharType="end"/>
      </w:r>
    </w:p>
    <w:p w14:paraId="0EDB5CB3">
      <w:pPr>
        <w:pStyle w:val="16"/>
        <w:tabs>
          <w:tab w:val="right" w:leader="dot" w:pos="8296"/>
        </w:tabs>
        <w:spacing w:line="360" w:lineRule="auto"/>
        <w:rPr>
          <w:rFonts w:ascii="Calibri" w:hAnsi="Calibri"/>
          <w:szCs w:val="21"/>
        </w:rPr>
      </w:pPr>
      <w:r>
        <w:fldChar w:fldCharType="begin"/>
      </w:r>
      <w:r>
        <w:instrText xml:space="preserve">HYPERLINK \l "_Toc382819121"</w:instrText>
      </w:r>
      <w:r>
        <w:fldChar w:fldCharType="separate"/>
      </w:r>
      <w:r>
        <w:rPr>
          <w:rStyle w:val="22"/>
          <w:rFonts w:hint="eastAsia" w:ascii="宋体" w:hAnsi="宋体" w:cs="Arial"/>
          <w:szCs w:val="21"/>
        </w:rPr>
        <w:t>九、</w:t>
      </w:r>
      <w:r>
        <w:rPr>
          <w:rStyle w:val="22"/>
          <w:rFonts w:ascii="宋体" w:hAnsi="宋体" w:cs="Arial"/>
          <w:szCs w:val="21"/>
        </w:rPr>
        <w:t xml:space="preserve"> </w:t>
      </w:r>
      <w:r>
        <w:rPr>
          <w:rStyle w:val="22"/>
          <w:rFonts w:hint="eastAsia" w:ascii="宋体" w:hAnsi="宋体" w:cs="Arial"/>
          <w:szCs w:val="21"/>
        </w:rPr>
        <w:t>信息披露</w:t>
      </w:r>
      <w:r>
        <w:rPr>
          <w:szCs w:val="21"/>
        </w:rPr>
        <w:tab/>
      </w:r>
      <w:r>
        <w:rPr>
          <w:szCs w:val="21"/>
        </w:rPr>
        <w:fldChar w:fldCharType="begin"/>
      </w:r>
      <w:r>
        <w:rPr>
          <w:szCs w:val="21"/>
        </w:rPr>
        <w:instrText xml:space="preserve"> PAGEREF _Toc382819121 \h </w:instrText>
      </w:r>
      <w:r>
        <w:rPr>
          <w:szCs w:val="21"/>
        </w:rPr>
        <w:fldChar w:fldCharType="separate"/>
      </w:r>
      <w:r>
        <w:rPr>
          <w:szCs w:val="21"/>
        </w:rPr>
        <w:t>28</w:t>
      </w:r>
      <w:r>
        <w:rPr>
          <w:szCs w:val="21"/>
        </w:rPr>
        <w:fldChar w:fldCharType="end"/>
      </w:r>
      <w:r>
        <w:fldChar w:fldCharType="end"/>
      </w:r>
    </w:p>
    <w:p w14:paraId="6E6CD8FC">
      <w:pPr>
        <w:pStyle w:val="16"/>
        <w:tabs>
          <w:tab w:val="right" w:leader="dot" w:pos="8296"/>
        </w:tabs>
        <w:spacing w:line="360" w:lineRule="auto"/>
        <w:rPr>
          <w:rFonts w:ascii="Calibri" w:hAnsi="Calibri"/>
          <w:szCs w:val="21"/>
        </w:rPr>
      </w:pPr>
      <w:r>
        <w:fldChar w:fldCharType="begin"/>
      </w:r>
      <w:r>
        <w:instrText xml:space="preserve">HYPERLINK \l "_Toc382819125"</w:instrText>
      </w:r>
      <w:r>
        <w:fldChar w:fldCharType="separate"/>
      </w:r>
      <w:r>
        <w:rPr>
          <w:rStyle w:val="22"/>
          <w:rFonts w:hint="eastAsia" w:ascii="宋体" w:hAnsi="宋体" w:cs="Arial"/>
          <w:szCs w:val="21"/>
        </w:rPr>
        <w:t>十、</w:t>
      </w:r>
      <w:r>
        <w:rPr>
          <w:rStyle w:val="22"/>
          <w:rFonts w:ascii="宋体" w:hAnsi="宋体" w:cs="Arial"/>
          <w:szCs w:val="21"/>
        </w:rPr>
        <w:t xml:space="preserve"> </w:t>
      </w:r>
      <w:r>
        <w:rPr>
          <w:rStyle w:val="22"/>
          <w:rFonts w:hint="eastAsia" w:ascii="宋体" w:hAnsi="宋体" w:cs="Arial"/>
          <w:szCs w:val="21"/>
        </w:rPr>
        <w:t>基金费用</w:t>
      </w:r>
      <w:r>
        <w:rPr>
          <w:szCs w:val="21"/>
        </w:rPr>
        <w:tab/>
      </w:r>
      <w:r>
        <w:rPr>
          <w:szCs w:val="21"/>
        </w:rPr>
        <w:fldChar w:fldCharType="begin"/>
      </w:r>
      <w:r>
        <w:rPr>
          <w:szCs w:val="21"/>
        </w:rPr>
        <w:instrText xml:space="preserve"> PAGEREF _Toc382819125 \h </w:instrText>
      </w:r>
      <w:r>
        <w:rPr>
          <w:szCs w:val="21"/>
        </w:rPr>
        <w:fldChar w:fldCharType="separate"/>
      </w:r>
      <w:r>
        <w:rPr>
          <w:szCs w:val="21"/>
        </w:rPr>
        <w:t>30</w:t>
      </w:r>
      <w:r>
        <w:rPr>
          <w:szCs w:val="21"/>
        </w:rPr>
        <w:fldChar w:fldCharType="end"/>
      </w:r>
      <w:r>
        <w:fldChar w:fldCharType="end"/>
      </w:r>
    </w:p>
    <w:p w14:paraId="7058287D">
      <w:pPr>
        <w:pStyle w:val="16"/>
        <w:tabs>
          <w:tab w:val="right" w:leader="dot" w:pos="8296"/>
        </w:tabs>
        <w:spacing w:line="360" w:lineRule="auto"/>
        <w:rPr>
          <w:rFonts w:ascii="Calibri" w:hAnsi="Calibri"/>
          <w:szCs w:val="21"/>
        </w:rPr>
      </w:pPr>
      <w:r>
        <w:fldChar w:fldCharType="begin"/>
      </w:r>
      <w:r>
        <w:instrText xml:space="preserve">HYPERLINK \l "_Toc382819126"</w:instrText>
      </w:r>
      <w:r>
        <w:fldChar w:fldCharType="separate"/>
      </w:r>
      <w:r>
        <w:rPr>
          <w:rStyle w:val="22"/>
          <w:rFonts w:hint="eastAsia" w:ascii="宋体" w:hAnsi="宋体" w:cs="Arial"/>
          <w:szCs w:val="21"/>
        </w:rPr>
        <w:t>十一、</w:t>
      </w:r>
      <w:r>
        <w:rPr>
          <w:rStyle w:val="22"/>
          <w:rFonts w:ascii="宋体" w:hAnsi="宋体" w:cs="Arial"/>
          <w:szCs w:val="21"/>
        </w:rPr>
        <w:t xml:space="preserve"> </w:t>
      </w:r>
      <w:r>
        <w:rPr>
          <w:rStyle w:val="22"/>
          <w:rFonts w:hint="eastAsia" w:ascii="宋体" w:hAnsi="宋体" w:cs="Arial"/>
          <w:szCs w:val="21"/>
        </w:rPr>
        <w:t>基金份额持有人名册的保管</w:t>
      </w:r>
      <w:r>
        <w:rPr>
          <w:szCs w:val="21"/>
        </w:rPr>
        <w:tab/>
      </w:r>
      <w:r>
        <w:rPr>
          <w:szCs w:val="21"/>
        </w:rPr>
        <w:fldChar w:fldCharType="begin"/>
      </w:r>
      <w:r>
        <w:rPr>
          <w:szCs w:val="21"/>
        </w:rPr>
        <w:instrText xml:space="preserve"> PAGEREF _Toc382819126 \h </w:instrText>
      </w:r>
      <w:r>
        <w:rPr>
          <w:szCs w:val="21"/>
        </w:rPr>
        <w:fldChar w:fldCharType="separate"/>
      </w:r>
      <w:r>
        <w:rPr>
          <w:szCs w:val="21"/>
        </w:rPr>
        <w:t>30</w:t>
      </w:r>
      <w:r>
        <w:rPr>
          <w:szCs w:val="21"/>
        </w:rPr>
        <w:fldChar w:fldCharType="end"/>
      </w:r>
      <w:r>
        <w:fldChar w:fldCharType="end"/>
      </w:r>
    </w:p>
    <w:p w14:paraId="40F4FB23">
      <w:pPr>
        <w:pStyle w:val="16"/>
        <w:tabs>
          <w:tab w:val="right" w:leader="dot" w:pos="8296"/>
        </w:tabs>
        <w:spacing w:line="360" w:lineRule="auto"/>
        <w:rPr>
          <w:rFonts w:ascii="Calibri" w:hAnsi="Calibri"/>
          <w:szCs w:val="21"/>
        </w:rPr>
      </w:pPr>
      <w:r>
        <w:fldChar w:fldCharType="begin"/>
      </w:r>
      <w:r>
        <w:instrText xml:space="preserve">HYPERLINK \l "_Toc382819127"</w:instrText>
      </w:r>
      <w:r>
        <w:fldChar w:fldCharType="separate"/>
      </w:r>
      <w:r>
        <w:rPr>
          <w:rStyle w:val="22"/>
          <w:rFonts w:hint="eastAsia" w:ascii="宋体" w:hAnsi="宋体" w:cs="Arial"/>
          <w:szCs w:val="21"/>
        </w:rPr>
        <w:t>十二、</w:t>
      </w:r>
      <w:r>
        <w:rPr>
          <w:rStyle w:val="22"/>
          <w:rFonts w:ascii="宋体" w:hAnsi="宋体" w:cs="Arial"/>
          <w:szCs w:val="21"/>
        </w:rPr>
        <w:t xml:space="preserve"> </w:t>
      </w:r>
      <w:r>
        <w:rPr>
          <w:rStyle w:val="22"/>
          <w:rFonts w:hint="eastAsia" w:ascii="宋体" w:hAnsi="宋体" w:cs="Arial"/>
          <w:szCs w:val="21"/>
        </w:rPr>
        <w:t>基金有关文件和档案的保存</w:t>
      </w:r>
      <w:r>
        <w:rPr>
          <w:szCs w:val="21"/>
        </w:rPr>
        <w:tab/>
      </w:r>
      <w:r>
        <w:rPr>
          <w:szCs w:val="21"/>
        </w:rPr>
        <w:fldChar w:fldCharType="begin"/>
      </w:r>
      <w:r>
        <w:rPr>
          <w:szCs w:val="21"/>
        </w:rPr>
        <w:instrText xml:space="preserve"> PAGEREF _Toc382819127 \h </w:instrText>
      </w:r>
      <w:r>
        <w:rPr>
          <w:szCs w:val="21"/>
        </w:rPr>
        <w:fldChar w:fldCharType="separate"/>
      </w:r>
      <w:r>
        <w:rPr>
          <w:szCs w:val="21"/>
        </w:rPr>
        <w:t>31</w:t>
      </w:r>
      <w:r>
        <w:rPr>
          <w:szCs w:val="21"/>
        </w:rPr>
        <w:fldChar w:fldCharType="end"/>
      </w:r>
      <w:r>
        <w:fldChar w:fldCharType="end"/>
      </w:r>
    </w:p>
    <w:p w14:paraId="696F7011">
      <w:pPr>
        <w:pStyle w:val="16"/>
        <w:tabs>
          <w:tab w:val="right" w:leader="dot" w:pos="8296"/>
        </w:tabs>
        <w:spacing w:line="360" w:lineRule="auto"/>
        <w:rPr>
          <w:rFonts w:ascii="Calibri" w:hAnsi="Calibri"/>
          <w:szCs w:val="21"/>
        </w:rPr>
      </w:pPr>
      <w:r>
        <w:fldChar w:fldCharType="begin"/>
      </w:r>
      <w:r>
        <w:instrText xml:space="preserve">HYPERLINK \l "_Toc382819128"</w:instrText>
      </w:r>
      <w:r>
        <w:fldChar w:fldCharType="separate"/>
      </w:r>
      <w:r>
        <w:rPr>
          <w:rStyle w:val="22"/>
          <w:rFonts w:hint="eastAsia" w:ascii="宋体" w:hAnsi="宋体" w:cs="Arial"/>
          <w:szCs w:val="21"/>
        </w:rPr>
        <w:t>十三、</w:t>
      </w:r>
      <w:r>
        <w:rPr>
          <w:rStyle w:val="22"/>
          <w:rFonts w:ascii="宋体" w:hAnsi="宋体" w:cs="Arial"/>
          <w:szCs w:val="21"/>
        </w:rPr>
        <w:t xml:space="preserve"> </w:t>
      </w:r>
      <w:r>
        <w:rPr>
          <w:rStyle w:val="22"/>
          <w:rFonts w:hint="eastAsia" w:ascii="宋体" w:hAnsi="宋体" w:cs="Arial"/>
          <w:szCs w:val="21"/>
        </w:rPr>
        <w:t>基金管理人和基金托管人的更换</w:t>
      </w:r>
      <w:r>
        <w:rPr>
          <w:szCs w:val="21"/>
        </w:rPr>
        <w:tab/>
      </w:r>
      <w:r>
        <w:rPr>
          <w:szCs w:val="21"/>
        </w:rPr>
        <w:fldChar w:fldCharType="begin"/>
      </w:r>
      <w:r>
        <w:rPr>
          <w:szCs w:val="21"/>
        </w:rPr>
        <w:instrText xml:space="preserve"> PAGEREF _Toc382819128 \h </w:instrText>
      </w:r>
      <w:r>
        <w:rPr>
          <w:szCs w:val="21"/>
        </w:rPr>
        <w:fldChar w:fldCharType="separate"/>
      </w:r>
      <w:r>
        <w:rPr>
          <w:szCs w:val="21"/>
        </w:rPr>
        <w:t>32</w:t>
      </w:r>
      <w:r>
        <w:rPr>
          <w:szCs w:val="21"/>
        </w:rPr>
        <w:fldChar w:fldCharType="end"/>
      </w:r>
      <w:r>
        <w:fldChar w:fldCharType="end"/>
      </w:r>
    </w:p>
    <w:p w14:paraId="557D4EA8">
      <w:pPr>
        <w:pStyle w:val="16"/>
        <w:tabs>
          <w:tab w:val="right" w:leader="dot" w:pos="8296"/>
        </w:tabs>
        <w:spacing w:line="360" w:lineRule="auto"/>
        <w:rPr>
          <w:rFonts w:ascii="Calibri" w:hAnsi="Calibri"/>
          <w:szCs w:val="21"/>
        </w:rPr>
      </w:pPr>
      <w:r>
        <w:fldChar w:fldCharType="begin"/>
      </w:r>
      <w:r>
        <w:instrText xml:space="preserve">HYPERLINK \l "_Toc382819131"</w:instrText>
      </w:r>
      <w:r>
        <w:fldChar w:fldCharType="separate"/>
      </w:r>
      <w:r>
        <w:rPr>
          <w:rStyle w:val="22"/>
          <w:rFonts w:hint="eastAsia" w:ascii="宋体" w:hAnsi="宋体" w:cs="Arial"/>
          <w:szCs w:val="21"/>
        </w:rPr>
        <w:t>十四、</w:t>
      </w:r>
      <w:r>
        <w:rPr>
          <w:rStyle w:val="22"/>
          <w:rFonts w:ascii="宋体" w:hAnsi="宋体" w:cs="Arial"/>
          <w:szCs w:val="21"/>
        </w:rPr>
        <w:t xml:space="preserve"> </w:t>
      </w:r>
      <w:r>
        <w:rPr>
          <w:rStyle w:val="22"/>
          <w:rFonts w:hint="eastAsia" w:ascii="宋体" w:hAnsi="宋体" w:cs="Arial"/>
          <w:szCs w:val="21"/>
        </w:rPr>
        <w:t>禁止行为</w:t>
      </w:r>
      <w:r>
        <w:rPr>
          <w:szCs w:val="21"/>
        </w:rPr>
        <w:tab/>
      </w:r>
      <w:r>
        <w:rPr>
          <w:szCs w:val="21"/>
        </w:rPr>
        <w:fldChar w:fldCharType="begin"/>
      </w:r>
      <w:r>
        <w:rPr>
          <w:szCs w:val="21"/>
        </w:rPr>
        <w:instrText xml:space="preserve"> PAGEREF _Toc382819131 \h </w:instrText>
      </w:r>
      <w:r>
        <w:rPr>
          <w:szCs w:val="21"/>
        </w:rPr>
        <w:fldChar w:fldCharType="separate"/>
      </w:r>
      <w:r>
        <w:rPr>
          <w:szCs w:val="21"/>
        </w:rPr>
        <w:t>34</w:t>
      </w:r>
      <w:r>
        <w:rPr>
          <w:szCs w:val="21"/>
        </w:rPr>
        <w:fldChar w:fldCharType="end"/>
      </w:r>
      <w:r>
        <w:fldChar w:fldCharType="end"/>
      </w:r>
    </w:p>
    <w:p w14:paraId="29EDDFB2">
      <w:pPr>
        <w:pStyle w:val="16"/>
        <w:tabs>
          <w:tab w:val="right" w:leader="dot" w:pos="8296"/>
        </w:tabs>
        <w:spacing w:line="360" w:lineRule="auto"/>
        <w:rPr>
          <w:rFonts w:ascii="Calibri" w:hAnsi="Calibri"/>
          <w:szCs w:val="21"/>
        </w:rPr>
      </w:pPr>
      <w:r>
        <w:fldChar w:fldCharType="begin"/>
      </w:r>
      <w:r>
        <w:instrText xml:space="preserve">HYPERLINK \l "_Toc382819132"</w:instrText>
      </w:r>
      <w:r>
        <w:fldChar w:fldCharType="separate"/>
      </w:r>
      <w:r>
        <w:rPr>
          <w:rStyle w:val="22"/>
          <w:rFonts w:hint="eastAsia" w:ascii="宋体" w:hAnsi="宋体" w:cs="Arial"/>
          <w:szCs w:val="21"/>
        </w:rPr>
        <w:t>十五、</w:t>
      </w:r>
      <w:r>
        <w:rPr>
          <w:rStyle w:val="22"/>
          <w:rFonts w:ascii="宋体" w:hAnsi="宋体" w:cs="Arial"/>
          <w:szCs w:val="21"/>
        </w:rPr>
        <w:t xml:space="preserve"> </w:t>
      </w:r>
      <w:r>
        <w:rPr>
          <w:rStyle w:val="22"/>
          <w:rFonts w:hint="eastAsia" w:ascii="宋体" w:hAnsi="宋体" w:cs="Arial"/>
          <w:szCs w:val="21"/>
        </w:rPr>
        <w:t>基金托管协议的变更、终止与基金财产的清算</w:t>
      </w:r>
      <w:r>
        <w:rPr>
          <w:szCs w:val="21"/>
        </w:rPr>
        <w:tab/>
      </w:r>
      <w:r>
        <w:rPr>
          <w:szCs w:val="21"/>
        </w:rPr>
        <w:fldChar w:fldCharType="begin"/>
      </w:r>
      <w:r>
        <w:rPr>
          <w:szCs w:val="21"/>
        </w:rPr>
        <w:instrText xml:space="preserve"> PAGEREF _Toc382819132 \h </w:instrText>
      </w:r>
      <w:r>
        <w:rPr>
          <w:szCs w:val="21"/>
        </w:rPr>
        <w:fldChar w:fldCharType="separate"/>
      </w:r>
      <w:r>
        <w:rPr>
          <w:szCs w:val="21"/>
        </w:rPr>
        <w:t>35</w:t>
      </w:r>
      <w:r>
        <w:rPr>
          <w:szCs w:val="21"/>
        </w:rPr>
        <w:fldChar w:fldCharType="end"/>
      </w:r>
      <w:r>
        <w:fldChar w:fldCharType="end"/>
      </w:r>
    </w:p>
    <w:p w14:paraId="00ABD0DE">
      <w:pPr>
        <w:pStyle w:val="16"/>
        <w:tabs>
          <w:tab w:val="right" w:leader="dot" w:pos="8296"/>
        </w:tabs>
        <w:spacing w:line="360" w:lineRule="auto"/>
        <w:rPr>
          <w:rFonts w:ascii="Calibri" w:hAnsi="Calibri"/>
          <w:szCs w:val="21"/>
        </w:rPr>
      </w:pPr>
      <w:r>
        <w:fldChar w:fldCharType="begin"/>
      </w:r>
      <w:r>
        <w:instrText xml:space="preserve">HYPERLINK \l "_Toc382819133"</w:instrText>
      </w:r>
      <w:r>
        <w:fldChar w:fldCharType="separate"/>
      </w:r>
      <w:r>
        <w:rPr>
          <w:rStyle w:val="22"/>
          <w:rFonts w:hint="eastAsia" w:ascii="宋体" w:hAnsi="宋体" w:cs="Arial"/>
          <w:szCs w:val="21"/>
        </w:rPr>
        <w:t>十六、</w:t>
      </w:r>
      <w:r>
        <w:rPr>
          <w:rStyle w:val="22"/>
          <w:rFonts w:ascii="宋体" w:hAnsi="宋体" w:cs="Arial"/>
          <w:szCs w:val="21"/>
        </w:rPr>
        <w:t xml:space="preserve"> </w:t>
      </w:r>
      <w:r>
        <w:rPr>
          <w:rStyle w:val="22"/>
          <w:rFonts w:hint="eastAsia" w:ascii="宋体" w:hAnsi="宋体" w:cs="Arial"/>
          <w:szCs w:val="21"/>
        </w:rPr>
        <w:t>违约责任</w:t>
      </w:r>
      <w:r>
        <w:rPr>
          <w:szCs w:val="21"/>
        </w:rPr>
        <w:tab/>
      </w:r>
      <w:r>
        <w:rPr>
          <w:szCs w:val="21"/>
        </w:rPr>
        <w:fldChar w:fldCharType="begin"/>
      </w:r>
      <w:r>
        <w:rPr>
          <w:szCs w:val="21"/>
        </w:rPr>
        <w:instrText xml:space="preserve"> PAGEREF _Toc382819133 \h </w:instrText>
      </w:r>
      <w:r>
        <w:rPr>
          <w:szCs w:val="21"/>
        </w:rPr>
        <w:fldChar w:fldCharType="separate"/>
      </w:r>
      <w:r>
        <w:rPr>
          <w:szCs w:val="21"/>
        </w:rPr>
        <w:t>37</w:t>
      </w:r>
      <w:r>
        <w:rPr>
          <w:szCs w:val="21"/>
        </w:rPr>
        <w:fldChar w:fldCharType="end"/>
      </w:r>
      <w:r>
        <w:fldChar w:fldCharType="end"/>
      </w:r>
    </w:p>
    <w:p w14:paraId="69546BCD">
      <w:pPr>
        <w:pStyle w:val="16"/>
        <w:tabs>
          <w:tab w:val="right" w:leader="dot" w:pos="8296"/>
        </w:tabs>
        <w:spacing w:line="360" w:lineRule="auto"/>
        <w:rPr>
          <w:rFonts w:ascii="Calibri" w:hAnsi="Calibri"/>
          <w:szCs w:val="21"/>
        </w:rPr>
      </w:pPr>
      <w:r>
        <w:fldChar w:fldCharType="begin"/>
      </w:r>
      <w:r>
        <w:instrText xml:space="preserve">HYPERLINK \l "_Toc382819134"</w:instrText>
      </w:r>
      <w:r>
        <w:fldChar w:fldCharType="separate"/>
      </w:r>
      <w:r>
        <w:rPr>
          <w:rStyle w:val="22"/>
          <w:rFonts w:hint="eastAsia" w:ascii="宋体" w:hAnsi="宋体" w:cs="Arial"/>
          <w:szCs w:val="21"/>
        </w:rPr>
        <w:t>十七、</w:t>
      </w:r>
      <w:r>
        <w:rPr>
          <w:rStyle w:val="22"/>
          <w:rFonts w:ascii="宋体" w:hAnsi="宋体" w:cs="Arial"/>
          <w:szCs w:val="21"/>
        </w:rPr>
        <w:t xml:space="preserve"> </w:t>
      </w:r>
      <w:r>
        <w:rPr>
          <w:rStyle w:val="22"/>
          <w:rFonts w:hint="eastAsia" w:ascii="宋体" w:hAnsi="宋体" w:cs="Arial"/>
          <w:szCs w:val="21"/>
        </w:rPr>
        <w:t>适用法律及争议解决方式</w:t>
      </w:r>
      <w:r>
        <w:rPr>
          <w:szCs w:val="21"/>
        </w:rPr>
        <w:tab/>
      </w:r>
      <w:r>
        <w:rPr>
          <w:szCs w:val="21"/>
        </w:rPr>
        <w:fldChar w:fldCharType="begin"/>
      </w:r>
      <w:r>
        <w:rPr>
          <w:szCs w:val="21"/>
        </w:rPr>
        <w:instrText xml:space="preserve"> PAGEREF _Toc382819134 \h </w:instrText>
      </w:r>
      <w:r>
        <w:rPr>
          <w:szCs w:val="21"/>
        </w:rPr>
        <w:fldChar w:fldCharType="separate"/>
      </w:r>
      <w:r>
        <w:rPr>
          <w:szCs w:val="21"/>
        </w:rPr>
        <w:t>37</w:t>
      </w:r>
      <w:r>
        <w:rPr>
          <w:szCs w:val="21"/>
        </w:rPr>
        <w:fldChar w:fldCharType="end"/>
      </w:r>
      <w:r>
        <w:fldChar w:fldCharType="end"/>
      </w:r>
    </w:p>
    <w:p w14:paraId="0E28DA07">
      <w:pPr>
        <w:pStyle w:val="16"/>
        <w:tabs>
          <w:tab w:val="right" w:leader="dot" w:pos="8296"/>
        </w:tabs>
        <w:spacing w:line="360" w:lineRule="auto"/>
        <w:rPr>
          <w:rFonts w:ascii="Calibri" w:hAnsi="Calibri"/>
          <w:szCs w:val="21"/>
        </w:rPr>
      </w:pPr>
      <w:r>
        <w:fldChar w:fldCharType="begin"/>
      </w:r>
      <w:r>
        <w:instrText xml:space="preserve">HYPERLINK \l "_Toc382819135"</w:instrText>
      </w:r>
      <w:r>
        <w:fldChar w:fldCharType="separate"/>
      </w:r>
      <w:r>
        <w:rPr>
          <w:rStyle w:val="22"/>
          <w:rFonts w:hint="eastAsia" w:ascii="宋体" w:hAnsi="宋体" w:cs="Arial"/>
          <w:szCs w:val="21"/>
        </w:rPr>
        <w:t>十八、</w:t>
      </w:r>
      <w:r>
        <w:rPr>
          <w:rStyle w:val="22"/>
          <w:rFonts w:ascii="宋体" w:hAnsi="宋体" w:cs="Arial"/>
          <w:szCs w:val="21"/>
        </w:rPr>
        <w:t xml:space="preserve"> </w:t>
      </w:r>
      <w:r>
        <w:rPr>
          <w:rStyle w:val="22"/>
          <w:rFonts w:hint="eastAsia" w:ascii="宋体" w:hAnsi="宋体" w:cs="Arial"/>
          <w:szCs w:val="21"/>
        </w:rPr>
        <w:t>基金托管协议的效力和文本</w:t>
      </w:r>
      <w:r>
        <w:rPr>
          <w:szCs w:val="21"/>
        </w:rPr>
        <w:tab/>
      </w:r>
      <w:r>
        <w:rPr>
          <w:szCs w:val="21"/>
        </w:rPr>
        <w:fldChar w:fldCharType="begin"/>
      </w:r>
      <w:r>
        <w:rPr>
          <w:szCs w:val="21"/>
        </w:rPr>
        <w:instrText xml:space="preserve"> PAGEREF _Toc382819135 \h </w:instrText>
      </w:r>
      <w:r>
        <w:rPr>
          <w:szCs w:val="21"/>
        </w:rPr>
        <w:fldChar w:fldCharType="separate"/>
      </w:r>
      <w:r>
        <w:rPr>
          <w:szCs w:val="21"/>
        </w:rPr>
        <w:t>38</w:t>
      </w:r>
      <w:r>
        <w:rPr>
          <w:szCs w:val="21"/>
        </w:rPr>
        <w:fldChar w:fldCharType="end"/>
      </w:r>
      <w:r>
        <w:fldChar w:fldCharType="end"/>
      </w:r>
    </w:p>
    <w:p w14:paraId="69E224C2">
      <w:pPr>
        <w:pStyle w:val="16"/>
        <w:tabs>
          <w:tab w:val="right" w:leader="dot" w:pos="8296"/>
        </w:tabs>
        <w:spacing w:line="360" w:lineRule="auto"/>
        <w:rPr>
          <w:rFonts w:ascii="Calibri" w:hAnsi="Calibri"/>
          <w:szCs w:val="21"/>
        </w:rPr>
      </w:pPr>
      <w:r>
        <w:fldChar w:fldCharType="begin"/>
      </w:r>
      <w:r>
        <w:instrText xml:space="preserve">HYPERLINK \l "_Toc382819136"</w:instrText>
      </w:r>
      <w:r>
        <w:fldChar w:fldCharType="separate"/>
      </w:r>
      <w:r>
        <w:rPr>
          <w:rStyle w:val="22"/>
          <w:rFonts w:hint="eastAsia" w:ascii="宋体" w:hAnsi="宋体"/>
          <w:szCs w:val="21"/>
        </w:rPr>
        <w:t>十九、</w:t>
      </w:r>
      <w:r>
        <w:rPr>
          <w:rStyle w:val="22"/>
          <w:rFonts w:ascii="宋体" w:hAnsi="宋体" w:cs="Arial"/>
          <w:szCs w:val="21"/>
        </w:rPr>
        <w:t xml:space="preserve"> 其他事项</w:t>
      </w:r>
      <w:r>
        <w:rPr>
          <w:szCs w:val="21"/>
        </w:rPr>
        <w:tab/>
      </w:r>
      <w:r>
        <w:rPr>
          <w:szCs w:val="21"/>
        </w:rPr>
        <w:fldChar w:fldCharType="begin"/>
      </w:r>
      <w:r>
        <w:rPr>
          <w:szCs w:val="21"/>
        </w:rPr>
        <w:instrText xml:space="preserve"> PAGEREF _Toc382819136 \h </w:instrText>
      </w:r>
      <w:r>
        <w:rPr>
          <w:szCs w:val="21"/>
        </w:rPr>
        <w:fldChar w:fldCharType="separate"/>
      </w:r>
      <w:r>
        <w:rPr>
          <w:szCs w:val="21"/>
        </w:rPr>
        <w:t>38</w:t>
      </w:r>
      <w:r>
        <w:rPr>
          <w:szCs w:val="21"/>
        </w:rPr>
        <w:fldChar w:fldCharType="end"/>
      </w:r>
      <w:r>
        <w:fldChar w:fldCharType="end"/>
      </w:r>
    </w:p>
    <w:p w14:paraId="19B9D1EE">
      <w:pPr>
        <w:spacing w:line="360" w:lineRule="auto"/>
        <w:rPr>
          <w:rFonts w:ascii="仿宋_GB2312" w:eastAsia="仿宋_GB2312"/>
          <w:szCs w:val="21"/>
        </w:rPr>
      </w:pPr>
      <w:r>
        <w:rPr>
          <w:rFonts w:ascii="宋体" w:hAnsi="宋体"/>
          <w:szCs w:val="21"/>
        </w:rPr>
        <w:fldChar w:fldCharType="end"/>
      </w:r>
    </w:p>
    <w:p w14:paraId="3AE06537">
      <w:pPr>
        <w:widowControl/>
        <w:jc w:val="left"/>
        <w:rPr>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03970110">
      <w:pPr>
        <w:jc w:val="center"/>
        <w:rPr>
          <w:rFonts w:hint="eastAsia" w:ascii="黑体" w:hAnsi="黑体" w:eastAsia="黑体"/>
          <w:b/>
          <w:sz w:val="32"/>
          <w:szCs w:val="32"/>
        </w:rPr>
      </w:pPr>
      <w:bookmarkStart w:id="6" w:name="_Toc382819068"/>
      <w:bookmarkStart w:id="7" w:name="_Toc382818594"/>
      <w:r>
        <w:rPr>
          <w:rFonts w:hint="eastAsia" w:ascii="黑体" w:hAnsi="黑体" w:eastAsia="黑体"/>
          <w:sz w:val="32"/>
          <w:szCs w:val="32"/>
        </w:rPr>
        <w:t>公开募集证券投资基金托管协议</w:t>
      </w:r>
      <w:bookmarkEnd w:id="6"/>
      <w:bookmarkEnd w:id="7"/>
    </w:p>
    <w:p w14:paraId="7F0A33AF">
      <w:pPr>
        <w:rPr>
          <w:lang w:val="zh-CN"/>
        </w:rPr>
      </w:pPr>
    </w:p>
    <w:p w14:paraId="2C4A4AAD">
      <w:pPr>
        <w:rPr>
          <w:lang w:val="zh-CN"/>
        </w:rPr>
      </w:pPr>
    </w:p>
    <w:p w14:paraId="4161F203">
      <w:pPr>
        <w:spacing w:line="360" w:lineRule="auto"/>
        <w:ind w:firstLine="422" w:firstLineChars="200"/>
        <w:rPr>
          <w:rFonts w:hint="eastAsia" w:ascii="宋体" w:hAnsi="宋体"/>
          <w:szCs w:val="21"/>
        </w:rPr>
      </w:pPr>
      <w:bookmarkStart w:id="8" w:name="_Toc382819069"/>
      <w:r>
        <w:rPr>
          <w:rFonts w:hint="eastAsia" w:ascii="宋体" w:hAnsi="宋体"/>
          <w:b/>
          <w:szCs w:val="21"/>
        </w:rPr>
        <w:t>基金管理人：</w:t>
      </w:r>
      <w:bookmarkEnd w:id="8"/>
      <w:r>
        <w:rPr>
          <w:rFonts w:hint="eastAsia" w:ascii="宋体" w:hAnsi="宋体"/>
          <w:b/>
          <w:szCs w:val="21"/>
        </w:rPr>
        <w:t>博时基金管理有限公司</w:t>
      </w:r>
    </w:p>
    <w:p w14:paraId="62C75E5C">
      <w:pPr>
        <w:spacing w:line="360" w:lineRule="auto"/>
        <w:ind w:firstLine="420" w:firstLineChars="200"/>
        <w:rPr>
          <w:rFonts w:hint="eastAsia" w:ascii="宋体" w:hAnsi="宋体"/>
          <w:szCs w:val="21"/>
        </w:rPr>
      </w:pPr>
      <w:r>
        <w:rPr>
          <w:rFonts w:hint="eastAsia" w:ascii="宋体" w:hAnsi="宋体"/>
          <w:szCs w:val="21"/>
        </w:rPr>
        <w:t>住所：深圳市福田区莲花街道福新社区益田路5999号基金大厦21层</w:t>
      </w:r>
    </w:p>
    <w:p w14:paraId="2747BB2C">
      <w:pPr>
        <w:spacing w:line="360" w:lineRule="auto"/>
        <w:ind w:firstLine="420" w:firstLineChars="200"/>
        <w:rPr>
          <w:rFonts w:hint="eastAsia" w:ascii="宋体" w:hAnsi="宋体"/>
          <w:szCs w:val="21"/>
        </w:rPr>
      </w:pPr>
      <w:r>
        <w:rPr>
          <w:rFonts w:hint="eastAsia" w:ascii="宋体" w:hAnsi="宋体"/>
          <w:szCs w:val="21"/>
        </w:rPr>
        <w:t>法定代表人：江向阳</w:t>
      </w:r>
    </w:p>
    <w:p w14:paraId="00C51E20">
      <w:pPr>
        <w:spacing w:line="360" w:lineRule="auto"/>
        <w:ind w:firstLine="420" w:firstLineChars="200"/>
        <w:rPr>
          <w:rFonts w:hint="eastAsia" w:ascii="宋体" w:hAnsi="宋体"/>
          <w:szCs w:val="21"/>
        </w:rPr>
      </w:pPr>
      <w:r>
        <w:rPr>
          <w:rFonts w:hint="eastAsia" w:ascii="宋体" w:hAnsi="宋体"/>
          <w:szCs w:val="21"/>
        </w:rPr>
        <w:t>成立时间：1998年7月13日</w:t>
      </w:r>
    </w:p>
    <w:p w14:paraId="51AEA286">
      <w:pPr>
        <w:spacing w:line="360" w:lineRule="auto"/>
        <w:ind w:firstLine="420" w:firstLineChars="200"/>
        <w:rPr>
          <w:rFonts w:hint="eastAsia" w:ascii="宋体" w:hAnsi="宋体"/>
          <w:szCs w:val="21"/>
        </w:rPr>
      </w:pPr>
      <w:r>
        <w:rPr>
          <w:rFonts w:hint="eastAsia" w:ascii="宋体" w:hAnsi="宋体"/>
          <w:szCs w:val="21"/>
        </w:rPr>
        <w:t>批准设立机关及批准设立文号：中国证监会证监基字【1998】26号</w:t>
      </w:r>
    </w:p>
    <w:p w14:paraId="39EBE657">
      <w:pPr>
        <w:spacing w:line="360" w:lineRule="auto"/>
        <w:ind w:firstLine="420" w:firstLineChars="200"/>
        <w:rPr>
          <w:rFonts w:hint="eastAsia" w:ascii="宋体" w:hAnsi="宋体"/>
          <w:szCs w:val="21"/>
        </w:rPr>
      </w:pPr>
      <w:r>
        <w:rPr>
          <w:rFonts w:hint="eastAsia" w:ascii="宋体" w:hAnsi="宋体"/>
          <w:szCs w:val="21"/>
        </w:rPr>
        <w:t>组织形式：有限责任公司</w:t>
      </w:r>
    </w:p>
    <w:p w14:paraId="5F1BDFEF">
      <w:pPr>
        <w:spacing w:line="360" w:lineRule="auto"/>
        <w:ind w:firstLine="420" w:firstLineChars="200"/>
        <w:rPr>
          <w:rFonts w:hint="eastAsia" w:ascii="宋体" w:hAnsi="宋体"/>
          <w:szCs w:val="21"/>
        </w:rPr>
      </w:pPr>
      <w:r>
        <w:rPr>
          <w:rFonts w:hint="eastAsia" w:ascii="宋体" w:hAnsi="宋体"/>
          <w:szCs w:val="21"/>
        </w:rPr>
        <w:t>注册资本：2.5亿元人民币</w:t>
      </w:r>
    </w:p>
    <w:p w14:paraId="4800B494">
      <w:pPr>
        <w:spacing w:line="360" w:lineRule="auto"/>
        <w:ind w:firstLine="420" w:firstLineChars="200"/>
        <w:rPr>
          <w:rFonts w:hint="eastAsia" w:ascii="宋体" w:hAnsi="宋体"/>
          <w:szCs w:val="21"/>
        </w:rPr>
      </w:pPr>
      <w:r>
        <w:rPr>
          <w:rFonts w:hint="eastAsia" w:ascii="宋体" w:hAnsi="宋体"/>
          <w:szCs w:val="21"/>
        </w:rPr>
        <w:t>经营期限：持续经营</w:t>
      </w:r>
    </w:p>
    <w:p w14:paraId="32D3B378">
      <w:pPr>
        <w:spacing w:line="360" w:lineRule="auto"/>
        <w:ind w:firstLine="420" w:firstLineChars="200"/>
        <w:rPr>
          <w:rFonts w:hint="eastAsia" w:ascii="宋体" w:hAnsi="宋体"/>
          <w:szCs w:val="21"/>
        </w:rPr>
      </w:pPr>
    </w:p>
    <w:p w14:paraId="64892E97">
      <w:pPr>
        <w:spacing w:line="360" w:lineRule="auto"/>
        <w:ind w:firstLine="422" w:firstLineChars="200"/>
        <w:rPr>
          <w:rFonts w:hint="eastAsia" w:ascii="宋体" w:hAnsi="宋体"/>
          <w:b/>
          <w:szCs w:val="21"/>
        </w:rPr>
      </w:pPr>
      <w:bookmarkStart w:id="9" w:name="_Toc382819070"/>
      <w:r>
        <w:rPr>
          <w:rFonts w:hint="eastAsia" w:ascii="宋体" w:hAnsi="宋体"/>
          <w:b/>
          <w:szCs w:val="21"/>
        </w:rPr>
        <w:t>基金托管人：上海浦东发展银行股份有限公司</w:t>
      </w:r>
      <w:bookmarkEnd w:id="9"/>
    </w:p>
    <w:p w14:paraId="451E773D">
      <w:pPr>
        <w:spacing w:line="360" w:lineRule="auto"/>
        <w:ind w:firstLine="420" w:firstLineChars="200"/>
        <w:rPr>
          <w:rFonts w:hint="eastAsia" w:ascii="宋体" w:hAnsi="宋体"/>
          <w:szCs w:val="21"/>
        </w:rPr>
      </w:pPr>
      <w:r>
        <w:rPr>
          <w:rFonts w:hint="eastAsia" w:ascii="宋体" w:hAnsi="宋体"/>
          <w:szCs w:val="21"/>
        </w:rPr>
        <w:t>住所：上海市中山东一路12号</w:t>
      </w:r>
    </w:p>
    <w:p w14:paraId="79CAF2DB">
      <w:pPr>
        <w:spacing w:line="360" w:lineRule="auto"/>
        <w:ind w:firstLine="420" w:firstLineChars="200"/>
        <w:rPr>
          <w:rFonts w:hint="eastAsia" w:ascii="宋体" w:hAnsi="宋体"/>
          <w:szCs w:val="21"/>
        </w:rPr>
      </w:pPr>
      <w:r>
        <w:rPr>
          <w:rFonts w:hint="eastAsia" w:ascii="宋体" w:hAnsi="宋体"/>
          <w:szCs w:val="21"/>
        </w:rPr>
        <w:t>法定代表人：张为忠</w:t>
      </w:r>
    </w:p>
    <w:p w14:paraId="75E123B8">
      <w:pPr>
        <w:spacing w:line="360" w:lineRule="auto"/>
        <w:ind w:firstLine="420" w:firstLineChars="200"/>
        <w:rPr>
          <w:rFonts w:hint="eastAsia" w:ascii="宋体" w:hAnsi="宋体"/>
          <w:szCs w:val="21"/>
        </w:rPr>
      </w:pPr>
      <w:r>
        <w:rPr>
          <w:rFonts w:hint="eastAsia" w:ascii="宋体" w:hAnsi="宋体"/>
          <w:szCs w:val="21"/>
        </w:rPr>
        <w:t>成立日期：1992年10月19日</w:t>
      </w:r>
    </w:p>
    <w:p w14:paraId="500E6E1E">
      <w:pPr>
        <w:spacing w:line="360" w:lineRule="auto"/>
        <w:ind w:firstLine="420" w:firstLineChars="200"/>
        <w:rPr>
          <w:rFonts w:hint="eastAsia" w:ascii="宋体" w:hAnsi="宋体"/>
          <w:szCs w:val="21"/>
        </w:rPr>
      </w:pPr>
      <w:r>
        <w:rPr>
          <w:rFonts w:hint="eastAsia" w:ascii="宋体" w:hAnsi="宋体"/>
          <w:szCs w:val="21"/>
        </w:rPr>
        <w:t>基金托管业务资格批准机关：中国证监会</w:t>
      </w:r>
    </w:p>
    <w:p w14:paraId="12A3711A">
      <w:pPr>
        <w:spacing w:line="360" w:lineRule="auto"/>
        <w:ind w:firstLine="420" w:firstLineChars="200"/>
        <w:rPr>
          <w:rFonts w:hint="eastAsia" w:ascii="宋体" w:hAnsi="宋体"/>
          <w:szCs w:val="21"/>
        </w:rPr>
      </w:pPr>
      <w:r>
        <w:rPr>
          <w:rFonts w:hint="eastAsia" w:ascii="宋体" w:hAnsi="宋体"/>
          <w:szCs w:val="21"/>
        </w:rPr>
        <w:t>基金托管业务资格文号：证监基金字[2003]105号</w:t>
      </w:r>
    </w:p>
    <w:p w14:paraId="165C288B">
      <w:pPr>
        <w:spacing w:line="360" w:lineRule="auto"/>
        <w:ind w:firstLine="420" w:firstLineChars="200"/>
        <w:rPr>
          <w:rFonts w:hint="eastAsia" w:ascii="宋体" w:hAnsi="宋体"/>
          <w:szCs w:val="21"/>
        </w:rPr>
      </w:pPr>
      <w:r>
        <w:rPr>
          <w:rFonts w:hint="eastAsia" w:ascii="宋体" w:hAnsi="宋体"/>
          <w:szCs w:val="21"/>
        </w:rPr>
        <w:t>组织形式：股份有限公司（上市）</w:t>
      </w:r>
    </w:p>
    <w:p w14:paraId="05CDABAA">
      <w:pPr>
        <w:spacing w:line="360" w:lineRule="auto"/>
        <w:ind w:firstLine="420" w:firstLineChars="200"/>
        <w:rPr>
          <w:rFonts w:hint="eastAsia" w:ascii="宋体" w:hAnsi="宋体"/>
          <w:szCs w:val="21"/>
        </w:rPr>
      </w:pPr>
      <w:r>
        <w:rPr>
          <w:rFonts w:hint="eastAsia" w:ascii="宋体" w:hAnsi="宋体"/>
          <w:szCs w:val="21"/>
        </w:rPr>
        <w:t>注册资本：人民币293.52亿元</w:t>
      </w:r>
    </w:p>
    <w:p w14:paraId="0AFE6A09">
      <w:pPr>
        <w:spacing w:line="360" w:lineRule="auto"/>
        <w:ind w:firstLine="420" w:firstLineChars="200"/>
        <w:rPr>
          <w:rFonts w:hint="eastAsia" w:ascii="宋体" w:hAnsi="宋体"/>
          <w:szCs w:val="21"/>
        </w:rPr>
      </w:pPr>
      <w:r>
        <w:rPr>
          <w:rFonts w:hint="eastAsia" w:ascii="宋体" w:hAnsi="宋体"/>
          <w:szCs w:val="21"/>
        </w:rPr>
        <w:t>经营期限：永久存续</w:t>
      </w:r>
    </w:p>
    <w:p w14:paraId="3BC285DC">
      <w:pPr>
        <w:spacing w:line="360" w:lineRule="auto"/>
        <w:ind w:firstLine="480" w:firstLineChars="200"/>
        <w:rPr>
          <w:rFonts w:hint="eastAsia" w:ascii="宋体" w:hAnsi="宋体"/>
          <w:sz w:val="24"/>
        </w:rPr>
      </w:pPr>
    </w:p>
    <w:p w14:paraId="70FDFCD3">
      <w:pPr>
        <w:spacing w:before="312" w:beforeLines="100" w:after="312" w:afterLines="100" w:line="240" w:lineRule="atLeast"/>
        <w:jc w:val="center"/>
        <w:outlineLvl w:val="0"/>
        <w:rPr>
          <w:rFonts w:hint="eastAsia" w:ascii="宋体" w:hAnsi="宋体"/>
        </w:rPr>
      </w:pPr>
      <w:r>
        <w:rPr>
          <w:rFonts w:ascii="宋体" w:hAnsi="宋体"/>
          <w:sz w:val="24"/>
        </w:rPr>
        <w:br w:type="page"/>
      </w:r>
      <w:bookmarkStart w:id="10" w:name="_Toc382819071"/>
      <w:r>
        <w:rPr>
          <w:rFonts w:hint="eastAsia" w:ascii="宋体" w:hAnsi="宋体"/>
          <w:b/>
          <w:sz w:val="24"/>
        </w:rPr>
        <w:t>一、基金托管协议的依据、目的、原则和解释</w:t>
      </w:r>
      <w:bookmarkEnd w:id="10"/>
    </w:p>
    <w:p w14:paraId="2F4A2A63">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szCs w:val="21"/>
        </w:rPr>
      </w:pPr>
      <w:r>
        <w:rPr>
          <w:rFonts w:hint="eastAsia" w:ascii="宋体" w:hAnsi="宋体" w:eastAsia="宋体"/>
          <w:b w:val="0"/>
          <w:bCs w:val="0"/>
          <w:sz w:val="21"/>
          <w:szCs w:val="21"/>
        </w:rPr>
        <w:t>（一）依据</w:t>
      </w:r>
    </w:p>
    <w:p w14:paraId="1130FEF3">
      <w:pPr>
        <w:spacing w:line="360" w:lineRule="auto"/>
        <w:ind w:firstLine="420" w:firstLineChars="200"/>
        <w:rPr>
          <w:rFonts w:hint="eastAsia" w:ascii="宋体" w:hAnsi="宋体"/>
          <w:szCs w:val="21"/>
        </w:rPr>
      </w:pPr>
      <w:r>
        <w:rPr>
          <w:rFonts w:hint="eastAsia" w:ascii="宋体" w:hAnsi="宋体"/>
          <w:szCs w:val="21"/>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博时中证800指数增强型证券投资基金基金合同》（以下简称《基金合同》）及其他有关法律、法规制定。</w:t>
      </w:r>
    </w:p>
    <w:p w14:paraId="687577A2">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szCs w:val="21"/>
        </w:rPr>
      </w:pPr>
      <w:r>
        <w:rPr>
          <w:rFonts w:hint="eastAsia" w:ascii="宋体" w:hAnsi="宋体" w:eastAsia="宋体"/>
          <w:b w:val="0"/>
          <w:bCs w:val="0"/>
          <w:sz w:val="21"/>
          <w:szCs w:val="21"/>
        </w:rPr>
        <w:t>（二）目的</w:t>
      </w:r>
    </w:p>
    <w:p w14:paraId="63ED1265">
      <w:pPr>
        <w:spacing w:line="360" w:lineRule="auto"/>
        <w:ind w:firstLine="420" w:firstLineChars="200"/>
        <w:rPr>
          <w:rFonts w:hint="eastAsia"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1E398BD2">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szCs w:val="21"/>
        </w:rPr>
      </w:pPr>
      <w:r>
        <w:rPr>
          <w:rFonts w:hint="eastAsia" w:ascii="宋体" w:hAnsi="宋体" w:eastAsia="宋体"/>
          <w:b w:val="0"/>
          <w:bCs w:val="0"/>
          <w:sz w:val="21"/>
          <w:szCs w:val="21"/>
        </w:rPr>
        <w:t>（三）原则</w:t>
      </w:r>
    </w:p>
    <w:p w14:paraId="41412B74">
      <w:pPr>
        <w:spacing w:line="360" w:lineRule="auto"/>
        <w:ind w:firstLine="420" w:firstLineChars="200"/>
        <w:rPr>
          <w:rFonts w:hint="eastAsia"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14:paraId="5918AF5D">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szCs w:val="21"/>
        </w:rPr>
      </w:pPr>
      <w:r>
        <w:rPr>
          <w:rFonts w:hint="eastAsia" w:ascii="宋体" w:hAnsi="宋体" w:eastAsia="宋体"/>
          <w:b w:val="0"/>
          <w:bCs w:val="0"/>
          <w:sz w:val="21"/>
          <w:szCs w:val="21"/>
        </w:rPr>
        <w:t>（四）解释</w:t>
      </w:r>
    </w:p>
    <w:p w14:paraId="133CE2D2">
      <w:pPr>
        <w:spacing w:after="120" w:line="360" w:lineRule="auto"/>
        <w:ind w:firstLine="420" w:firstLineChars="200"/>
        <w:rPr>
          <w:rFonts w:hint="eastAsia" w:ascii="宋体" w:hAnsi="宋体"/>
          <w:szCs w:val="21"/>
        </w:rPr>
      </w:pPr>
      <w:r>
        <w:rPr>
          <w:rFonts w:hint="eastAsia" w:ascii="宋体" w:hAnsi="宋体"/>
          <w:szCs w:val="21"/>
        </w:rPr>
        <w:t>除非本协议另有约定，本协议所有术语与《基金合同》的相应术语具有相同含义。</w:t>
      </w:r>
    </w:p>
    <w:p w14:paraId="2537F006">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eastAsia="宋体"/>
          <w:b w:val="0"/>
          <w:bCs w:val="0"/>
          <w:sz w:val="21"/>
          <w:szCs w:val="21"/>
        </w:rPr>
      </w:pPr>
      <w:r>
        <w:rPr>
          <w:rFonts w:hint="eastAsia" w:ascii="宋体" w:hAnsi="宋体" w:eastAsia="宋体"/>
          <w:b w:val="0"/>
          <w:bCs w:val="0"/>
          <w:sz w:val="21"/>
          <w:szCs w:val="21"/>
        </w:rPr>
        <w:t>（五）若本基金实施侧袋机制的，侧袋机制实施期间的相关安排见基金合同和招募说明书的规定。</w:t>
      </w:r>
    </w:p>
    <w:p w14:paraId="5F01A628">
      <w:pPr>
        <w:widowControl/>
        <w:jc w:val="left"/>
        <w:rPr>
          <w:rFonts w:hint="eastAsia" w:ascii="宋体" w:hAnsi="宋体"/>
          <w:szCs w:val="21"/>
        </w:rPr>
      </w:pPr>
      <w:r>
        <w:rPr>
          <w:rFonts w:ascii="宋体" w:hAnsi="宋体"/>
          <w:b/>
          <w:bCs/>
          <w:szCs w:val="21"/>
        </w:rPr>
        <w:br w:type="page"/>
      </w:r>
    </w:p>
    <w:p w14:paraId="09385105">
      <w:pPr>
        <w:spacing w:before="312" w:beforeLines="100" w:after="312" w:afterLines="100" w:line="240" w:lineRule="atLeast"/>
        <w:jc w:val="center"/>
        <w:outlineLvl w:val="0"/>
        <w:rPr>
          <w:rFonts w:hint="eastAsia" w:ascii="宋体" w:hAnsi="宋体"/>
        </w:rPr>
      </w:pPr>
      <w:bookmarkStart w:id="11" w:name="_Toc382819072"/>
      <w:r>
        <w:rPr>
          <w:rFonts w:hint="eastAsia" w:ascii="宋体" w:hAnsi="宋体"/>
          <w:b/>
          <w:sz w:val="24"/>
        </w:rPr>
        <w:t>二、基金托管人对基金管理人的业务监督和核查</w:t>
      </w:r>
      <w:bookmarkEnd w:id="11"/>
    </w:p>
    <w:p w14:paraId="10F75763">
      <w:pPr>
        <w:spacing w:after="120" w:line="360" w:lineRule="auto"/>
        <w:ind w:firstLine="420" w:firstLineChars="200"/>
        <w:rPr>
          <w:rFonts w:hint="eastAsia" w:ascii="宋体" w:hAnsi="宋体"/>
          <w:szCs w:val="21"/>
        </w:rPr>
      </w:pPr>
      <w:bookmarkStart w:id="12" w:name="_Toc382819073"/>
      <w:r>
        <w:rPr>
          <w:rFonts w:hint="eastAsia" w:ascii="宋体" w:hAnsi="宋体"/>
          <w:szCs w:val="21"/>
        </w:rPr>
        <w:t>（一）基金托管人对基金管理人的投资行为行使监督权</w:t>
      </w:r>
      <w:bookmarkEnd w:id="12"/>
    </w:p>
    <w:p w14:paraId="2ACC3F51">
      <w:pPr>
        <w:widowControl/>
        <w:spacing w:line="360" w:lineRule="auto"/>
        <w:ind w:firstLine="420" w:firstLineChars="200"/>
        <w:jc w:val="left"/>
        <w:rPr>
          <w:rFonts w:hint="eastAsia" w:ascii="宋体" w:hAnsi="宋体"/>
          <w:szCs w:val="21"/>
        </w:rPr>
      </w:pPr>
      <w:r>
        <w:rPr>
          <w:rFonts w:hint="eastAsia" w:ascii="宋体" w:hAnsi="宋体"/>
          <w:szCs w:val="21"/>
        </w:rPr>
        <w:t>1.基金托管人根据有关法律法规的规定和《基金合同》的约定，对下述基金投资范围、投资对象进行监督。</w:t>
      </w:r>
    </w:p>
    <w:p w14:paraId="67B5B077">
      <w:pPr>
        <w:widowControl/>
        <w:spacing w:line="324" w:lineRule="auto"/>
        <w:ind w:firstLine="420" w:firstLineChars="200"/>
        <w:jc w:val="left"/>
        <w:rPr>
          <w:rFonts w:hint="eastAsia"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14:paraId="12E157E2">
      <w:pPr>
        <w:spacing w:line="360" w:lineRule="auto"/>
        <w:ind w:firstLine="420"/>
        <w:rPr>
          <w:rFonts w:hint="eastAsia" w:ascii="宋体" w:hAnsi="宋体"/>
          <w:szCs w:val="21"/>
        </w:rPr>
      </w:pPr>
      <w:r>
        <w:rPr>
          <w:rFonts w:hint="eastAsia" w:ascii="宋体" w:hAnsi="宋体"/>
          <w:szCs w:val="21"/>
        </w:rPr>
        <w:t>本基金主要投资于标的指数成份股和备选成份股(含存托凭证)。</w:t>
      </w:r>
    </w:p>
    <w:p w14:paraId="75EBE1FB">
      <w:pPr>
        <w:spacing w:line="360" w:lineRule="auto"/>
        <w:ind w:firstLine="420"/>
        <w:rPr>
          <w:rFonts w:hint="eastAsia" w:ascii="宋体" w:hAnsi="宋体"/>
          <w:szCs w:val="21"/>
        </w:rPr>
      </w:pPr>
      <w:r>
        <w:rPr>
          <w:rFonts w:hint="eastAsia" w:ascii="宋体" w:hAnsi="宋体"/>
          <w:szCs w:val="21"/>
        </w:rPr>
        <w:t>为更好地实现基金的投资目标，本基金可能会部分投资于依法发行上市的非成份股（包括创业板及其他经中国证监会核准或注册上市的股票、存托凭证）、港股通标的股票、债券（包括国债、金融债、地方政府债、政府支持机构债券、企业债、公司债、可转换债券（含分离交易可转债）、可交换债券、央行票据、短期融资券、超短期融资券、中期票据等）、资产支持证券、股指期货、国债期货、股票期权、债券回购、货币市场工具（包括银行存款、同业存单等）以及法律法规或中国证监会允许基金投资的其他金融工具（但须符合中国证监会的相关规定）。</w:t>
      </w:r>
    </w:p>
    <w:p w14:paraId="161ACE91">
      <w:pPr>
        <w:spacing w:line="360" w:lineRule="auto"/>
        <w:ind w:firstLine="420"/>
        <w:rPr>
          <w:rFonts w:hint="eastAsia" w:ascii="宋体" w:hAnsi="宋体"/>
          <w:szCs w:val="21"/>
        </w:rPr>
      </w:pPr>
      <w:r>
        <w:rPr>
          <w:rFonts w:hint="eastAsia" w:ascii="宋体" w:hAnsi="宋体"/>
          <w:szCs w:val="21"/>
        </w:rPr>
        <w:t>本基金可根据法律法规的规定参与融资及转融通证券出借业务。</w:t>
      </w:r>
    </w:p>
    <w:p w14:paraId="61CDF9C8">
      <w:pPr>
        <w:spacing w:line="360" w:lineRule="auto"/>
        <w:ind w:firstLine="420"/>
        <w:rPr>
          <w:rFonts w:hint="eastAsia" w:ascii="宋体" w:hAnsi="宋体"/>
          <w:szCs w:val="21"/>
        </w:rPr>
      </w:pPr>
      <w:r>
        <w:rPr>
          <w:rFonts w:hint="eastAsia" w:ascii="宋体" w:hAnsi="宋体"/>
          <w:szCs w:val="21"/>
        </w:rPr>
        <w:t xml:space="preserve">如法律法规或监管机构以后允许基金投资其他品种，基金管理人在履行适当程序后，可以将其纳入投资范围。                                                              </w:t>
      </w:r>
    </w:p>
    <w:p w14:paraId="499C969D">
      <w:pPr>
        <w:widowControl/>
        <w:spacing w:line="324" w:lineRule="auto"/>
        <w:ind w:firstLine="420" w:firstLineChars="200"/>
        <w:jc w:val="left"/>
        <w:rPr>
          <w:rFonts w:hint="eastAsia" w:ascii="宋体" w:hAnsi="宋体"/>
          <w:kern w:val="0"/>
          <w:szCs w:val="21"/>
        </w:rPr>
      </w:pPr>
      <w:r>
        <w:rPr>
          <w:rFonts w:hint="eastAsia" w:ascii="宋体" w:hAnsi="宋体"/>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A79DA6B">
      <w:pPr>
        <w:widowControl/>
        <w:spacing w:line="324" w:lineRule="auto"/>
        <w:ind w:firstLine="420" w:firstLineChars="200"/>
        <w:jc w:val="left"/>
        <w:rPr>
          <w:rFonts w:hint="eastAsia" w:ascii="宋体" w:hAnsi="宋体"/>
          <w:kern w:val="0"/>
          <w:szCs w:val="21"/>
        </w:rPr>
      </w:pPr>
      <w:r>
        <w:rPr>
          <w:rFonts w:hint="eastAsia" w:ascii="宋体" w:hAnsi="宋体"/>
          <w:kern w:val="0"/>
          <w:szCs w:val="21"/>
        </w:rPr>
        <w:t>本基金不得投资于相关法律、法规、部门规章及《基金合同》禁止投资的投资工具。</w:t>
      </w:r>
    </w:p>
    <w:p w14:paraId="6F72F0C8">
      <w:pPr>
        <w:spacing w:after="120" w:line="324" w:lineRule="auto"/>
        <w:ind w:firstLine="420" w:firstLineChars="200"/>
        <w:rPr>
          <w:rFonts w:hint="eastAsia" w:ascii="宋体" w:hAnsi="宋体"/>
          <w:szCs w:val="21"/>
        </w:rPr>
      </w:pPr>
      <w:r>
        <w:rPr>
          <w:rFonts w:hint="eastAsia" w:ascii="宋体" w:hAnsi="宋体"/>
          <w:szCs w:val="21"/>
        </w:rPr>
        <w:t>2.基金托管人根据有关法律法规的规定及《基金合同》的约定对下述基金投融资比例进行监督：</w:t>
      </w:r>
    </w:p>
    <w:p w14:paraId="0FDBCB19">
      <w:pPr>
        <w:spacing w:line="324" w:lineRule="auto"/>
        <w:ind w:firstLine="480"/>
        <w:rPr>
          <w:rFonts w:hint="eastAsia" w:ascii="宋体" w:hAnsi="宋体"/>
          <w:szCs w:val="21"/>
        </w:rPr>
      </w:pPr>
      <w:r>
        <w:rPr>
          <w:rFonts w:hint="eastAsia" w:ascii="宋体" w:hAnsi="宋体"/>
          <w:szCs w:val="21"/>
        </w:rPr>
        <w:t>（1）按法律法规的规定及《基金合同》的约定，本基金的投资资产配置比例为：</w:t>
      </w:r>
    </w:p>
    <w:p w14:paraId="675DA8A2">
      <w:pPr>
        <w:spacing w:line="360" w:lineRule="auto"/>
        <w:ind w:firstLine="420"/>
        <w:rPr>
          <w:rFonts w:hint="eastAsia" w:ascii="宋体" w:hAnsi="宋体"/>
          <w:szCs w:val="21"/>
        </w:rPr>
      </w:pPr>
      <w:r>
        <w:rPr>
          <w:rFonts w:hint="eastAsia" w:ascii="宋体" w:hAnsi="宋体"/>
          <w:szCs w:val="21"/>
        </w:rPr>
        <w:t>股票资产占基金资产的比例不低于80%，其中投资标的指数成份股及其备选成份股的比例不低于非现金基金资产的80%；投资于港股通标的股票的比例占股票资产的0%-50%；每个交易日日终在扣除股指期货、股票期权和国债期货合约需缴纳的交易保证金后，保持不低于基金资产净值5%的现金或者到期日在一年以内的政府债券，其中现金不包括结算备付金、存出保证金和应收申购款等；股指期货、股票期权、国债期货及其他金融工具的投资比例依照法律法规或监管机构的规定执行。</w:t>
      </w:r>
    </w:p>
    <w:p w14:paraId="7AA21F5E">
      <w:pPr>
        <w:spacing w:line="360" w:lineRule="auto"/>
        <w:ind w:firstLine="420"/>
        <w:rPr>
          <w:rFonts w:hint="eastAsia" w:ascii="宋体" w:hAnsi="宋体"/>
          <w:szCs w:val="21"/>
        </w:rPr>
      </w:pPr>
      <w:r>
        <w:rPr>
          <w:rFonts w:hint="eastAsia" w:ascii="宋体" w:hAnsi="宋体"/>
          <w:szCs w:val="21"/>
        </w:rPr>
        <w:t>若法律法规的相关规定发生变更或监管机构允许，本基金管理人在履行适当程序后，可对上述资产配置比例进行调整。</w:t>
      </w:r>
    </w:p>
    <w:p w14:paraId="7E495814">
      <w:pPr>
        <w:spacing w:line="324" w:lineRule="auto"/>
        <w:ind w:firstLine="480"/>
        <w:rPr>
          <w:rFonts w:hint="eastAsia" w:ascii="宋体" w:hAnsi="宋体"/>
          <w:szCs w:val="21"/>
        </w:rPr>
      </w:pPr>
      <w:r>
        <w:rPr>
          <w:rFonts w:hint="eastAsia" w:ascii="宋体" w:hAnsi="宋体"/>
          <w:szCs w:val="21"/>
        </w:rPr>
        <w:t xml:space="preserve">（2）根据法律法规的规定及《基金合同》的约定，本基金投资组合遵循以下投资限制： </w:t>
      </w:r>
    </w:p>
    <w:p w14:paraId="758EDDCD">
      <w:pPr>
        <w:spacing w:line="324" w:lineRule="auto"/>
        <w:ind w:firstLine="480"/>
        <w:rPr>
          <w:rFonts w:hint="eastAsia" w:ascii="宋体" w:hAnsi="宋体"/>
          <w:szCs w:val="21"/>
        </w:rPr>
      </w:pPr>
      <w:r>
        <w:rPr>
          <w:rFonts w:hint="eastAsia" w:ascii="宋体" w:hAnsi="宋体"/>
          <w:szCs w:val="21"/>
        </w:rPr>
        <w:t>1）股票资产占基金资产的比例不低于80%，其中投资标的指数成份股及其备选成份股的比例不低于非现金基金资产的80%；投资于港股通标的股票的比例占股票资产的0%-50%；</w:t>
      </w:r>
    </w:p>
    <w:p w14:paraId="6551E3A3">
      <w:pPr>
        <w:spacing w:line="324" w:lineRule="auto"/>
        <w:ind w:firstLine="480"/>
        <w:rPr>
          <w:rFonts w:hint="eastAsia" w:ascii="宋体" w:hAnsi="宋体"/>
          <w:szCs w:val="21"/>
        </w:rPr>
      </w:pPr>
      <w:r>
        <w:rPr>
          <w:rFonts w:hint="eastAsia" w:ascii="宋体" w:hAnsi="宋体"/>
          <w:szCs w:val="21"/>
        </w:rPr>
        <w:t>2）每个交易日日终在扣除股指期货、国债期货、股票期权合约需缴纳的交易保证金后，保持不低于基金资产净值5%的现金或到期日在一年以内的政府债券，其中现金不包括结算备付金、存出保证金、应收申购款等；</w:t>
      </w:r>
    </w:p>
    <w:p w14:paraId="6FD18790">
      <w:pPr>
        <w:spacing w:line="324" w:lineRule="auto"/>
        <w:ind w:firstLine="480"/>
        <w:rPr>
          <w:rFonts w:hint="eastAsia" w:ascii="宋体" w:hAnsi="宋体"/>
          <w:szCs w:val="21"/>
        </w:rPr>
      </w:pPr>
      <w:r>
        <w:rPr>
          <w:rFonts w:hint="eastAsia" w:ascii="宋体" w:hAnsi="宋体"/>
          <w:szCs w:val="21"/>
        </w:rPr>
        <w:t>3）本基金持有一家公司发行的证券，其市值（若同时持有一家公司发行的A股和H股，则为A股与H股合计市值）不超过基金资产净值的10%，但完全按照有关指数的构成比例进行证券投资的基金品种不受此限制；</w:t>
      </w:r>
    </w:p>
    <w:p w14:paraId="61AD60B1">
      <w:pPr>
        <w:spacing w:line="324" w:lineRule="auto"/>
        <w:ind w:firstLine="480"/>
        <w:rPr>
          <w:rFonts w:hint="eastAsia" w:ascii="宋体" w:hAnsi="宋体"/>
          <w:szCs w:val="21"/>
        </w:rPr>
      </w:pPr>
      <w:r>
        <w:rPr>
          <w:rFonts w:hint="eastAsia" w:ascii="宋体" w:hAnsi="宋体"/>
          <w:szCs w:val="21"/>
        </w:rPr>
        <w:t>4）本基金管理人管理的全部基金持有一家公司发行的证券，不超过该证券（若同时持有一家公司发行的A股和H股，则为A股与H股合计市值）的10%，但完全按照有关指数的构成比例进行证券投资的基金品种不受此限制；</w:t>
      </w:r>
    </w:p>
    <w:p w14:paraId="4969B57D">
      <w:pPr>
        <w:spacing w:line="324" w:lineRule="auto"/>
        <w:ind w:firstLine="480"/>
        <w:rPr>
          <w:rFonts w:hint="eastAsia" w:ascii="宋体" w:hAnsi="宋体"/>
          <w:szCs w:val="21"/>
        </w:rPr>
      </w:pPr>
      <w:r>
        <w:rPr>
          <w:rFonts w:hint="eastAsia" w:ascii="宋体" w:hAnsi="宋体"/>
          <w:szCs w:val="21"/>
        </w:rPr>
        <w:t>5）本基金资产总值不得超过基金资产净值的140%；</w:t>
      </w:r>
    </w:p>
    <w:p w14:paraId="28515E0E">
      <w:pPr>
        <w:spacing w:line="324" w:lineRule="auto"/>
        <w:ind w:firstLine="480"/>
        <w:rPr>
          <w:rFonts w:hint="eastAsia" w:ascii="宋体" w:hAnsi="宋体"/>
          <w:szCs w:val="21"/>
        </w:rPr>
      </w:pPr>
      <w:r>
        <w:rPr>
          <w:rFonts w:hint="eastAsia" w:ascii="宋体" w:hAnsi="宋体"/>
          <w:szCs w:val="21"/>
        </w:rPr>
        <w:t>6）本基金投资于同一原始权益人的各类资产支持证券的比例，不得超过基金资产净值的10%；</w:t>
      </w:r>
    </w:p>
    <w:p w14:paraId="2F906487">
      <w:pPr>
        <w:spacing w:line="324" w:lineRule="auto"/>
        <w:ind w:firstLine="480"/>
        <w:rPr>
          <w:rFonts w:hint="eastAsia" w:ascii="宋体" w:hAnsi="宋体"/>
          <w:szCs w:val="21"/>
        </w:rPr>
      </w:pPr>
      <w:r>
        <w:rPr>
          <w:rFonts w:hint="eastAsia" w:ascii="宋体" w:hAnsi="宋体"/>
          <w:szCs w:val="21"/>
        </w:rPr>
        <w:t>7）本基金持有的全部资产支持证券，其市值不得超过基金资产净值的20%；</w:t>
      </w:r>
    </w:p>
    <w:p w14:paraId="6438A794">
      <w:pPr>
        <w:spacing w:line="324" w:lineRule="auto"/>
        <w:ind w:firstLine="480"/>
        <w:rPr>
          <w:rFonts w:hint="eastAsia" w:ascii="宋体" w:hAnsi="宋体"/>
          <w:szCs w:val="21"/>
        </w:rPr>
      </w:pPr>
      <w:r>
        <w:rPr>
          <w:rFonts w:hint="eastAsia" w:ascii="宋体" w:hAnsi="宋体"/>
          <w:szCs w:val="21"/>
        </w:rPr>
        <w:t>8）本基金持有的同一(指同一信用级别)资产支持证券的比例，不得超过该资产支持证券规模的10%；</w:t>
      </w:r>
    </w:p>
    <w:p w14:paraId="76839C48">
      <w:pPr>
        <w:spacing w:line="324" w:lineRule="auto"/>
        <w:ind w:firstLine="480"/>
        <w:rPr>
          <w:rFonts w:hint="eastAsia" w:ascii="宋体" w:hAnsi="宋体"/>
          <w:szCs w:val="21"/>
        </w:rPr>
      </w:pPr>
      <w:r>
        <w:rPr>
          <w:rFonts w:hint="eastAsia" w:ascii="宋体" w:hAnsi="宋体"/>
          <w:szCs w:val="21"/>
        </w:rPr>
        <w:t>9）本基金管理人管理的全部基金投资于同一原始权益人的各类资产支持证券，不得超过其各类资产支持证券合计规模的10%；</w:t>
      </w:r>
    </w:p>
    <w:p w14:paraId="5A30C077">
      <w:pPr>
        <w:spacing w:line="324" w:lineRule="auto"/>
        <w:ind w:firstLine="480"/>
        <w:rPr>
          <w:rFonts w:hint="eastAsia" w:ascii="宋体" w:hAnsi="宋体"/>
          <w:szCs w:val="21"/>
        </w:rPr>
      </w:pPr>
      <w:r>
        <w:rPr>
          <w:rFonts w:hint="eastAsia" w:ascii="宋体" w:hAnsi="宋体"/>
          <w:szCs w:val="21"/>
        </w:rPr>
        <w:t>10）本基金应投资于信用级别评级为BBB以上(含BBB)的资产支持证券。基金持有资产支持证券期间，如果其信用等级下降、不再符合投资标准，应在评级报告发布之日起3个月内予以全部卖出；</w:t>
      </w:r>
    </w:p>
    <w:p w14:paraId="6AF4425B">
      <w:pPr>
        <w:spacing w:line="324" w:lineRule="auto"/>
        <w:ind w:firstLine="480"/>
        <w:rPr>
          <w:rFonts w:hint="eastAsia" w:ascii="宋体" w:hAnsi="宋体"/>
          <w:szCs w:val="21"/>
        </w:rPr>
      </w:pPr>
      <w:r>
        <w:rPr>
          <w:rFonts w:hint="eastAsia" w:ascii="宋体" w:hAnsi="宋体"/>
          <w:szCs w:val="21"/>
        </w:rPr>
        <w:t>11）基金财产参与股票发行申购，本基金所申报的金额不超过本基金的总资产，本基金所申报的股票数量不超过拟发行股票公司本次发行股票的总量；</w:t>
      </w:r>
    </w:p>
    <w:p w14:paraId="08F20BC3">
      <w:pPr>
        <w:spacing w:line="324" w:lineRule="auto"/>
        <w:ind w:firstLine="480"/>
        <w:rPr>
          <w:rFonts w:hint="eastAsia" w:ascii="宋体" w:hAnsi="宋体"/>
          <w:szCs w:val="21"/>
        </w:rPr>
      </w:pPr>
      <w:r>
        <w:rPr>
          <w:rFonts w:hint="eastAsia" w:ascii="宋体" w:hAnsi="宋体"/>
          <w:szCs w:val="21"/>
        </w:rPr>
        <w:t>12）本基金参与融资的，在任何交易日日终，本基金持有的融资买入股票与其他有价证券市值之和，不得超过基金资产净值的95%；</w:t>
      </w:r>
    </w:p>
    <w:p w14:paraId="2875437C">
      <w:pPr>
        <w:spacing w:line="324" w:lineRule="auto"/>
        <w:ind w:firstLine="480"/>
        <w:rPr>
          <w:rFonts w:hint="eastAsia" w:ascii="宋体" w:hAnsi="宋体"/>
          <w:szCs w:val="21"/>
        </w:rPr>
      </w:pPr>
      <w:r>
        <w:rPr>
          <w:rFonts w:hint="eastAsia" w:ascii="宋体" w:hAnsi="宋体"/>
          <w:szCs w:val="21"/>
        </w:rPr>
        <w:t>13）本基金参与股指期货和国债期货交易的，还应遵循如下投资组合限制：</w:t>
      </w:r>
    </w:p>
    <w:p w14:paraId="180693A8">
      <w:pPr>
        <w:spacing w:line="324" w:lineRule="auto"/>
        <w:ind w:firstLine="480"/>
        <w:rPr>
          <w:rFonts w:hint="eastAsia" w:ascii="宋体" w:hAnsi="宋体"/>
          <w:szCs w:val="21"/>
        </w:rPr>
      </w:pPr>
      <w:r>
        <w:rPr>
          <w:rFonts w:hint="eastAsia" w:ascii="宋体" w:hAnsi="宋体"/>
          <w:szCs w:val="21"/>
        </w:rPr>
        <w:t>①在任何交易日日终，本基金持有的买入股指期货合约价值不超过基金资产净值的10%；在任何交易日日终，持有的买入国债期货合约价值，不得超过基金资产净值15%；</w:t>
      </w:r>
    </w:p>
    <w:p w14:paraId="0CE67D33">
      <w:pPr>
        <w:spacing w:line="324" w:lineRule="auto"/>
        <w:ind w:firstLine="480"/>
        <w:rPr>
          <w:rFonts w:hint="eastAsia" w:ascii="宋体" w:hAnsi="宋体"/>
          <w:szCs w:val="21"/>
        </w:rPr>
      </w:pPr>
      <w:r>
        <w:rPr>
          <w:rFonts w:hint="eastAsia" w:ascii="宋体" w:hAnsi="宋体"/>
          <w:szCs w:val="21"/>
        </w:rPr>
        <w:t>②在任何交易日日终，持有的卖出股指期货合约价值不超过基金持有的股票总市值的20%；在任何交易日日终，持有的卖出国债期货合约价值不得超过基金持有的债券总市值的30%；</w:t>
      </w:r>
    </w:p>
    <w:p w14:paraId="2AC3EFB6">
      <w:pPr>
        <w:spacing w:line="324" w:lineRule="auto"/>
        <w:ind w:firstLine="480"/>
        <w:rPr>
          <w:rFonts w:hint="eastAsia" w:ascii="宋体" w:hAnsi="宋体"/>
          <w:szCs w:val="21"/>
        </w:rPr>
      </w:pPr>
      <w:r>
        <w:rPr>
          <w:rFonts w:hint="eastAsia" w:ascii="宋体" w:hAnsi="宋体"/>
          <w:szCs w:val="21"/>
        </w:rPr>
        <w:t>③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BD0F0E8">
      <w:pPr>
        <w:spacing w:line="324" w:lineRule="auto"/>
        <w:ind w:firstLine="480"/>
        <w:rPr>
          <w:rFonts w:hint="eastAsia" w:ascii="宋体" w:hAnsi="宋体"/>
          <w:szCs w:val="21"/>
        </w:rPr>
      </w:pPr>
      <w:r>
        <w:rPr>
          <w:rFonts w:hint="eastAsia" w:ascii="宋体" w:hAnsi="宋体"/>
          <w:szCs w:val="21"/>
        </w:rPr>
        <w:t>④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1D7DE37B">
      <w:pPr>
        <w:spacing w:line="324" w:lineRule="auto"/>
        <w:ind w:firstLine="480"/>
        <w:rPr>
          <w:rFonts w:hint="eastAsia" w:ascii="宋体" w:hAnsi="宋体"/>
          <w:szCs w:val="21"/>
        </w:rPr>
      </w:pPr>
      <w:r>
        <w:rPr>
          <w:rFonts w:hint="eastAsia" w:ascii="宋体" w:hAnsi="宋体"/>
          <w:szCs w:val="21"/>
        </w:rPr>
        <w:t>⑤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0BDBB770">
      <w:pPr>
        <w:spacing w:line="324" w:lineRule="auto"/>
        <w:ind w:firstLine="480"/>
        <w:rPr>
          <w:rFonts w:hint="eastAsia" w:ascii="宋体" w:hAnsi="宋体"/>
          <w:szCs w:val="21"/>
        </w:rPr>
      </w:pPr>
      <w:r>
        <w:rPr>
          <w:rFonts w:hint="eastAsia" w:ascii="宋体" w:hAnsi="宋体"/>
          <w:szCs w:val="21"/>
        </w:rPr>
        <w:t>14）本基金投资于股票期权，还应遵循如下投资组合限制：</w:t>
      </w:r>
    </w:p>
    <w:p w14:paraId="0647BC85">
      <w:pPr>
        <w:spacing w:line="324" w:lineRule="auto"/>
        <w:ind w:firstLine="480"/>
        <w:rPr>
          <w:rFonts w:hint="eastAsia" w:ascii="宋体" w:hAnsi="宋体"/>
          <w:szCs w:val="21"/>
        </w:rPr>
      </w:pPr>
      <w:r>
        <w:rPr>
          <w:rFonts w:hint="eastAsia" w:ascii="宋体" w:hAnsi="宋体"/>
          <w:szCs w:val="21"/>
        </w:rPr>
        <w:t>①因未平仓的期权合约支付和收取的权利金总额不得超过基金资产净值的10%；</w:t>
      </w:r>
    </w:p>
    <w:p w14:paraId="730303CC">
      <w:pPr>
        <w:spacing w:line="324" w:lineRule="auto"/>
        <w:ind w:firstLine="480"/>
        <w:rPr>
          <w:rFonts w:hint="eastAsia" w:ascii="宋体" w:hAnsi="宋体"/>
          <w:szCs w:val="21"/>
        </w:rPr>
      </w:pPr>
      <w:r>
        <w:rPr>
          <w:rFonts w:hint="eastAsia" w:ascii="宋体" w:hAnsi="宋体"/>
          <w:szCs w:val="21"/>
        </w:rPr>
        <w:t>②开仓卖出认购期权的，应持有足额标的证券；开仓卖出认沽期权的，应持有合约行权所需的全额现金或交易所规则认可的可冲抵期权保证金的现金等价物；</w:t>
      </w:r>
    </w:p>
    <w:p w14:paraId="33737F3D">
      <w:pPr>
        <w:spacing w:line="324" w:lineRule="auto"/>
        <w:ind w:firstLine="480"/>
        <w:rPr>
          <w:rFonts w:hint="eastAsia" w:ascii="宋体" w:hAnsi="宋体"/>
          <w:szCs w:val="21"/>
        </w:rPr>
      </w:pPr>
      <w:r>
        <w:rPr>
          <w:rFonts w:hint="eastAsia" w:ascii="宋体" w:hAnsi="宋体"/>
          <w:szCs w:val="21"/>
        </w:rPr>
        <w:t>③未平仓的期权合约面值不得超过基金资产净值的20%。其中，合约面值按照行权价乘以合约乘数计算；</w:t>
      </w:r>
    </w:p>
    <w:p w14:paraId="6764E1E6">
      <w:pPr>
        <w:spacing w:line="324" w:lineRule="auto"/>
        <w:ind w:firstLine="480"/>
        <w:rPr>
          <w:rFonts w:hint="eastAsia" w:ascii="宋体" w:hAnsi="宋体"/>
          <w:szCs w:val="21"/>
        </w:rPr>
      </w:pPr>
      <w:r>
        <w:rPr>
          <w:rFonts w:hint="eastAsia" w:ascii="宋体" w:hAnsi="宋体"/>
          <w:szCs w:val="21"/>
        </w:rPr>
        <w:t>15）本基金参与转融通证券出借业务，需遵守下列投资限制：</w:t>
      </w:r>
    </w:p>
    <w:p w14:paraId="17148710">
      <w:pPr>
        <w:spacing w:line="324" w:lineRule="auto"/>
        <w:ind w:firstLine="480"/>
        <w:rPr>
          <w:rFonts w:hint="eastAsia" w:ascii="宋体" w:hAnsi="宋体"/>
          <w:szCs w:val="21"/>
        </w:rPr>
      </w:pPr>
      <w:r>
        <w:rPr>
          <w:rFonts w:hint="eastAsia" w:ascii="宋体" w:hAnsi="宋体"/>
          <w:szCs w:val="21"/>
        </w:rPr>
        <w:t>①出借证券资产不得超过基金资产净值的30%，出借期限在10 个交易日以上的出借证券应纳入《流动性风险管理规定》所述流动性受限证券的范围；</w:t>
      </w:r>
    </w:p>
    <w:p w14:paraId="1401994F">
      <w:pPr>
        <w:spacing w:line="324" w:lineRule="auto"/>
        <w:ind w:firstLine="480"/>
        <w:rPr>
          <w:rFonts w:hint="eastAsia" w:ascii="宋体" w:hAnsi="宋体"/>
          <w:szCs w:val="21"/>
        </w:rPr>
      </w:pPr>
      <w:r>
        <w:rPr>
          <w:rFonts w:hint="eastAsia" w:ascii="宋体" w:hAnsi="宋体"/>
          <w:szCs w:val="21"/>
        </w:rPr>
        <w:t>②参与出借业务的单只证券不得超过本基金持有该证券总量的50%；</w:t>
      </w:r>
    </w:p>
    <w:p w14:paraId="796867E4">
      <w:pPr>
        <w:spacing w:line="324" w:lineRule="auto"/>
        <w:ind w:firstLine="480"/>
        <w:rPr>
          <w:rFonts w:hint="eastAsia" w:ascii="宋体" w:hAnsi="宋体"/>
          <w:szCs w:val="21"/>
        </w:rPr>
      </w:pPr>
      <w:r>
        <w:rPr>
          <w:rFonts w:hint="eastAsia" w:ascii="宋体" w:hAnsi="宋体"/>
          <w:szCs w:val="21"/>
        </w:rPr>
        <w:t>③最近6个月内日均基金资产净值不得低于2亿元；</w:t>
      </w:r>
    </w:p>
    <w:p w14:paraId="4CF8CF9F">
      <w:pPr>
        <w:spacing w:line="324" w:lineRule="auto"/>
        <w:ind w:firstLine="480"/>
        <w:rPr>
          <w:rFonts w:hint="eastAsia" w:ascii="宋体" w:hAnsi="宋体"/>
          <w:szCs w:val="21"/>
        </w:rPr>
      </w:pPr>
      <w:r>
        <w:rPr>
          <w:rFonts w:hint="eastAsia" w:ascii="宋体" w:hAnsi="宋体"/>
          <w:szCs w:val="21"/>
        </w:rPr>
        <w:t>④证券出借的平均剩余期限不得超过30天，平均剩余期限按照市值加权平均计算；</w:t>
      </w:r>
    </w:p>
    <w:p w14:paraId="5A7447A2">
      <w:pPr>
        <w:spacing w:line="324" w:lineRule="auto"/>
        <w:ind w:firstLine="480"/>
        <w:rPr>
          <w:rFonts w:hint="eastAsia" w:ascii="宋体" w:hAnsi="宋体"/>
          <w:szCs w:val="21"/>
        </w:rPr>
      </w:pPr>
      <w:r>
        <w:rPr>
          <w:rFonts w:hint="eastAsia" w:ascii="宋体" w:hAnsi="宋体"/>
          <w:szCs w:val="21"/>
        </w:rPr>
        <w:t>因证券/期货市场波动、上市公司合并、基金规模变动等基金管理人之外的因素致使基金投资不符合上述规定的，基金管理人不得新增出借业务；</w:t>
      </w:r>
    </w:p>
    <w:p w14:paraId="0489EDB8">
      <w:pPr>
        <w:spacing w:line="324" w:lineRule="auto"/>
        <w:ind w:firstLine="480"/>
        <w:rPr>
          <w:rFonts w:hint="eastAsia" w:ascii="宋体" w:hAnsi="宋体"/>
          <w:szCs w:val="21"/>
        </w:rPr>
      </w:pPr>
      <w:r>
        <w:rPr>
          <w:rFonts w:hint="eastAsia" w:ascii="宋体" w:hAnsi="宋体"/>
          <w:szCs w:val="21"/>
        </w:rPr>
        <w:t>16）本基金管理人管理的全部开放式基金持有一家上市公司发行的可流通股票，不得超过该上市公司可流通股票的15%，完全按照有关指数的构成比例进行证券投资的开放式基金以及中国证监会认定的特殊投资组合可不受前述比例限制；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6F79C54">
      <w:pPr>
        <w:spacing w:line="324" w:lineRule="auto"/>
        <w:ind w:firstLine="480"/>
        <w:rPr>
          <w:rFonts w:hint="eastAsia" w:ascii="宋体" w:hAnsi="宋体"/>
          <w:szCs w:val="21"/>
        </w:rPr>
      </w:pPr>
      <w:r>
        <w:rPr>
          <w:rFonts w:hint="eastAsia" w:ascii="宋体" w:hAnsi="宋体"/>
          <w:szCs w:val="21"/>
        </w:rPr>
        <w:t>17）本基金主动投资于流动性受限资产的市值合计不得超过本基金资产净值的15%；</w:t>
      </w:r>
    </w:p>
    <w:p w14:paraId="4360561D">
      <w:pPr>
        <w:spacing w:line="324" w:lineRule="auto"/>
        <w:ind w:firstLine="480"/>
        <w:rPr>
          <w:rFonts w:hint="eastAsia" w:ascii="宋体" w:hAnsi="宋体"/>
          <w:szCs w:val="21"/>
        </w:rPr>
      </w:pPr>
      <w:r>
        <w:rPr>
          <w:rFonts w:hint="eastAsia" w:ascii="宋体" w:hAnsi="宋体"/>
          <w:szCs w:val="21"/>
        </w:rPr>
        <w:t>因证券/期货市场波动、上市公司股票停牌、基金规模变动等基金管理人之外的因素致使基金不符合该比例限制的，基金管理人不得主动新增流动性受限资产的投资；</w:t>
      </w:r>
    </w:p>
    <w:p w14:paraId="39DE2372">
      <w:pPr>
        <w:spacing w:line="324" w:lineRule="auto"/>
        <w:ind w:firstLine="480"/>
        <w:rPr>
          <w:rFonts w:hint="eastAsia" w:ascii="宋体" w:hAnsi="宋体"/>
          <w:szCs w:val="21"/>
        </w:rPr>
      </w:pPr>
      <w:r>
        <w:rPr>
          <w:rFonts w:hint="eastAsia" w:ascii="宋体" w:hAnsi="宋体"/>
          <w:szCs w:val="21"/>
        </w:rPr>
        <w:t>18）本基金与私募类证券资管产品及中国证监会认定的其他主体为交易对手开展逆回购交易的，可接受质押品的资质要求应当与基金合同约定的投资范围保持一致；</w:t>
      </w:r>
    </w:p>
    <w:p w14:paraId="1E694C0E">
      <w:pPr>
        <w:spacing w:line="324" w:lineRule="auto"/>
        <w:ind w:firstLine="480"/>
        <w:rPr>
          <w:rFonts w:hint="eastAsia" w:ascii="宋体" w:hAnsi="宋体"/>
          <w:szCs w:val="21"/>
        </w:rPr>
      </w:pPr>
      <w:r>
        <w:rPr>
          <w:rFonts w:hint="eastAsia" w:ascii="宋体" w:hAnsi="宋体"/>
          <w:szCs w:val="21"/>
        </w:rPr>
        <w:t>19）本基金投资存托凭证的比例限制依照境内上市交易的股票执行，与境内上市交易的股票合并计算；</w:t>
      </w:r>
    </w:p>
    <w:p w14:paraId="3E346C22">
      <w:pPr>
        <w:spacing w:line="324" w:lineRule="auto"/>
        <w:ind w:firstLine="480"/>
        <w:rPr>
          <w:rFonts w:hint="eastAsia" w:ascii="宋体" w:hAnsi="宋体"/>
          <w:szCs w:val="21"/>
        </w:rPr>
      </w:pPr>
      <w:r>
        <w:rPr>
          <w:rFonts w:hint="eastAsia" w:ascii="宋体" w:hAnsi="宋体"/>
          <w:szCs w:val="21"/>
        </w:rPr>
        <w:t>20）相关法律法规以及监管部门规定的和基金合同约定的其它投资比例限制。</w:t>
      </w:r>
    </w:p>
    <w:p w14:paraId="1C58E1BB">
      <w:pPr>
        <w:spacing w:line="360" w:lineRule="auto"/>
        <w:ind w:firstLine="420" w:firstLineChars="200"/>
        <w:rPr>
          <w:rFonts w:hint="eastAsia" w:ascii="宋体" w:hAnsi="宋体" w:cs="宋体"/>
          <w:kern w:val="0"/>
          <w:szCs w:val="21"/>
        </w:rPr>
      </w:pPr>
      <w:r>
        <w:rPr>
          <w:rFonts w:hint="eastAsia" w:ascii="宋体" w:hAnsi="宋体" w:cs="宋体"/>
          <w:kern w:val="0"/>
          <w:szCs w:val="21"/>
        </w:rPr>
        <w:t>基金托管人对上述指标的监督义务，仅限于监督由基金管理人管理且由基金托管人托管的全部公募基金是否符合上述比例限制。</w:t>
      </w:r>
    </w:p>
    <w:p w14:paraId="6B11001A">
      <w:pPr>
        <w:spacing w:line="440" w:lineRule="atLeast"/>
        <w:ind w:firstLine="420" w:firstLineChars="200"/>
        <w:rPr>
          <w:rFonts w:hint="eastAsia" w:ascii="宋体" w:hAnsi="宋体"/>
          <w:szCs w:val="21"/>
        </w:rPr>
      </w:pPr>
      <w:r>
        <w:rPr>
          <w:rFonts w:hint="eastAsia" w:ascii="宋体" w:hAnsi="宋体"/>
          <w:szCs w:val="21"/>
        </w:rPr>
        <w:t>（3）法律法规允许的基金投资比例调整期限</w:t>
      </w:r>
    </w:p>
    <w:p w14:paraId="669F73F5">
      <w:pPr>
        <w:spacing w:line="440" w:lineRule="atLeast"/>
        <w:ind w:right="28" w:firstLine="420" w:firstLineChars="200"/>
        <w:rPr>
          <w:rFonts w:hint="eastAsia" w:ascii="宋体" w:hAnsi="宋体"/>
          <w:szCs w:val="21"/>
        </w:rPr>
      </w:pPr>
      <w:r>
        <w:rPr>
          <w:rFonts w:hint="eastAsia" w:ascii="宋体" w:hAnsi="宋体"/>
          <w:szCs w:val="21"/>
        </w:rPr>
        <w:t>除上述第2）、10）、15）、17）、18）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587B95DE">
      <w:pPr>
        <w:spacing w:line="440" w:lineRule="atLeast"/>
        <w:ind w:right="28" w:firstLine="420" w:firstLineChars="200"/>
        <w:rPr>
          <w:rFonts w:hint="eastAsia" w:ascii="宋体" w:hAnsi="宋体"/>
          <w:szCs w:val="21"/>
        </w:rPr>
      </w:pPr>
      <w:r>
        <w:rPr>
          <w:rFonts w:hint="eastAsia" w:ascii="宋体" w:hAnsi="宋体"/>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F9AA499">
      <w:pPr>
        <w:spacing w:line="440" w:lineRule="atLeast"/>
        <w:ind w:right="28" w:firstLine="420" w:firstLineChars="200"/>
        <w:rPr>
          <w:rFonts w:hint="eastAsia" w:ascii="宋体" w:hAnsi="宋体"/>
          <w:szCs w:val="21"/>
        </w:rPr>
      </w:pPr>
      <w:r>
        <w:rPr>
          <w:rFonts w:hint="eastAsia" w:ascii="宋体" w:hAnsi="宋体"/>
          <w:szCs w:val="21"/>
        </w:rPr>
        <w:t>法律法规或监管部门取消或变更上述限制，如适用于本基金，基金管理人在履行适当程序后，则本基金投资不再受相关限制，或以变更后的规定为准。</w:t>
      </w:r>
    </w:p>
    <w:p w14:paraId="12145483">
      <w:pPr>
        <w:spacing w:after="120" w:line="440" w:lineRule="exact"/>
        <w:ind w:firstLine="420" w:firstLineChars="200"/>
        <w:rPr>
          <w:rFonts w:hint="eastAsia" w:ascii="宋体" w:hAnsi="宋体"/>
          <w:szCs w:val="21"/>
        </w:rPr>
      </w:pPr>
      <w:r>
        <w:rPr>
          <w:rFonts w:hint="eastAsia" w:ascii="宋体" w:hAnsi="宋体"/>
          <w:szCs w:val="21"/>
        </w:rPr>
        <w:t xml:space="preserve">3.基金托管人根据有关法律法规的规定及《基金合同》的约定对下述基金投资禁止行为进行监督： </w:t>
      </w:r>
    </w:p>
    <w:p w14:paraId="61BD1CAD">
      <w:pPr>
        <w:spacing w:line="360" w:lineRule="auto"/>
        <w:ind w:left="1" w:firstLine="472" w:firstLineChars="225"/>
        <w:rPr>
          <w:rFonts w:hint="eastAsia" w:ascii="宋体" w:hAnsi="宋体"/>
          <w:szCs w:val="21"/>
        </w:rPr>
      </w:pPr>
      <w:r>
        <w:rPr>
          <w:rFonts w:hint="eastAsia" w:ascii="宋体" w:hAnsi="宋体"/>
          <w:szCs w:val="21"/>
        </w:rPr>
        <w:t>根据法律法规的规定及《基金合同》的约定，本基金禁止从事下列行为：</w:t>
      </w:r>
    </w:p>
    <w:p w14:paraId="5AFE5E47">
      <w:pPr>
        <w:spacing w:line="440" w:lineRule="exact"/>
        <w:ind w:firstLine="397"/>
        <w:rPr>
          <w:rFonts w:hint="eastAsia" w:ascii="宋体" w:hAnsi="宋体" w:cs="宋体"/>
          <w:kern w:val="0"/>
          <w:szCs w:val="21"/>
        </w:rPr>
      </w:pPr>
      <w:r>
        <w:rPr>
          <w:rFonts w:hint="eastAsia" w:ascii="宋体" w:hAnsi="宋体" w:cs="宋体"/>
          <w:kern w:val="0"/>
          <w:szCs w:val="21"/>
        </w:rPr>
        <w:t>（1）承销证券；</w:t>
      </w:r>
    </w:p>
    <w:p w14:paraId="4466B920">
      <w:pPr>
        <w:spacing w:line="440" w:lineRule="exact"/>
        <w:ind w:firstLine="397"/>
        <w:rPr>
          <w:rFonts w:hint="eastAsia" w:ascii="宋体" w:hAnsi="宋体" w:cs="宋体"/>
          <w:kern w:val="0"/>
          <w:szCs w:val="21"/>
        </w:rPr>
      </w:pPr>
      <w:r>
        <w:rPr>
          <w:rFonts w:hint="eastAsia" w:ascii="宋体" w:hAnsi="宋体" w:cs="宋体"/>
          <w:kern w:val="0"/>
          <w:szCs w:val="21"/>
        </w:rPr>
        <w:t>（2）违反规定向他人贷款或者提供担保；</w:t>
      </w:r>
    </w:p>
    <w:p w14:paraId="1DEC3C54">
      <w:pPr>
        <w:spacing w:line="440" w:lineRule="exact"/>
        <w:ind w:firstLine="397"/>
        <w:rPr>
          <w:rFonts w:hint="eastAsia" w:ascii="宋体" w:hAnsi="宋体" w:cs="宋体"/>
          <w:kern w:val="0"/>
          <w:szCs w:val="21"/>
        </w:rPr>
      </w:pPr>
      <w:r>
        <w:rPr>
          <w:rFonts w:hint="eastAsia" w:ascii="宋体" w:hAnsi="宋体" w:cs="宋体"/>
          <w:kern w:val="0"/>
          <w:szCs w:val="21"/>
        </w:rPr>
        <w:t>（3）从事承担无限责任的投资；</w:t>
      </w:r>
    </w:p>
    <w:p w14:paraId="7978E3D9">
      <w:pPr>
        <w:spacing w:line="440" w:lineRule="exact"/>
        <w:ind w:firstLine="397"/>
        <w:rPr>
          <w:rFonts w:hint="eastAsia" w:ascii="宋体" w:hAnsi="宋体" w:cs="宋体"/>
          <w:kern w:val="0"/>
          <w:szCs w:val="21"/>
        </w:rPr>
      </w:pPr>
      <w:r>
        <w:rPr>
          <w:rFonts w:hint="eastAsia" w:ascii="宋体" w:hAnsi="宋体" w:cs="宋体"/>
          <w:kern w:val="0"/>
          <w:szCs w:val="21"/>
        </w:rPr>
        <w:t>（4）买卖其他基金份额，但是中国证监会另有规定的除外；</w:t>
      </w:r>
    </w:p>
    <w:p w14:paraId="7DD3CFB5">
      <w:pPr>
        <w:spacing w:line="440" w:lineRule="exact"/>
        <w:ind w:firstLine="397"/>
        <w:rPr>
          <w:rFonts w:hint="eastAsia" w:ascii="宋体" w:hAnsi="宋体" w:cs="宋体"/>
          <w:kern w:val="0"/>
          <w:szCs w:val="21"/>
        </w:rPr>
      </w:pPr>
      <w:r>
        <w:rPr>
          <w:rFonts w:hint="eastAsia" w:ascii="宋体" w:hAnsi="宋体" w:cs="宋体"/>
          <w:kern w:val="0"/>
          <w:szCs w:val="21"/>
        </w:rPr>
        <w:t>（5）向其基金管理人、基金托管人出资；</w:t>
      </w:r>
    </w:p>
    <w:p w14:paraId="2A327955">
      <w:pPr>
        <w:spacing w:line="440" w:lineRule="exact"/>
        <w:ind w:firstLine="397"/>
        <w:rPr>
          <w:rFonts w:hint="eastAsia" w:ascii="宋体" w:hAnsi="宋体" w:cs="宋体"/>
          <w:kern w:val="0"/>
          <w:szCs w:val="21"/>
        </w:rPr>
      </w:pPr>
      <w:r>
        <w:rPr>
          <w:rFonts w:hint="eastAsia" w:ascii="宋体" w:hAnsi="宋体" w:cs="宋体"/>
          <w:kern w:val="0"/>
          <w:szCs w:val="21"/>
        </w:rPr>
        <w:t>（6）从事内幕交易、操纵证券交易价格及其他不正当的证券交易活动；</w:t>
      </w:r>
    </w:p>
    <w:p w14:paraId="188D2935">
      <w:pPr>
        <w:spacing w:line="440" w:lineRule="exact"/>
        <w:ind w:firstLine="397"/>
        <w:rPr>
          <w:rFonts w:hint="eastAsia" w:ascii="宋体" w:hAnsi="宋体" w:cs="宋体"/>
          <w:kern w:val="0"/>
          <w:szCs w:val="21"/>
        </w:rPr>
      </w:pPr>
      <w:r>
        <w:rPr>
          <w:rFonts w:hint="eastAsia" w:ascii="宋体" w:hAnsi="宋体" w:cs="宋体"/>
          <w:kern w:val="0"/>
          <w:szCs w:val="21"/>
        </w:rPr>
        <w:t>（7）法律、行政法规和中国证监会规定禁止的其他活动。</w:t>
      </w:r>
    </w:p>
    <w:p w14:paraId="7EC6862C">
      <w:pPr>
        <w:spacing w:line="440" w:lineRule="exact"/>
        <w:ind w:firstLine="397"/>
        <w:rPr>
          <w:rFonts w:hint="eastAsia" w:ascii="宋体" w:hAnsi="宋体"/>
          <w:szCs w:val="21"/>
        </w:rPr>
      </w:pPr>
      <w:r>
        <w:rPr>
          <w:rFonts w:hint="eastAsia" w:ascii="宋体" w:hAnsi="宋体" w:cs="宋体"/>
          <w:kern w:val="0"/>
          <w:szCs w:val="21"/>
        </w:rPr>
        <w:t>4.基金托管人依据有关法律法规的规定和《基金合同》的约定对于基金关联投资限制进行监督。</w:t>
      </w:r>
    </w:p>
    <w:p w14:paraId="0AD85A5D">
      <w:pPr>
        <w:spacing w:after="120" w:line="440" w:lineRule="exact"/>
        <w:ind w:firstLine="420" w:firstLineChars="200"/>
        <w:rPr>
          <w:rFonts w:hint="eastAsia" w:ascii="宋体" w:hAnsi="宋体"/>
          <w:szCs w:val="21"/>
        </w:rPr>
      </w:pPr>
      <w:r>
        <w:rPr>
          <w:rFonts w:hint="eastAsia" w:ascii="宋体"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22A455">
      <w:pPr>
        <w:spacing w:after="120" w:line="440" w:lineRule="exact"/>
        <w:ind w:firstLine="420" w:firstLineChars="200"/>
        <w:rPr>
          <w:rFonts w:hint="eastAsia" w:ascii="宋体" w:hAnsi="宋体"/>
          <w:szCs w:val="21"/>
        </w:rPr>
      </w:pPr>
      <w:r>
        <w:rPr>
          <w:rFonts w:hint="eastAsia" w:ascii="宋体" w:hAnsi="宋体"/>
          <w:szCs w:val="21"/>
        </w:rPr>
        <w:t>法律、行政法规或监管部门变更或取消上述规定，在履行适当程序后，本基金可按变更后的规定执行或不受上述规定的限制。</w:t>
      </w:r>
    </w:p>
    <w:p w14:paraId="1ED5E2B0">
      <w:pPr>
        <w:spacing w:line="440" w:lineRule="exact"/>
        <w:ind w:firstLine="420" w:firstLineChars="200"/>
        <w:rPr>
          <w:rFonts w:hint="eastAsia" w:ascii="宋体" w:hAnsi="宋体"/>
          <w:szCs w:val="21"/>
        </w:rPr>
      </w:pPr>
      <w:r>
        <w:rPr>
          <w:rFonts w:hint="eastAsia" w:ascii="宋体" w:hAnsi="宋体"/>
          <w:szCs w:val="21"/>
        </w:rPr>
        <w:t>如法律、法规或《基金合同》有关于基金从事关联交易的规定，基金管理人和基金托管人事先相互提供与本机构有控股关系的股东、与本机构有其他重大利害关系的公司名单及有关关联方发行的证券清单。基金管理人、基金托管人有责任确保其向对方提供的关联交易名单的真实性、准确性、完整性，并负责及时将更新后的名单发送给对方。基金管理人、基金托管人的关联方名单变更后一方应及时发送给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1D21C2B2">
      <w:pPr>
        <w:spacing w:line="440" w:lineRule="exact"/>
        <w:ind w:firstLine="420" w:firstLineChars="200"/>
        <w:rPr>
          <w:rFonts w:hint="eastAsia" w:ascii="宋体" w:hAnsi="宋体"/>
          <w:szCs w:val="21"/>
        </w:rPr>
      </w:pPr>
      <w:r>
        <w:rPr>
          <w:rFonts w:hint="eastAsia" w:ascii="宋体" w:hAnsi="宋体"/>
          <w:szCs w:val="21"/>
        </w:rPr>
        <w:t>5.基金托管人</w:t>
      </w:r>
      <w:r>
        <w:rPr>
          <w:rFonts w:hint="eastAsia" w:ascii="宋体" w:hAnsi="宋体" w:cs="宋体"/>
          <w:kern w:val="0"/>
          <w:szCs w:val="21"/>
        </w:rPr>
        <w:t>依据有关法律法规的规定和《基金合同》的约定</w:t>
      </w:r>
      <w:r>
        <w:rPr>
          <w:rFonts w:hint="eastAsia" w:ascii="宋体" w:hAnsi="宋体"/>
          <w:szCs w:val="21"/>
        </w:rPr>
        <w:t>对基金管理人参与银行间债券市场进行监督。</w:t>
      </w:r>
    </w:p>
    <w:p w14:paraId="244A7986">
      <w:pPr>
        <w:spacing w:line="440" w:lineRule="exact"/>
        <w:ind w:firstLine="420" w:firstLineChars="200"/>
        <w:rPr>
          <w:rFonts w:hint="eastAsia" w:ascii="宋体" w:hAnsi="宋体"/>
          <w:szCs w:val="21"/>
        </w:rPr>
      </w:pPr>
      <w:r>
        <w:rPr>
          <w:rFonts w:hint="eastAsia" w:ascii="宋体" w:hAnsi="宋体"/>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7F4A86FB">
      <w:pPr>
        <w:spacing w:line="440" w:lineRule="exact"/>
        <w:ind w:firstLine="420" w:firstLineChars="200"/>
        <w:rPr>
          <w:rFonts w:hint="eastAsia" w:ascii="宋体" w:hAnsi="宋体"/>
          <w:szCs w:val="21"/>
        </w:rPr>
      </w:pPr>
      <w:r>
        <w:rPr>
          <w:rFonts w:hint="eastAsia" w:ascii="宋体" w:hAnsi="宋体"/>
          <w:szCs w:val="21"/>
        </w:rPr>
        <w:t>基金管理人有责任控制交易对手的资信风险，由于交易对手的资信风险引起的损失，基金管理人应当负责向相关责任人追偿，基金托管人应提供必要的配合。基金托管人不承担由此引发的责任及损失。</w:t>
      </w:r>
    </w:p>
    <w:p w14:paraId="50D71EFA">
      <w:pPr>
        <w:spacing w:line="440" w:lineRule="exact"/>
        <w:ind w:firstLine="420" w:firstLineChars="200"/>
        <w:rPr>
          <w:rFonts w:hint="eastAsia" w:ascii="宋体" w:hAnsi="宋体"/>
          <w:szCs w:val="21"/>
        </w:rPr>
      </w:pPr>
      <w:r>
        <w:rPr>
          <w:rFonts w:hint="eastAsia" w:ascii="宋体" w:hAnsi="宋体"/>
          <w:szCs w:val="21"/>
        </w:rPr>
        <w:t>6. 基金托管人依据有关法律法规的规定和《基金合同》的约定，对基金银行存款业务进行监督。</w:t>
      </w:r>
    </w:p>
    <w:p w14:paraId="288F59CB">
      <w:pPr>
        <w:spacing w:line="440" w:lineRule="exact"/>
        <w:ind w:firstLine="451" w:firstLineChars="215"/>
        <w:rPr>
          <w:rFonts w:hint="eastAsia" w:ascii="宋体" w:hAnsi="宋体"/>
          <w:kern w:val="0"/>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w:t>
      </w:r>
      <w:r>
        <w:rPr>
          <w:rFonts w:hint="eastAsia" w:ascii="宋体" w:hAnsi="宋体"/>
          <w:kern w:val="0"/>
          <w:szCs w:val="21"/>
        </w:rPr>
        <w:t>对于基金投资的银行存款，由于存款银行发生信用风险事件而造成损失时，应先由基金管理人负责赔偿，之后有权向相关责任人进行追偿。如果基金托管人在运作过程中遵循</w:t>
      </w:r>
      <w:r>
        <w:rPr>
          <w:rFonts w:hint="eastAsia" w:ascii="宋体" w:hAnsi="宋体" w:cs="宋体"/>
          <w:kern w:val="0"/>
          <w:szCs w:val="21"/>
        </w:rPr>
        <w:t>有关法律法规的规定和《基金合同》的约定</w:t>
      </w:r>
      <w:r>
        <w:rPr>
          <w:rFonts w:hint="eastAsia" w:ascii="宋体" w:hAnsi="宋体"/>
          <w:kern w:val="0"/>
          <w:szCs w:val="21"/>
        </w:rPr>
        <w:t>监督流程，则对于由于存款银行信用风险引起的损失，不承担赔偿责任。</w:t>
      </w:r>
    </w:p>
    <w:p w14:paraId="1C364DAE">
      <w:pPr>
        <w:spacing w:line="440" w:lineRule="exact"/>
        <w:ind w:firstLine="451" w:firstLineChars="215"/>
        <w:rPr>
          <w:rFonts w:hint="eastAsia" w:ascii="宋体" w:hAnsi="宋体"/>
          <w:szCs w:val="21"/>
        </w:rPr>
      </w:pPr>
      <w:r>
        <w:rPr>
          <w:rFonts w:hint="eastAsia" w:ascii="宋体" w:hAnsi="宋体"/>
          <w:szCs w:val="21"/>
        </w:rPr>
        <w:t>7.基金托管人对基金投资流通受限证券的监督</w:t>
      </w:r>
    </w:p>
    <w:p w14:paraId="3FFF78AF">
      <w:pPr>
        <w:spacing w:line="440" w:lineRule="exact"/>
        <w:ind w:firstLine="451" w:firstLineChars="215"/>
        <w:rPr>
          <w:rFonts w:hint="eastAsia" w:ascii="宋体" w:hAnsi="宋体"/>
          <w:szCs w:val="21"/>
        </w:rPr>
      </w:pPr>
      <w:r>
        <w:rPr>
          <w:rFonts w:hint="eastAsia" w:ascii="宋体" w:hAnsi="宋体"/>
          <w:szCs w:val="21"/>
        </w:rPr>
        <w:t>如下所指“流通受限证券”与本协议以及基金合同所指“流动性受限资产”定义存在不同。就流动性受限资产定义，请参照基金合同的“释义”部分。</w:t>
      </w:r>
    </w:p>
    <w:p w14:paraId="2E4E74B1">
      <w:pPr>
        <w:spacing w:line="360" w:lineRule="auto"/>
        <w:ind w:firstLine="420" w:firstLineChars="200"/>
        <w:rPr>
          <w:rFonts w:hint="eastAsia" w:ascii="宋体" w:hAnsi="宋体"/>
          <w:szCs w:val="21"/>
        </w:rPr>
      </w:pPr>
      <w:r>
        <w:rPr>
          <w:rFonts w:hint="eastAsia" w:ascii="宋体" w:hAnsi="宋体"/>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18538DC6">
      <w:pPr>
        <w:spacing w:line="360" w:lineRule="auto"/>
        <w:ind w:firstLine="420" w:firstLineChars="200"/>
        <w:rPr>
          <w:rFonts w:hint="eastAsia" w:ascii="宋体" w:hAnsi="宋体"/>
          <w:szCs w:val="21"/>
        </w:rPr>
      </w:pPr>
      <w:r>
        <w:rPr>
          <w:rFonts w:hint="eastAsia" w:ascii="宋体" w:hAnsi="宋体"/>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7F94C3">
      <w:pPr>
        <w:spacing w:line="360" w:lineRule="auto"/>
        <w:ind w:firstLine="420" w:firstLineChars="200"/>
        <w:rPr>
          <w:rFonts w:hint="eastAsia" w:ascii="宋体" w:hAnsi="宋体"/>
          <w:szCs w:val="21"/>
        </w:rPr>
      </w:pPr>
      <w:r>
        <w:rPr>
          <w:rFonts w:hint="eastAsia" w:ascii="宋体" w:hAnsi="宋体"/>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40B4079">
      <w:pPr>
        <w:spacing w:line="360" w:lineRule="auto"/>
        <w:ind w:firstLine="420" w:firstLineChars="200"/>
        <w:rPr>
          <w:rFonts w:hint="eastAsia" w:ascii="宋体" w:hAnsi="宋体"/>
          <w:szCs w:val="21"/>
        </w:rPr>
      </w:pPr>
      <w:r>
        <w:rPr>
          <w:rFonts w:hint="eastAsia" w:ascii="宋体" w:hAnsi="宋体"/>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相应损失。对本基金因投资流通受限证券导致的流动性风险，基金托管人不承担相应责任。如因基金管理人原因导致本基金出现损失的，基金托管人不承担相应责任。</w:t>
      </w:r>
    </w:p>
    <w:p w14:paraId="6B30A8D6">
      <w:pPr>
        <w:spacing w:line="360" w:lineRule="auto"/>
        <w:ind w:firstLine="420" w:firstLineChars="200"/>
        <w:rPr>
          <w:rFonts w:hint="eastAsia" w:ascii="宋体" w:hAnsi="宋体"/>
          <w:szCs w:val="21"/>
        </w:rPr>
      </w:pPr>
      <w:r>
        <w:rPr>
          <w:rFonts w:hint="eastAsia" w:ascii="宋体" w:hAnsi="宋体"/>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427BC113">
      <w:pPr>
        <w:spacing w:line="360" w:lineRule="auto"/>
        <w:ind w:firstLine="420" w:firstLineChars="200"/>
        <w:rPr>
          <w:rFonts w:hint="eastAsia" w:ascii="宋体" w:hAnsi="宋体"/>
          <w:szCs w:val="21"/>
        </w:rPr>
      </w:pPr>
      <w:r>
        <w:rPr>
          <w:rFonts w:hint="eastAsia" w:ascii="宋体" w:hAnsi="宋体"/>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31366E42">
      <w:pPr>
        <w:spacing w:line="360" w:lineRule="auto"/>
        <w:ind w:firstLine="420" w:firstLineChars="200"/>
        <w:rPr>
          <w:rFonts w:hint="eastAsia" w:ascii="宋体" w:hAnsi="宋体"/>
          <w:szCs w:val="21"/>
        </w:rPr>
      </w:pPr>
      <w:r>
        <w:rPr>
          <w:rFonts w:hint="eastAsia" w:ascii="宋体" w:hAnsi="宋体"/>
          <w:szCs w:val="21"/>
        </w:rPr>
        <w:t>如基金管理人未遵守相关制度、流动性风险处置方案以及投资额度和比例限制要求，导致基金出现风险使基金托管人承担赔偿责任的，若基金托管人此前已切实履行监督职责的，基金管理人应赔偿基金托管人由此遭受的损失。</w:t>
      </w:r>
    </w:p>
    <w:p w14:paraId="1134A025">
      <w:pPr>
        <w:spacing w:line="360" w:lineRule="auto"/>
        <w:ind w:firstLine="420" w:firstLineChars="200"/>
        <w:rPr>
          <w:rFonts w:hint="eastAsia" w:ascii="宋体" w:hAnsi="宋体"/>
          <w:szCs w:val="21"/>
        </w:rPr>
      </w:pPr>
      <w:r>
        <w:rPr>
          <w:rFonts w:hint="eastAsia" w:ascii="宋体" w:hAnsi="宋体"/>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625765D8">
      <w:pPr>
        <w:spacing w:line="360" w:lineRule="auto"/>
        <w:ind w:firstLine="420" w:firstLineChars="200"/>
        <w:rPr>
          <w:rFonts w:hint="eastAsia" w:ascii="宋体" w:hAnsi="宋体"/>
          <w:szCs w:val="21"/>
        </w:rPr>
      </w:pPr>
      <w:r>
        <w:rPr>
          <w:rFonts w:hint="eastAsia" w:ascii="宋体" w:hAnsi="宋体"/>
          <w:szCs w:val="21"/>
        </w:rPr>
        <w:t>1）中国证监会批准发行非公开发行股票的批准文件。</w:t>
      </w:r>
    </w:p>
    <w:p w14:paraId="1CDACA81">
      <w:pPr>
        <w:spacing w:line="360" w:lineRule="auto"/>
        <w:ind w:firstLine="420" w:firstLineChars="200"/>
        <w:rPr>
          <w:rFonts w:hint="eastAsia" w:ascii="宋体" w:hAnsi="宋体"/>
          <w:szCs w:val="21"/>
        </w:rPr>
      </w:pPr>
      <w:r>
        <w:rPr>
          <w:rFonts w:hint="eastAsia" w:ascii="宋体" w:hAnsi="宋体"/>
          <w:szCs w:val="21"/>
        </w:rPr>
        <w:t>2）有关非公开发行股票的发行数量、发行价格、锁定期等发行资料。</w:t>
      </w:r>
    </w:p>
    <w:p w14:paraId="2BD52381">
      <w:pPr>
        <w:spacing w:line="360" w:lineRule="auto"/>
        <w:ind w:firstLine="420" w:firstLineChars="200"/>
        <w:rPr>
          <w:rFonts w:hint="eastAsia" w:ascii="宋体" w:hAnsi="宋体"/>
          <w:szCs w:val="21"/>
        </w:rPr>
      </w:pPr>
      <w:r>
        <w:rPr>
          <w:rFonts w:hint="eastAsia" w:ascii="宋体" w:hAnsi="宋体"/>
          <w:szCs w:val="21"/>
        </w:rPr>
        <w:t>3）基金拟认购的数量、价格、总成本、账面价值。</w:t>
      </w:r>
    </w:p>
    <w:p w14:paraId="25DDF521">
      <w:pPr>
        <w:spacing w:line="360" w:lineRule="auto"/>
        <w:ind w:firstLine="420" w:firstLineChars="200"/>
        <w:rPr>
          <w:rFonts w:hint="eastAsia" w:ascii="宋体" w:hAnsi="宋体"/>
          <w:szCs w:val="21"/>
        </w:rPr>
      </w:pPr>
      <w:r>
        <w:rPr>
          <w:rFonts w:hint="eastAsia" w:ascii="宋体" w:hAnsi="宋体"/>
          <w:szCs w:val="21"/>
        </w:rPr>
        <w:t>4）该基金投资流通受限证券的投资额度和投资比例控制。</w:t>
      </w:r>
    </w:p>
    <w:p w14:paraId="7DB30E89">
      <w:pPr>
        <w:spacing w:after="120" w:line="360" w:lineRule="auto"/>
        <w:ind w:firstLine="420" w:firstLineChars="200"/>
        <w:rPr>
          <w:rFonts w:hint="eastAsia" w:ascii="宋体" w:hAnsi="宋体"/>
          <w:szCs w:val="21"/>
        </w:rPr>
      </w:pPr>
      <w:r>
        <w:rPr>
          <w:rFonts w:hint="eastAsia" w:ascii="宋体" w:hAnsi="宋体"/>
          <w:szCs w:val="21"/>
        </w:rPr>
        <w:t>5）</w:t>
      </w:r>
      <w:r>
        <w:rPr>
          <w:rFonts w:hint="eastAsia" w:ascii="宋体" w:hAnsi="宋体" w:cs="宋体"/>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宋体" w:hAnsi="宋体"/>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相应责任，并有权报告中国证监会。</w:t>
      </w:r>
    </w:p>
    <w:p w14:paraId="75BBC23E">
      <w:pPr>
        <w:spacing w:after="120" w:line="360" w:lineRule="auto"/>
        <w:ind w:firstLine="420" w:firstLineChars="200"/>
        <w:rPr>
          <w:rFonts w:hint="eastAsia" w:ascii="宋体" w:hAnsi="宋体"/>
          <w:szCs w:val="21"/>
        </w:rPr>
      </w:pPr>
      <w:r>
        <w:rPr>
          <w:rFonts w:hint="eastAsia" w:ascii="宋体" w:hAnsi="宋体"/>
          <w:szCs w:val="21"/>
        </w:rPr>
        <w:t>如基金管理人和基金托管人无法就上述问题达成一致，应及时上报中国证监会请求解决。基金托管人履行了本协议规定的监督职责后，不承担相应责任。</w:t>
      </w:r>
    </w:p>
    <w:p w14:paraId="4737DEFC">
      <w:pPr>
        <w:widowControl/>
        <w:spacing w:line="360" w:lineRule="auto"/>
        <w:ind w:firstLine="420" w:firstLineChars="200"/>
        <w:jc w:val="left"/>
        <w:rPr>
          <w:rFonts w:hint="eastAsia" w:ascii="宋体" w:hAnsi="宋体"/>
          <w:szCs w:val="21"/>
        </w:rPr>
      </w:pPr>
      <w:r>
        <w:rPr>
          <w:rFonts w:hint="eastAsia" w:ascii="宋体" w:hAnsi="宋体"/>
          <w:szCs w:val="21"/>
        </w:rPr>
        <w:t>(5)相关法律法规对基金投资流通受限证券有新规定的，从其规定。</w:t>
      </w:r>
    </w:p>
    <w:p w14:paraId="32C0419D">
      <w:pPr>
        <w:widowControl/>
        <w:spacing w:line="360" w:lineRule="auto"/>
        <w:ind w:firstLine="420" w:firstLineChars="200"/>
        <w:jc w:val="left"/>
        <w:rPr>
          <w:rFonts w:hint="eastAsia" w:ascii="宋体" w:hAnsi="宋体"/>
          <w:szCs w:val="21"/>
        </w:rPr>
      </w:pPr>
      <w:r>
        <w:rPr>
          <w:rFonts w:hint="eastAsia" w:ascii="宋体" w:hAnsi="宋体"/>
          <w:szCs w:val="21"/>
        </w:rPr>
        <w:t>8.基金参与转融通证券出借业务，基金管理人应当遵守审慎经营原则，配备技术系统和专业人员，制定科学合理的投资策略和风险管理制度，完善业务流程，有效防范和控制风险。基金托管人将对基金参与出借业务的投资比例进行监督和复核。</w:t>
      </w:r>
    </w:p>
    <w:p w14:paraId="2F258756">
      <w:pPr>
        <w:spacing w:after="120" w:line="360" w:lineRule="auto"/>
        <w:ind w:firstLine="420" w:firstLineChars="200"/>
        <w:rPr>
          <w:rFonts w:hint="eastAsia" w:ascii="宋体" w:hAnsi="宋体"/>
          <w:szCs w:val="21"/>
        </w:rPr>
      </w:pPr>
      <w:r>
        <w:rPr>
          <w:rFonts w:hint="eastAsia" w:ascii="宋体" w:hAnsi="宋体"/>
          <w:szCs w:val="21"/>
        </w:rPr>
        <w:t>（二）基金托管人应当依照法律法规和基金合同约定，加强对侧袋机制启用、特定资产处置和信息披露等方面的复核和监督。</w:t>
      </w:r>
    </w:p>
    <w:p w14:paraId="1033A35E">
      <w:pPr>
        <w:spacing w:after="120" w:line="360" w:lineRule="auto"/>
        <w:ind w:firstLine="420" w:firstLineChars="200"/>
        <w:rPr>
          <w:rFonts w:hint="eastAsia" w:ascii="宋体" w:hAnsi="宋体"/>
          <w:szCs w:val="21"/>
        </w:rPr>
      </w:pPr>
      <w:r>
        <w:rPr>
          <w:rFonts w:hint="eastAsia" w:ascii="宋体" w:hAnsi="宋体"/>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如基金托管人经评估认为不满足监管机构规定和基金合同约定实施条件的，基金管理人不得启用侧袋机制。</w:t>
      </w:r>
    </w:p>
    <w:p w14:paraId="390CB725">
      <w:pPr>
        <w:spacing w:after="120" w:line="360" w:lineRule="auto"/>
        <w:ind w:firstLine="420" w:firstLineChars="200"/>
        <w:rPr>
          <w:rFonts w:hint="eastAsia" w:ascii="宋体" w:hAnsi="宋体"/>
          <w:szCs w:val="21"/>
        </w:rPr>
      </w:pPr>
      <w:bookmarkStart w:id="13" w:name="_Toc382819074"/>
      <w:r>
        <w:rPr>
          <w:rFonts w:hint="eastAsia" w:ascii="宋体" w:hAnsi="宋体"/>
          <w:szCs w:val="21"/>
        </w:rPr>
        <w:t>（三）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3"/>
    </w:p>
    <w:p w14:paraId="589D8B66">
      <w:pPr>
        <w:spacing w:after="120" w:line="360" w:lineRule="auto"/>
        <w:ind w:firstLine="420" w:firstLineChars="200"/>
        <w:rPr>
          <w:rFonts w:hint="eastAsia" w:ascii="宋体" w:hAnsi="宋体"/>
          <w:szCs w:val="21"/>
        </w:rPr>
      </w:pPr>
      <w:bookmarkStart w:id="14" w:name="_Toc382819075"/>
      <w:r>
        <w:rPr>
          <w:rFonts w:hint="eastAsia" w:ascii="宋体" w:hAnsi="宋体"/>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14:paraId="2DA0B285">
      <w:pPr>
        <w:spacing w:line="360" w:lineRule="auto"/>
        <w:ind w:firstLine="420" w:firstLineChars="200"/>
        <w:rPr>
          <w:rFonts w:hint="eastAsia" w:ascii="宋体" w:hAnsi="宋体"/>
          <w:szCs w:val="21"/>
        </w:rPr>
      </w:pPr>
      <w:r>
        <w:rPr>
          <w:rFonts w:hint="eastAsia" w:ascii="宋体" w:hAnsi="宋体"/>
          <w:szCs w:val="21"/>
        </w:rPr>
        <w:t>1.在限期内，基金托管人有权随时对通知事项进行复查，督促基金管理人改正。基金管理人对基金托管人通知的违规事项未能在限期内纠正的，基金托管人应报告中国证监会。</w:t>
      </w:r>
    </w:p>
    <w:p w14:paraId="2ADE11FE">
      <w:pPr>
        <w:spacing w:line="440" w:lineRule="exact"/>
        <w:ind w:firstLine="420" w:firstLineChars="200"/>
        <w:rPr>
          <w:rFonts w:hint="eastAsia" w:ascii="宋体" w:hAnsi="宋体"/>
          <w:szCs w:val="21"/>
        </w:rPr>
      </w:pPr>
      <w:r>
        <w:rPr>
          <w:rFonts w:hint="eastAsia" w:ascii="宋体" w:hAnsi="宋体"/>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2DAAE48F">
      <w:pPr>
        <w:spacing w:line="440" w:lineRule="exact"/>
        <w:ind w:firstLine="420" w:firstLineChars="200"/>
        <w:rPr>
          <w:rFonts w:hint="eastAsia" w:ascii="宋体" w:hAnsi="宋体"/>
          <w:szCs w:val="21"/>
        </w:rPr>
      </w:pPr>
      <w:r>
        <w:rPr>
          <w:rFonts w:hint="eastAsia" w:ascii="宋体" w:hAnsi="宋体"/>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C7203E1">
      <w:pPr>
        <w:spacing w:line="440" w:lineRule="exact"/>
        <w:ind w:firstLine="420" w:firstLineChars="200"/>
        <w:rPr>
          <w:rFonts w:hint="eastAsia" w:ascii="宋体" w:hAnsi="宋体"/>
          <w:szCs w:val="21"/>
        </w:rPr>
      </w:pPr>
      <w:r>
        <w:rPr>
          <w:rFonts w:hint="eastAsia" w:ascii="宋体" w:hAnsi="宋体"/>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1CA6DA1F">
      <w:pPr>
        <w:spacing w:line="440" w:lineRule="exact"/>
        <w:ind w:firstLine="420" w:firstLineChars="200"/>
        <w:rPr>
          <w:rFonts w:hint="eastAsia" w:ascii="宋体" w:hAnsi="宋体"/>
          <w:szCs w:val="21"/>
        </w:rPr>
      </w:pPr>
      <w:r>
        <w:rPr>
          <w:rFonts w:hint="eastAsia" w:ascii="宋体" w:hAnsi="宋体"/>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41C7D4DD">
      <w:pPr>
        <w:spacing w:line="440" w:lineRule="exact"/>
        <w:ind w:firstLine="420" w:firstLineChars="200"/>
        <w:rPr>
          <w:rFonts w:hint="eastAsia"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76E2EA8">
      <w:pPr>
        <w:spacing w:line="440" w:lineRule="exact"/>
        <w:ind w:firstLine="420" w:firstLineChars="200"/>
        <w:rPr>
          <w:rFonts w:hint="eastAsia" w:ascii="宋体" w:hAnsi="宋体"/>
          <w:szCs w:val="21"/>
        </w:rPr>
      </w:pPr>
    </w:p>
    <w:p w14:paraId="33566C8C">
      <w:pPr>
        <w:spacing w:before="312" w:beforeLines="100" w:after="312" w:afterLines="100" w:line="240" w:lineRule="atLeast"/>
        <w:jc w:val="center"/>
        <w:outlineLvl w:val="0"/>
        <w:rPr>
          <w:rFonts w:hint="eastAsia" w:ascii="宋体" w:hAnsi="宋体"/>
        </w:rPr>
      </w:pPr>
      <w:bookmarkStart w:id="15" w:name="_Toc382819076"/>
      <w:r>
        <w:rPr>
          <w:rFonts w:hint="eastAsia" w:ascii="宋体" w:hAnsi="宋体"/>
          <w:b/>
          <w:sz w:val="24"/>
        </w:rPr>
        <w:t>三、基金管理人对基金托管人的业务核查</w:t>
      </w:r>
      <w:bookmarkEnd w:id="15"/>
    </w:p>
    <w:p w14:paraId="1C711892">
      <w:pPr>
        <w:spacing w:line="360" w:lineRule="auto"/>
        <w:ind w:firstLine="420" w:firstLineChars="200"/>
        <w:rPr>
          <w:rFonts w:hint="eastAsia"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14:paraId="24B15CEE">
      <w:pPr>
        <w:spacing w:line="360" w:lineRule="auto"/>
        <w:ind w:firstLine="420" w:firstLineChars="200"/>
        <w:rPr>
          <w:rFonts w:hint="eastAsia"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F7111E3">
      <w:pPr>
        <w:spacing w:line="360" w:lineRule="auto"/>
        <w:ind w:firstLine="420" w:firstLineChars="200"/>
        <w:rPr>
          <w:rFonts w:hint="eastAsia"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14:paraId="76E12B44">
      <w:pPr>
        <w:spacing w:line="360" w:lineRule="auto"/>
        <w:ind w:firstLine="420" w:firstLineChars="200"/>
        <w:rPr>
          <w:rFonts w:hint="eastAsia" w:ascii="宋体" w:hAnsi="宋体"/>
          <w:szCs w:val="21"/>
        </w:rPr>
      </w:pPr>
      <w:bookmarkStart w:id="16" w:name="_Toc382819077"/>
      <w:bookmarkStart w:id="17" w:name="_Toc382818598"/>
      <w:r>
        <w:rPr>
          <w:rFonts w:hint="eastAsia" w:ascii="宋体" w:hAnsi="宋体"/>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52C18A32">
      <w:pPr>
        <w:spacing w:before="312" w:beforeLines="100" w:after="312" w:afterLines="100" w:line="240" w:lineRule="atLeast"/>
        <w:jc w:val="center"/>
        <w:outlineLvl w:val="0"/>
        <w:rPr>
          <w:rFonts w:hint="eastAsia" w:ascii="宋体" w:hAnsi="宋体"/>
        </w:rPr>
      </w:pPr>
      <w:bookmarkStart w:id="18" w:name="_Toc382819078"/>
      <w:r>
        <w:rPr>
          <w:rFonts w:hint="eastAsia" w:ascii="宋体" w:hAnsi="宋体"/>
          <w:b/>
          <w:sz w:val="24"/>
        </w:rPr>
        <w:t>四、基金财产保管</w:t>
      </w:r>
      <w:bookmarkEnd w:id="18"/>
    </w:p>
    <w:p w14:paraId="0E131655">
      <w:pPr>
        <w:pStyle w:val="4"/>
        <w:keepNext w:val="0"/>
        <w:keepLines w:val="0"/>
        <w:autoSpaceDE w:val="0"/>
        <w:autoSpaceDN w:val="0"/>
        <w:adjustRightInd w:val="0"/>
        <w:spacing w:before="0" w:after="0" w:line="360" w:lineRule="auto"/>
        <w:ind w:firstLine="315" w:firstLineChars="150"/>
        <w:textAlignment w:val="baseline"/>
        <w:rPr>
          <w:rFonts w:hint="eastAsia" w:ascii="宋体" w:hAnsi="宋体" w:eastAsia="宋体"/>
          <w:b w:val="0"/>
          <w:bCs w:val="0"/>
          <w:sz w:val="21"/>
          <w:szCs w:val="21"/>
        </w:rPr>
      </w:pPr>
      <w:bookmarkStart w:id="19" w:name="_Toc382819079"/>
      <w:r>
        <w:rPr>
          <w:rFonts w:hint="eastAsia" w:ascii="宋体" w:hAnsi="宋体" w:eastAsia="宋体"/>
          <w:b w:val="0"/>
          <w:bCs w:val="0"/>
          <w:sz w:val="21"/>
          <w:szCs w:val="21"/>
        </w:rPr>
        <w:t>（一）基金财产保管的原则</w:t>
      </w:r>
      <w:bookmarkEnd w:id="19"/>
    </w:p>
    <w:p w14:paraId="7C3F924B">
      <w:pPr>
        <w:spacing w:line="360" w:lineRule="auto"/>
        <w:ind w:firstLine="420" w:firstLineChars="200"/>
        <w:rPr>
          <w:rFonts w:hint="eastAsia" w:ascii="宋体" w:hAnsi="宋体"/>
          <w:szCs w:val="21"/>
        </w:rPr>
      </w:pPr>
      <w:r>
        <w:rPr>
          <w:rFonts w:hint="eastAsia" w:ascii="宋体" w:hAnsi="宋体"/>
          <w:szCs w:val="21"/>
        </w:rPr>
        <w:t>1.基金财产应独立于基金管理人、基金托管人、证券经纪机构的固有财产。</w:t>
      </w:r>
    </w:p>
    <w:p w14:paraId="59247F48">
      <w:pPr>
        <w:spacing w:line="360" w:lineRule="auto"/>
        <w:ind w:firstLine="420" w:firstLineChars="200"/>
        <w:rPr>
          <w:rFonts w:hint="eastAsia"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65C939BD">
      <w:pPr>
        <w:spacing w:line="360" w:lineRule="auto"/>
        <w:ind w:firstLine="420" w:firstLineChars="200"/>
        <w:rPr>
          <w:rFonts w:hint="eastAsia" w:ascii="宋体" w:hAnsi="宋体"/>
          <w:szCs w:val="21"/>
        </w:rPr>
      </w:pPr>
      <w:r>
        <w:rPr>
          <w:rFonts w:hint="eastAsia" w:ascii="宋体" w:hAnsi="宋体"/>
          <w:szCs w:val="21"/>
        </w:rPr>
        <w:t>3.基金托管人按照规定为托管的基金财产开设资金账户和证券账户及投资所需其他账户。</w:t>
      </w:r>
    </w:p>
    <w:p w14:paraId="09588A29">
      <w:pPr>
        <w:spacing w:line="360" w:lineRule="auto"/>
        <w:ind w:firstLine="420" w:firstLineChars="200"/>
        <w:rPr>
          <w:rFonts w:hint="eastAsia"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14:paraId="00AF9A99">
      <w:pPr>
        <w:spacing w:line="360" w:lineRule="auto"/>
        <w:ind w:firstLine="420" w:firstLineChars="200"/>
        <w:rPr>
          <w:rFonts w:hint="eastAsia"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741FCB59">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37BD2D3B">
      <w:pPr>
        <w:spacing w:line="360" w:lineRule="auto"/>
        <w:ind w:firstLine="420" w:firstLineChars="200"/>
        <w:rPr>
          <w:rFonts w:hint="eastAsia" w:ascii="宋体" w:hAnsi="宋体"/>
          <w:szCs w:val="21"/>
        </w:rPr>
      </w:pPr>
      <w:r>
        <w:rPr>
          <w:rFonts w:ascii="宋体" w:hAnsi="宋体"/>
          <w:szCs w:val="21"/>
        </w:rPr>
        <w:t>7</w:t>
      </w:r>
      <w:r>
        <w:rPr>
          <w:rFonts w:hint="eastAsia" w:ascii="宋体" w:hAnsi="宋体"/>
          <w:szCs w:val="21"/>
        </w:rPr>
        <w:t>.除依据法律法规和基金合同的规定外，基金托管人不得委托第三人托管基金财产。</w:t>
      </w:r>
    </w:p>
    <w:p w14:paraId="38F459AD">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20" w:name="_Toc382819080"/>
      <w:r>
        <w:rPr>
          <w:rFonts w:hint="eastAsia" w:ascii="宋体" w:hAnsi="宋体" w:eastAsia="宋体"/>
          <w:b w:val="0"/>
          <w:bCs w:val="0"/>
          <w:sz w:val="21"/>
          <w:szCs w:val="21"/>
        </w:rPr>
        <w:t>（二）募集资金的验证</w:t>
      </w:r>
      <w:bookmarkEnd w:id="20"/>
    </w:p>
    <w:p w14:paraId="6D8D772F">
      <w:pPr>
        <w:spacing w:line="360" w:lineRule="auto"/>
        <w:ind w:firstLine="420" w:firstLineChars="200"/>
        <w:rPr>
          <w:rFonts w:hint="eastAsia" w:ascii="宋体" w:hAnsi="宋体"/>
          <w:szCs w:val="21"/>
        </w:rPr>
      </w:pPr>
      <w:r>
        <w:rPr>
          <w:rFonts w:hint="eastAsia" w:ascii="宋体" w:hAnsi="宋体"/>
          <w:szCs w:val="21"/>
        </w:rPr>
        <w:t>募集期内销售机构按销售与服务代理协议的约定，将认购资金划入基金管理人在具有托管资格的商业银行开设的博时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7C35C330">
      <w:pPr>
        <w:spacing w:line="360" w:lineRule="auto"/>
        <w:ind w:firstLine="420" w:firstLineChars="200"/>
        <w:rPr>
          <w:rFonts w:hint="eastAsia" w:ascii="宋体" w:hAnsi="宋体" w:cs="Arial"/>
          <w:szCs w:val="21"/>
        </w:rPr>
      </w:pPr>
      <w:r>
        <w:rPr>
          <w:rFonts w:hint="eastAsia" w:ascii="宋体" w:hAnsi="宋体" w:cs="Arial"/>
          <w:szCs w:val="21"/>
        </w:rPr>
        <w:t>若基金募集期限届满，未能达到《基金合同》备案的条件，由基金管理人按规定办理退款事宜，基金托管人应提供必要的配合。</w:t>
      </w:r>
    </w:p>
    <w:p w14:paraId="13CA9EEB">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21" w:name="_Toc382819081"/>
      <w:r>
        <w:rPr>
          <w:rFonts w:hint="eastAsia" w:ascii="宋体" w:hAnsi="宋体" w:eastAsia="宋体"/>
          <w:b w:val="0"/>
          <w:bCs w:val="0"/>
          <w:sz w:val="21"/>
          <w:szCs w:val="21"/>
        </w:rPr>
        <w:t>（三）基金资产托管专户的开立和管理</w:t>
      </w:r>
      <w:bookmarkEnd w:id="21"/>
    </w:p>
    <w:p w14:paraId="6C972E16">
      <w:pPr>
        <w:spacing w:line="360" w:lineRule="auto"/>
        <w:ind w:firstLine="420" w:firstLineChars="200"/>
        <w:rPr>
          <w:rFonts w:hint="eastAsia" w:ascii="宋体" w:hAnsi="宋体"/>
          <w:szCs w:val="21"/>
        </w:rPr>
      </w:pPr>
      <w:r>
        <w:rPr>
          <w:rFonts w:hint="eastAsia" w:ascii="宋体" w:hAnsi="宋体"/>
          <w:szCs w:val="21"/>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0C05AABD">
      <w:pPr>
        <w:spacing w:line="360" w:lineRule="auto"/>
        <w:ind w:firstLine="420" w:firstLineChars="200"/>
        <w:rPr>
          <w:rFonts w:hint="eastAsia" w:ascii="宋体" w:hAnsi="宋体"/>
          <w:szCs w:val="21"/>
        </w:rPr>
      </w:pPr>
      <w:r>
        <w:rPr>
          <w:rFonts w:hint="eastAsia" w:ascii="宋体" w:hAnsi="宋体"/>
          <w:szCs w:val="21"/>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5A8EF44E">
      <w:pPr>
        <w:spacing w:line="360" w:lineRule="auto"/>
        <w:ind w:firstLine="420" w:firstLineChars="200"/>
        <w:rPr>
          <w:rFonts w:hint="eastAsia" w:ascii="宋体" w:hAnsi="宋体"/>
          <w:szCs w:val="21"/>
        </w:rPr>
      </w:pPr>
      <w:r>
        <w:rPr>
          <w:rFonts w:hint="eastAsia" w:ascii="宋体" w:hAnsi="宋体"/>
          <w:szCs w:val="21"/>
        </w:rPr>
        <w:t>3.资产托管专户的管理应符合《人民币银行结算账户管理办法》、《现金管理暂行条例》、《人民币利率管理规定》、《利率管理暂行规定》、《支付结算办法》以及银行业监督管理机构的其他有关规定。</w:t>
      </w:r>
    </w:p>
    <w:p w14:paraId="1ED4AAA8">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22" w:name="_Toc382819082"/>
      <w:r>
        <w:rPr>
          <w:rFonts w:hint="eastAsia" w:ascii="宋体" w:hAnsi="宋体" w:eastAsia="宋体"/>
          <w:b w:val="0"/>
          <w:bCs w:val="0"/>
          <w:sz w:val="21"/>
          <w:szCs w:val="21"/>
        </w:rPr>
        <w:t>（四）基金证券账户与证券交易资金账户的开设和管理</w:t>
      </w:r>
      <w:bookmarkEnd w:id="22"/>
    </w:p>
    <w:p w14:paraId="0DE56451">
      <w:pPr>
        <w:tabs>
          <w:tab w:val="left" w:pos="4680"/>
        </w:tabs>
        <w:spacing w:line="360" w:lineRule="auto"/>
        <w:ind w:firstLine="420" w:firstLineChars="200"/>
        <w:rPr>
          <w:rFonts w:hint="eastAsia" w:ascii="宋体" w:hAnsi="宋体"/>
          <w:szCs w:val="21"/>
        </w:rPr>
      </w:pPr>
      <w:r>
        <w:rPr>
          <w:rFonts w:hint="eastAsia" w:ascii="宋体" w:hAnsi="宋体"/>
          <w:szCs w:val="21"/>
        </w:rPr>
        <w:t>1．基金托管人以基金托管人和本基金联名的方式在中国证券登记结算有限责任公司开立专门的证券账户。</w:t>
      </w:r>
    </w:p>
    <w:p w14:paraId="2BCFD3F4">
      <w:pPr>
        <w:spacing w:line="360" w:lineRule="auto"/>
        <w:ind w:firstLine="420" w:firstLineChars="200"/>
        <w:rPr>
          <w:rFonts w:hint="eastAsia" w:ascii="宋体" w:hAnsi="宋体"/>
          <w:szCs w:val="21"/>
        </w:rPr>
      </w:pPr>
      <w:r>
        <w:rPr>
          <w:rFonts w:hint="eastAsia" w:ascii="宋体" w:hAnsi="宋体"/>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72048B4">
      <w:pPr>
        <w:spacing w:line="360" w:lineRule="auto"/>
        <w:ind w:firstLine="420" w:firstLineChars="200"/>
        <w:rPr>
          <w:rFonts w:hint="eastAsia" w:ascii="宋体" w:hAnsi="宋体"/>
          <w:szCs w:val="21"/>
        </w:rPr>
      </w:pPr>
      <w:r>
        <w:rPr>
          <w:rFonts w:hint="eastAsia" w:ascii="宋体" w:hAnsi="宋体"/>
          <w:szCs w:val="21"/>
        </w:rPr>
        <w:t>3.基金证券账户的开立由基金托管人负责，账户资产的管理和运用由基金管理人负责。</w:t>
      </w:r>
    </w:p>
    <w:p w14:paraId="2949E00C">
      <w:pPr>
        <w:spacing w:line="360" w:lineRule="auto"/>
        <w:ind w:firstLine="420" w:firstLineChars="200"/>
        <w:rPr>
          <w:rFonts w:hint="eastAsia" w:ascii="宋体" w:hAnsi="宋体"/>
          <w:szCs w:val="21"/>
        </w:rPr>
      </w:pPr>
      <w:r>
        <w:rPr>
          <w:rFonts w:hint="eastAsia" w:ascii="宋体" w:hAnsi="宋体"/>
          <w:szCs w:val="21"/>
        </w:rPr>
        <w:t>4. 基金管理人为基金财产在证券经纪机构开立证券交易资金账户，用于基金财产证券交易结算资金的存管、记载交易结算资金的变动明细以及场内证券交易清算，并与基金托管人开立的基金托管账户建立第三方存管关系。</w:t>
      </w:r>
    </w:p>
    <w:p w14:paraId="2AB7BFE1">
      <w:pPr>
        <w:spacing w:line="360" w:lineRule="auto"/>
        <w:ind w:firstLine="422" w:firstLineChars="200"/>
        <w:rPr>
          <w:rFonts w:hint="eastAsia" w:ascii="宋体" w:hAnsi="宋体"/>
          <w:szCs w:val="21"/>
        </w:rPr>
      </w:pPr>
      <w:bookmarkStart w:id="23" w:name="_Toc382819083"/>
      <w:r>
        <w:rPr>
          <w:rFonts w:hint="eastAsia" w:ascii="宋体" w:hAnsi="宋体"/>
          <w:b/>
          <w:bCs/>
          <w:szCs w:val="21"/>
        </w:rPr>
        <w:t>（五）银行间市场债券托管和资金结算专户的开立和管理及市场准入备案</w:t>
      </w:r>
      <w:bookmarkEnd w:id="23"/>
    </w:p>
    <w:p w14:paraId="47FC23D6">
      <w:pPr>
        <w:spacing w:line="360" w:lineRule="auto"/>
        <w:ind w:firstLine="420" w:firstLineChars="200"/>
        <w:rPr>
          <w:rFonts w:hint="eastAsia" w:ascii="宋体" w:hAnsi="宋体"/>
          <w:szCs w:val="21"/>
        </w:rPr>
      </w:pPr>
      <w:bookmarkStart w:id="24"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14:paraId="6F3DAF86">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szCs w:val="21"/>
        </w:rPr>
      </w:pPr>
      <w:r>
        <w:rPr>
          <w:rFonts w:hint="eastAsia" w:ascii="宋体" w:hAnsi="宋体" w:eastAsia="宋体"/>
          <w:b w:val="0"/>
          <w:bCs w:val="0"/>
          <w:sz w:val="21"/>
          <w:szCs w:val="21"/>
        </w:rPr>
        <w:t>（六）其他账户的开设和管理</w:t>
      </w:r>
    </w:p>
    <w:p w14:paraId="10F11FC0">
      <w:pPr>
        <w:tabs>
          <w:tab w:val="left" w:pos="4680"/>
        </w:tabs>
        <w:spacing w:line="360" w:lineRule="auto"/>
        <w:ind w:firstLine="420" w:firstLineChars="200"/>
        <w:rPr>
          <w:rFonts w:hint="eastAsia" w:ascii="宋体" w:hAnsi="宋体"/>
          <w:szCs w:val="21"/>
        </w:rPr>
      </w:pPr>
      <w:r>
        <w:rPr>
          <w:rFonts w:hint="eastAsia"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14:paraId="29244F9B">
      <w:pPr>
        <w:tabs>
          <w:tab w:val="left" w:pos="4680"/>
        </w:tabs>
        <w:spacing w:line="360" w:lineRule="auto"/>
        <w:ind w:firstLine="420" w:firstLineChars="200"/>
        <w:rPr>
          <w:rFonts w:hint="eastAsia" w:ascii="宋体" w:hAnsi="宋体"/>
          <w:szCs w:val="21"/>
        </w:rPr>
      </w:pPr>
      <w:r>
        <w:rPr>
          <w:rFonts w:hint="eastAsia" w:ascii="宋体" w:hAnsi="宋体"/>
          <w:szCs w:val="21"/>
        </w:rPr>
        <w:t>2、法律、法规等有关规定对相关账户的开立和管理另有规定的，从其规定办理。</w:t>
      </w:r>
    </w:p>
    <w:p w14:paraId="71F9A3DA">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25" w:name="_Toc382819085"/>
      <w:r>
        <w:rPr>
          <w:rFonts w:hint="eastAsia" w:ascii="宋体" w:hAnsi="宋体" w:eastAsia="宋体"/>
          <w:b w:val="0"/>
          <w:bCs w:val="0"/>
          <w:sz w:val="21"/>
          <w:szCs w:val="21"/>
        </w:rPr>
        <w:t>（七）基金投资银行存款账户的开立和管理</w:t>
      </w:r>
      <w:bookmarkEnd w:id="25"/>
    </w:p>
    <w:p w14:paraId="5F8BEF9B">
      <w:pPr>
        <w:tabs>
          <w:tab w:val="left" w:pos="4680"/>
        </w:tabs>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基金投资银行定期存款应由基金管理人与存款银行总行或其授权分行签订总体合作协议，并将资金存放于存款银行总行或其授权分行指定的分支机构。</w:t>
      </w:r>
    </w:p>
    <w:p w14:paraId="53F4307D">
      <w:pPr>
        <w:tabs>
          <w:tab w:val="left" w:pos="4680"/>
        </w:tabs>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存款账户必须以基金名义开立，账户名称为基金名称，存款账户开户文件上加盖预留印鉴及基金管理人公章。</w:t>
      </w:r>
    </w:p>
    <w:p w14:paraId="75A1ADB4">
      <w:pPr>
        <w:tabs>
          <w:tab w:val="left" w:pos="4680"/>
        </w:tabs>
        <w:spacing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本基金投资银行存款时，基金管理人应当与存款银行签订具体存款协议，明确存款的类型、期限、利率、金额、账号、对账方式、支取方式、账户管理等细则。</w:t>
      </w:r>
    </w:p>
    <w:p w14:paraId="468331CC">
      <w:pPr>
        <w:tabs>
          <w:tab w:val="left" w:pos="4680"/>
        </w:tabs>
        <w:spacing w:line="360"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为防范特殊情况下的流动性风险，定期存款协议中应当约定提前支取条款。</w:t>
      </w:r>
    </w:p>
    <w:p w14:paraId="23CFC0A8">
      <w:pPr>
        <w:tabs>
          <w:tab w:val="left" w:pos="4680"/>
        </w:tabs>
        <w:spacing w:line="360" w:lineRule="auto"/>
        <w:ind w:firstLine="420" w:firstLineChars="200"/>
        <w:rPr>
          <w:rFonts w:hint="eastAsia" w:ascii="宋体" w:hAnsi="宋体"/>
          <w:szCs w:val="21"/>
        </w:rPr>
      </w:pPr>
      <w:bookmarkStart w:id="26" w:name="_Toc382819086"/>
      <w:r>
        <w:rPr>
          <w:rFonts w:hint="eastAsia" w:ascii="宋体" w:hAnsi="宋体"/>
          <w:szCs w:val="21"/>
        </w:rPr>
        <w:t>5</w:t>
      </w:r>
      <w:r>
        <w:rPr>
          <w:rFonts w:ascii="宋体" w:hAnsi="宋体"/>
          <w:szCs w:val="21"/>
        </w:rPr>
        <w:t>.</w:t>
      </w:r>
      <w:r>
        <w:rPr>
          <w:rFonts w:hint="eastAsia" w:ascii="宋体" w:hAnsi="宋体"/>
          <w:szCs w:val="21"/>
        </w:rPr>
        <w:t>基金所投资定期存款存续期间，基金管理人、基金托管人应当与存款银行建立定期对账机制，确保基金银行存款业务账目及核对的真实、准确。</w:t>
      </w:r>
      <w:bookmarkEnd w:id="26"/>
    </w:p>
    <w:p w14:paraId="4A8B596D">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27" w:name="_Toc382819087"/>
      <w:r>
        <w:rPr>
          <w:rFonts w:hint="eastAsia" w:ascii="宋体" w:hAnsi="宋体" w:eastAsia="宋体"/>
          <w:b w:val="0"/>
          <w:bCs w:val="0"/>
          <w:sz w:val="21"/>
          <w:szCs w:val="21"/>
        </w:rPr>
        <w:t>（八）基金财产投资的有关实物证券、银行定期存款存单等有价凭证的保管</w:t>
      </w:r>
      <w:bookmarkEnd w:id="27"/>
    </w:p>
    <w:p w14:paraId="45209700">
      <w:pPr>
        <w:spacing w:line="360" w:lineRule="auto"/>
        <w:ind w:firstLine="420" w:firstLineChars="200"/>
        <w:rPr>
          <w:rFonts w:hint="eastAsia" w:ascii="宋体" w:hAnsi="宋体"/>
          <w:szCs w:val="21"/>
        </w:rPr>
      </w:pPr>
      <w:r>
        <w:rPr>
          <w:rFonts w:hint="eastAsia" w:ascii="宋体" w:hAnsi="宋体"/>
          <w:szCs w:val="21"/>
        </w:rPr>
        <w:t>基金财产投资的有关实物证券、银行定期存款存单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3A5D32C2">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b w:val="0"/>
          <w:bCs w:val="0"/>
          <w:szCs w:val="21"/>
        </w:rPr>
      </w:pPr>
      <w:r>
        <w:rPr>
          <w:rFonts w:hint="eastAsia" w:ascii="宋体" w:hAnsi="宋体" w:eastAsia="宋体"/>
          <w:b w:val="0"/>
          <w:bCs w:val="0"/>
          <w:sz w:val="21"/>
          <w:szCs w:val="21"/>
        </w:rPr>
        <w:t>（九）与基金财产有关的重大合同的保管</w:t>
      </w:r>
    </w:p>
    <w:p w14:paraId="550B2AB7">
      <w:pPr>
        <w:spacing w:line="360" w:lineRule="auto"/>
        <w:ind w:firstLine="420" w:firstLineChars="200"/>
        <w:rPr>
          <w:rFonts w:hint="eastAsia"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尽量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50C30252">
      <w:pPr>
        <w:spacing w:line="360" w:lineRule="auto"/>
        <w:ind w:firstLine="420" w:firstLineChars="200"/>
        <w:rPr>
          <w:rFonts w:hint="eastAsia"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14:paraId="16393672">
      <w:pPr>
        <w:spacing w:before="312" w:beforeLines="100" w:after="312" w:afterLines="100" w:line="240" w:lineRule="atLeast"/>
        <w:jc w:val="center"/>
        <w:outlineLvl w:val="0"/>
        <w:rPr>
          <w:rFonts w:hint="eastAsia" w:ascii="宋体" w:hAnsi="宋体"/>
        </w:rPr>
      </w:pPr>
      <w:bookmarkStart w:id="28" w:name="_Toc382819088"/>
      <w:r>
        <w:rPr>
          <w:rFonts w:hint="eastAsia" w:ascii="宋体" w:hAnsi="宋体"/>
          <w:b/>
          <w:sz w:val="24"/>
        </w:rPr>
        <w:t>五、指令的发送、确认和执行</w:t>
      </w:r>
      <w:bookmarkEnd w:id="28"/>
    </w:p>
    <w:p w14:paraId="19642257">
      <w:pPr>
        <w:spacing w:line="360" w:lineRule="auto"/>
        <w:ind w:firstLine="420" w:firstLineChars="200"/>
        <w:rPr>
          <w:rFonts w:hint="eastAsia" w:ascii="宋体" w:hAnsi="宋体"/>
          <w:szCs w:val="21"/>
        </w:rPr>
      </w:pPr>
      <w:bookmarkStart w:id="29" w:name="_Toc382819089"/>
      <w:r>
        <w:rPr>
          <w:rFonts w:hint="eastAsia" w:ascii="宋体" w:hAnsi="宋体"/>
          <w:szCs w:val="21"/>
        </w:rPr>
        <w:t>基金管理人在运用基金财产时，开展场内证券交易前，基金管理人通过基金托管账户与证券交易资金账户已建立的第三方存管系统在基金托管账户与证券交易资金账户之间划款，即银证互转；或由基金托管人根据基金管理人的划款指令执行银证互转。</w:t>
      </w:r>
    </w:p>
    <w:p w14:paraId="05EF736F">
      <w:pPr>
        <w:spacing w:line="360" w:lineRule="auto"/>
        <w:ind w:firstLine="420" w:firstLineChars="200"/>
        <w:rPr>
          <w:rFonts w:hint="eastAsia" w:ascii="宋体" w:hAnsi="宋体"/>
          <w:szCs w:val="21"/>
        </w:rPr>
      </w:pPr>
      <w:r>
        <w:rPr>
          <w:rFonts w:hint="eastAsia" w:ascii="宋体" w:hAnsi="宋体"/>
          <w:szCs w:val="21"/>
        </w:rPr>
        <w:t>基金管理人在运用基金财产时向基金托管人发送场外资金划拨及其他款项付款指令，基金托管人执行基金管理人合法合规且符合本协议相关约定的指令、办理基金名下的资金往来等有关事项。</w:t>
      </w:r>
      <w:bookmarkEnd w:id="29"/>
    </w:p>
    <w:p w14:paraId="6F62FD6A">
      <w:pPr>
        <w:spacing w:line="360" w:lineRule="auto"/>
        <w:ind w:firstLine="420" w:firstLineChars="200"/>
        <w:rPr>
          <w:rFonts w:hint="eastAsia" w:ascii="宋体" w:hAnsi="宋体"/>
          <w:szCs w:val="21"/>
        </w:rPr>
      </w:pPr>
      <w:r>
        <w:rPr>
          <w:rFonts w:hint="eastAsia" w:ascii="宋体" w:hAnsi="宋体"/>
          <w:szCs w:val="21"/>
        </w:rPr>
        <w:t>基金管理人发送的指令包括电子指令、纸质指令以及双方约定的其他方式发送的指令。</w:t>
      </w:r>
    </w:p>
    <w:p w14:paraId="35997EDC">
      <w:pPr>
        <w:spacing w:line="360" w:lineRule="auto"/>
        <w:ind w:firstLine="420" w:firstLineChars="200"/>
        <w:rPr>
          <w:rFonts w:hint="eastAsia" w:ascii="宋体" w:hAnsi="宋体"/>
          <w:szCs w:val="21"/>
        </w:rPr>
      </w:pPr>
      <w:r>
        <w:rPr>
          <w:rFonts w:hint="eastAsia" w:ascii="宋体" w:hAnsi="宋体"/>
          <w:szCs w:val="21"/>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14:paraId="4B1359E0">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0" w:name="_Toc382819090"/>
      <w:r>
        <w:rPr>
          <w:rFonts w:hint="eastAsia" w:ascii="宋体" w:hAnsi="宋体" w:eastAsia="宋体"/>
          <w:b w:val="0"/>
          <w:bCs w:val="0"/>
          <w:sz w:val="21"/>
          <w:szCs w:val="21"/>
        </w:rPr>
        <w:t>（一）基金管理人对发送指令人员的书面授权</w:t>
      </w:r>
      <w:bookmarkEnd w:id="30"/>
    </w:p>
    <w:p w14:paraId="01B2FB45">
      <w:pPr>
        <w:spacing w:line="360" w:lineRule="auto"/>
        <w:ind w:firstLine="420" w:firstLineChars="200"/>
        <w:rPr>
          <w:rFonts w:hint="eastAsia" w:ascii="宋体" w:hAnsi="宋体"/>
          <w:szCs w:val="21"/>
        </w:rPr>
      </w:pPr>
      <w:bookmarkStart w:id="31" w:name="_Toc382819091"/>
      <w:bookmarkStart w:id="32" w:name="_Toc38281860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hint="eastAsia" w:ascii="宋体" w:hAnsi="宋体"/>
          <w:szCs w:val="21"/>
        </w:rPr>
        <w:t>基金管理人的划款指令授权书由基金管理人的法定代表人或其授权代理人签署并加盖公章，若由授权代理人签署的，还应附上法定代表人的授权书。基金管理人应保证其提供的划款指令授权书中被授权人个人信息已获得被授权人的同意。基金托管人在收到授权书当日回函或回电向基金管理人确认。划款指令授权书无论是在本基金成立还是后续更新时，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1"/>
      <w:bookmarkEnd w:id="32"/>
      <w:r>
        <w:rPr>
          <w:rFonts w:hint="eastAsia" w:ascii="宋体" w:hAnsi="宋体"/>
          <w:szCs w:val="21"/>
        </w:rPr>
        <w:t>，但法律法规或有权机关另有要求的除外。</w:t>
      </w:r>
    </w:p>
    <w:p w14:paraId="594B996F">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3" w:name="_Toc382819092"/>
      <w:r>
        <w:rPr>
          <w:rFonts w:hint="eastAsia" w:ascii="宋体" w:hAnsi="宋体" w:eastAsia="宋体"/>
          <w:b w:val="0"/>
          <w:bCs w:val="0"/>
          <w:sz w:val="21"/>
          <w:szCs w:val="21"/>
        </w:rPr>
        <w:t>（二）指令的内容</w:t>
      </w:r>
      <w:bookmarkEnd w:id="33"/>
    </w:p>
    <w:p w14:paraId="72EA3D4C">
      <w:pPr>
        <w:tabs>
          <w:tab w:val="left" w:pos="4680"/>
        </w:tabs>
        <w:spacing w:line="360" w:lineRule="auto"/>
        <w:ind w:firstLine="420" w:firstLineChars="200"/>
        <w:rPr>
          <w:rFonts w:hint="eastAsia"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37F923A3">
      <w:pPr>
        <w:tabs>
          <w:tab w:val="left" w:pos="4680"/>
        </w:tabs>
        <w:spacing w:line="360" w:lineRule="auto"/>
        <w:ind w:firstLine="420" w:firstLineChars="200"/>
        <w:rPr>
          <w:rFonts w:hint="eastAsia"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2．基金管理人发给基金托管人的指令应写明付款账号、付款户名、开户行、收款账号、收款户名、开户行、款项事由、支付时间、到账时间、金额、账户等，加盖预留印鉴并有被授权人签字。</w:t>
      </w:r>
    </w:p>
    <w:p w14:paraId="587B153C">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4" w:name="_Toc382819093"/>
      <w:r>
        <w:rPr>
          <w:rFonts w:hint="eastAsia" w:ascii="宋体" w:hAnsi="宋体" w:eastAsia="宋体"/>
          <w:b w:val="0"/>
          <w:bCs w:val="0"/>
          <w:sz w:val="21"/>
          <w:szCs w:val="21"/>
        </w:rPr>
        <w:t>（三）指令的发送、确认和执行的时间和程序</w:t>
      </w:r>
      <w:bookmarkEnd w:id="34"/>
    </w:p>
    <w:p w14:paraId="72CF5FB4">
      <w:pPr>
        <w:spacing w:after="120" w:line="360" w:lineRule="auto"/>
        <w:ind w:firstLine="420" w:firstLineChars="200"/>
        <w:rPr>
          <w:rFonts w:hint="eastAsia" w:ascii="宋体" w:hAnsi="宋体"/>
          <w:szCs w:val="21"/>
        </w:rPr>
      </w:pPr>
      <w:r>
        <w:rPr>
          <w:rFonts w:hint="eastAsia" w:ascii="宋体" w:hAnsi="宋体"/>
          <w:szCs w:val="21"/>
        </w:rPr>
        <w:t>1.指令由基金管理人通过</w:t>
      </w:r>
      <w:r>
        <w:rPr>
          <w:rFonts w:ascii="Tahoma" w:hAnsi="Tahoma" w:cs="Tahoma"/>
          <w:color w:val="000000"/>
          <w:sz w:val="20"/>
          <w:szCs w:val="20"/>
          <w:shd w:val="clear" w:color="auto" w:fill="FFFEF6"/>
        </w:rPr>
        <w:t>电子指令等双方约定的方式</w:t>
      </w:r>
      <w:r>
        <w:rPr>
          <w:rFonts w:hint="eastAsia" w:ascii="宋体" w:hAnsi="宋体"/>
          <w:szCs w:val="21"/>
        </w:rPr>
        <w:t>向基金托管人发送。基金管理人有义务在发送指令后及时与基金托管人进行确认，因基金管理人未能及时与基金托管人进行指令确认,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新股、新债、增发等申购指令）应在15点（指令截止时间）前提交托管人，如基金管理人要求当天某一时点到账，则指令需提前2个工作小时(工作时间9点至11点30分,13点至17点)提交基金托管人。</w:t>
      </w:r>
    </w:p>
    <w:p w14:paraId="0322083E">
      <w:pPr>
        <w:spacing w:after="120" w:line="360" w:lineRule="auto"/>
        <w:ind w:firstLine="420" w:firstLineChars="200"/>
        <w:rPr>
          <w:rFonts w:hint="eastAsia" w:ascii="宋体" w:hAnsi="宋体"/>
          <w:szCs w:val="21"/>
        </w:rPr>
      </w:pPr>
      <w:r>
        <w:rPr>
          <w:rFonts w:hint="eastAsia" w:ascii="宋体" w:hAnsi="宋体"/>
          <w:szCs w:val="21"/>
        </w:rPr>
        <w:t>2.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6FA801A1">
      <w:pPr>
        <w:spacing w:after="120" w:line="360" w:lineRule="auto"/>
        <w:ind w:firstLine="420" w:firstLineChars="200"/>
        <w:rPr>
          <w:rFonts w:hint="eastAsia" w:ascii="宋体" w:hAnsi="宋体"/>
          <w:szCs w:val="21"/>
        </w:rPr>
      </w:pPr>
      <w:r>
        <w:rPr>
          <w:rFonts w:hint="eastAsia" w:ascii="宋体" w:hAnsi="宋体"/>
          <w:szCs w:val="21"/>
        </w:rPr>
        <w:t>3.如划款指令中给予基金托管人的划拨时间小于2个工作小时或晚于前述指令截至时间的，基金托管人应尽力在指定时间内完成资金划拨,但不承担因时间不足导致执行失败的责任。</w:t>
      </w:r>
    </w:p>
    <w:p w14:paraId="60FD9872">
      <w:pPr>
        <w:spacing w:after="120" w:line="360" w:lineRule="auto"/>
        <w:ind w:firstLine="420" w:firstLineChars="200"/>
        <w:rPr>
          <w:rFonts w:hint="eastAsia" w:ascii="宋体" w:hAnsi="宋体"/>
          <w:szCs w:val="21"/>
        </w:rPr>
      </w:pPr>
      <w:r>
        <w:rPr>
          <w:rFonts w:hint="eastAsia" w:ascii="宋体" w:hAnsi="宋体"/>
          <w:szCs w:val="21"/>
        </w:rPr>
        <w:t>4.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4B884A9B">
      <w:pPr>
        <w:spacing w:line="360" w:lineRule="auto"/>
        <w:ind w:firstLine="420" w:firstLineChars="200"/>
        <w:rPr>
          <w:rFonts w:hint="eastAsia" w:ascii="宋体" w:hAnsi="宋体"/>
          <w:szCs w:val="21"/>
        </w:rPr>
      </w:pPr>
      <w:r>
        <w:rPr>
          <w:rFonts w:hint="eastAsia" w:ascii="宋体" w:hAnsi="宋体"/>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1BE358F2">
      <w:pPr>
        <w:spacing w:line="360" w:lineRule="auto"/>
        <w:ind w:firstLine="420" w:firstLineChars="200"/>
        <w:rPr>
          <w:rFonts w:hint="eastAsia" w:ascii="宋体" w:hAnsi="宋体"/>
          <w:szCs w:val="21"/>
        </w:rPr>
      </w:pPr>
      <w:r>
        <w:rPr>
          <w:rFonts w:hint="eastAsia" w:ascii="宋体" w:hAnsi="宋体"/>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168BDDF3">
      <w:pPr>
        <w:spacing w:line="360" w:lineRule="auto"/>
        <w:ind w:firstLine="420" w:firstLineChars="200"/>
        <w:rPr>
          <w:rFonts w:hint="eastAsia" w:ascii="宋体" w:hAnsi="宋体"/>
          <w:szCs w:val="21"/>
        </w:rPr>
      </w:pPr>
      <w:r>
        <w:rPr>
          <w:rFonts w:hint="eastAsia" w:ascii="宋体" w:hAnsi="宋体"/>
          <w:szCs w:val="21"/>
        </w:rPr>
        <w:t>7、指令未执行前基金管理人可以向基金托管人申请撤销，</w:t>
      </w:r>
      <w:r>
        <w:t>基金管理人</w:t>
      </w:r>
      <w:r>
        <w:rPr>
          <w:rFonts w:hint="eastAsia"/>
        </w:rPr>
        <w:t>需</w:t>
      </w:r>
      <w:r>
        <w:t>在原指令上注明“作废”并</w:t>
      </w:r>
      <w:r>
        <w:rPr>
          <w:rFonts w:hint="eastAsia"/>
        </w:rPr>
        <w:t>及时</w:t>
      </w:r>
      <w:r>
        <w:t>电话通知基金托管人</w:t>
      </w:r>
      <w:r>
        <w:rPr>
          <w:rFonts w:hint="eastAsia" w:ascii="宋体" w:hAnsi="宋体"/>
          <w:szCs w:val="21"/>
        </w:rPr>
        <w:t>。基金托管人将尽力协助撤销指令，但基金管理人理解且接受受限于客观情况，基金托管人无法保证基金管理人的指令一定可以撤销，基金托管人不承担指令未被撤销的相应责任与后果。</w:t>
      </w:r>
    </w:p>
    <w:p w14:paraId="1EDE2E06">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5" w:name="_Toc382819094"/>
      <w:r>
        <w:rPr>
          <w:rFonts w:hint="eastAsia" w:ascii="宋体" w:hAnsi="宋体" w:eastAsia="宋体"/>
          <w:b w:val="0"/>
          <w:bCs w:val="0"/>
          <w:sz w:val="21"/>
          <w:szCs w:val="21"/>
        </w:rPr>
        <w:t>（四）基金管理人发送错误指令的情形和处理程序</w:t>
      </w:r>
      <w:bookmarkEnd w:id="35"/>
    </w:p>
    <w:p w14:paraId="02F406B5">
      <w:pPr>
        <w:spacing w:after="120" w:line="360" w:lineRule="auto"/>
        <w:ind w:firstLine="420" w:firstLineChars="200"/>
        <w:rPr>
          <w:rFonts w:hint="eastAsia" w:ascii="宋体" w:hAnsi="宋体"/>
          <w:szCs w:val="21"/>
        </w:rPr>
      </w:pPr>
      <w:r>
        <w:rPr>
          <w:rFonts w:hint="eastAsia" w:ascii="宋体" w:hAnsi="宋体"/>
          <w:szCs w:val="21"/>
        </w:rPr>
        <w:t>1.基金管理人发送错误指令的情形包括但不限于指令发送人员无权或超越权限发送指令及交割信息错误，指令中重要信息模糊不清或不全,指令违反法律法规和《基金合同》及本协议约定等。</w:t>
      </w:r>
    </w:p>
    <w:p w14:paraId="27FE7529">
      <w:pPr>
        <w:spacing w:line="360" w:lineRule="auto"/>
        <w:ind w:firstLine="420" w:firstLineChars="200"/>
        <w:rPr>
          <w:rFonts w:hint="eastAsia" w:ascii="宋体" w:hAnsi="宋体"/>
          <w:szCs w:val="21"/>
          <w:lang w:val="zh-CN"/>
        </w:rPr>
      </w:pPr>
      <w:r>
        <w:rPr>
          <w:rFonts w:hint="eastAsia" w:ascii="宋体" w:hAnsi="宋体"/>
          <w:szCs w:val="21"/>
        </w:rPr>
        <w:t>2.基金托管人在履行监督职能时，如发现基金管理人的指令错误，有权视情况暂缓或拒绝执行，并及时以书面形式通知基金管理人改正，基金管理人收到通知后应及时核对，并以书面形式对基金托管人发出回函确认。如需撤销指令，基金管理人应出具书面说明，并加盖预留印鉴。</w:t>
      </w:r>
    </w:p>
    <w:p w14:paraId="5DB56ADE">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6" w:name="_Toc382819095"/>
      <w:r>
        <w:rPr>
          <w:rFonts w:hint="eastAsia" w:ascii="宋体" w:hAnsi="宋体" w:eastAsia="宋体"/>
          <w:b w:val="0"/>
          <w:bCs w:val="0"/>
          <w:sz w:val="21"/>
          <w:szCs w:val="21"/>
        </w:rPr>
        <w:t>（五）基金托管人未按照基金管理人指令执行的处理方法</w:t>
      </w:r>
      <w:bookmarkEnd w:id="36"/>
    </w:p>
    <w:p w14:paraId="1059FD17">
      <w:pPr>
        <w:spacing w:line="360" w:lineRule="auto"/>
        <w:ind w:firstLine="420" w:firstLineChars="200"/>
        <w:rPr>
          <w:rFonts w:hint="eastAsia"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应在发现后及时采取措施予以弥补，给基金份额持有人、基金财产造成损失的，应负责赔偿相应的直接损失。</w:t>
      </w:r>
    </w:p>
    <w:p w14:paraId="1436C353">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7" w:name="_Toc382819096"/>
      <w:r>
        <w:rPr>
          <w:rFonts w:hint="eastAsia" w:ascii="宋体" w:hAnsi="宋体" w:eastAsia="宋体"/>
          <w:b w:val="0"/>
          <w:bCs w:val="0"/>
          <w:sz w:val="21"/>
          <w:szCs w:val="21"/>
        </w:rPr>
        <w:t>（六）更换被授权人的程序</w:t>
      </w:r>
      <w:bookmarkEnd w:id="37"/>
    </w:p>
    <w:p w14:paraId="4498E0DA">
      <w:pPr>
        <w:spacing w:line="360" w:lineRule="auto"/>
        <w:ind w:firstLine="420" w:firstLineChars="200"/>
        <w:rPr>
          <w:rFonts w:hint="eastAsia" w:ascii="宋体" w:hAnsi="宋体"/>
          <w:szCs w:val="21"/>
        </w:rPr>
      </w:pPr>
      <w:r>
        <w:rPr>
          <w:rFonts w:hint="eastAsia" w:ascii="宋体" w:hAnsi="宋体"/>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相应的责任。基金托管人更换接收基金管理人指令的人员，应提前通过邮件、传真或录音电话等方式通知基金管理人。</w:t>
      </w:r>
    </w:p>
    <w:p w14:paraId="791A1D32">
      <w:pPr>
        <w:spacing w:line="360" w:lineRule="auto"/>
        <w:ind w:firstLine="420" w:firstLineChars="200"/>
        <w:rPr>
          <w:rFonts w:hint="eastAsia" w:ascii="宋体" w:hAnsi="宋体"/>
          <w:szCs w:val="21"/>
        </w:rPr>
      </w:pPr>
      <w:r>
        <w:rPr>
          <w:rFonts w:hint="eastAsia" w:ascii="宋体" w:hAnsi="宋体"/>
          <w:szCs w:val="21"/>
        </w:rPr>
        <w:t>（七）其它事项</w:t>
      </w:r>
    </w:p>
    <w:p w14:paraId="49958A81">
      <w:pPr>
        <w:spacing w:line="360" w:lineRule="auto"/>
        <w:ind w:firstLine="420" w:firstLineChars="200"/>
        <w:rPr>
          <w:rFonts w:hint="eastAsia" w:ascii="宋体" w:hAnsi="宋体"/>
          <w:szCs w:val="21"/>
        </w:rPr>
      </w:pPr>
      <w:r>
        <w:rPr>
          <w:rFonts w:hint="eastAsia" w:ascii="宋体" w:hAnsi="宋体"/>
          <w:szCs w:val="21"/>
        </w:rPr>
        <w:t>基金管理人承担下达违法、违规或违反《基金合同》和本协议约定的指令所导致的责任。除基金托管人存在过错外，基金托管人对正确执行基金管理人的按照正常交易程序已经生效的指令对基金财产造成的损失不承担赔偿责任。</w:t>
      </w:r>
    </w:p>
    <w:p w14:paraId="4ECC107C">
      <w:pPr>
        <w:spacing w:before="312" w:beforeLines="100" w:after="312" w:afterLines="100" w:line="240" w:lineRule="atLeast"/>
        <w:jc w:val="center"/>
        <w:outlineLvl w:val="0"/>
        <w:rPr>
          <w:rFonts w:hint="eastAsia" w:ascii="宋体" w:hAnsi="宋体"/>
        </w:rPr>
      </w:pPr>
      <w:bookmarkStart w:id="38" w:name="_Toc382819097"/>
      <w:r>
        <w:rPr>
          <w:rFonts w:hint="eastAsia" w:ascii="宋体" w:hAnsi="宋体"/>
          <w:b/>
          <w:sz w:val="24"/>
        </w:rPr>
        <w:t>六、交易及清算交收安排</w:t>
      </w:r>
      <w:bookmarkEnd w:id="38"/>
    </w:p>
    <w:p w14:paraId="4413B933">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39" w:name="_Toc382819098"/>
      <w:r>
        <w:rPr>
          <w:rFonts w:hint="eastAsia" w:ascii="宋体" w:hAnsi="宋体" w:eastAsia="宋体"/>
          <w:b w:val="0"/>
          <w:bCs w:val="0"/>
          <w:sz w:val="21"/>
          <w:szCs w:val="21"/>
        </w:rPr>
        <w:t>（一）选择代理证券、期货买卖的证券、期货经营机构的标准和程序</w:t>
      </w:r>
      <w:bookmarkEnd w:id="39"/>
    </w:p>
    <w:p w14:paraId="791D9BDD">
      <w:pPr>
        <w:spacing w:line="360" w:lineRule="auto"/>
        <w:ind w:firstLine="420" w:firstLineChars="200"/>
        <w:rPr>
          <w:rFonts w:hint="eastAsia" w:ascii="宋体" w:hAnsi="宋体"/>
          <w:szCs w:val="21"/>
        </w:rPr>
      </w:pPr>
      <w:r>
        <w:rPr>
          <w:rFonts w:hint="eastAsia" w:ascii="宋体" w:hAnsi="宋体"/>
          <w:szCs w:val="21"/>
        </w:rPr>
        <w:t>基金管理人应设计选择证券买卖的证券经营机构的标准和程序。基金管理人负责选择证券经营机构，由基金管理人与基金托管人及证券经纪商签订本基金的证券经纪服务协议，明确三方在本基金参与场内证券买卖中的各类证券交易、证券交收及相关资金交收过程中的职责和义务。基金管理人应根据有关规定，在基金的中期报告和年度报告中将所选证券经营机构的有关情况及交易信息予以披露，并将该等情况及基金交易单元号、佣金费率等基本信息以及变更情况在基金成立及后续变更时及时以书面形式通知基金托管人。</w:t>
      </w:r>
    </w:p>
    <w:p w14:paraId="1EAE7E0C">
      <w:pPr>
        <w:spacing w:line="360" w:lineRule="auto"/>
        <w:ind w:firstLine="420" w:firstLineChars="200"/>
        <w:rPr>
          <w:rFonts w:hint="eastAsia" w:ascii="宋体" w:hAnsi="宋体"/>
          <w:szCs w:val="21"/>
        </w:rPr>
      </w:pPr>
      <w:r>
        <w:rPr>
          <w:rFonts w:hint="eastAsia" w:ascii="宋体" w:hAnsi="宋体"/>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B654936">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40" w:name="_Toc382819099"/>
      <w:r>
        <w:rPr>
          <w:rFonts w:hint="eastAsia" w:ascii="宋体" w:hAnsi="宋体" w:eastAsia="宋体"/>
          <w:b w:val="0"/>
          <w:bCs w:val="0"/>
          <w:sz w:val="21"/>
          <w:szCs w:val="21"/>
        </w:rPr>
        <w:t>（二）基金投资证券后的清算交收安排</w:t>
      </w:r>
      <w:bookmarkEnd w:id="40"/>
      <w:bookmarkStart w:id="41" w:name="_Toc382819100"/>
    </w:p>
    <w:p w14:paraId="7DBFF96B">
      <w:pPr>
        <w:pStyle w:val="10"/>
        <w:spacing w:line="360" w:lineRule="auto"/>
        <w:jc w:val="left"/>
        <w:rPr>
          <w:rFonts w:hint="eastAsia" w:ascii="宋体" w:hAnsi="宋体"/>
          <w:szCs w:val="21"/>
        </w:rPr>
      </w:pPr>
      <w:r>
        <w:rPr>
          <w:rFonts w:hint="eastAsia" w:ascii="宋体" w:hAnsi="宋体"/>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bookmarkEnd w:id="41"/>
    <w:p w14:paraId="19E1F811">
      <w:pPr>
        <w:pStyle w:val="10"/>
        <w:spacing w:line="360" w:lineRule="auto"/>
        <w:jc w:val="left"/>
        <w:rPr>
          <w:rFonts w:hint="eastAsia" w:ascii="宋体" w:hAnsi="宋体"/>
          <w:szCs w:val="21"/>
        </w:rPr>
      </w:pPr>
      <w:bookmarkStart w:id="42" w:name="_Toc382819101"/>
      <w:r>
        <w:rPr>
          <w:rFonts w:hint="eastAsia" w:ascii="宋体" w:hAnsi="宋体"/>
          <w:szCs w:val="21"/>
        </w:rPr>
        <w:t xml:space="preserve">2、本基金投资于所有场外交易的资金汇划，由基金托管人根据基金管理人的交易划款指令具体办理。 </w:t>
      </w:r>
    </w:p>
    <w:bookmarkEnd w:id="42"/>
    <w:p w14:paraId="497B6E85">
      <w:pPr>
        <w:pStyle w:val="10"/>
        <w:spacing w:line="360" w:lineRule="auto"/>
        <w:jc w:val="left"/>
        <w:rPr>
          <w:rFonts w:hint="eastAsia" w:ascii="宋体" w:hAnsi="宋体"/>
          <w:szCs w:val="21"/>
        </w:rPr>
      </w:pPr>
      <w:r>
        <w:rPr>
          <w:rFonts w:hint="eastAsia" w:ascii="宋体" w:hAnsi="宋体"/>
          <w:szCs w:val="21"/>
        </w:rPr>
        <w:t>3、证券经纪机构代理本基金财产与中登公司完成证券交易及非交易涉及的证券资金结算业务，并承担由证券经纪机构原因造成的正常结算、交收业务无法完成的责任。</w:t>
      </w:r>
    </w:p>
    <w:p w14:paraId="15457C2F">
      <w:pPr>
        <w:spacing w:line="360" w:lineRule="auto"/>
        <w:ind w:firstLine="420" w:firstLineChars="200"/>
        <w:rPr>
          <w:rFonts w:hint="eastAsia" w:ascii="宋体" w:hAnsi="宋体"/>
          <w:szCs w:val="21"/>
        </w:rPr>
      </w:pPr>
      <w:r>
        <w:rPr>
          <w:rFonts w:hint="eastAsia" w:ascii="宋体" w:hAnsi="宋体"/>
          <w:szCs w:val="21"/>
        </w:rPr>
        <w:t>4、银行间债券券款对付结算</w:t>
      </w:r>
    </w:p>
    <w:p w14:paraId="3420BBEC">
      <w:pPr>
        <w:spacing w:line="360" w:lineRule="auto"/>
        <w:ind w:firstLine="420" w:firstLineChars="200"/>
        <w:rPr>
          <w:rFonts w:hint="eastAsia" w:ascii="宋体" w:hAnsi="宋体"/>
          <w:szCs w:val="21"/>
        </w:rPr>
      </w:pPr>
      <w:r>
        <w:rPr>
          <w:rFonts w:hint="eastAsia" w:ascii="宋体" w:hAnsi="宋体"/>
          <w:szCs w:val="21"/>
        </w:rPr>
        <w:t>基金管理人应及时将银行间市场清算所股份有限公司、</w:t>
      </w:r>
      <w:r>
        <w:rPr>
          <w:rFonts w:ascii="宋体" w:hAnsi="宋体"/>
          <w:szCs w:val="21"/>
        </w:rPr>
        <w:t>中央国债登记结算有限责任公司</w:t>
      </w:r>
      <w:r>
        <w:rPr>
          <w:rFonts w:hint="eastAsia" w:ascii="宋体" w:hAnsi="宋体"/>
          <w:szCs w:val="21"/>
        </w:rPr>
        <w:t xml:space="preserve">划款指令和成交通知单按相关规定提交基金托管人，基金管理人应为基金托管人留出执行指令所必需的时间。  </w:t>
      </w:r>
    </w:p>
    <w:p w14:paraId="167DF950">
      <w:pPr>
        <w:spacing w:line="360" w:lineRule="auto"/>
        <w:ind w:firstLine="420" w:firstLineChars="200"/>
        <w:rPr>
          <w:rFonts w:hint="eastAsia" w:ascii="宋体" w:hAnsi="宋体"/>
          <w:szCs w:val="21"/>
        </w:rPr>
      </w:pPr>
      <w:r>
        <w:rPr>
          <w:rFonts w:hint="eastAsia" w:ascii="宋体" w:hAnsi="宋体"/>
          <w:szCs w:val="21"/>
        </w:rPr>
        <w:t>基金管理人应根据</w:t>
      </w:r>
      <w:r>
        <w:rPr>
          <w:rFonts w:ascii="宋体" w:hAnsi="宋体"/>
          <w:szCs w:val="21"/>
        </w:rPr>
        <w:t>中央国债登记结算有限责任公司</w:t>
      </w:r>
      <w:r>
        <w:rPr>
          <w:rFonts w:hint="eastAsia" w:ascii="宋体" w:hAnsi="宋体"/>
          <w:szCs w:val="21"/>
        </w:rPr>
        <w:t>、银行间市场清算所股份有限公司提供的查询功能，实时跟踪交易结算情况、证券与资金到账与余额变动情况，便于监控结算过程，做好资金与交易匹配的前端控制。</w:t>
      </w:r>
    </w:p>
    <w:p w14:paraId="35A2A080">
      <w:pPr>
        <w:spacing w:line="360" w:lineRule="auto"/>
        <w:ind w:firstLine="420" w:firstLineChars="200"/>
        <w:rPr>
          <w:rFonts w:hint="eastAsia" w:ascii="宋体" w:hAnsi="宋体"/>
          <w:szCs w:val="21"/>
        </w:rPr>
      </w:pPr>
      <w:r>
        <w:rPr>
          <w:rFonts w:hint="eastAsia" w:ascii="宋体" w:hAnsi="宋体"/>
          <w:szCs w:val="21"/>
        </w:rPr>
        <w:t>5、定期投资</w:t>
      </w:r>
    </w:p>
    <w:p w14:paraId="70581961">
      <w:pPr>
        <w:spacing w:line="360" w:lineRule="auto"/>
        <w:ind w:firstLine="420" w:firstLineChars="200"/>
        <w:rPr>
          <w:rFonts w:hint="eastAsia" w:ascii="宋体" w:hAnsi="宋体"/>
          <w:szCs w:val="21"/>
        </w:rPr>
      </w:pPr>
      <w:r>
        <w:rPr>
          <w:rFonts w:hint="eastAsia" w:ascii="宋体" w:hAnsi="宋体"/>
          <w:szCs w:val="21"/>
        </w:rPr>
        <w:t>基金管理人与存款行签订的存款协议条款格式应在定期存款起息日的前一个工作日发送给基金托管人，</w:t>
      </w:r>
      <w:r>
        <w:rPr>
          <w:rFonts w:hint="eastAsia" w:ascii="宋体" w:hAnsi="宋体" w:cs="Arial"/>
          <w:color w:val="000000"/>
          <w:szCs w:val="21"/>
        </w:rPr>
        <w:t>基金管理人应将</w:t>
      </w:r>
      <w:r>
        <w:rPr>
          <w:rFonts w:hint="eastAsia" w:ascii="宋体" w:hAnsi="宋体"/>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3ADFE601">
      <w:pPr>
        <w:spacing w:line="360" w:lineRule="auto"/>
        <w:ind w:firstLine="420" w:firstLineChars="200"/>
        <w:rPr>
          <w:rFonts w:hint="eastAsia" w:ascii="宋体" w:hAnsi="宋体"/>
          <w:szCs w:val="21"/>
        </w:rPr>
      </w:pPr>
      <w:r>
        <w:rPr>
          <w:rFonts w:hint="eastAsia" w:ascii="宋体" w:hAnsi="宋体"/>
          <w:szCs w:val="21"/>
        </w:rPr>
        <w:t>基金管理人在发送投资指令时，应为基金托管人执行投资指令留出执行指令所必需的时间。因基金管理人原因导致投资指令传输不及时、未能留出足够的划款时间，导致资金未能及时到账所造成的损失由基金管理人承担。</w:t>
      </w:r>
    </w:p>
    <w:p w14:paraId="1740A967">
      <w:pPr>
        <w:spacing w:line="360" w:lineRule="auto"/>
        <w:ind w:firstLine="420" w:firstLineChars="200"/>
        <w:rPr>
          <w:rFonts w:hint="eastAsia" w:ascii="宋体" w:hAnsi="宋体"/>
          <w:szCs w:val="21"/>
        </w:rPr>
      </w:pPr>
      <w:r>
        <w:rPr>
          <w:rFonts w:hint="eastAsia" w:ascii="宋体" w:hAnsi="宋体"/>
          <w:szCs w:val="21"/>
        </w:rPr>
        <w:t>存款银行无法在存入当日17点前向基金托管人送达存款证实书的，基金管理人应敦促存款银行将存款证实书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14:paraId="5587F8CD">
      <w:pPr>
        <w:spacing w:line="360" w:lineRule="auto"/>
        <w:ind w:firstLine="420" w:firstLineChars="200"/>
        <w:rPr>
          <w:rFonts w:hint="eastAsia" w:ascii="宋体" w:hAnsi="宋体"/>
          <w:szCs w:val="21"/>
        </w:rPr>
      </w:pPr>
      <w:r>
        <w:rPr>
          <w:rFonts w:hint="eastAsia" w:ascii="宋体" w:hAnsi="宋体"/>
          <w:szCs w:val="21"/>
        </w:rPr>
        <w:t>基金管理人与存款银行签订的存款协议，应包括：</w:t>
      </w:r>
    </w:p>
    <w:p w14:paraId="0E228E8D">
      <w:pPr>
        <w:spacing w:line="360" w:lineRule="auto"/>
        <w:ind w:firstLine="420" w:firstLineChars="200"/>
        <w:rPr>
          <w:rFonts w:hint="eastAsia" w:ascii="宋体" w:hAnsi="宋体"/>
          <w:szCs w:val="21"/>
        </w:rPr>
      </w:pPr>
      <w:r>
        <w:rPr>
          <w:rFonts w:hint="eastAsia" w:ascii="宋体" w:hAnsi="宋体"/>
          <w:szCs w:val="21"/>
        </w:rPr>
        <w:t>（1）存款银行为托管资产办理定期存款业务的存款账户开立、资金存入和支取提供必要的支持和高效的结算服务。</w:t>
      </w:r>
    </w:p>
    <w:p w14:paraId="27B3705E">
      <w:pPr>
        <w:spacing w:line="360" w:lineRule="auto"/>
        <w:ind w:firstLine="420" w:firstLineChars="200"/>
        <w:rPr>
          <w:rFonts w:hint="eastAsia" w:ascii="宋体" w:hAnsi="宋体"/>
          <w:szCs w:val="21"/>
        </w:rPr>
      </w:pPr>
      <w:r>
        <w:rPr>
          <w:rFonts w:hint="eastAsia" w:ascii="宋体" w:hAnsi="宋体"/>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481362A0">
      <w:pPr>
        <w:spacing w:line="360" w:lineRule="auto"/>
        <w:ind w:firstLine="420" w:firstLineChars="200"/>
        <w:rPr>
          <w:rFonts w:hint="eastAsia" w:ascii="宋体" w:hAnsi="宋体"/>
          <w:szCs w:val="21"/>
        </w:rPr>
      </w:pPr>
      <w:r>
        <w:rPr>
          <w:rFonts w:hint="eastAsia" w:ascii="宋体" w:hAnsi="宋体"/>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06D602D7">
      <w:pPr>
        <w:spacing w:line="360" w:lineRule="auto"/>
        <w:ind w:firstLine="420" w:firstLineChars="200"/>
        <w:rPr>
          <w:rFonts w:hint="eastAsia" w:ascii="宋体" w:hAnsi="宋体"/>
          <w:szCs w:val="21"/>
        </w:rPr>
      </w:pPr>
      <w:r>
        <w:rPr>
          <w:rFonts w:hint="eastAsia" w:ascii="宋体" w:hAnsi="宋体"/>
          <w:szCs w:val="21"/>
        </w:rPr>
        <w:t>存款银行应至少提前一个工作日向基金托管人提供对前述授权代理人办理相关事务的书面授权书。授权代理人提供上门服务时，应出示有效身份证或工作证。</w:t>
      </w:r>
    </w:p>
    <w:p w14:paraId="7A536FF3">
      <w:pPr>
        <w:spacing w:line="360" w:lineRule="auto"/>
        <w:ind w:firstLine="420" w:firstLineChars="200"/>
        <w:rPr>
          <w:rFonts w:hint="eastAsia" w:ascii="宋体" w:hAnsi="宋体"/>
          <w:szCs w:val="21"/>
        </w:rPr>
      </w:pPr>
      <w:r>
        <w:rPr>
          <w:rFonts w:hint="eastAsia" w:ascii="宋体" w:hAnsi="宋体"/>
          <w:szCs w:val="21"/>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14:paraId="04EA0F3C">
      <w:pPr>
        <w:spacing w:line="360" w:lineRule="auto"/>
        <w:ind w:firstLine="420" w:firstLineChars="200"/>
        <w:rPr>
          <w:rFonts w:hint="eastAsia" w:ascii="宋体" w:hAnsi="宋体"/>
          <w:szCs w:val="21"/>
        </w:rPr>
      </w:pPr>
      <w:r>
        <w:rPr>
          <w:rFonts w:hint="eastAsia" w:ascii="宋体" w:hAnsi="宋体"/>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66DCCE04">
      <w:pPr>
        <w:spacing w:line="360" w:lineRule="auto"/>
        <w:ind w:firstLine="420" w:firstLineChars="200"/>
        <w:rPr>
          <w:rFonts w:hint="eastAsia" w:ascii="宋体" w:hAnsi="宋体"/>
          <w:szCs w:val="21"/>
        </w:rPr>
      </w:pPr>
      <w:r>
        <w:rPr>
          <w:rFonts w:hint="eastAsia" w:ascii="宋体" w:hAnsi="宋体"/>
          <w:szCs w:val="21"/>
        </w:rPr>
        <w:t>（6）在存款存续期内，“证实书”的预留印鉴发生变更的，存款银行应配合办理变更手续。</w:t>
      </w:r>
    </w:p>
    <w:p w14:paraId="5EA9F57E">
      <w:pPr>
        <w:spacing w:line="360" w:lineRule="auto"/>
        <w:ind w:firstLine="420" w:firstLineChars="200"/>
        <w:rPr>
          <w:rFonts w:hint="eastAsia" w:ascii="宋体" w:hAnsi="宋体"/>
          <w:szCs w:val="21"/>
        </w:rPr>
      </w:pPr>
      <w:r>
        <w:rPr>
          <w:rFonts w:hint="eastAsia" w:ascii="宋体" w:hAnsi="宋体"/>
          <w:szCs w:val="21"/>
        </w:rPr>
        <w:t>（7）存款不得被质押，相应存款证明文件不得用于背书和转让。</w:t>
      </w:r>
    </w:p>
    <w:p w14:paraId="760D13AE">
      <w:pPr>
        <w:spacing w:line="360" w:lineRule="auto"/>
        <w:ind w:firstLine="420" w:firstLineChars="200"/>
        <w:rPr>
          <w:rFonts w:hint="eastAsia" w:ascii="宋体" w:hAnsi="宋体"/>
          <w:szCs w:val="21"/>
        </w:rPr>
      </w:pPr>
      <w:r>
        <w:rPr>
          <w:rFonts w:hint="eastAsia" w:ascii="宋体" w:hAnsi="宋体"/>
          <w:szCs w:val="21"/>
        </w:rPr>
        <w:t>6、本基金拟投资于期货交易市场前，基金管理人、期货经纪机构及基金托管人应当另行签署期货投资托管协议。</w:t>
      </w:r>
    </w:p>
    <w:p w14:paraId="270EE28F">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43" w:name="_Toc382819102"/>
      <w:r>
        <w:rPr>
          <w:rFonts w:hint="eastAsia" w:ascii="宋体" w:hAnsi="宋体" w:eastAsia="宋体"/>
          <w:b w:val="0"/>
          <w:bCs w:val="0"/>
          <w:sz w:val="21"/>
          <w:szCs w:val="21"/>
        </w:rPr>
        <w:t>（三）可用资金余额的确认</w:t>
      </w:r>
      <w:bookmarkEnd w:id="43"/>
    </w:p>
    <w:p w14:paraId="795151FB">
      <w:pPr>
        <w:spacing w:line="360" w:lineRule="auto"/>
        <w:ind w:firstLine="420" w:firstLineChars="200"/>
      </w:pPr>
      <w:r>
        <w:rPr>
          <w:rFonts w:hint="eastAsia" w:ascii="宋体" w:hAnsi="宋体"/>
          <w:szCs w:val="21"/>
        </w:rPr>
        <w:t>基金托管人应于每个工作日上午9：30前将托管账户的可用资金余额以双方认可的方式提供给基金管理人。</w:t>
      </w:r>
    </w:p>
    <w:p w14:paraId="3BA1B39A">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b w:val="0"/>
          <w:bCs w:val="0"/>
          <w:szCs w:val="21"/>
        </w:rPr>
      </w:pPr>
      <w:r>
        <w:rPr>
          <w:rFonts w:hint="eastAsia" w:ascii="宋体" w:hAnsi="宋体" w:eastAsia="宋体"/>
          <w:b w:val="0"/>
          <w:bCs w:val="0"/>
          <w:sz w:val="21"/>
          <w:szCs w:val="21"/>
        </w:rPr>
        <w:t>（四）交易记录、资金、证券账目的核对</w:t>
      </w:r>
    </w:p>
    <w:p w14:paraId="52132D0D">
      <w:pPr>
        <w:tabs>
          <w:tab w:val="left" w:pos="4680"/>
        </w:tabs>
        <w:spacing w:line="360" w:lineRule="auto"/>
        <w:ind w:firstLine="420" w:firstLineChars="200"/>
        <w:jc w:val="left"/>
        <w:rPr>
          <w:rFonts w:hint="eastAsia" w:ascii="宋体" w:hAnsi="宋体"/>
          <w:szCs w:val="21"/>
        </w:rPr>
      </w:pPr>
      <w:r>
        <w:rPr>
          <w:rFonts w:hint="eastAsia" w:ascii="宋体" w:hAnsi="宋体"/>
          <w:szCs w:val="21"/>
        </w:rPr>
        <w:t>1、交易记录的核对</w:t>
      </w:r>
    </w:p>
    <w:p w14:paraId="6AFD955B">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基金管理人按日进行交易记录的核对。对外披露净值之前，必须保证当天所有实际交易记录与基金会计账簿上的交易记录一致。</w:t>
      </w:r>
    </w:p>
    <w:p w14:paraId="5E6DAD7B">
      <w:pPr>
        <w:tabs>
          <w:tab w:val="left" w:pos="4680"/>
        </w:tabs>
        <w:spacing w:line="360" w:lineRule="auto"/>
        <w:ind w:firstLine="420" w:firstLineChars="200"/>
        <w:jc w:val="left"/>
        <w:rPr>
          <w:rFonts w:hint="eastAsia" w:ascii="宋体" w:hAnsi="宋体"/>
          <w:szCs w:val="21"/>
        </w:rPr>
      </w:pPr>
      <w:r>
        <w:rPr>
          <w:rFonts w:hint="eastAsia" w:ascii="宋体" w:hAnsi="宋体"/>
          <w:szCs w:val="21"/>
        </w:rPr>
        <w:t>2、资金账目的核对</w:t>
      </w:r>
    </w:p>
    <w:p w14:paraId="2DD2ABDE">
      <w:pPr>
        <w:tabs>
          <w:tab w:val="left" w:pos="4680"/>
        </w:tabs>
        <w:spacing w:line="360" w:lineRule="auto"/>
        <w:ind w:firstLine="420" w:firstLineChars="200"/>
        <w:jc w:val="left"/>
        <w:rPr>
          <w:rFonts w:hint="eastAsia" w:ascii="宋体" w:hAnsi="宋体"/>
          <w:szCs w:val="21"/>
        </w:rPr>
      </w:pPr>
      <w:r>
        <w:rPr>
          <w:rFonts w:hint="eastAsia" w:ascii="宋体" w:hAnsi="宋体"/>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4A0F55B5">
      <w:pPr>
        <w:tabs>
          <w:tab w:val="left" w:pos="4680"/>
        </w:tabs>
        <w:spacing w:line="360" w:lineRule="auto"/>
        <w:ind w:firstLine="420" w:firstLineChars="200"/>
        <w:jc w:val="left"/>
        <w:rPr>
          <w:rFonts w:hint="eastAsia" w:ascii="宋体" w:hAnsi="宋体"/>
          <w:szCs w:val="21"/>
        </w:rPr>
      </w:pPr>
      <w:r>
        <w:rPr>
          <w:rFonts w:hint="eastAsia" w:ascii="宋体" w:hAnsi="宋体"/>
          <w:szCs w:val="21"/>
        </w:rPr>
        <w:t>3、证券账目的核对</w:t>
      </w:r>
    </w:p>
    <w:p w14:paraId="64BFDC79">
      <w:pPr>
        <w:tabs>
          <w:tab w:val="left" w:pos="4680"/>
        </w:tabs>
        <w:spacing w:line="360" w:lineRule="auto"/>
        <w:ind w:firstLine="420" w:firstLineChars="200"/>
        <w:jc w:val="left"/>
        <w:rPr>
          <w:rFonts w:hint="eastAsia" w:ascii="宋体" w:hAnsi="宋体"/>
          <w:szCs w:val="21"/>
        </w:rPr>
      </w:pPr>
      <w:r>
        <w:rPr>
          <w:rFonts w:hint="eastAsia" w:ascii="宋体" w:hAnsi="宋体"/>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0625B05F">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b w:val="0"/>
          <w:szCs w:val="21"/>
        </w:rPr>
      </w:pPr>
      <w:r>
        <w:rPr>
          <w:rFonts w:hint="eastAsia" w:ascii="宋体" w:hAnsi="宋体" w:eastAsia="宋体"/>
          <w:b w:val="0"/>
          <w:bCs w:val="0"/>
          <w:sz w:val="21"/>
          <w:szCs w:val="21"/>
        </w:rPr>
        <w:t>（五）基金申购、赎回、转换业务处理的基本规定</w:t>
      </w:r>
    </w:p>
    <w:p w14:paraId="7C45544D">
      <w:pPr>
        <w:tabs>
          <w:tab w:val="left" w:pos="4680"/>
        </w:tabs>
        <w:spacing w:line="360" w:lineRule="auto"/>
        <w:ind w:firstLine="420" w:firstLineChars="200"/>
        <w:jc w:val="left"/>
        <w:rPr>
          <w:rFonts w:hint="eastAsia" w:ascii="宋体" w:hAnsi="宋体"/>
          <w:szCs w:val="21"/>
        </w:rPr>
      </w:pPr>
      <w:r>
        <w:rPr>
          <w:rFonts w:hint="eastAsia" w:ascii="宋体" w:hAnsi="宋体"/>
          <w:szCs w:val="21"/>
        </w:rPr>
        <w:t>1、基金管理人可根据实际情况依法决定本基金开始办理申购的具体日期，自基金合同生效之日起不超过3个月开始办理赎回，具体办理时间以公告为准。基金份额申购、赎回的确认、清算由基金管理人或其委托的注册登记机构负责。</w:t>
      </w:r>
    </w:p>
    <w:p w14:paraId="0D40E3CE">
      <w:pPr>
        <w:tabs>
          <w:tab w:val="left" w:pos="4680"/>
        </w:tabs>
        <w:spacing w:line="360" w:lineRule="auto"/>
        <w:ind w:firstLine="420" w:firstLineChars="200"/>
        <w:jc w:val="left"/>
        <w:rPr>
          <w:rFonts w:hint="eastAsia" w:ascii="宋体" w:hAnsi="宋体"/>
          <w:szCs w:val="21"/>
        </w:rPr>
      </w:pPr>
      <w:r>
        <w:rPr>
          <w:rFonts w:hint="eastAsia" w:ascii="宋体" w:hAnsi="宋体"/>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7C430BDF">
      <w:pPr>
        <w:tabs>
          <w:tab w:val="left" w:pos="4680"/>
        </w:tabs>
        <w:spacing w:line="360" w:lineRule="auto"/>
        <w:ind w:firstLine="420" w:firstLineChars="200"/>
        <w:jc w:val="left"/>
        <w:rPr>
          <w:rFonts w:hint="eastAsia" w:ascii="宋体" w:hAnsi="宋体"/>
          <w:szCs w:val="21"/>
        </w:rPr>
      </w:pPr>
      <w:r>
        <w:rPr>
          <w:rFonts w:hint="eastAsia"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7087EE8D">
      <w:pPr>
        <w:tabs>
          <w:tab w:val="left" w:pos="4680"/>
        </w:tabs>
        <w:spacing w:line="360" w:lineRule="auto"/>
        <w:ind w:firstLine="420" w:firstLineChars="200"/>
        <w:jc w:val="left"/>
        <w:rPr>
          <w:rFonts w:hint="eastAsia" w:ascii="宋体" w:hAnsi="宋体"/>
          <w:szCs w:val="21"/>
        </w:rPr>
      </w:pPr>
      <w:r>
        <w:rPr>
          <w:rFonts w:hint="eastAsia" w:ascii="宋体" w:hAnsi="宋体"/>
          <w:szCs w:val="21"/>
        </w:rPr>
        <w:t>4、基金管理人应保证其发送的注册登记数据的接口规范与基金托管人的接口规范保持一致。</w:t>
      </w:r>
    </w:p>
    <w:p w14:paraId="45CEA88B">
      <w:pPr>
        <w:tabs>
          <w:tab w:val="left" w:pos="4680"/>
        </w:tabs>
        <w:spacing w:line="360" w:lineRule="auto"/>
        <w:ind w:firstLine="420" w:firstLineChars="200"/>
        <w:jc w:val="left"/>
        <w:rPr>
          <w:rFonts w:hint="eastAsia" w:ascii="宋体" w:hAnsi="宋体"/>
          <w:szCs w:val="21"/>
        </w:rPr>
      </w:pPr>
      <w:r>
        <w:rPr>
          <w:rFonts w:hint="eastAsia" w:ascii="宋体" w:hAnsi="宋体"/>
          <w:szCs w:val="21"/>
        </w:rPr>
        <w:t>5、基金注册登记清算专用账户的开立和管理</w:t>
      </w:r>
    </w:p>
    <w:p w14:paraId="3DC957D6">
      <w:pPr>
        <w:tabs>
          <w:tab w:val="left" w:pos="4680"/>
        </w:tabs>
        <w:spacing w:line="360" w:lineRule="auto"/>
        <w:ind w:firstLine="420" w:firstLineChars="200"/>
        <w:jc w:val="left"/>
        <w:rPr>
          <w:rFonts w:hint="eastAsia" w:ascii="宋体" w:hAnsi="宋体"/>
          <w:szCs w:val="21"/>
        </w:rPr>
      </w:pPr>
      <w:r>
        <w:rPr>
          <w:rFonts w:hint="eastAsia" w:ascii="宋体" w:hAnsi="宋体"/>
          <w:szCs w:val="21"/>
        </w:rPr>
        <w:t>为满足申购、赎回等资金汇划的需要，基金管理人应开立用于基金申购、赎回等资金清算的基金注册登记清算专用账户。</w:t>
      </w:r>
    </w:p>
    <w:p w14:paraId="4153695E">
      <w:pPr>
        <w:tabs>
          <w:tab w:val="left" w:pos="4680"/>
        </w:tabs>
        <w:spacing w:line="360" w:lineRule="auto"/>
        <w:ind w:firstLine="420" w:firstLineChars="200"/>
        <w:jc w:val="left"/>
        <w:rPr>
          <w:rFonts w:hint="eastAsia" w:ascii="宋体" w:hAnsi="宋体"/>
          <w:kern w:val="21"/>
          <w:szCs w:val="21"/>
        </w:rPr>
      </w:pPr>
      <w:r>
        <w:rPr>
          <w:rFonts w:hint="eastAsia" w:ascii="宋体" w:hAnsi="宋体"/>
          <w:szCs w:val="21"/>
        </w:rPr>
        <w:t>6、</w:t>
      </w:r>
      <w:r>
        <w:rPr>
          <w:rFonts w:hint="eastAsia" w:ascii="宋体" w:hAnsi="宋体"/>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szCs w:val="21"/>
        </w:rPr>
        <w:t>基金托管人不承担相应责任，但应提供必要的配合</w:t>
      </w:r>
      <w:r>
        <w:rPr>
          <w:rFonts w:hint="eastAsia" w:ascii="宋体" w:hAnsi="宋体"/>
          <w:kern w:val="21"/>
          <w:szCs w:val="21"/>
        </w:rPr>
        <w:t>。</w:t>
      </w:r>
    </w:p>
    <w:p w14:paraId="41E1E6BD">
      <w:pPr>
        <w:tabs>
          <w:tab w:val="left" w:pos="4680"/>
        </w:tabs>
        <w:spacing w:line="360" w:lineRule="auto"/>
        <w:ind w:firstLine="420" w:firstLineChars="200"/>
        <w:jc w:val="left"/>
        <w:rPr>
          <w:rFonts w:hint="eastAsia" w:ascii="宋体" w:hAnsi="宋体"/>
          <w:szCs w:val="21"/>
        </w:rPr>
      </w:pPr>
      <w:r>
        <w:rPr>
          <w:rFonts w:hint="eastAsia" w:ascii="宋体" w:hAnsi="宋体"/>
          <w:szCs w:val="21"/>
        </w:rPr>
        <w:t>7、赎回资金的支付</w:t>
      </w:r>
    </w:p>
    <w:p w14:paraId="643ABBD8">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但应及时通知基金管理人；如是除基金管理人、基金托管人外的第三方原因造成的，责任由第三方承担，基金托管人不承担垫款义务，若给基金份额持有人造成损失的，基金托管人负有配合基金管理人向第三方追偿的义务。</w:t>
      </w:r>
    </w:p>
    <w:p w14:paraId="432517DC">
      <w:pPr>
        <w:tabs>
          <w:tab w:val="left" w:pos="4680"/>
        </w:tabs>
        <w:spacing w:line="360" w:lineRule="auto"/>
        <w:ind w:firstLine="420" w:firstLineChars="200"/>
        <w:jc w:val="left"/>
        <w:rPr>
          <w:rFonts w:hint="eastAsia" w:ascii="宋体" w:hAnsi="宋体"/>
          <w:szCs w:val="21"/>
        </w:rPr>
      </w:pPr>
      <w:r>
        <w:rPr>
          <w:rFonts w:hint="eastAsia" w:ascii="宋体" w:hAnsi="宋体"/>
          <w:szCs w:val="21"/>
        </w:rPr>
        <w:t>8、资金支付执行和责任界定</w:t>
      </w:r>
    </w:p>
    <w:p w14:paraId="1EC8FF1E">
      <w:pPr>
        <w:tabs>
          <w:tab w:val="left" w:pos="4680"/>
        </w:tabs>
        <w:spacing w:line="360" w:lineRule="auto"/>
        <w:ind w:firstLine="420" w:firstLineChars="200"/>
        <w:jc w:val="left"/>
        <w:rPr>
          <w:rFonts w:hint="eastAsia" w:ascii="宋体" w:hAnsi="宋体"/>
          <w:szCs w:val="21"/>
        </w:rPr>
      </w:pPr>
      <w:r>
        <w:rPr>
          <w:rFonts w:hint="eastAsia" w:ascii="宋体" w:hAnsi="宋体"/>
          <w:szCs w:val="21"/>
        </w:rPr>
        <w:t xml:space="preserve"> 除申购款项到达基金托管人处的基金账户需双方按约定方式对账外，净额划出、赎回资金支付时，应按照本协议相关规定执行。若本协议没有规定的按双方协商一致内容执行。</w:t>
      </w:r>
    </w:p>
    <w:p w14:paraId="039994FB">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219C69DF">
      <w:pPr>
        <w:tabs>
          <w:tab w:val="left" w:pos="4680"/>
        </w:tabs>
        <w:spacing w:line="360" w:lineRule="auto"/>
        <w:ind w:firstLine="420" w:firstLineChars="200"/>
        <w:jc w:val="left"/>
        <w:rPr>
          <w:rFonts w:hint="eastAsia" w:ascii="宋体" w:hAnsi="宋体"/>
          <w:szCs w:val="21"/>
        </w:rPr>
      </w:pPr>
      <w:r>
        <w:rPr>
          <w:rFonts w:hint="eastAsia" w:ascii="宋体" w:hAnsi="宋体"/>
          <w:szCs w:val="21"/>
        </w:rPr>
        <w:t>9、暂停赎回和巨额赎回处理</w:t>
      </w:r>
    </w:p>
    <w:p w14:paraId="64D363DF">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09070E0A">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b w:val="0"/>
          <w:szCs w:val="21"/>
        </w:rPr>
      </w:pPr>
      <w:r>
        <w:rPr>
          <w:rFonts w:hint="eastAsia" w:ascii="宋体" w:hAnsi="宋体" w:eastAsia="宋体"/>
          <w:b w:val="0"/>
          <w:bCs w:val="0"/>
          <w:sz w:val="21"/>
          <w:szCs w:val="21"/>
        </w:rPr>
        <w:t>（六）申购赎回资金结算</w:t>
      </w:r>
    </w:p>
    <w:p w14:paraId="3F06EE23">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托管账户与“注册登记清算账户”间的资金结算遵循“全额清算、净额交收”的原则，每日按照托管账户应收资金（申购申请对应申购净额与基金转换转入申请对应净额之和）与应付资金（赎回申请对应赎回金额扣除归基金资产的费用与基金转换转出申请对应金额扣除归基金资产的费用之和）的差额来确定托管账户净应收额或净应付额，以此确定资金交收额。如存在托管账户净应收额时，基金管理人应在交收日 15:00之前从基金清算账户划往基金托管账户，基金托管人在资金到账后应立即通知基金管理人，并将有关凭证传给基金管理人进行账务管理；如存在托管账户净应付额时，基金管理人应提前将划款指令发送给基金托管人，基金托管人按基金管理人的划款指令将托管账户净应付额在交收日12:00之前划往基金清算账户，基金托管人在资金划出后立即通知基金管理人，并将有关凭证传给基金管理人进行账务管理。</w:t>
      </w:r>
    </w:p>
    <w:p w14:paraId="5F88FCC3">
      <w:pPr>
        <w:tabs>
          <w:tab w:val="left" w:pos="4680"/>
        </w:tabs>
        <w:spacing w:line="360" w:lineRule="auto"/>
        <w:ind w:firstLine="420" w:firstLineChars="200"/>
        <w:jc w:val="left"/>
        <w:rPr>
          <w:rFonts w:hint="eastAsia" w:ascii="宋体" w:hAnsi="宋体"/>
          <w:szCs w:val="21"/>
        </w:rPr>
      </w:pPr>
      <w:r>
        <w:rPr>
          <w:rFonts w:hint="eastAsia" w:ascii="宋体" w:hAnsi="宋体"/>
          <w:szCs w:val="21"/>
        </w:rPr>
        <w:t>如果当日基金为净应收款，基金托管人应及时查收资金是否到账，对于因基金管理人的原因未准时到账的资金，应及时通知基金管理人划付，由此产生的责任应由基金管理人承担。如果当日基金为净应付款，基金托管人应根据基金管理人的指令及时进行划付。对于因基金托管人的原因未准时划付的资金，基金管理人应及时通知基金托管人划付，由此产生的责任应由基金托管人承担。</w:t>
      </w:r>
    </w:p>
    <w:p w14:paraId="5F790C63">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b w:val="0"/>
          <w:bCs w:val="0"/>
          <w:szCs w:val="21"/>
        </w:rPr>
      </w:pPr>
      <w:r>
        <w:rPr>
          <w:rFonts w:hint="eastAsia" w:ascii="宋体" w:hAnsi="宋体" w:eastAsia="宋体"/>
          <w:b w:val="0"/>
          <w:bCs w:val="0"/>
          <w:sz w:val="21"/>
          <w:szCs w:val="21"/>
        </w:rPr>
        <w:t>（七）基金转换</w:t>
      </w:r>
    </w:p>
    <w:p w14:paraId="6FB9F629">
      <w:pPr>
        <w:tabs>
          <w:tab w:val="left" w:pos="4680"/>
        </w:tabs>
        <w:spacing w:line="360" w:lineRule="auto"/>
        <w:ind w:firstLine="420" w:firstLineChars="200"/>
        <w:jc w:val="left"/>
        <w:rPr>
          <w:rFonts w:hint="eastAsia" w:ascii="宋体" w:hAnsi="宋体"/>
          <w:szCs w:val="21"/>
        </w:rPr>
      </w:pPr>
      <w:r>
        <w:rPr>
          <w:rFonts w:hint="eastAsia" w:ascii="宋体" w:hAnsi="宋体"/>
          <w:szCs w:val="21"/>
        </w:rPr>
        <w:t>基金管理人与基金托管人按照相关法律法规、《基金合同》、以及本协议的规定办理基金转换。</w:t>
      </w:r>
    </w:p>
    <w:p w14:paraId="0D12EDD0">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szCs w:val="21"/>
        </w:rPr>
      </w:pPr>
      <w:r>
        <w:rPr>
          <w:rFonts w:ascii="宋体" w:hAnsi="宋体" w:eastAsia="宋体"/>
          <w:b w:val="0"/>
          <w:bCs w:val="0"/>
          <w:sz w:val="21"/>
          <w:szCs w:val="21"/>
        </w:rPr>
        <w:t>(八)基金出现超买或超卖的责任认定及处理程序</w:t>
      </w:r>
    </w:p>
    <w:p w14:paraId="1D99D80C">
      <w:pPr>
        <w:spacing w:line="360" w:lineRule="auto"/>
        <w:ind w:firstLine="420" w:firstLineChars="200"/>
        <w:rPr>
          <w:rFonts w:hint="eastAsia" w:ascii="宋体" w:hAnsi="宋体"/>
          <w:szCs w:val="21"/>
        </w:rPr>
      </w:pPr>
      <w:r>
        <w:rPr>
          <w:rFonts w:hint="eastAsia" w:ascii="宋体" w:hAnsi="宋体"/>
          <w:szCs w:val="21"/>
        </w:rPr>
        <w:t>基金托管人在履行监督职能时，如果发现基金投资证券过程中出现超买或超卖现象，应立即提醒基金管理人，由基金管理人负责处理，如因基金管理人过错给基金及基金托管人造成的损失由基金管理人承担。</w:t>
      </w:r>
    </w:p>
    <w:p w14:paraId="0A8307B6">
      <w:pPr>
        <w:spacing w:before="312" w:beforeLines="100" w:after="312" w:afterLines="100" w:line="240" w:lineRule="atLeast"/>
        <w:jc w:val="center"/>
        <w:outlineLvl w:val="0"/>
        <w:rPr>
          <w:rFonts w:hint="eastAsia" w:ascii="宋体" w:hAnsi="宋体"/>
        </w:rPr>
      </w:pPr>
      <w:bookmarkStart w:id="44" w:name="_Toc382819103"/>
      <w:r>
        <w:rPr>
          <w:rFonts w:hint="eastAsia" w:ascii="宋体" w:hAnsi="宋体"/>
          <w:b/>
          <w:sz w:val="24"/>
        </w:rPr>
        <w:t>七、基金资产净值计算和会计核算</w:t>
      </w:r>
      <w:bookmarkEnd w:id="44"/>
    </w:p>
    <w:p w14:paraId="36CD5E9D">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45"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5"/>
    </w:p>
    <w:p w14:paraId="6A018A33">
      <w:pPr>
        <w:spacing w:line="440" w:lineRule="atLeast"/>
        <w:ind w:right="28"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基金资产净值是指基金资产总值减去基金负债后的价值。</w:t>
      </w:r>
      <w:r>
        <w:rPr>
          <w:rFonts w:hint="eastAsia" w:ascii="宋体" w:hAnsi="宋体"/>
          <w:bCs/>
          <w:szCs w:val="21"/>
        </w:rPr>
        <w:t>各类</w:t>
      </w:r>
      <w:r>
        <w:rPr>
          <w:rFonts w:ascii="宋体" w:hAnsi="宋体"/>
          <w:szCs w:val="21"/>
        </w:rPr>
        <w:t>基金份额净值是按照每个</w:t>
      </w:r>
      <w:r>
        <w:rPr>
          <w:rFonts w:hint="eastAsia" w:ascii="宋体" w:hAnsi="宋体"/>
          <w:szCs w:val="21"/>
        </w:rPr>
        <w:t>工作日闭市后,</w:t>
      </w:r>
      <w:r>
        <w:rPr>
          <w:rFonts w:hint="eastAsia"/>
        </w:rPr>
        <w:t xml:space="preserve"> 各</w:t>
      </w:r>
      <w:r>
        <w:rPr>
          <w:rFonts w:hint="eastAsia" w:ascii="宋体" w:hAnsi="宋体"/>
          <w:szCs w:val="21"/>
        </w:rPr>
        <w:t>类基金份额的基金资产净值除以当日该类基金份额的余额数量计算，均精确到0.0001元，小数点后第5位四舍五入，由此产生的误差计入基金财产。基金管理人可以设立大额赎回情形下的净值精度应急调整机制。</w:t>
      </w:r>
      <w:r>
        <w:rPr>
          <w:rFonts w:ascii="宋体" w:hAnsi="宋体"/>
          <w:szCs w:val="21"/>
        </w:rPr>
        <w:t>国家另有规定的，从其规定。</w:t>
      </w:r>
    </w:p>
    <w:p w14:paraId="6F2E46A0">
      <w:pPr>
        <w:spacing w:line="440" w:lineRule="atLeast"/>
        <w:ind w:right="28"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每个工作日，基金管理人应对基金资产估值。但基金管理人根据法律法规或基金合同的规定暂停估值时除外。</w:t>
      </w:r>
      <w:r>
        <w:rPr>
          <w:rFonts w:hint="eastAsia" w:ascii="宋体" w:hAnsi="宋体" w:cs="宋体"/>
          <w:color w:val="000000"/>
          <w:kern w:val="0"/>
          <w:szCs w:val="21"/>
        </w:rPr>
        <w:t>基金管理人每个工作日交易结束后计算当日的基金份额净值和基金资产净值并以双方认可的方式发送给基金托管人。基金托管人对净值计算结果复核后以双方认可的方式发送给基金管理人，由基金管理人按约定对外公布。</w:t>
      </w:r>
    </w:p>
    <w:p w14:paraId="11FC3818">
      <w:pPr>
        <w:tabs>
          <w:tab w:val="left" w:pos="900"/>
        </w:tabs>
        <w:spacing w:line="360" w:lineRule="auto"/>
        <w:ind w:right="28" w:firstLine="420" w:firstLineChars="200"/>
        <w:rPr>
          <w:rFonts w:hint="eastAsia" w:ascii="宋体" w:hAnsi="宋体"/>
          <w:szCs w:val="21"/>
        </w:rPr>
      </w:pPr>
      <w:r>
        <w:rPr>
          <w:rFonts w:hint="eastAsia" w:ascii="宋体" w:hAnsi="宋体"/>
          <w:szCs w:val="21"/>
        </w:rPr>
        <w:t>法律法规以及监管部门有强制规定的，从其规定。如有新增事项，按国家最新规定估值。</w:t>
      </w:r>
    </w:p>
    <w:p w14:paraId="7B0684E8">
      <w:pPr>
        <w:pStyle w:val="4"/>
        <w:keepNext w:val="0"/>
        <w:keepLines w:val="0"/>
        <w:autoSpaceDE w:val="0"/>
        <w:autoSpaceDN w:val="0"/>
        <w:adjustRightInd w:val="0"/>
        <w:spacing w:before="0" w:after="0" w:line="440" w:lineRule="atLeast"/>
        <w:ind w:firstLine="420" w:firstLineChars="200"/>
        <w:textAlignment w:val="baseline"/>
        <w:rPr>
          <w:rFonts w:hint="eastAsia" w:ascii="宋体" w:hAnsi="宋体" w:eastAsia="宋体"/>
          <w:b w:val="0"/>
          <w:bCs w:val="0"/>
          <w:sz w:val="21"/>
          <w:szCs w:val="21"/>
        </w:rPr>
      </w:pPr>
      <w:bookmarkStart w:id="46" w:name="_Toc382819105"/>
      <w:r>
        <w:rPr>
          <w:rFonts w:hint="eastAsia" w:ascii="宋体" w:hAnsi="宋体" w:eastAsia="宋体"/>
          <w:b w:val="0"/>
          <w:bCs w:val="0"/>
          <w:sz w:val="21"/>
          <w:szCs w:val="21"/>
        </w:rPr>
        <w:t>（二）基金资产估值</w:t>
      </w:r>
      <w:bookmarkEnd w:id="46"/>
    </w:p>
    <w:p w14:paraId="63A16352">
      <w:pPr>
        <w:spacing w:line="440" w:lineRule="atLeast"/>
        <w:ind w:right="28" w:firstLine="420" w:firstLineChars="200"/>
        <w:rPr>
          <w:rFonts w:hint="eastAsia" w:ascii="宋体" w:hAnsi="宋体"/>
          <w:szCs w:val="21"/>
        </w:rPr>
      </w:pPr>
      <w:r>
        <w:rPr>
          <w:rFonts w:hint="eastAsia" w:ascii="宋体" w:hAnsi="宋体"/>
          <w:szCs w:val="21"/>
        </w:rPr>
        <w:t>估值原则应符合《基金合同》、《证券投资基金会计核算业务指引》、《企业会计准则》及其他法律法规的规定。</w:t>
      </w:r>
    </w:p>
    <w:p w14:paraId="3529E0FA">
      <w:pPr>
        <w:spacing w:line="440" w:lineRule="atLeast"/>
        <w:ind w:right="28" w:firstLine="420" w:firstLineChars="200"/>
        <w:rPr>
          <w:rFonts w:hint="eastAsia"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14:paraId="1CDF0D6C">
      <w:pPr>
        <w:pStyle w:val="4"/>
        <w:keepNext w:val="0"/>
        <w:keepLines w:val="0"/>
        <w:autoSpaceDE w:val="0"/>
        <w:autoSpaceDN w:val="0"/>
        <w:adjustRightInd w:val="0"/>
        <w:spacing w:before="0" w:after="0" w:line="440" w:lineRule="atLeast"/>
        <w:ind w:firstLine="420" w:firstLineChars="200"/>
        <w:textAlignment w:val="baseline"/>
        <w:rPr>
          <w:rFonts w:hint="eastAsia" w:ascii="宋体" w:hAnsi="宋体"/>
          <w:szCs w:val="21"/>
        </w:rPr>
      </w:pPr>
      <w:r>
        <w:rPr>
          <w:rFonts w:hint="eastAsia" w:ascii="宋体" w:hAnsi="宋体" w:eastAsia="宋体"/>
          <w:b w:val="0"/>
          <w:bCs w:val="0"/>
          <w:sz w:val="21"/>
          <w:szCs w:val="21"/>
        </w:rPr>
        <w:t>（三）实施侧袋机制期间的基金资产估值</w:t>
      </w:r>
    </w:p>
    <w:p w14:paraId="680957BC">
      <w:pPr>
        <w:spacing w:line="440" w:lineRule="atLeast"/>
        <w:ind w:right="28" w:firstLine="420" w:firstLineChars="200"/>
        <w:rPr>
          <w:rFonts w:hint="eastAsia" w:ascii="宋体" w:hAnsi="宋体"/>
          <w:szCs w:val="21"/>
        </w:rPr>
      </w:pPr>
      <w:r>
        <w:rPr>
          <w:rFonts w:hint="eastAsia" w:ascii="宋体" w:hAnsi="宋体"/>
          <w:szCs w:val="21"/>
        </w:rPr>
        <w:t>本基金实施侧袋机制的，应根据本部分的约定对主袋账户资产进行估值并披露主袋账户的基金净值信息，暂停披露侧袋账户基金净值信息。</w:t>
      </w:r>
    </w:p>
    <w:p w14:paraId="0D6B1367">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47" w:name="_Toc382819106"/>
      <w:r>
        <w:rPr>
          <w:rFonts w:hint="eastAsia" w:ascii="宋体" w:hAnsi="宋体" w:eastAsia="宋体"/>
          <w:b w:val="0"/>
          <w:bCs w:val="0"/>
          <w:sz w:val="21"/>
          <w:szCs w:val="21"/>
        </w:rPr>
        <w:t>（四）估值错误处理</w:t>
      </w:r>
      <w:bookmarkEnd w:id="47"/>
    </w:p>
    <w:p w14:paraId="2442E123">
      <w:pPr>
        <w:spacing w:line="440" w:lineRule="atLeast"/>
        <w:ind w:right="28" w:firstLine="420" w:firstLineChars="200"/>
        <w:rPr>
          <w:rFonts w:hint="eastAsia" w:ascii="宋体" w:hAnsi="宋体"/>
          <w:szCs w:val="21"/>
        </w:rPr>
      </w:pPr>
      <w:bookmarkStart w:id="48" w:name="_Toc382819107"/>
      <w:r>
        <w:rPr>
          <w:rFonts w:hint="eastAsia" w:ascii="宋体" w:hAnsi="宋体"/>
          <w:szCs w:val="21"/>
        </w:rPr>
        <w:t>1.当任一类别基金份额净值小数点后</w:t>
      </w:r>
      <w:r>
        <w:rPr>
          <w:rFonts w:ascii="宋体" w:hAnsi="宋体"/>
          <w:szCs w:val="21"/>
        </w:rPr>
        <w:t>4位以内(含第4位)</w:t>
      </w:r>
      <w:r>
        <w:rPr>
          <w:rFonts w:hint="eastAsia" w:ascii="宋体" w:hAnsi="宋体"/>
          <w:szCs w:val="21"/>
        </w:rPr>
        <w:t>发生差错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通报基金托管人并报中国证监会备案；当发生净值计算错误时，由基金管理人负责处理，由此给基金份额持有人和基金造成损失的，按照基金合同和本协议约定的估值错误处理原则和程序进行处理。</w:t>
      </w:r>
      <w:bookmarkEnd w:id="48"/>
    </w:p>
    <w:p w14:paraId="228CD39D">
      <w:pPr>
        <w:spacing w:line="440" w:lineRule="atLeast"/>
        <w:ind w:right="28" w:firstLine="420" w:firstLineChars="200"/>
        <w:rPr>
          <w:rFonts w:hint="eastAsia" w:ascii="宋体" w:hAnsi="宋体"/>
          <w:szCs w:val="21"/>
        </w:rPr>
      </w:pPr>
      <w:bookmarkStart w:id="49" w:name="_Toc382819108"/>
      <w:r>
        <w:rPr>
          <w:rFonts w:hint="eastAsia" w:ascii="宋体" w:hAnsi="宋体"/>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9"/>
    </w:p>
    <w:p w14:paraId="782B925F">
      <w:pPr>
        <w:spacing w:line="440" w:lineRule="atLeast"/>
        <w:ind w:right="28" w:firstLine="420" w:firstLineChars="200"/>
        <w:rPr>
          <w:rFonts w:hint="eastAsia" w:ascii="宋体" w:hAnsi="宋体"/>
          <w:szCs w:val="21"/>
        </w:rPr>
      </w:pPr>
      <w:bookmarkStart w:id="50" w:name="_Toc382819109"/>
      <w:r>
        <w:rPr>
          <w:rFonts w:hint="eastAsia" w:ascii="宋体" w:hAnsi="宋体"/>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5D37335E">
      <w:pPr>
        <w:spacing w:line="440" w:lineRule="atLeast"/>
        <w:ind w:right="28"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589ADD0D">
      <w:pPr>
        <w:spacing w:line="440" w:lineRule="atLeast"/>
        <w:ind w:right="28"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）由于基金管理人提供的信息错误（包括但不限于基金申购或赎回金额等），导致基金份额净值计算错误而引起的基金份额持有人和基金财产的损失，由基金管理人负责赔付。</w:t>
      </w:r>
      <w:bookmarkEnd w:id="50"/>
      <w:bookmarkStart w:id="51" w:name="_Toc382819110"/>
    </w:p>
    <w:p w14:paraId="3729194C">
      <w:pPr>
        <w:spacing w:line="440" w:lineRule="atLeast"/>
        <w:ind w:right="28" w:firstLine="420" w:firstLineChars="200"/>
        <w:rPr>
          <w:rFonts w:hint="eastAsia" w:ascii="宋体" w:hAnsi="宋体"/>
          <w:szCs w:val="21"/>
        </w:rPr>
      </w:pPr>
      <w:r>
        <w:rPr>
          <w:rFonts w:hint="eastAsia" w:ascii="宋体" w:hAnsi="宋体"/>
          <w:szCs w:val="21"/>
        </w:rPr>
        <w:t>3.由于不可抗力原因，或由于证券、期货交易所、证券经纪商或登记结算公司及存款银行等第三方机构发送的数据错误、遗漏或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End w:id="51"/>
      <w:bookmarkStart w:id="52" w:name="_Toc382819111"/>
    </w:p>
    <w:p w14:paraId="0503AB05">
      <w:pPr>
        <w:spacing w:line="440" w:lineRule="atLeast"/>
        <w:ind w:right="28" w:firstLine="420" w:firstLineChars="200"/>
        <w:rPr>
          <w:rFonts w:hint="eastAsia" w:ascii="宋体" w:hAnsi="宋体"/>
          <w:szCs w:val="21"/>
        </w:rPr>
      </w:pPr>
      <w:r>
        <w:rPr>
          <w:rFonts w:hint="eastAsia" w:ascii="宋体" w:hAnsi="宋体"/>
          <w:szCs w:val="21"/>
        </w:rPr>
        <w:t>4.基金管理人和基金托管人由于各自技术系统设置而产生的净值计算尾差，以基金管理人计算结果为准。</w:t>
      </w:r>
      <w:bookmarkEnd w:id="52"/>
      <w:bookmarkStart w:id="53" w:name="_Toc382819112"/>
    </w:p>
    <w:p w14:paraId="6A4F0DDE">
      <w:pPr>
        <w:spacing w:line="440" w:lineRule="atLeast"/>
        <w:ind w:right="28" w:firstLine="420" w:firstLineChars="200"/>
        <w:rPr>
          <w:rFonts w:hint="eastAsia" w:ascii="宋体" w:hAnsi="宋体"/>
          <w:szCs w:val="21"/>
        </w:rPr>
      </w:pPr>
      <w:r>
        <w:rPr>
          <w:rFonts w:hint="eastAsia" w:ascii="宋体" w:hAnsi="宋体"/>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End w:id="53"/>
      <w:bookmarkStart w:id="54" w:name="_Toc382819113"/>
    </w:p>
    <w:p w14:paraId="31E1B013">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r>
        <w:rPr>
          <w:rFonts w:hint="eastAsia" w:ascii="宋体" w:hAnsi="宋体" w:eastAsia="宋体"/>
          <w:b w:val="0"/>
          <w:bCs w:val="0"/>
          <w:sz w:val="21"/>
          <w:szCs w:val="21"/>
        </w:rPr>
        <w:t>（五）暂停估值与公告基金份额净值的情形</w:t>
      </w:r>
      <w:bookmarkEnd w:id="54"/>
      <w:bookmarkStart w:id="55" w:name="_Toc382819114"/>
    </w:p>
    <w:p w14:paraId="1142A880">
      <w:pPr>
        <w:spacing w:line="440" w:lineRule="atLeast"/>
        <w:ind w:right="28" w:firstLine="420" w:firstLineChars="200"/>
        <w:rPr>
          <w:rFonts w:hint="eastAsia" w:ascii="宋体" w:hAnsi="宋体"/>
          <w:szCs w:val="21"/>
        </w:rPr>
      </w:pPr>
      <w:r>
        <w:rPr>
          <w:rFonts w:hint="eastAsia" w:ascii="宋体" w:hAnsi="宋体"/>
          <w:szCs w:val="21"/>
        </w:rPr>
        <w:t>1．基金投资所涉及的证券/期货交易市场或外汇市场遇法定节假日或因其他原因暂停营业时；</w:t>
      </w:r>
      <w:bookmarkEnd w:id="55"/>
      <w:bookmarkStart w:id="56" w:name="_Toc382819115"/>
    </w:p>
    <w:p w14:paraId="2440803A">
      <w:pPr>
        <w:spacing w:line="440" w:lineRule="atLeast"/>
        <w:ind w:right="28" w:firstLine="420" w:firstLineChars="200"/>
        <w:rPr>
          <w:rFonts w:hint="eastAsia" w:ascii="宋体" w:hAnsi="宋体"/>
          <w:szCs w:val="21"/>
        </w:rPr>
      </w:pPr>
      <w:r>
        <w:rPr>
          <w:rFonts w:hint="eastAsia" w:ascii="宋体" w:hAnsi="宋体"/>
          <w:szCs w:val="21"/>
        </w:rPr>
        <w:t>2．因不可抗力致使基金管理人、基金托管人无法准确评估基金资产价值时；</w:t>
      </w:r>
      <w:bookmarkEnd w:id="56"/>
    </w:p>
    <w:p w14:paraId="555737D6">
      <w:pPr>
        <w:spacing w:line="440" w:lineRule="atLeast"/>
        <w:ind w:right="28" w:firstLine="420" w:firstLineChars="200"/>
        <w:rPr>
          <w:rFonts w:hint="eastAsia" w:ascii="宋体" w:hAnsi="宋体"/>
          <w:szCs w:val="21"/>
        </w:rPr>
      </w:pPr>
      <w:r>
        <w:rPr>
          <w:rFonts w:ascii="宋体" w:hAnsi="宋体"/>
          <w:szCs w:val="21"/>
        </w:rPr>
        <w:t>3</w:t>
      </w:r>
      <w:r>
        <w:rPr>
          <w:rFonts w:hint="eastAsia" w:ascii="宋体" w:hAnsi="宋体"/>
          <w:szCs w:val="21"/>
        </w:rPr>
        <w:t>．当特定资产占前一估值日基金资产净值</w:t>
      </w:r>
      <w:r>
        <w:rPr>
          <w:rFonts w:ascii="宋体" w:hAnsi="宋体"/>
          <w:szCs w:val="21"/>
        </w:rPr>
        <w:t>50%</w:t>
      </w:r>
      <w:r>
        <w:rPr>
          <w:rFonts w:hint="eastAsia" w:ascii="宋体" w:hAnsi="宋体"/>
          <w:szCs w:val="21"/>
        </w:rPr>
        <w:t>以上的，经与基金托管人协商确认后，基金管理人应当暂停估值；</w:t>
      </w:r>
    </w:p>
    <w:p w14:paraId="0BCEEB2F">
      <w:pPr>
        <w:spacing w:line="440" w:lineRule="atLeast"/>
        <w:ind w:right="28"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法律法规、中国证监会和《基金合同》认定的其他情形。</w:t>
      </w:r>
      <w:bookmarkStart w:id="57" w:name="_Toc382819116"/>
    </w:p>
    <w:p w14:paraId="5AD9F9A8">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r>
        <w:rPr>
          <w:rFonts w:hint="eastAsia" w:ascii="宋体" w:hAnsi="宋体" w:eastAsia="宋体"/>
          <w:b w:val="0"/>
          <w:bCs w:val="0"/>
          <w:sz w:val="21"/>
          <w:szCs w:val="21"/>
        </w:rPr>
        <w:t>（六）基金账册的建立</w:t>
      </w:r>
      <w:bookmarkEnd w:id="57"/>
    </w:p>
    <w:p w14:paraId="56547B42">
      <w:pPr>
        <w:spacing w:line="360" w:lineRule="auto"/>
        <w:ind w:firstLine="420" w:firstLineChars="200"/>
        <w:rPr>
          <w:rFonts w:hint="eastAsia" w:ascii="宋体" w:hAnsi="宋体"/>
          <w:szCs w:val="21"/>
        </w:rPr>
      </w:pPr>
      <w:r>
        <w:rPr>
          <w:rFonts w:hint="eastAsia" w:ascii="宋体" w:hAnsi="宋体"/>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9BC368D">
      <w:pPr>
        <w:spacing w:line="360" w:lineRule="auto"/>
        <w:ind w:firstLine="420" w:firstLineChars="200"/>
        <w:rPr>
          <w:rFonts w:hint="eastAsia" w:ascii="宋体" w:hAnsi="宋体"/>
          <w:szCs w:val="21"/>
        </w:rPr>
      </w:pPr>
      <w:r>
        <w:rPr>
          <w:rFonts w:hint="eastAsia" w:ascii="宋体" w:hAnsi="宋体"/>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4CF8198">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bookmarkStart w:id="58" w:name="_Toc382819117"/>
      <w:r>
        <w:rPr>
          <w:rFonts w:hint="eastAsia" w:ascii="宋体" w:hAnsi="宋体" w:eastAsia="宋体"/>
          <w:b w:val="0"/>
          <w:bCs w:val="0"/>
          <w:sz w:val="21"/>
          <w:szCs w:val="21"/>
        </w:rPr>
        <w:t>（七）基金定期报告的编制和复核</w:t>
      </w:r>
      <w:bookmarkEnd w:id="58"/>
    </w:p>
    <w:p w14:paraId="66010A57">
      <w:pPr>
        <w:spacing w:line="360" w:lineRule="auto"/>
        <w:ind w:firstLine="420" w:firstLineChars="200"/>
        <w:rPr>
          <w:rFonts w:hint="eastAsia" w:ascii="宋体" w:hAnsi="宋体"/>
          <w:szCs w:val="21"/>
        </w:rPr>
      </w:pPr>
      <w:r>
        <w:rPr>
          <w:rFonts w:hint="eastAsia" w:ascii="宋体" w:hAnsi="宋体"/>
          <w:szCs w:val="21"/>
        </w:rPr>
        <w:t>1.基金财务报表由基金管理人和基金托管人每月分别独立编制。月度报表的编制，应于每月终了后5个工作日内完成。</w:t>
      </w:r>
    </w:p>
    <w:p w14:paraId="17CDF71F">
      <w:pPr>
        <w:spacing w:line="360" w:lineRule="auto"/>
        <w:ind w:firstLine="420" w:firstLineChars="200"/>
        <w:rPr>
          <w:rFonts w:hint="eastAsia" w:ascii="宋体" w:hAnsi="宋体"/>
          <w:szCs w:val="21"/>
        </w:rPr>
      </w:pPr>
      <w:r>
        <w:rPr>
          <w:rFonts w:hint="eastAsia" w:ascii="宋体" w:hAnsi="宋体"/>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59F06CCE">
      <w:pPr>
        <w:spacing w:line="360" w:lineRule="auto"/>
        <w:ind w:firstLine="420" w:firstLineChars="200"/>
        <w:rPr>
          <w:rFonts w:hint="eastAsia" w:ascii="宋体" w:hAnsi="宋体"/>
          <w:szCs w:val="21"/>
        </w:rPr>
      </w:pPr>
      <w:r>
        <w:rPr>
          <w:rFonts w:hint="eastAsia" w:ascii="宋体" w:hAnsi="宋体"/>
          <w:szCs w:val="21"/>
        </w:rPr>
        <w:t>3.基金管理人在5个工作日内完成月度报告，在月度报告完成当日，以双方约定的方式将有关报告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77AC0BED">
      <w:pPr>
        <w:spacing w:line="360" w:lineRule="auto"/>
        <w:ind w:firstLine="420" w:firstLineChars="200"/>
        <w:rPr>
          <w:rFonts w:hint="eastAsia" w:ascii="宋体" w:hAnsi="宋体"/>
          <w:szCs w:val="21"/>
        </w:rPr>
      </w:pPr>
      <w:r>
        <w:rPr>
          <w:rFonts w:hint="eastAsia" w:ascii="宋体" w:hAnsi="宋体"/>
          <w:szCs w:val="21"/>
        </w:rPr>
        <w:t>4.基金托管人在复核过程中，发现相关各方的报表存在不符时，基金管理人和基金托管人应共同查明原因，进行调整，调整以相关各方认可的账务处理方式为准。</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14:paraId="165A6E47">
      <w:pPr>
        <w:spacing w:line="360" w:lineRule="auto"/>
        <w:ind w:firstLine="420" w:firstLineChars="200"/>
        <w:rPr>
          <w:rFonts w:hint="eastAsia" w:ascii="宋体" w:hAnsi="宋体"/>
          <w:szCs w:val="21"/>
        </w:rPr>
      </w:pPr>
      <w:r>
        <w:rPr>
          <w:rFonts w:hint="eastAsia" w:ascii="宋体" w:hAnsi="宋体"/>
          <w:szCs w:val="21"/>
        </w:rPr>
        <w:t>5.基金托管人在对财务会计报告、季度报告、中期报告或年度报告复核完毕后，应当将复核结果通知基金管理人，以备有权机构对相关文件审核时提示。</w:t>
      </w:r>
    </w:p>
    <w:p w14:paraId="69BCCE70">
      <w:pPr>
        <w:spacing w:line="500" w:lineRule="atLeast"/>
        <w:jc w:val="center"/>
        <w:outlineLvl w:val="0"/>
        <w:rPr>
          <w:rFonts w:hint="eastAsia" w:ascii="宋体" w:hAnsi="宋体"/>
        </w:rPr>
      </w:pPr>
      <w:bookmarkStart w:id="59" w:name="_Toc382819118"/>
      <w:r>
        <w:rPr>
          <w:rFonts w:hint="eastAsia" w:ascii="宋体" w:hAnsi="宋体"/>
          <w:b/>
          <w:sz w:val="24"/>
        </w:rPr>
        <w:t>八、基金收益分配</w:t>
      </w:r>
      <w:bookmarkEnd w:id="59"/>
    </w:p>
    <w:p w14:paraId="7DFD12EE">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cs="Arial"/>
          <w:kern w:val="0"/>
          <w:sz w:val="21"/>
          <w:szCs w:val="21"/>
        </w:rPr>
      </w:pPr>
      <w:bookmarkStart w:id="60" w:name="_Toc382819119"/>
      <w:r>
        <w:rPr>
          <w:rFonts w:hint="eastAsia" w:ascii="宋体" w:hAnsi="宋体" w:eastAsia="宋体"/>
          <w:b w:val="0"/>
          <w:bCs w:val="0"/>
          <w:sz w:val="21"/>
          <w:szCs w:val="21"/>
        </w:rPr>
        <w:t>（一）基金收益分配的原则</w:t>
      </w:r>
      <w:bookmarkEnd w:id="60"/>
    </w:p>
    <w:p w14:paraId="3873CAB6">
      <w:pPr>
        <w:spacing w:line="360" w:lineRule="auto"/>
        <w:ind w:firstLine="472" w:firstLineChars="225"/>
        <w:rPr>
          <w:rFonts w:hint="eastAsia" w:ascii="宋体" w:hAnsi="宋体"/>
          <w:szCs w:val="21"/>
        </w:rPr>
      </w:pPr>
      <w:r>
        <w:rPr>
          <w:rFonts w:hint="eastAsia" w:ascii="宋体" w:hAnsi="宋体"/>
          <w:szCs w:val="21"/>
        </w:rPr>
        <w:t>基金收益分配是指将该基金可供分配利润按收益分配方案确定的分配金额和比例根据持有该基金份额的数量按比例向该基金份额持有人进行分配。</w:t>
      </w:r>
    </w:p>
    <w:p w14:paraId="33EC029B">
      <w:pPr>
        <w:spacing w:line="360" w:lineRule="auto"/>
        <w:ind w:firstLine="472" w:firstLineChars="225"/>
        <w:rPr>
          <w:rFonts w:hint="eastAsia" w:ascii="宋体" w:hAnsi="宋体"/>
          <w:szCs w:val="21"/>
        </w:rPr>
      </w:pPr>
      <w:r>
        <w:rPr>
          <w:rFonts w:hint="eastAsia" w:ascii="宋体" w:hAnsi="宋体"/>
          <w:szCs w:val="21"/>
        </w:rPr>
        <w:t>收益分配应该符合《基金合同》关于收益分配原则的规定。</w:t>
      </w:r>
      <w:bookmarkStart w:id="61" w:name="_Toc382819120"/>
    </w:p>
    <w:p w14:paraId="5E138CC3">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eastAsia="宋体"/>
          <w:b w:val="0"/>
          <w:bCs w:val="0"/>
          <w:sz w:val="21"/>
          <w:szCs w:val="21"/>
        </w:rPr>
      </w:pPr>
      <w:r>
        <w:rPr>
          <w:rFonts w:hint="eastAsia" w:ascii="宋体" w:hAnsi="宋体" w:eastAsia="宋体"/>
          <w:b w:val="0"/>
          <w:bCs w:val="0"/>
          <w:sz w:val="21"/>
          <w:szCs w:val="21"/>
        </w:rPr>
        <w:t>（二）基金收益分配方案的制定和实施程序</w:t>
      </w:r>
      <w:bookmarkEnd w:id="61"/>
    </w:p>
    <w:p w14:paraId="11CF32E0">
      <w:pPr>
        <w:spacing w:line="360" w:lineRule="auto"/>
        <w:ind w:firstLine="472" w:firstLineChars="225"/>
        <w:rPr>
          <w:rFonts w:hint="eastAsia" w:ascii="宋体" w:hAnsi="宋体"/>
          <w:szCs w:val="21"/>
        </w:rPr>
      </w:pPr>
      <w:r>
        <w:rPr>
          <w:rFonts w:hint="eastAsia" w:ascii="宋体" w:hAnsi="宋体"/>
          <w:szCs w:val="21"/>
        </w:rPr>
        <w:t>基金收益分配方案由基金管理人根据《基金合同》的相关规定制定。</w:t>
      </w:r>
    </w:p>
    <w:p w14:paraId="2BE7E8D4">
      <w:pPr>
        <w:spacing w:line="360" w:lineRule="auto"/>
        <w:ind w:firstLine="472" w:firstLineChars="225"/>
        <w:rPr>
          <w:rFonts w:hint="eastAsia" w:ascii="宋体" w:hAnsi="宋体"/>
          <w:szCs w:val="21"/>
        </w:rPr>
      </w:pPr>
      <w:r>
        <w:rPr>
          <w:rFonts w:hint="eastAsia" w:ascii="宋体" w:hAnsi="宋体"/>
          <w:szCs w:val="21"/>
        </w:rPr>
        <w:t>基金收益分配方案由基金管理人拟定，并由基金托管人复核。复核通过后基金管理人应当将收益分配方案依据《信息披露办法》的相关规定在规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33631B3E">
      <w:pPr>
        <w:pStyle w:val="4"/>
        <w:keepNext w:val="0"/>
        <w:keepLines w:val="0"/>
        <w:autoSpaceDE w:val="0"/>
        <w:autoSpaceDN w:val="0"/>
        <w:adjustRightInd w:val="0"/>
        <w:spacing w:before="0" w:after="0" w:line="360" w:lineRule="auto"/>
        <w:ind w:firstLine="420" w:firstLineChars="200"/>
        <w:textAlignment w:val="baseline"/>
        <w:rPr>
          <w:rFonts w:hint="eastAsia" w:ascii="宋体" w:hAnsi="宋体"/>
          <w:szCs w:val="21"/>
        </w:rPr>
      </w:pPr>
      <w:r>
        <w:rPr>
          <w:rFonts w:hint="eastAsia" w:ascii="宋体" w:hAnsi="宋体" w:eastAsia="宋体"/>
          <w:b w:val="0"/>
          <w:bCs w:val="0"/>
          <w:sz w:val="21"/>
          <w:szCs w:val="21"/>
        </w:rPr>
        <w:t>（三）实施侧袋机制期间的收益分配</w:t>
      </w:r>
    </w:p>
    <w:p w14:paraId="3CE444CC">
      <w:pPr>
        <w:spacing w:line="500" w:lineRule="atLeast"/>
        <w:jc w:val="center"/>
        <w:outlineLvl w:val="0"/>
        <w:rPr>
          <w:rFonts w:hint="eastAsia" w:ascii="宋体" w:hAnsi="宋体"/>
          <w:szCs w:val="21"/>
        </w:rPr>
      </w:pPr>
      <w:r>
        <w:rPr>
          <w:rFonts w:hint="eastAsia" w:ascii="宋体" w:hAnsi="宋体"/>
          <w:szCs w:val="21"/>
        </w:rPr>
        <w:t>本基金实施侧袋机制的，侧袋账户不进行收益分配，详见招募说明书的规定。</w:t>
      </w:r>
      <w:bookmarkStart w:id="62" w:name="_Toc382819121"/>
    </w:p>
    <w:p w14:paraId="2AE47F39">
      <w:pPr>
        <w:spacing w:line="500" w:lineRule="atLeast"/>
        <w:jc w:val="center"/>
        <w:outlineLvl w:val="0"/>
        <w:rPr>
          <w:rFonts w:hint="eastAsia" w:ascii="宋体" w:hAnsi="宋体"/>
        </w:rPr>
      </w:pPr>
      <w:r>
        <w:rPr>
          <w:rFonts w:hint="eastAsia" w:ascii="宋体" w:hAnsi="宋体"/>
          <w:b/>
          <w:sz w:val="24"/>
        </w:rPr>
        <w:t>九、信息披露</w:t>
      </w:r>
      <w:bookmarkEnd w:id="62"/>
    </w:p>
    <w:p w14:paraId="56DC9F21">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cs="Arial"/>
          <w:b w:val="0"/>
          <w:kern w:val="0"/>
          <w:sz w:val="21"/>
          <w:szCs w:val="21"/>
        </w:rPr>
      </w:pPr>
      <w:bookmarkStart w:id="63" w:name="_Toc382819122"/>
      <w:r>
        <w:rPr>
          <w:rFonts w:hint="eastAsia" w:ascii="宋体" w:hAnsi="宋体" w:eastAsia="宋体"/>
          <w:b w:val="0"/>
          <w:sz w:val="21"/>
          <w:szCs w:val="21"/>
        </w:rPr>
        <w:t>（一）</w:t>
      </w:r>
      <w:r>
        <w:rPr>
          <w:rFonts w:hint="eastAsia" w:ascii="宋体" w:hAnsi="宋体" w:eastAsia="宋体" w:cs="Arial"/>
          <w:b w:val="0"/>
          <w:kern w:val="0"/>
          <w:sz w:val="21"/>
          <w:szCs w:val="21"/>
        </w:rPr>
        <w:t>保密义务</w:t>
      </w:r>
      <w:bookmarkEnd w:id="63"/>
    </w:p>
    <w:p w14:paraId="729ED138">
      <w:pPr>
        <w:spacing w:line="360" w:lineRule="auto"/>
        <w:ind w:right="28" w:firstLine="420" w:firstLineChars="200"/>
        <w:rPr>
          <w:rFonts w:hint="eastAsia" w:ascii="宋体" w:hAnsi="宋体"/>
          <w:szCs w:val="21"/>
        </w:rPr>
      </w:pPr>
      <w:r>
        <w:rPr>
          <w:rFonts w:hint="eastAsia" w:ascii="宋体" w:hAnsi="宋体"/>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097AC282">
      <w:pPr>
        <w:pStyle w:val="12"/>
        <w:ind w:firstLine="420" w:firstLineChars="200"/>
        <w:rPr>
          <w:rFonts w:hint="eastAsia" w:ascii="宋体" w:hAnsi="宋体"/>
          <w:szCs w:val="21"/>
        </w:rPr>
      </w:pPr>
      <w:r>
        <w:rPr>
          <w:rFonts w:hint="eastAsia" w:ascii="宋体" w:hAnsi="宋体"/>
          <w:szCs w:val="21"/>
        </w:rPr>
        <w:t>1.非因基金管理人和基金托管人的原因导致保密信息被披露、泄露或公开；</w:t>
      </w:r>
    </w:p>
    <w:p w14:paraId="1FD1DB54">
      <w:pPr>
        <w:spacing w:line="360" w:lineRule="auto"/>
        <w:ind w:firstLine="420" w:firstLineChars="200"/>
        <w:rPr>
          <w:rFonts w:hint="eastAsia" w:ascii="宋体" w:hAnsi="宋体"/>
          <w:szCs w:val="21"/>
        </w:rPr>
      </w:pPr>
      <w:r>
        <w:rPr>
          <w:rFonts w:hint="eastAsia" w:ascii="宋体" w:hAnsi="宋体"/>
          <w:szCs w:val="21"/>
        </w:rPr>
        <w:t>2.基金管理人和基金托管人为遵守和服从法院判决、仲裁裁决或中国证监会等监管机构的命令、决定所做出的信息披露或公开。</w:t>
      </w:r>
    </w:p>
    <w:p w14:paraId="4B7BD095">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（二）信息披露的内容</w:t>
      </w:r>
    </w:p>
    <w:p w14:paraId="1025F89B">
      <w:pPr>
        <w:tabs>
          <w:tab w:val="left" w:pos="4680"/>
        </w:tabs>
        <w:spacing w:line="360" w:lineRule="auto"/>
        <w:ind w:firstLine="420" w:firstLineChars="200"/>
        <w:rPr>
          <w:rFonts w:hint="eastAsia" w:ascii="宋体" w:hAnsi="宋体"/>
          <w:szCs w:val="21"/>
        </w:rPr>
      </w:pPr>
      <w:r>
        <w:rPr>
          <w:rFonts w:hint="eastAsia" w:ascii="宋体" w:hAnsi="宋体"/>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4ED12B9A">
      <w:pPr>
        <w:tabs>
          <w:tab w:val="left" w:pos="4680"/>
        </w:tabs>
        <w:spacing w:line="360" w:lineRule="auto"/>
        <w:ind w:firstLine="420" w:firstLineChars="200"/>
        <w:rPr>
          <w:rFonts w:hint="eastAsia" w:ascii="宋体" w:hAnsi="宋体"/>
          <w:szCs w:val="21"/>
        </w:rPr>
      </w:pPr>
      <w:r>
        <w:rPr>
          <w:rFonts w:hint="eastAsia" w:ascii="宋体" w:hAnsi="宋体"/>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清算报告、资产支持证券、国债期货、股指期货和股票期权的投资情况、投资港股通标的股票交易情况、投资非公开发行股票的信息披露、参与融资和转融通证券出借业务的交易情况、实施侧袋机制期间的信息披露等其他必要的公告文件，由基金管理人拟定并负责公布。</w:t>
      </w:r>
    </w:p>
    <w:p w14:paraId="265AE1F8">
      <w:pPr>
        <w:tabs>
          <w:tab w:val="left" w:pos="4680"/>
        </w:tabs>
        <w:spacing w:line="360" w:lineRule="auto"/>
        <w:ind w:firstLine="420" w:firstLineChars="200"/>
        <w:rPr>
          <w:rFonts w:hint="eastAsia" w:ascii="宋体" w:hAnsi="宋体"/>
          <w:szCs w:val="21"/>
        </w:rPr>
      </w:pPr>
      <w:r>
        <w:rPr>
          <w:rFonts w:hint="eastAsia" w:ascii="宋体" w:hAnsi="宋体"/>
          <w:szCs w:val="21"/>
        </w:rPr>
        <w:t>3.基金管理人与基金托管人应严格遵守《基金合同》所规定的信息披露要求。基金净值信息、基金份额净值、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1D8FA66D">
      <w:pPr>
        <w:tabs>
          <w:tab w:val="left" w:pos="4680"/>
        </w:tabs>
        <w:spacing w:line="360" w:lineRule="auto"/>
        <w:ind w:firstLine="420" w:firstLineChars="200"/>
        <w:rPr>
          <w:rFonts w:hint="eastAsia" w:ascii="宋体" w:hAnsi="宋体"/>
          <w:szCs w:val="21"/>
        </w:rPr>
      </w:pPr>
      <w:bookmarkStart w:id="64" w:name="_Toc382819123"/>
      <w:r>
        <w:rPr>
          <w:rFonts w:hint="eastAsia" w:ascii="宋体" w:hAnsi="宋体"/>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4"/>
    </w:p>
    <w:p w14:paraId="110B3939">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bookmarkStart w:id="65" w:name="_Toc382819124"/>
      <w:r>
        <w:rPr>
          <w:rFonts w:hint="eastAsia" w:ascii="宋体" w:hAnsi="宋体" w:eastAsia="宋体"/>
          <w:b w:val="0"/>
          <w:sz w:val="21"/>
          <w:szCs w:val="21"/>
        </w:rPr>
        <w:t>（三）基金管理人和基金托管人在信息披露中的职责和信息披露程序</w:t>
      </w:r>
      <w:bookmarkEnd w:id="65"/>
    </w:p>
    <w:p w14:paraId="44B77478">
      <w:pPr>
        <w:tabs>
          <w:tab w:val="left" w:pos="4680"/>
        </w:tabs>
        <w:spacing w:line="360" w:lineRule="auto"/>
        <w:ind w:firstLine="420" w:firstLineChars="200"/>
        <w:rPr>
          <w:rFonts w:hint="eastAsia" w:ascii="宋体" w:hAnsi="宋体"/>
          <w:szCs w:val="21"/>
        </w:rPr>
      </w:pPr>
      <w:r>
        <w:rPr>
          <w:rFonts w:hint="eastAsia" w:ascii="宋体" w:hAnsi="宋体"/>
          <w:szCs w:val="21"/>
        </w:rPr>
        <w:t>1.职责</w:t>
      </w:r>
    </w:p>
    <w:p w14:paraId="76B1012A">
      <w:pPr>
        <w:tabs>
          <w:tab w:val="left" w:pos="4680"/>
        </w:tabs>
        <w:spacing w:line="360" w:lineRule="auto"/>
        <w:ind w:firstLine="420" w:firstLineChars="200"/>
        <w:rPr>
          <w:rFonts w:hint="eastAsia" w:ascii="宋体" w:hAnsi="宋体"/>
          <w:szCs w:val="21"/>
        </w:rPr>
      </w:pPr>
      <w:r>
        <w:rPr>
          <w:rFonts w:hint="eastAsia" w:ascii="宋体" w:hAnsi="宋体"/>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7FCF4F9D">
      <w:pPr>
        <w:tabs>
          <w:tab w:val="left" w:pos="4680"/>
        </w:tabs>
        <w:spacing w:line="360" w:lineRule="auto"/>
        <w:ind w:firstLine="420" w:firstLineChars="200"/>
        <w:rPr>
          <w:rFonts w:hint="eastAsia" w:ascii="宋体" w:hAnsi="宋体"/>
          <w:szCs w:val="21"/>
        </w:rPr>
      </w:pPr>
      <w:r>
        <w:rPr>
          <w:rFonts w:hint="eastAsia" w:ascii="宋体" w:hAnsi="宋体"/>
          <w:szCs w:val="21"/>
        </w:rPr>
        <w:t>2.程序</w:t>
      </w:r>
    </w:p>
    <w:p w14:paraId="7FE874D3">
      <w:pPr>
        <w:tabs>
          <w:tab w:val="left" w:pos="4680"/>
        </w:tabs>
        <w:spacing w:line="360" w:lineRule="auto"/>
        <w:ind w:firstLine="420" w:firstLineChars="200"/>
        <w:rPr>
          <w:rFonts w:hint="eastAsia" w:ascii="宋体" w:hAnsi="宋体"/>
          <w:szCs w:val="21"/>
        </w:rPr>
      </w:pPr>
      <w:r>
        <w:rPr>
          <w:rFonts w:hint="eastAsia" w:ascii="宋体" w:hAnsi="宋体"/>
          <w:szCs w:val="21"/>
        </w:rPr>
        <w:t>按有关规定须经基金托管人复核的信息披露文件，由基金管理人起草，并经基金托管人复核后由基金管理人公告。</w:t>
      </w:r>
    </w:p>
    <w:p w14:paraId="1A358213">
      <w:pPr>
        <w:tabs>
          <w:tab w:val="left" w:pos="4680"/>
        </w:tabs>
        <w:spacing w:line="360" w:lineRule="auto"/>
        <w:ind w:firstLine="420" w:firstLineChars="200"/>
        <w:rPr>
          <w:rFonts w:hint="eastAsia" w:ascii="宋体" w:hAnsi="宋体"/>
          <w:szCs w:val="21"/>
        </w:rPr>
      </w:pPr>
      <w:r>
        <w:rPr>
          <w:rFonts w:hint="eastAsia" w:ascii="宋体" w:hAnsi="宋体"/>
          <w:szCs w:val="21"/>
        </w:rPr>
        <w:t>发生《基金合同》中规定需要披露的事项时，按《基金合同》规定公告。</w:t>
      </w:r>
    </w:p>
    <w:p w14:paraId="34571414">
      <w:pPr>
        <w:tabs>
          <w:tab w:val="left" w:pos="4680"/>
        </w:tabs>
        <w:spacing w:line="360" w:lineRule="auto"/>
        <w:ind w:firstLine="420" w:firstLineChars="200"/>
        <w:rPr>
          <w:rFonts w:hint="eastAsia" w:ascii="宋体" w:hAnsi="宋体"/>
          <w:szCs w:val="21"/>
        </w:rPr>
      </w:pPr>
      <w:r>
        <w:rPr>
          <w:rFonts w:hint="eastAsia" w:ascii="宋体" w:hAnsi="宋体"/>
          <w:szCs w:val="21"/>
        </w:rPr>
        <w:t>3.信息文本的存放</w:t>
      </w:r>
    </w:p>
    <w:p w14:paraId="1B755B96">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依法必须披露的信息发布后，基金管理人、基金托管人应当按照相关法律法规规定将信息置备于各自住所，供社会公众查阅、复制。投资者在支付工本费后可以获得上述文件的复制件或复印件。</w:t>
      </w:r>
    </w:p>
    <w:p w14:paraId="1E9F4013">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基金管理人和基金托管人应保证文本的内容与所公告的内容完全一致。</w:t>
      </w:r>
    </w:p>
    <w:p w14:paraId="17295FF0">
      <w:pPr>
        <w:adjustRightInd w:val="0"/>
        <w:snapToGrid w:val="0"/>
        <w:spacing w:line="360" w:lineRule="auto"/>
        <w:ind w:firstLine="420" w:firstLineChars="200"/>
        <w:rPr>
          <w:rFonts w:hint="eastAsia" w:ascii="宋体" w:hAnsi="宋体"/>
          <w:szCs w:val="21"/>
        </w:rPr>
      </w:pPr>
      <w:r>
        <w:rPr>
          <w:rFonts w:hint="eastAsia" w:ascii="宋体" w:hAnsi="宋体"/>
          <w:szCs w:val="21"/>
        </w:rPr>
        <w:t>4.暂停</w:t>
      </w:r>
      <w:r>
        <w:rPr>
          <w:rFonts w:hint="eastAsia" w:ascii="宋体" w:hAnsi="宋体" w:cs="Arial"/>
          <w:szCs w:val="21"/>
        </w:rPr>
        <w:t>或延迟披露基金相关信息</w:t>
      </w:r>
      <w:r>
        <w:rPr>
          <w:rFonts w:hint="eastAsia" w:ascii="宋体" w:hAnsi="宋体"/>
          <w:szCs w:val="21"/>
        </w:rPr>
        <w:t>的情形</w:t>
      </w:r>
    </w:p>
    <w:p w14:paraId="6D858990">
      <w:pPr>
        <w:adjustRightInd w:val="0"/>
        <w:snapToGrid w:val="0"/>
        <w:spacing w:line="360" w:lineRule="auto"/>
        <w:ind w:firstLine="420" w:firstLineChars="200"/>
        <w:rPr>
          <w:rFonts w:hint="eastAsia" w:ascii="宋体" w:hAnsi="宋体"/>
          <w:szCs w:val="21"/>
        </w:rPr>
      </w:pPr>
      <w:r>
        <w:rPr>
          <w:rFonts w:hint="eastAsia" w:ascii="宋体" w:hAnsi="宋体"/>
          <w:szCs w:val="21"/>
        </w:rPr>
        <w:t>（1）不可抗力；</w:t>
      </w:r>
    </w:p>
    <w:p w14:paraId="1059B67D">
      <w:pPr>
        <w:pStyle w:val="36"/>
        <w:adjustRightInd w:val="0"/>
        <w:snapToGrid w:val="0"/>
        <w:spacing w:after="0" w:afterLines="0"/>
        <w:ind w:firstLine="420"/>
        <w:rPr>
          <w:rFonts w:hint="eastAsia" w:ascii="宋体" w:hAnsi="宋体"/>
          <w:sz w:val="21"/>
          <w:szCs w:val="21"/>
        </w:rPr>
      </w:pPr>
      <w:r>
        <w:rPr>
          <w:rFonts w:hint="eastAsia" w:ascii="宋体" w:hAnsi="宋体"/>
          <w:sz w:val="21"/>
          <w:szCs w:val="21"/>
        </w:rPr>
        <w:t>（2）发生基金合同约定的暂停估值的情形；</w:t>
      </w:r>
    </w:p>
    <w:p w14:paraId="5E556B9B">
      <w:pPr>
        <w:spacing w:line="360" w:lineRule="auto"/>
        <w:ind w:right="28" w:firstLine="420" w:firstLineChars="200"/>
      </w:pPr>
      <w:r>
        <w:rPr>
          <w:rFonts w:hint="eastAsia" w:ascii="宋体" w:hAnsi="宋体"/>
          <w:szCs w:val="21"/>
        </w:rPr>
        <w:t>（3）法律法规规定、中国证监会和《基金合同》认定的其他情形。</w:t>
      </w:r>
    </w:p>
    <w:p w14:paraId="2D97F0AE">
      <w:pPr>
        <w:spacing w:line="500" w:lineRule="atLeast"/>
        <w:jc w:val="center"/>
        <w:outlineLvl w:val="0"/>
        <w:rPr>
          <w:rFonts w:hint="eastAsia" w:ascii="宋体" w:hAnsi="宋体"/>
        </w:rPr>
      </w:pPr>
      <w:bookmarkStart w:id="66" w:name="_Toc382819125"/>
      <w:r>
        <w:rPr>
          <w:rFonts w:hint="eastAsia" w:ascii="宋体" w:hAnsi="宋体"/>
          <w:b/>
          <w:sz w:val="24"/>
        </w:rPr>
        <w:t>十、基金费用</w:t>
      </w:r>
      <w:bookmarkEnd w:id="66"/>
    </w:p>
    <w:p w14:paraId="10BE6854">
      <w:pPr>
        <w:spacing w:line="360" w:lineRule="auto"/>
        <w:ind w:right="28" w:firstLine="420" w:firstLineChars="200"/>
        <w:rPr>
          <w:rFonts w:hint="eastAsia" w:ascii="宋体" w:hAnsi="宋体"/>
          <w:szCs w:val="21"/>
        </w:rPr>
      </w:pPr>
      <w:r>
        <w:rPr>
          <w:rFonts w:hint="eastAsia" w:ascii="宋体" w:hAnsi="宋体"/>
          <w:szCs w:val="21"/>
        </w:rPr>
        <w:t>基金费用按照《基金合同》的约定计提和支付。</w:t>
      </w:r>
      <w:bookmarkStart w:id="67" w:name="_Toc382819126"/>
    </w:p>
    <w:p w14:paraId="08B15736">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（一）基金管理人的管理费</w:t>
      </w:r>
    </w:p>
    <w:p w14:paraId="249EC239">
      <w:pPr>
        <w:spacing w:line="360" w:lineRule="auto"/>
        <w:ind w:right="28" w:firstLine="420" w:firstLineChars="200"/>
        <w:rPr>
          <w:rFonts w:hint="eastAsia" w:ascii="宋体" w:hAnsi="宋体"/>
          <w:szCs w:val="21"/>
        </w:rPr>
      </w:pPr>
      <w:r>
        <w:rPr>
          <w:rFonts w:hint="eastAsia" w:ascii="宋体" w:hAnsi="宋体"/>
          <w:szCs w:val="21"/>
        </w:rPr>
        <w:t>本基金的管理费按前一日基金资产净值的0.80%年费率计提。管理费的计算方法如下：</w:t>
      </w:r>
    </w:p>
    <w:p w14:paraId="1FD6DF7C">
      <w:pPr>
        <w:spacing w:line="360" w:lineRule="auto"/>
        <w:ind w:right="28" w:firstLine="420" w:firstLineChars="200"/>
        <w:rPr>
          <w:rFonts w:hint="eastAsia" w:ascii="宋体" w:hAnsi="宋体"/>
          <w:szCs w:val="21"/>
        </w:rPr>
      </w:pPr>
      <w:r>
        <w:rPr>
          <w:rFonts w:hint="eastAsia" w:ascii="宋体" w:hAnsi="宋体"/>
          <w:szCs w:val="21"/>
        </w:rPr>
        <w:t>H＝E×0.80%÷当年天数</w:t>
      </w:r>
    </w:p>
    <w:p w14:paraId="6BA00FC2">
      <w:pPr>
        <w:spacing w:line="360" w:lineRule="auto"/>
        <w:ind w:right="28" w:firstLine="420" w:firstLineChars="200"/>
        <w:rPr>
          <w:rFonts w:hint="eastAsia" w:ascii="宋体" w:hAnsi="宋体"/>
          <w:szCs w:val="21"/>
        </w:rPr>
      </w:pPr>
      <w:r>
        <w:rPr>
          <w:rFonts w:hint="eastAsia" w:ascii="宋体" w:hAnsi="宋体"/>
          <w:szCs w:val="21"/>
        </w:rPr>
        <w:t>H为每日应计提的基金管理费</w:t>
      </w:r>
    </w:p>
    <w:p w14:paraId="4E77F7BF">
      <w:pPr>
        <w:spacing w:line="360" w:lineRule="auto"/>
        <w:ind w:right="28" w:firstLine="420" w:firstLineChars="200"/>
        <w:rPr>
          <w:rFonts w:hint="eastAsia" w:ascii="宋体" w:hAnsi="宋体"/>
          <w:szCs w:val="21"/>
        </w:rPr>
      </w:pPr>
      <w:r>
        <w:rPr>
          <w:rFonts w:hint="eastAsia" w:ascii="宋体" w:hAnsi="宋体"/>
          <w:szCs w:val="21"/>
        </w:rPr>
        <w:t>E为前一日的基金资产净值</w:t>
      </w:r>
    </w:p>
    <w:p w14:paraId="58BDE71E">
      <w:pPr>
        <w:spacing w:line="360" w:lineRule="auto"/>
        <w:ind w:right="28" w:firstLine="420" w:firstLineChars="200"/>
        <w:rPr>
          <w:rFonts w:hint="eastAsia" w:ascii="宋体" w:hAnsi="宋体"/>
          <w:szCs w:val="21"/>
        </w:rPr>
      </w:pPr>
      <w:r>
        <w:rPr>
          <w:rFonts w:hint="eastAsia" w:ascii="宋体" w:hAnsi="宋体"/>
          <w:szCs w:val="21"/>
        </w:rPr>
        <w:t>基金管理费每日计提，逐日累计至每月月末，按月支付，经基金管理人与基金托管人双方核对无误后，基金托管人按照与基金管理人协商一致的方式于次月月初5个工作日内从基金财产中一次性支付给基金管理人。若遇法定节假日、公休假或不可抗力等，支付日期顺延。</w:t>
      </w:r>
    </w:p>
    <w:p w14:paraId="068E9A41">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（二）基金托管人的托管费</w:t>
      </w:r>
    </w:p>
    <w:p w14:paraId="2349B825">
      <w:pPr>
        <w:spacing w:line="360" w:lineRule="auto"/>
        <w:ind w:right="28" w:firstLine="420" w:firstLineChars="200"/>
        <w:rPr>
          <w:rFonts w:hint="eastAsia" w:ascii="宋体" w:hAnsi="宋体"/>
          <w:szCs w:val="21"/>
        </w:rPr>
      </w:pPr>
      <w:r>
        <w:rPr>
          <w:rFonts w:hint="eastAsia" w:ascii="宋体" w:hAnsi="宋体"/>
          <w:szCs w:val="21"/>
        </w:rPr>
        <w:t>本基金的托管费按前一日基金资产净值的</w:t>
      </w:r>
      <w:r>
        <w:rPr>
          <w:rFonts w:ascii="宋体" w:hAnsi="宋体"/>
          <w:szCs w:val="21"/>
        </w:rPr>
        <w:t>0.</w:t>
      </w:r>
      <w:r>
        <w:rPr>
          <w:rFonts w:hint="eastAsia" w:ascii="宋体" w:hAnsi="宋体"/>
          <w:szCs w:val="21"/>
        </w:rPr>
        <w:t>10</w:t>
      </w:r>
      <w:r>
        <w:rPr>
          <w:rFonts w:ascii="宋体" w:hAnsi="宋体"/>
          <w:szCs w:val="21"/>
        </w:rPr>
        <w:t>%</w:t>
      </w:r>
      <w:r>
        <w:rPr>
          <w:rFonts w:hint="eastAsia" w:ascii="宋体" w:hAnsi="宋体"/>
          <w:szCs w:val="21"/>
        </w:rPr>
        <w:t>的年费率计提。托管费的计算方法如下：</w:t>
      </w:r>
    </w:p>
    <w:p w14:paraId="78848351">
      <w:pPr>
        <w:spacing w:line="360" w:lineRule="auto"/>
        <w:ind w:right="28" w:firstLine="420" w:firstLineChars="200"/>
        <w:rPr>
          <w:rFonts w:hint="eastAsia" w:ascii="宋体" w:hAnsi="宋体"/>
          <w:szCs w:val="21"/>
        </w:rPr>
      </w:pPr>
      <w:r>
        <w:rPr>
          <w:rFonts w:ascii="宋体" w:hAnsi="宋体"/>
          <w:szCs w:val="21"/>
        </w:rPr>
        <w:t>H</w:t>
      </w:r>
      <w:r>
        <w:rPr>
          <w:rFonts w:hint="eastAsia" w:ascii="宋体" w:hAnsi="宋体"/>
          <w:szCs w:val="21"/>
        </w:rPr>
        <w:t>＝</w:t>
      </w:r>
      <w:r>
        <w:rPr>
          <w:rFonts w:ascii="宋体" w:hAnsi="宋体"/>
          <w:szCs w:val="21"/>
        </w:rPr>
        <w:t>E</w:t>
      </w:r>
      <w:r>
        <w:rPr>
          <w:rFonts w:hint="eastAsia" w:ascii="宋体" w:hAnsi="宋体"/>
          <w:szCs w:val="21"/>
        </w:rPr>
        <w:t>×</w:t>
      </w:r>
      <w:r>
        <w:rPr>
          <w:rFonts w:ascii="宋体" w:hAnsi="宋体"/>
          <w:szCs w:val="21"/>
        </w:rPr>
        <w:t>0.</w:t>
      </w:r>
      <w:r>
        <w:rPr>
          <w:rFonts w:hint="eastAsia" w:ascii="宋体" w:hAnsi="宋体"/>
          <w:szCs w:val="21"/>
        </w:rPr>
        <w:t>10</w:t>
      </w:r>
      <w:r>
        <w:rPr>
          <w:rFonts w:ascii="宋体" w:hAnsi="宋体"/>
          <w:szCs w:val="21"/>
        </w:rPr>
        <w:t>%</w:t>
      </w:r>
      <w:r>
        <w:rPr>
          <w:rFonts w:hint="eastAsia" w:ascii="宋体" w:hAnsi="宋体"/>
          <w:szCs w:val="21"/>
        </w:rPr>
        <w:t>÷当年天数</w:t>
      </w:r>
    </w:p>
    <w:p w14:paraId="2F4D8C7B">
      <w:pPr>
        <w:spacing w:line="360" w:lineRule="auto"/>
        <w:ind w:right="28" w:firstLine="420" w:firstLineChars="200"/>
        <w:rPr>
          <w:rFonts w:hint="eastAsia" w:ascii="宋体" w:hAnsi="宋体"/>
          <w:szCs w:val="21"/>
        </w:rPr>
      </w:pPr>
      <w:r>
        <w:rPr>
          <w:rFonts w:ascii="宋体" w:hAnsi="宋体"/>
          <w:szCs w:val="21"/>
        </w:rPr>
        <w:t>H</w:t>
      </w:r>
      <w:r>
        <w:rPr>
          <w:rFonts w:hint="eastAsia" w:ascii="宋体" w:hAnsi="宋体"/>
          <w:szCs w:val="21"/>
        </w:rPr>
        <w:t>为每日应计提的基金托管费</w:t>
      </w:r>
    </w:p>
    <w:p w14:paraId="554CCE32">
      <w:pPr>
        <w:spacing w:line="360" w:lineRule="auto"/>
        <w:ind w:right="28" w:firstLine="420" w:firstLineChars="200"/>
        <w:rPr>
          <w:rFonts w:hint="eastAsia" w:ascii="宋体" w:hAnsi="宋体"/>
          <w:szCs w:val="21"/>
        </w:rPr>
      </w:pPr>
      <w:r>
        <w:rPr>
          <w:rFonts w:ascii="宋体" w:hAnsi="宋体"/>
          <w:szCs w:val="21"/>
        </w:rPr>
        <w:t>E</w:t>
      </w:r>
      <w:r>
        <w:rPr>
          <w:rFonts w:hint="eastAsia" w:ascii="宋体" w:hAnsi="宋体"/>
          <w:szCs w:val="21"/>
        </w:rPr>
        <w:t>为前一日的基金资产净值</w:t>
      </w:r>
    </w:p>
    <w:p w14:paraId="3F8BCEDE">
      <w:pPr>
        <w:spacing w:line="360" w:lineRule="auto"/>
        <w:ind w:right="28" w:firstLine="420" w:firstLineChars="200"/>
        <w:rPr>
          <w:rFonts w:hint="eastAsia" w:ascii="宋体" w:hAnsi="宋体"/>
          <w:szCs w:val="21"/>
        </w:rPr>
      </w:pPr>
      <w:r>
        <w:rPr>
          <w:rFonts w:hint="eastAsia" w:ascii="宋体" w:hAnsi="宋体"/>
          <w:szCs w:val="21"/>
        </w:rPr>
        <w:t>基金托管费每日计提，逐日累计至每月月末，按月支付，经基金管理人与基金托管人双方核对无误后，基金托管人按照与基金管理人协商一致的方式于次月月初5个工作日内从基金财产中一次性支取。若遇法定节假日、公休假或不可抗力等，支付日期顺延。</w:t>
      </w:r>
    </w:p>
    <w:p w14:paraId="03448D10">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（三）C类基金份额的销售服务费</w:t>
      </w:r>
    </w:p>
    <w:p w14:paraId="57925575">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本基金A类基金份额不收取销售服务费，C类基金份额的销售服务费年费率为0.30%。</w:t>
      </w:r>
    </w:p>
    <w:p w14:paraId="771FC9F6">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 xml:space="preserve">本基金销售服务费按前一日C类基金资产净值的0.30%年费率计提。计算方法如下： </w:t>
      </w:r>
    </w:p>
    <w:p w14:paraId="370ADDC0">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 xml:space="preserve">H＝E×年销售服务费率÷当年天数 </w:t>
      </w:r>
    </w:p>
    <w:p w14:paraId="6A1334C5">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H为C类基金份额每日应计提的销售服务费</w:t>
      </w:r>
    </w:p>
    <w:p w14:paraId="3B26925C">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E为C类基金份额前一日的基金资产净值</w:t>
      </w:r>
    </w:p>
    <w:p w14:paraId="749306A2">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r>
        <w:rPr>
          <w:rFonts w:hint="eastAsia" w:ascii="宋体" w:hAnsi="宋体" w:eastAsia="宋体"/>
          <w:b w:val="0"/>
          <w:sz w:val="21"/>
          <w:szCs w:val="21"/>
        </w:rPr>
        <w:t>基金销售服务费每日计提，逐日累计至每月月末，按月支付。经基金管理人与基金托管人双方核对无误后，基金托管人按照与基金管理人协商一致的方式于次月月初5个工作日内从基金财产中一次性支付。若遇法定节假日、公休假或不可抗力等，支付日期顺延。</w:t>
      </w:r>
    </w:p>
    <w:p w14:paraId="46DF5364">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（四）实施侧袋机制期间的基金费用</w:t>
      </w:r>
    </w:p>
    <w:p w14:paraId="5AC00760">
      <w:pPr>
        <w:spacing w:line="360" w:lineRule="auto"/>
        <w:ind w:right="28" w:firstLine="420" w:firstLineChars="200"/>
        <w:rPr>
          <w:rFonts w:hint="eastAsia" w:ascii="宋体" w:hAnsi="宋体"/>
          <w:szCs w:val="21"/>
        </w:rPr>
      </w:pPr>
      <w:r>
        <w:rPr>
          <w:rFonts w:hint="eastAsia" w:ascii="宋体" w:hAnsi="宋体"/>
          <w:szCs w:val="21"/>
        </w:rPr>
        <w:t>本基金实施侧袋机制的，与侧袋账户有关的费用可以从侧袋账户中列支，但应待侧袋账户资产变现后方可列支，有关费用可酌情收取或减免，但不得收取管理费，详见招募说明书的规定。</w:t>
      </w:r>
    </w:p>
    <w:p w14:paraId="67A4A71C">
      <w:pPr>
        <w:spacing w:line="500" w:lineRule="atLeast"/>
        <w:jc w:val="center"/>
        <w:outlineLvl w:val="0"/>
        <w:rPr>
          <w:rFonts w:hint="eastAsia" w:ascii="宋体" w:hAnsi="宋体"/>
        </w:rPr>
      </w:pPr>
      <w:r>
        <w:rPr>
          <w:rFonts w:hint="eastAsia" w:ascii="宋体" w:hAnsi="宋体"/>
          <w:b/>
          <w:sz w:val="24"/>
        </w:rPr>
        <w:t>十一、基金份额持有人名册的保管</w:t>
      </w:r>
      <w:bookmarkEnd w:id="67"/>
    </w:p>
    <w:p w14:paraId="0DC80D4F">
      <w:pPr>
        <w:spacing w:line="360" w:lineRule="auto"/>
        <w:ind w:firstLine="420" w:firstLineChars="200"/>
        <w:rPr>
          <w:rFonts w:hint="eastAsia" w:ascii="宋体" w:hAnsi="宋体"/>
          <w:szCs w:val="21"/>
        </w:rPr>
      </w:pPr>
      <w:r>
        <w:rPr>
          <w:rFonts w:hint="eastAsia" w:ascii="宋体" w:hAnsi="宋体"/>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570082AD">
      <w:pPr>
        <w:spacing w:line="360" w:lineRule="auto"/>
        <w:ind w:firstLine="420" w:firstLineChars="200"/>
        <w:rPr>
          <w:rFonts w:hint="eastAsia" w:ascii="宋体" w:hAnsi="宋体"/>
          <w:szCs w:val="21"/>
        </w:rPr>
      </w:pPr>
      <w:r>
        <w:rPr>
          <w:rFonts w:hint="eastAsia" w:ascii="宋体" w:hAnsi="宋体"/>
          <w:szCs w:val="21"/>
        </w:rPr>
        <w:t>基金份额持有人名册由基金的</w:t>
      </w:r>
      <w:r>
        <w:rPr>
          <w:rFonts w:hint="eastAsia" w:ascii="宋体" w:hAnsi="宋体" w:cs="Arial"/>
          <w:szCs w:val="21"/>
        </w:rPr>
        <w:t>基金注册登记机构根据基金管理人的指令编制和保管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，基金管理人应按照目前相关规则保管基金份额持有人名册。保管方式可以采用电子或文档的形式。保管期限不低于法律法规规定的最低年限。</w:t>
      </w:r>
    </w:p>
    <w:p w14:paraId="1EC25AFF">
      <w:pPr>
        <w:spacing w:line="360" w:lineRule="auto"/>
        <w:ind w:firstLine="420" w:firstLineChars="200"/>
        <w:rPr>
          <w:rFonts w:hint="eastAsia" w:ascii="宋体" w:hAnsi="宋体" w:cs="Arial"/>
          <w:szCs w:val="21"/>
        </w:rPr>
      </w:pPr>
      <w:r>
        <w:rPr>
          <w:rFonts w:hint="eastAsia" w:ascii="宋体" w:hAnsi="宋体"/>
          <w:szCs w:val="21"/>
        </w:rPr>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47C5F841">
      <w:pPr>
        <w:spacing w:line="500" w:lineRule="atLeast"/>
        <w:jc w:val="center"/>
        <w:outlineLvl w:val="0"/>
        <w:rPr>
          <w:rFonts w:hint="eastAsia" w:ascii="宋体" w:hAnsi="宋体"/>
        </w:rPr>
      </w:pPr>
      <w:bookmarkStart w:id="68" w:name="_Toc382819127"/>
      <w:r>
        <w:rPr>
          <w:rFonts w:hint="eastAsia" w:ascii="宋体" w:hAnsi="宋体"/>
          <w:b/>
          <w:sz w:val="24"/>
        </w:rPr>
        <w:t>十二、基金有关文件和档案的保存</w:t>
      </w:r>
      <w:bookmarkEnd w:id="68"/>
    </w:p>
    <w:p w14:paraId="71F82E65">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（一）档案保存</w:t>
      </w:r>
    </w:p>
    <w:p w14:paraId="771E476E">
      <w:pPr>
        <w:spacing w:line="360" w:lineRule="auto"/>
        <w:ind w:firstLine="420" w:firstLineChars="200"/>
        <w:rPr>
          <w:rFonts w:hint="eastAsia"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2D73EE90">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（二）合同档案的建立</w:t>
      </w:r>
    </w:p>
    <w:p w14:paraId="513AF8E9">
      <w:pPr>
        <w:spacing w:line="360" w:lineRule="auto"/>
        <w:ind w:firstLine="420" w:firstLineChars="200"/>
        <w:rPr>
          <w:rFonts w:hint="eastAsia"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14:paraId="1C53A71A">
      <w:pPr>
        <w:spacing w:line="360" w:lineRule="auto"/>
        <w:ind w:firstLine="420" w:firstLineChars="200"/>
        <w:rPr>
          <w:rFonts w:hint="eastAsia" w:ascii="宋体" w:hAnsi="宋体" w:cs="Arial"/>
          <w:szCs w:val="21"/>
        </w:rPr>
      </w:pPr>
      <w:r>
        <w:rPr>
          <w:rFonts w:hint="eastAsia" w:ascii="宋体" w:hAnsi="宋体" w:cs="Arial"/>
          <w:szCs w:val="21"/>
        </w:rPr>
        <w:t>2、基金管理人和基金托管人应按各自职责保管就基金资产对外签署的全部合同的正本。</w:t>
      </w:r>
    </w:p>
    <w:p w14:paraId="23C1BBF8">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（三）变更与协助</w:t>
      </w:r>
    </w:p>
    <w:p w14:paraId="517A97E0">
      <w:pPr>
        <w:spacing w:line="360" w:lineRule="auto"/>
        <w:ind w:firstLine="420" w:firstLineChars="200"/>
        <w:rPr>
          <w:rFonts w:hint="eastAsia" w:ascii="宋体" w:hAnsi="宋体"/>
          <w:szCs w:val="21"/>
        </w:rPr>
      </w:pPr>
      <w:r>
        <w:rPr>
          <w:rFonts w:hint="eastAsia" w:ascii="宋体" w:hAnsi="宋体" w:cs="Arial"/>
          <w:szCs w:val="21"/>
        </w:rPr>
        <w:t>若基金管理人和基金托管人发生变更，未变更的一方有义务协助变更后的接任人接收相应文件。</w:t>
      </w:r>
    </w:p>
    <w:p w14:paraId="06971B68">
      <w:pPr>
        <w:spacing w:line="500" w:lineRule="atLeast"/>
        <w:jc w:val="center"/>
        <w:outlineLvl w:val="0"/>
        <w:rPr>
          <w:rFonts w:hint="eastAsia" w:ascii="宋体" w:hAnsi="宋体"/>
        </w:rPr>
      </w:pPr>
      <w:bookmarkStart w:id="69" w:name="_Toc382819128"/>
      <w:r>
        <w:rPr>
          <w:rFonts w:hint="eastAsia" w:ascii="宋体" w:hAnsi="宋体"/>
          <w:b/>
          <w:sz w:val="24"/>
        </w:rPr>
        <w:t>十三、基金管理人和基金托管人的更换</w:t>
      </w:r>
      <w:bookmarkEnd w:id="69"/>
    </w:p>
    <w:p w14:paraId="16435358">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bookmarkStart w:id="70" w:name="_Toc382819129"/>
      <w:r>
        <w:rPr>
          <w:rFonts w:hint="eastAsia" w:ascii="宋体" w:hAnsi="宋体" w:eastAsia="宋体"/>
          <w:b w:val="0"/>
          <w:sz w:val="21"/>
          <w:szCs w:val="21"/>
        </w:rPr>
        <w:t>（一）基金管理人的更换</w:t>
      </w:r>
      <w:bookmarkEnd w:id="70"/>
    </w:p>
    <w:p w14:paraId="56631676">
      <w:pPr>
        <w:spacing w:line="360" w:lineRule="auto"/>
        <w:ind w:firstLine="420" w:firstLineChars="200"/>
        <w:rPr>
          <w:rFonts w:hint="eastAsia" w:ascii="宋体" w:hAnsi="宋体"/>
          <w:szCs w:val="21"/>
        </w:rPr>
      </w:pPr>
      <w:r>
        <w:rPr>
          <w:rFonts w:hint="eastAsia" w:ascii="宋体" w:hAnsi="宋体"/>
          <w:szCs w:val="21"/>
        </w:rPr>
        <w:t>1.基金管理人的更换条件</w:t>
      </w:r>
    </w:p>
    <w:p w14:paraId="07113FE5">
      <w:pPr>
        <w:spacing w:line="360" w:lineRule="auto"/>
        <w:ind w:firstLine="420" w:firstLineChars="200"/>
        <w:rPr>
          <w:rFonts w:hint="eastAsia" w:ascii="宋体" w:hAnsi="宋体"/>
          <w:szCs w:val="21"/>
        </w:rPr>
      </w:pPr>
      <w:r>
        <w:rPr>
          <w:rFonts w:hint="eastAsia" w:ascii="宋体" w:hAnsi="宋体"/>
          <w:szCs w:val="21"/>
        </w:rPr>
        <w:t>有下列情形之一的，基金管理人职责终止：</w:t>
      </w:r>
    </w:p>
    <w:p w14:paraId="52EC9768">
      <w:pPr>
        <w:spacing w:line="360" w:lineRule="auto"/>
        <w:ind w:firstLine="420" w:firstLineChars="200"/>
        <w:rPr>
          <w:rFonts w:hint="eastAsia" w:ascii="宋体" w:hAnsi="宋体"/>
          <w:szCs w:val="21"/>
        </w:rPr>
      </w:pPr>
      <w:r>
        <w:rPr>
          <w:rFonts w:hint="eastAsia" w:ascii="宋体" w:hAnsi="宋体"/>
          <w:szCs w:val="21"/>
        </w:rPr>
        <w:t>(1) 被依法取消基金管理资格；</w:t>
      </w:r>
    </w:p>
    <w:p w14:paraId="0384CDBF">
      <w:pPr>
        <w:spacing w:line="360" w:lineRule="auto"/>
        <w:ind w:firstLine="420" w:firstLineChars="200"/>
        <w:rPr>
          <w:rFonts w:hint="eastAsia" w:ascii="宋体" w:hAnsi="宋体"/>
          <w:szCs w:val="21"/>
        </w:rPr>
      </w:pPr>
      <w:r>
        <w:rPr>
          <w:rFonts w:hint="eastAsia" w:ascii="宋体" w:hAnsi="宋体"/>
          <w:szCs w:val="21"/>
        </w:rPr>
        <w:t>(2) 被基金份额持有人大会解任；</w:t>
      </w:r>
    </w:p>
    <w:p w14:paraId="05A122DF">
      <w:pPr>
        <w:spacing w:line="360" w:lineRule="auto"/>
        <w:ind w:firstLine="420" w:firstLineChars="200"/>
        <w:rPr>
          <w:rFonts w:hint="eastAsia" w:ascii="宋体" w:hAnsi="宋体"/>
          <w:szCs w:val="21"/>
        </w:rPr>
      </w:pPr>
      <w:r>
        <w:rPr>
          <w:rFonts w:hint="eastAsia" w:ascii="宋体" w:hAnsi="宋体"/>
          <w:szCs w:val="21"/>
        </w:rPr>
        <w:t>(3) 依法解散、被依法撤销或被依法宣告破产；</w:t>
      </w:r>
    </w:p>
    <w:p w14:paraId="76F0D4C3">
      <w:pPr>
        <w:spacing w:line="360" w:lineRule="auto"/>
        <w:ind w:firstLine="420" w:firstLineChars="200"/>
        <w:rPr>
          <w:rFonts w:hint="eastAsia" w:ascii="宋体" w:hAnsi="宋体"/>
          <w:szCs w:val="21"/>
        </w:rPr>
      </w:pPr>
      <w:r>
        <w:rPr>
          <w:rFonts w:hint="eastAsia" w:ascii="宋体" w:hAnsi="宋体"/>
          <w:szCs w:val="21"/>
        </w:rPr>
        <w:t>(4) 法律法规、中国证监会规定的和《基金合同》规定的其它情形。</w:t>
      </w:r>
    </w:p>
    <w:p w14:paraId="65AFC328">
      <w:pPr>
        <w:spacing w:line="360" w:lineRule="auto"/>
        <w:ind w:firstLine="420" w:firstLineChars="200"/>
        <w:rPr>
          <w:rFonts w:hint="eastAsia" w:ascii="宋体" w:hAnsi="宋体"/>
          <w:szCs w:val="21"/>
        </w:rPr>
      </w:pPr>
      <w:r>
        <w:rPr>
          <w:rFonts w:hint="eastAsia" w:ascii="宋体" w:hAnsi="宋体"/>
          <w:szCs w:val="21"/>
        </w:rPr>
        <w:t>2.更换基金管理人的程序</w:t>
      </w:r>
    </w:p>
    <w:p w14:paraId="3E602CEF">
      <w:pPr>
        <w:spacing w:line="360" w:lineRule="auto"/>
        <w:ind w:firstLine="420" w:firstLineChars="200"/>
        <w:rPr>
          <w:rFonts w:hint="eastAsia" w:ascii="宋体" w:hAnsi="宋体"/>
          <w:szCs w:val="21"/>
        </w:rPr>
      </w:pPr>
      <w:r>
        <w:rPr>
          <w:rFonts w:hint="eastAsia" w:ascii="宋体" w:hAnsi="宋体"/>
          <w:szCs w:val="21"/>
        </w:rPr>
        <w:t>（1）提名：新任基金管理人由基金托管人或由单独或合计持有10%以上（含10%）基金份额的基金份额持有人提名；</w:t>
      </w:r>
    </w:p>
    <w:p w14:paraId="2B57589C">
      <w:pPr>
        <w:spacing w:line="360" w:lineRule="auto"/>
        <w:ind w:firstLine="420" w:firstLineChars="200"/>
        <w:rPr>
          <w:rFonts w:hint="eastAsia" w:ascii="宋体" w:hAnsi="宋体"/>
          <w:szCs w:val="21"/>
        </w:rPr>
      </w:pPr>
      <w:r>
        <w:rPr>
          <w:rFonts w:hint="eastAsia" w:ascii="宋体" w:hAnsi="宋体"/>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1C037CCF">
      <w:pPr>
        <w:spacing w:line="360" w:lineRule="auto"/>
        <w:ind w:firstLine="420" w:firstLineChars="200"/>
        <w:rPr>
          <w:rFonts w:hint="eastAsia" w:ascii="宋体" w:hAnsi="宋体"/>
          <w:szCs w:val="21"/>
        </w:rPr>
      </w:pPr>
      <w:r>
        <w:rPr>
          <w:rFonts w:hint="eastAsia" w:ascii="宋体" w:hAnsi="宋体"/>
          <w:szCs w:val="21"/>
        </w:rPr>
        <w:t>（3）临时基金管理人：新任基金管理人产生之前，由中国证监会指定临时基金管理人；</w:t>
      </w:r>
    </w:p>
    <w:p w14:paraId="36EB4C73">
      <w:pPr>
        <w:spacing w:line="360" w:lineRule="auto"/>
        <w:ind w:firstLine="420" w:firstLineChars="200"/>
        <w:rPr>
          <w:rFonts w:hint="eastAsia" w:ascii="宋体" w:hAnsi="宋体"/>
          <w:szCs w:val="21"/>
        </w:rPr>
      </w:pPr>
      <w:r>
        <w:rPr>
          <w:rFonts w:hint="eastAsia" w:ascii="宋体" w:hAnsi="宋体"/>
          <w:szCs w:val="21"/>
        </w:rPr>
        <w:t>（4）备案：基金份额持有人大会更换基金管理人的决议须报中国证监会备案；</w:t>
      </w:r>
    </w:p>
    <w:p w14:paraId="46A38DDB">
      <w:pPr>
        <w:spacing w:line="360" w:lineRule="auto"/>
        <w:ind w:firstLine="420" w:firstLineChars="200"/>
        <w:rPr>
          <w:rFonts w:hint="eastAsia" w:ascii="宋体" w:hAnsi="宋体"/>
          <w:szCs w:val="21"/>
        </w:rPr>
      </w:pPr>
      <w:r>
        <w:rPr>
          <w:rFonts w:hint="eastAsia" w:ascii="宋体" w:hAnsi="宋体"/>
          <w:szCs w:val="21"/>
        </w:rPr>
        <w:t>（5）公告：基金管理人更换后，由基金托管人在更换基金管理人的基金份额持有人大会决议生效后2日内在规定媒介公告；</w:t>
      </w:r>
    </w:p>
    <w:p w14:paraId="376A3AFE">
      <w:pPr>
        <w:spacing w:line="360" w:lineRule="auto"/>
        <w:ind w:firstLine="420" w:firstLineChars="200"/>
        <w:rPr>
          <w:rFonts w:hint="eastAsia" w:ascii="宋体" w:hAnsi="宋体"/>
          <w:szCs w:val="21"/>
        </w:rPr>
      </w:pPr>
      <w:r>
        <w:rPr>
          <w:rFonts w:hint="eastAsia"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份额净值；</w:t>
      </w:r>
    </w:p>
    <w:p w14:paraId="4D65D4CA">
      <w:pPr>
        <w:spacing w:line="360" w:lineRule="auto"/>
        <w:ind w:firstLine="420" w:firstLineChars="200"/>
        <w:rPr>
          <w:rFonts w:hint="eastAsia" w:ascii="宋体" w:hAnsi="宋体"/>
          <w:szCs w:val="21"/>
        </w:rPr>
      </w:pPr>
      <w:r>
        <w:rPr>
          <w:rFonts w:hint="eastAsia" w:ascii="宋体" w:hAnsi="宋体"/>
          <w:szCs w:val="21"/>
        </w:rPr>
        <w:t>（7）审计：基金管理人职责终止的，应当按照法律法规规定聘请符合《中华人民共和国证券法》规定的会计师事务所对基金财产进行审计，并将审计结果予以公告，同时报中国证监会备案，审计费用在基金财产中列支；</w:t>
      </w:r>
    </w:p>
    <w:p w14:paraId="387183E3">
      <w:pPr>
        <w:spacing w:line="360" w:lineRule="auto"/>
        <w:ind w:firstLine="420" w:firstLineChars="200"/>
        <w:rPr>
          <w:rFonts w:hint="eastAsia" w:ascii="宋体" w:hAnsi="宋体"/>
          <w:szCs w:val="21"/>
        </w:rPr>
      </w:pPr>
      <w:r>
        <w:rPr>
          <w:rFonts w:hint="eastAsia" w:ascii="宋体" w:hAnsi="宋体"/>
          <w:szCs w:val="21"/>
        </w:rPr>
        <w:t>（8）基金名称变更：基金管理人更换后，如果原任或新任基金管理人要求，应按其要求替换或删除基金名称中与原基金管理人有关的名称字样。</w:t>
      </w:r>
    </w:p>
    <w:p w14:paraId="535F2301">
      <w:pPr>
        <w:spacing w:line="360" w:lineRule="auto"/>
        <w:ind w:firstLine="420" w:firstLineChars="200"/>
        <w:rPr>
          <w:rFonts w:hint="eastAsia" w:ascii="宋体" w:hAnsi="宋体"/>
          <w:szCs w:val="21"/>
        </w:rPr>
      </w:pPr>
      <w:r>
        <w:rPr>
          <w:rFonts w:hint="eastAsia" w:ascii="宋体" w:hAnsi="宋体"/>
          <w:szCs w:val="21"/>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0A6CA337">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eastAsia="宋体"/>
          <w:b w:val="0"/>
          <w:sz w:val="21"/>
          <w:szCs w:val="21"/>
        </w:rPr>
      </w:pPr>
      <w:bookmarkStart w:id="71" w:name="_Toc382819130"/>
      <w:r>
        <w:rPr>
          <w:rFonts w:hint="eastAsia" w:ascii="宋体" w:hAnsi="宋体" w:eastAsia="宋体"/>
          <w:b w:val="0"/>
          <w:sz w:val="21"/>
          <w:szCs w:val="21"/>
        </w:rPr>
        <w:t>（二）基金托管人的更换</w:t>
      </w:r>
      <w:bookmarkEnd w:id="71"/>
    </w:p>
    <w:p w14:paraId="25AF28BE">
      <w:pPr>
        <w:spacing w:line="360" w:lineRule="auto"/>
        <w:ind w:firstLine="420" w:firstLineChars="200"/>
        <w:rPr>
          <w:rFonts w:hint="eastAsia" w:ascii="宋体" w:hAnsi="宋体"/>
          <w:szCs w:val="21"/>
        </w:rPr>
      </w:pPr>
      <w:r>
        <w:rPr>
          <w:rFonts w:hint="eastAsia" w:ascii="宋体" w:hAnsi="宋体"/>
          <w:szCs w:val="21"/>
        </w:rPr>
        <w:t>1.基金托管人的更换条件</w:t>
      </w:r>
    </w:p>
    <w:p w14:paraId="27C486D8">
      <w:pPr>
        <w:spacing w:line="360" w:lineRule="auto"/>
        <w:ind w:firstLine="420" w:firstLineChars="200"/>
        <w:rPr>
          <w:rFonts w:hint="eastAsia" w:ascii="宋体" w:hAnsi="宋体"/>
          <w:szCs w:val="21"/>
        </w:rPr>
      </w:pPr>
      <w:r>
        <w:rPr>
          <w:rFonts w:hint="eastAsia" w:ascii="宋体" w:hAnsi="宋体"/>
          <w:szCs w:val="21"/>
        </w:rPr>
        <w:t>有下列情形之一的，基金托管人职责终止：</w:t>
      </w:r>
    </w:p>
    <w:p w14:paraId="0FF7601D">
      <w:pPr>
        <w:spacing w:line="360" w:lineRule="auto"/>
        <w:ind w:firstLine="420" w:firstLineChars="200"/>
        <w:rPr>
          <w:rFonts w:hint="eastAsia" w:ascii="宋体" w:hAnsi="宋体"/>
          <w:szCs w:val="21"/>
        </w:rPr>
      </w:pPr>
      <w:r>
        <w:rPr>
          <w:rFonts w:hint="eastAsia" w:ascii="宋体" w:hAnsi="宋体"/>
          <w:szCs w:val="21"/>
        </w:rPr>
        <w:t>(1) 被依法取消基金托管资格；</w:t>
      </w:r>
    </w:p>
    <w:p w14:paraId="2562F948">
      <w:pPr>
        <w:spacing w:line="360" w:lineRule="auto"/>
        <w:ind w:firstLine="420" w:firstLineChars="200"/>
        <w:rPr>
          <w:rFonts w:hint="eastAsia" w:ascii="宋体" w:hAnsi="宋体"/>
          <w:szCs w:val="21"/>
        </w:rPr>
      </w:pPr>
      <w:r>
        <w:rPr>
          <w:rFonts w:hint="eastAsia" w:ascii="宋体" w:hAnsi="宋体"/>
          <w:szCs w:val="21"/>
        </w:rPr>
        <w:t>(2) 被基金份额持有人大会解任；</w:t>
      </w:r>
    </w:p>
    <w:p w14:paraId="6486E0E5">
      <w:pPr>
        <w:spacing w:line="360" w:lineRule="auto"/>
        <w:ind w:firstLine="420" w:firstLineChars="200"/>
        <w:rPr>
          <w:rFonts w:hint="eastAsia" w:ascii="宋体" w:hAnsi="宋体"/>
          <w:szCs w:val="21"/>
        </w:rPr>
      </w:pPr>
      <w:r>
        <w:rPr>
          <w:rFonts w:hint="eastAsia" w:ascii="宋体" w:hAnsi="宋体"/>
          <w:szCs w:val="21"/>
        </w:rPr>
        <w:t>(3) 依法解散、被依法撤销或被依法宣告破产；</w:t>
      </w:r>
    </w:p>
    <w:p w14:paraId="4C6E2868">
      <w:pPr>
        <w:spacing w:line="360" w:lineRule="auto"/>
        <w:ind w:firstLine="420" w:firstLineChars="200"/>
        <w:rPr>
          <w:rFonts w:hint="eastAsia" w:ascii="宋体" w:hAnsi="宋体"/>
          <w:szCs w:val="21"/>
        </w:rPr>
      </w:pPr>
      <w:r>
        <w:rPr>
          <w:rFonts w:hint="eastAsia" w:ascii="宋体" w:hAnsi="宋体"/>
          <w:szCs w:val="21"/>
        </w:rPr>
        <w:t>(4) 法律法规及中国证监会规定的和《基金合同》规定的其它情形。</w:t>
      </w:r>
    </w:p>
    <w:p w14:paraId="321714EF">
      <w:pPr>
        <w:spacing w:line="360" w:lineRule="auto"/>
        <w:ind w:firstLine="420" w:firstLineChars="200"/>
        <w:rPr>
          <w:rFonts w:hint="eastAsia" w:ascii="宋体" w:hAnsi="宋体"/>
          <w:szCs w:val="21"/>
        </w:rPr>
      </w:pPr>
      <w:r>
        <w:rPr>
          <w:rFonts w:hint="eastAsia" w:ascii="宋体" w:hAnsi="宋体"/>
          <w:szCs w:val="21"/>
        </w:rPr>
        <w:t>2.更换基金托管人的程序</w:t>
      </w:r>
    </w:p>
    <w:p w14:paraId="1829CC0E">
      <w:pPr>
        <w:spacing w:line="360" w:lineRule="auto"/>
        <w:ind w:firstLine="420" w:firstLineChars="200"/>
        <w:rPr>
          <w:rFonts w:hint="eastAsia" w:ascii="宋体" w:hAnsi="宋体"/>
          <w:szCs w:val="21"/>
        </w:rPr>
      </w:pPr>
      <w:r>
        <w:rPr>
          <w:rFonts w:hint="eastAsia" w:ascii="宋体" w:hAnsi="宋体"/>
          <w:szCs w:val="21"/>
        </w:rPr>
        <w:t>（1）提名：新任基金托管人由基金管理人或由单独或合计持有10%以上（含10%）基金份额的基金份额持有人提名；</w:t>
      </w:r>
    </w:p>
    <w:p w14:paraId="3D04D5D1">
      <w:pPr>
        <w:spacing w:line="360" w:lineRule="auto"/>
        <w:ind w:firstLine="420" w:firstLineChars="200"/>
        <w:rPr>
          <w:rFonts w:hint="eastAsia" w:ascii="宋体" w:hAnsi="宋体"/>
          <w:szCs w:val="21"/>
        </w:rPr>
      </w:pPr>
      <w:r>
        <w:rPr>
          <w:rFonts w:hint="eastAsia" w:ascii="宋体" w:hAnsi="宋体"/>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4B0E42DB">
      <w:pPr>
        <w:spacing w:line="360" w:lineRule="auto"/>
        <w:ind w:firstLine="420" w:firstLineChars="200"/>
        <w:rPr>
          <w:rFonts w:hint="eastAsia" w:ascii="宋体" w:hAnsi="宋体"/>
          <w:szCs w:val="21"/>
        </w:rPr>
      </w:pPr>
      <w:r>
        <w:rPr>
          <w:rFonts w:hint="eastAsia" w:ascii="宋体" w:hAnsi="宋体"/>
          <w:szCs w:val="21"/>
        </w:rPr>
        <w:t>（3）临时基金托管人：新任基金托管人产生之前，由中国证监会指定临时基金托管人；</w:t>
      </w:r>
    </w:p>
    <w:p w14:paraId="47FE7480">
      <w:pPr>
        <w:spacing w:line="360" w:lineRule="auto"/>
        <w:ind w:firstLine="420" w:firstLineChars="200"/>
        <w:rPr>
          <w:rFonts w:hint="eastAsia" w:ascii="宋体" w:hAnsi="宋体"/>
          <w:szCs w:val="21"/>
        </w:rPr>
      </w:pPr>
      <w:r>
        <w:rPr>
          <w:rFonts w:hint="eastAsia" w:ascii="宋体" w:hAnsi="宋体"/>
          <w:szCs w:val="21"/>
        </w:rPr>
        <w:t>（4）备案：基金份额持有人大会更换基金托管人的决议须报中国证监会备案；</w:t>
      </w:r>
    </w:p>
    <w:p w14:paraId="275B0227">
      <w:pPr>
        <w:spacing w:line="360" w:lineRule="auto"/>
        <w:ind w:firstLine="420" w:firstLineChars="200"/>
        <w:rPr>
          <w:rFonts w:hint="eastAsia" w:ascii="宋体" w:hAnsi="宋体"/>
          <w:szCs w:val="21"/>
        </w:rPr>
      </w:pPr>
      <w:r>
        <w:rPr>
          <w:rFonts w:hint="eastAsia" w:ascii="宋体" w:hAnsi="宋体"/>
          <w:szCs w:val="21"/>
        </w:rPr>
        <w:t>（5）公告：基金托管人更换后，由基金管理人在更换基金托管人的基金份额持有人大会决议生效后2日内在规定媒介公告；</w:t>
      </w:r>
    </w:p>
    <w:p w14:paraId="06466718">
      <w:pPr>
        <w:spacing w:line="360" w:lineRule="auto"/>
        <w:ind w:firstLine="420" w:firstLineChars="200"/>
        <w:rPr>
          <w:rFonts w:hint="eastAsia" w:ascii="宋体" w:hAnsi="宋体"/>
          <w:szCs w:val="21"/>
        </w:rPr>
      </w:pPr>
      <w:r>
        <w:rPr>
          <w:rFonts w:hint="eastAsia" w:ascii="宋体" w:hAnsi="宋体"/>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份额净值；</w:t>
      </w:r>
    </w:p>
    <w:p w14:paraId="014F764C">
      <w:pPr>
        <w:spacing w:line="360" w:lineRule="auto"/>
        <w:ind w:firstLine="420" w:firstLineChars="200"/>
        <w:rPr>
          <w:rFonts w:hint="eastAsia" w:ascii="宋体" w:hAnsi="宋体"/>
          <w:szCs w:val="21"/>
        </w:rPr>
      </w:pPr>
      <w:r>
        <w:rPr>
          <w:rFonts w:hint="eastAsia" w:ascii="宋体" w:hAnsi="宋体"/>
          <w:szCs w:val="21"/>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353ED4FD">
      <w:pPr>
        <w:spacing w:line="360" w:lineRule="auto"/>
        <w:ind w:firstLine="472" w:firstLineChars="225"/>
        <w:rPr>
          <w:rFonts w:hint="eastAsia" w:ascii="宋体" w:hAnsi="宋体"/>
          <w:szCs w:val="21"/>
        </w:rPr>
      </w:pPr>
      <w:r>
        <w:rPr>
          <w:rFonts w:hint="eastAsia" w:ascii="宋体" w:hAnsi="宋体"/>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3E09D3E8">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（三）</w:t>
      </w:r>
      <w:r>
        <w:rPr>
          <w:rFonts w:ascii="宋体" w:hAnsi="宋体" w:eastAsia="宋体"/>
          <w:b w:val="0"/>
          <w:sz w:val="21"/>
          <w:szCs w:val="21"/>
        </w:rPr>
        <w:tab/>
      </w:r>
      <w:r>
        <w:rPr>
          <w:rFonts w:hint="eastAsia" w:ascii="宋体" w:hAnsi="宋体" w:eastAsia="宋体"/>
          <w:b w:val="0"/>
          <w:sz w:val="21"/>
          <w:szCs w:val="21"/>
        </w:rPr>
        <w:t>基金管理人和基金托管人的同时更换程序</w:t>
      </w:r>
    </w:p>
    <w:p w14:paraId="0F1CA23E">
      <w:pPr>
        <w:spacing w:line="360" w:lineRule="auto"/>
        <w:ind w:firstLine="472" w:firstLineChars="225"/>
        <w:rPr>
          <w:rFonts w:hint="eastAsia" w:ascii="宋体" w:hAnsi="宋体"/>
          <w:szCs w:val="21"/>
        </w:rPr>
      </w:pPr>
      <w:r>
        <w:rPr>
          <w:rFonts w:hint="eastAsia" w:ascii="宋体" w:hAnsi="宋体"/>
          <w:szCs w:val="21"/>
        </w:rPr>
        <w:t>同时更换</w:t>
      </w:r>
      <w:r>
        <w:rPr>
          <w:rFonts w:hint="eastAsia" w:ascii="宋体" w:hAnsi="宋体"/>
          <w:bCs/>
          <w:szCs w:val="21"/>
        </w:rPr>
        <w:t>基金管理人和基金托管人，分别按照上述基金管理人和基金托管人更换程序进行。</w:t>
      </w:r>
    </w:p>
    <w:p w14:paraId="562EF4CA">
      <w:pPr>
        <w:spacing w:line="500" w:lineRule="atLeast"/>
        <w:jc w:val="center"/>
        <w:outlineLvl w:val="0"/>
        <w:rPr>
          <w:rFonts w:hint="eastAsia" w:ascii="宋体" w:hAnsi="宋体"/>
        </w:rPr>
      </w:pPr>
      <w:bookmarkStart w:id="72" w:name="_Toc382819131"/>
      <w:r>
        <w:rPr>
          <w:rFonts w:hint="eastAsia" w:ascii="宋体" w:hAnsi="宋体"/>
          <w:b/>
          <w:sz w:val="24"/>
        </w:rPr>
        <w:t>十四、禁止行为</w:t>
      </w:r>
      <w:bookmarkEnd w:id="72"/>
    </w:p>
    <w:p w14:paraId="37E809A0">
      <w:pPr>
        <w:spacing w:line="360" w:lineRule="auto"/>
        <w:ind w:firstLine="472" w:firstLineChars="225"/>
        <w:rPr>
          <w:rFonts w:hint="eastAsia" w:ascii="宋体" w:hAnsi="宋体"/>
          <w:szCs w:val="21"/>
        </w:rPr>
      </w:pPr>
      <w:r>
        <w:rPr>
          <w:rFonts w:hint="eastAsia" w:ascii="宋体" w:hAnsi="宋体"/>
          <w:szCs w:val="21"/>
        </w:rPr>
        <w:t>托管协议当事人禁止从事的行为，包括但不限于：</w:t>
      </w:r>
    </w:p>
    <w:p w14:paraId="71AE089B">
      <w:pPr>
        <w:spacing w:line="360" w:lineRule="auto"/>
        <w:ind w:firstLine="472" w:firstLineChars="225"/>
        <w:rPr>
          <w:rFonts w:hint="eastAsia" w:ascii="宋体" w:hAnsi="宋体"/>
          <w:szCs w:val="21"/>
        </w:rPr>
      </w:pPr>
      <w:r>
        <w:rPr>
          <w:rFonts w:hint="eastAsia" w:ascii="宋体" w:hAnsi="宋体"/>
          <w:szCs w:val="21"/>
        </w:rPr>
        <w:t>（一）基金管理人、基金托管人将其固有财产或者他人财产混同于基金财产从事证券投资。</w:t>
      </w:r>
    </w:p>
    <w:p w14:paraId="585EC97C">
      <w:pPr>
        <w:spacing w:line="360" w:lineRule="auto"/>
        <w:ind w:firstLine="472" w:firstLineChars="225"/>
        <w:rPr>
          <w:rFonts w:hint="eastAsia" w:ascii="宋体" w:hAnsi="宋体"/>
          <w:szCs w:val="21"/>
        </w:rPr>
      </w:pPr>
      <w:r>
        <w:rPr>
          <w:rFonts w:hint="eastAsia" w:ascii="宋体" w:hAnsi="宋体"/>
          <w:szCs w:val="21"/>
        </w:rPr>
        <w:t>（二）基金管理人、基金托管人不公平地对待其管理或托管的不同基金财产。</w:t>
      </w:r>
    </w:p>
    <w:p w14:paraId="4CE68357">
      <w:pPr>
        <w:spacing w:line="360" w:lineRule="auto"/>
        <w:ind w:firstLine="472" w:firstLineChars="225"/>
        <w:rPr>
          <w:rFonts w:hint="eastAsia" w:ascii="宋体" w:hAnsi="宋体"/>
          <w:szCs w:val="21"/>
        </w:rPr>
      </w:pPr>
      <w:r>
        <w:rPr>
          <w:rFonts w:hint="eastAsia" w:ascii="宋体" w:hAnsi="宋体"/>
          <w:szCs w:val="21"/>
        </w:rPr>
        <w:t>（三）基金管理人、基金托管人利用基金财产或职务之便为基金份额持有人以外的第三人牟取利益。</w:t>
      </w:r>
    </w:p>
    <w:p w14:paraId="4C5CB670">
      <w:pPr>
        <w:spacing w:line="360" w:lineRule="auto"/>
        <w:ind w:firstLine="472" w:firstLineChars="225"/>
        <w:rPr>
          <w:rFonts w:hint="eastAsia" w:ascii="宋体" w:hAnsi="宋体"/>
          <w:szCs w:val="21"/>
        </w:rPr>
      </w:pPr>
      <w:r>
        <w:rPr>
          <w:rFonts w:hint="eastAsia" w:ascii="宋体" w:hAnsi="宋体"/>
          <w:szCs w:val="21"/>
        </w:rPr>
        <w:t>（四）基金管理人、基金托管人向基金份额持有人违规承诺收益或者承担损失。</w:t>
      </w:r>
    </w:p>
    <w:p w14:paraId="2FD47D10">
      <w:pPr>
        <w:spacing w:line="360" w:lineRule="auto"/>
        <w:ind w:firstLine="472" w:firstLineChars="225"/>
        <w:rPr>
          <w:rFonts w:hint="eastAsia" w:ascii="宋体" w:hAnsi="宋体"/>
          <w:szCs w:val="21"/>
        </w:rPr>
      </w:pPr>
      <w:r>
        <w:rPr>
          <w:rFonts w:hint="eastAsia" w:ascii="宋体" w:hAnsi="宋体"/>
          <w:szCs w:val="21"/>
        </w:rPr>
        <w:t>（五）基金管理人、基金托管人对他人泄露基金经营过程中任何尚未按法律法规规定的方式公开披露的信息。</w:t>
      </w:r>
    </w:p>
    <w:p w14:paraId="568FDFC2">
      <w:pPr>
        <w:spacing w:line="360" w:lineRule="auto"/>
        <w:ind w:firstLine="472" w:firstLineChars="225"/>
        <w:rPr>
          <w:rFonts w:hint="eastAsia"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14:paraId="38C7CD9D">
      <w:pPr>
        <w:spacing w:line="360" w:lineRule="auto"/>
        <w:ind w:firstLine="472" w:firstLineChars="225"/>
        <w:rPr>
          <w:rFonts w:hint="eastAsia" w:ascii="宋体" w:hAnsi="宋体"/>
          <w:szCs w:val="21"/>
        </w:rPr>
      </w:pPr>
      <w:r>
        <w:rPr>
          <w:rFonts w:hint="eastAsia" w:ascii="宋体" w:hAnsi="宋体"/>
          <w:szCs w:val="21"/>
        </w:rPr>
        <w:t>（七）基金托管人对基金管理人的符合本协议约定的有效指令拖延或拒绝执行。</w:t>
      </w:r>
    </w:p>
    <w:p w14:paraId="565D0363">
      <w:pPr>
        <w:spacing w:line="360" w:lineRule="auto"/>
        <w:ind w:firstLine="472" w:firstLineChars="225"/>
        <w:rPr>
          <w:rFonts w:hint="eastAsia" w:ascii="宋体" w:hAnsi="宋体"/>
          <w:szCs w:val="21"/>
        </w:rPr>
      </w:pPr>
      <w:r>
        <w:rPr>
          <w:rFonts w:hint="eastAsia" w:ascii="宋体" w:hAnsi="宋体"/>
          <w:szCs w:val="21"/>
        </w:rPr>
        <w:t xml:space="preserve">（八）基金管理人、基金托管人在行政上、财务上不独立，其高级基金管理人员相互兼职。 </w:t>
      </w:r>
    </w:p>
    <w:p w14:paraId="5BA1DFFC">
      <w:pPr>
        <w:spacing w:line="360" w:lineRule="auto"/>
        <w:ind w:firstLine="472" w:firstLineChars="225"/>
        <w:rPr>
          <w:rFonts w:hint="eastAsia"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14:paraId="40AB9173">
      <w:pPr>
        <w:spacing w:line="360" w:lineRule="auto"/>
        <w:ind w:firstLine="472" w:firstLineChars="225"/>
        <w:rPr>
          <w:rFonts w:hint="eastAsia" w:ascii="宋体" w:hAnsi="宋体"/>
          <w:szCs w:val="21"/>
        </w:rPr>
      </w:pPr>
      <w:r>
        <w:rPr>
          <w:rFonts w:hint="eastAsia" w:ascii="宋体" w:hAnsi="宋体"/>
          <w:szCs w:val="21"/>
        </w:rPr>
        <w:t>（十）基金管理人、基金托管人不得利用基金财产用于下列投资或者活动：</w:t>
      </w:r>
    </w:p>
    <w:p w14:paraId="5BFBEBB2">
      <w:pPr>
        <w:pStyle w:val="41"/>
        <w:numPr>
          <w:ilvl w:val="0"/>
          <w:numId w:val="2"/>
        </w:numPr>
        <w:spacing w:line="360" w:lineRule="auto"/>
        <w:ind w:firstLineChars="0"/>
        <w:rPr>
          <w:rFonts w:hint="eastAsia" w:ascii="宋体" w:hAnsi="宋体"/>
          <w:szCs w:val="21"/>
        </w:rPr>
      </w:pPr>
      <w:r>
        <w:rPr>
          <w:rFonts w:hint="eastAsia" w:ascii="宋体" w:hAnsi="宋体"/>
          <w:szCs w:val="21"/>
        </w:rPr>
        <w:t>承销证券；</w:t>
      </w:r>
    </w:p>
    <w:p w14:paraId="19411DD1">
      <w:pPr>
        <w:pStyle w:val="41"/>
        <w:numPr>
          <w:ilvl w:val="0"/>
          <w:numId w:val="2"/>
        </w:numPr>
        <w:spacing w:line="360" w:lineRule="auto"/>
        <w:ind w:firstLineChars="0"/>
        <w:rPr>
          <w:rFonts w:hint="eastAsia" w:ascii="宋体" w:hAnsi="宋体"/>
          <w:szCs w:val="21"/>
        </w:rPr>
      </w:pPr>
      <w:r>
        <w:rPr>
          <w:rFonts w:hint="eastAsia" w:ascii="宋体" w:hAnsi="宋体"/>
          <w:szCs w:val="21"/>
        </w:rPr>
        <w:t>违反规定向他人贷款或者提供担保；</w:t>
      </w:r>
    </w:p>
    <w:p w14:paraId="618839B3">
      <w:pPr>
        <w:pStyle w:val="41"/>
        <w:numPr>
          <w:ilvl w:val="0"/>
          <w:numId w:val="2"/>
        </w:numPr>
        <w:spacing w:line="360" w:lineRule="auto"/>
        <w:ind w:firstLineChars="0"/>
        <w:rPr>
          <w:rFonts w:hint="eastAsia" w:ascii="宋体" w:hAnsi="宋体"/>
          <w:szCs w:val="21"/>
        </w:rPr>
      </w:pPr>
      <w:r>
        <w:rPr>
          <w:rFonts w:hint="eastAsia" w:ascii="宋体" w:hAnsi="宋体"/>
          <w:szCs w:val="21"/>
        </w:rPr>
        <w:t>从事承担无限责任的投资；</w:t>
      </w:r>
    </w:p>
    <w:p w14:paraId="334F7739">
      <w:pPr>
        <w:pStyle w:val="41"/>
        <w:numPr>
          <w:ilvl w:val="0"/>
          <w:numId w:val="2"/>
        </w:numPr>
        <w:spacing w:line="360" w:lineRule="auto"/>
        <w:ind w:firstLineChars="0"/>
        <w:rPr>
          <w:rFonts w:hint="eastAsia" w:ascii="宋体" w:hAnsi="宋体"/>
          <w:szCs w:val="21"/>
        </w:rPr>
      </w:pPr>
      <w:r>
        <w:rPr>
          <w:rFonts w:hint="eastAsia" w:ascii="宋体" w:hAnsi="宋体"/>
          <w:szCs w:val="21"/>
        </w:rPr>
        <w:t>买卖其他基金份额，但是中国证监会另有规定的除外；</w:t>
      </w:r>
    </w:p>
    <w:p w14:paraId="5688F901">
      <w:pPr>
        <w:pStyle w:val="41"/>
        <w:numPr>
          <w:ilvl w:val="0"/>
          <w:numId w:val="2"/>
        </w:numPr>
        <w:spacing w:line="360" w:lineRule="auto"/>
        <w:ind w:firstLineChars="0"/>
        <w:rPr>
          <w:rFonts w:hint="eastAsia" w:ascii="宋体" w:hAnsi="宋体"/>
          <w:szCs w:val="21"/>
        </w:rPr>
      </w:pPr>
      <w:r>
        <w:rPr>
          <w:rFonts w:hint="eastAsia" w:ascii="宋体" w:hAnsi="宋体"/>
          <w:szCs w:val="21"/>
        </w:rPr>
        <w:t>向其基金管理人、基金托管人出资</w:t>
      </w:r>
    </w:p>
    <w:p w14:paraId="4DC664F8">
      <w:pPr>
        <w:pStyle w:val="41"/>
        <w:numPr>
          <w:ilvl w:val="0"/>
          <w:numId w:val="2"/>
        </w:numPr>
        <w:spacing w:line="360" w:lineRule="auto"/>
        <w:ind w:firstLineChars="0"/>
        <w:rPr>
          <w:rFonts w:hint="eastAsia" w:ascii="宋体" w:hAnsi="宋体"/>
          <w:szCs w:val="21"/>
        </w:rPr>
      </w:pPr>
      <w:r>
        <w:rPr>
          <w:rFonts w:hint="eastAsia" w:ascii="宋体" w:hAnsi="宋体"/>
          <w:szCs w:val="21"/>
        </w:rPr>
        <w:t>从事内幕交易、操纵证券交易价格及其他不正当的证券交易活动；</w:t>
      </w:r>
    </w:p>
    <w:p w14:paraId="37A3B1AB">
      <w:pPr>
        <w:pStyle w:val="41"/>
        <w:numPr>
          <w:ilvl w:val="0"/>
          <w:numId w:val="2"/>
        </w:numPr>
        <w:spacing w:line="360" w:lineRule="auto"/>
        <w:ind w:firstLineChars="0"/>
        <w:rPr>
          <w:rFonts w:hint="eastAsia" w:ascii="宋体" w:hAnsi="宋体"/>
          <w:szCs w:val="21"/>
        </w:rPr>
      </w:pPr>
      <w:r>
        <w:rPr>
          <w:rFonts w:hint="eastAsia" w:ascii="宋体" w:hAnsi="宋体"/>
          <w:szCs w:val="21"/>
        </w:rPr>
        <w:t>法律、行政法规和中国证监会规定禁止的其他活动。</w:t>
      </w:r>
    </w:p>
    <w:p w14:paraId="49360E88">
      <w:pPr>
        <w:spacing w:line="360" w:lineRule="auto"/>
        <w:ind w:firstLine="472" w:firstLineChars="225"/>
        <w:rPr>
          <w:rFonts w:hint="eastAsia" w:ascii="宋体" w:hAnsi="宋体"/>
          <w:szCs w:val="21"/>
        </w:rPr>
      </w:pPr>
      <w:r>
        <w:rPr>
          <w:rFonts w:hint="eastAsia" w:ascii="宋体" w:hAnsi="宋体"/>
          <w:szCs w:val="21"/>
        </w:rPr>
        <w:t>（十一）法律法规和基金合同禁止的其他行为，以及依照法律法规有关规定，由中国证监会规定禁止基金管理人、基金托管人从事的其他行为。法律、行政法规或监管部门变更或取消上述规定，在履行适当程序后，本基金可按变更后的规定执行或不受上述规定的限制。</w:t>
      </w:r>
    </w:p>
    <w:p w14:paraId="445B5995">
      <w:pPr>
        <w:spacing w:line="500" w:lineRule="atLeast"/>
        <w:jc w:val="center"/>
        <w:outlineLvl w:val="0"/>
        <w:rPr>
          <w:rFonts w:hint="eastAsia" w:ascii="宋体" w:hAnsi="宋体"/>
        </w:rPr>
      </w:pPr>
      <w:bookmarkStart w:id="73" w:name="_Toc382819132"/>
      <w:r>
        <w:rPr>
          <w:rFonts w:hint="eastAsia" w:ascii="宋体" w:hAnsi="宋体"/>
          <w:b/>
          <w:sz w:val="24"/>
        </w:rPr>
        <w:t>十五、基金托管协议的变更、终止与基金财产的清算</w:t>
      </w:r>
      <w:bookmarkEnd w:id="73"/>
    </w:p>
    <w:p w14:paraId="778340A8">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（一）托管协议的变更与终止</w:t>
      </w:r>
    </w:p>
    <w:p w14:paraId="5BCCF4FA">
      <w:pPr>
        <w:spacing w:line="360" w:lineRule="auto"/>
        <w:ind w:firstLine="420" w:firstLineChars="200"/>
        <w:rPr>
          <w:rFonts w:hint="eastAsia" w:ascii="宋体" w:hAnsi="宋体"/>
          <w:szCs w:val="21"/>
        </w:rPr>
      </w:pPr>
      <w:r>
        <w:rPr>
          <w:rFonts w:hint="eastAsia" w:ascii="宋体" w:hAnsi="宋体"/>
          <w:szCs w:val="21"/>
        </w:rPr>
        <w:t>1.托管协议的变更程序</w:t>
      </w:r>
    </w:p>
    <w:p w14:paraId="7851FBBF">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w:t>
      </w:r>
    </w:p>
    <w:p w14:paraId="1E6DFEEF">
      <w:pPr>
        <w:spacing w:line="360" w:lineRule="auto"/>
        <w:ind w:firstLine="420" w:firstLineChars="200"/>
        <w:rPr>
          <w:rFonts w:hint="eastAsia" w:ascii="宋体" w:hAnsi="宋体"/>
          <w:szCs w:val="21"/>
        </w:rPr>
      </w:pPr>
      <w:r>
        <w:rPr>
          <w:rFonts w:hint="eastAsia" w:ascii="宋体" w:hAnsi="宋体"/>
          <w:szCs w:val="21"/>
        </w:rPr>
        <w:t>2.基金托管协议终止的情形</w:t>
      </w:r>
    </w:p>
    <w:p w14:paraId="2002F745">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发生以下情况，本托管协议终止：</w:t>
      </w:r>
    </w:p>
    <w:p w14:paraId="213BDA1A">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（1）《基金合同》终止；</w:t>
      </w:r>
    </w:p>
    <w:p w14:paraId="4028C2D4">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（2）基金托管人解散、依法被撤销、破产或有其他基金托管人接管基金资产；</w:t>
      </w:r>
    </w:p>
    <w:p w14:paraId="1450AAC3">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（3）基金管理人解散、依法被撤销、破产或有其他基金管理人接管基金管理权；</w:t>
      </w:r>
    </w:p>
    <w:p w14:paraId="7FB3DF13">
      <w:pPr>
        <w:autoSpaceDE w:val="0"/>
        <w:autoSpaceDN w:val="0"/>
        <w:adjustRightInd w:val="0"/>
        <w:spacing w:line="360" w:lineRule="auto"/>
        <w:ind w:firstLine="444" w:firstLineChars="200"/>
        <w:jc w:val="left"/>
        <w:rPr>
          <w:rFonts w:hint="eastAsia" w:ascii="宋体" w:hAnsi="宋体"/>
          <w:spacing w:val="6"/>
          <w:szCs w:val="21"/>
        </w:rPr>
      </w:pPr>
      <w:r>
        <w:rPr>
          <w:rFonts w:hint="eastAsia" w:ascii="宋体" w:hAnsi="宋体"/>
          <w:spacing w:val="6"/>
          <w:szCs w:val="21"/>
        </w:rPr>
        <w:t>（4）发生法律法规或《基金合同》规定的终止事项。</w:t>
      </w:r>
    </w:p>
    <w:p w14:paraId="6317B4F1">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（二）基金财产的清算</w:t>
      </w:r>
    </w:p>
    <w:p w14:paraId="723D9418">
      <w:pPr>
        <w:spacing w:line="360" w:lineRule="auto"/>
        <w:ind w:firstLine="420" w:firstLineChars="200"/>
        <w:rPr>
          <w:rFonts w:hint="eastAsia" w:ascii="宋体" w:hAnsi="宋体"/>
          <w:szCs w:val="21"/>
        </w:rPr>
      </w:pPr>
      <w:r>
        <w:rPr>
          <w:rFonts w:hint="eastAsia" w:ascii="宋体" w:hAnsi="宋体"/>
          <w:szCs w:val="21"/>
        </w:rPr>
        <w:t>1.基金财产清算小组：自出现《基金合同》终止事由之日起30个工作日内成立基金财产清算小组，基金管理人组织基金财产清算小组并在中国证监会的监督下进行基金清算。</w:t>
      </w:r>
    </w:p>
    <w:p w14:paraId="7FE2F1AF">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kern w:val="0"/>
          <w:szCs w:val="21"/>
        </w:rPr>
        <w:t>在基金财产清算小组接管基金财产之前，基金管理人和基金托管人应按照《基金合同》和本托管协议的规定继续履行保护基金财产安全的职责。</w:t>
      </w:r>
    </w:p>
    <w:p w14:paraId="52B48D27">
      <w:pPr>
        <w:spacing w:line="360" w:lineRule="auto"/>
        <w:ind w:firstLine="420" w:firstLineChars="200"/>
        <w:rPr>
          <w:rFonts w:hint="eastAsia" w:ascii="宋体" w:hAnsi="宋体"/>
          <w:szCs w:val="21"/>
        </w:rPr>
      </w:pPr>
      <w:r>
        <w:rPr>
          <w:rFonts w:hint="eastAsia" w:ascii="宋体" w:hAnsi="宋体"/>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FF6FC52">
      <w:pPr>
        <w:spacing w:line="360" w:lineRule="auto"/>
        <w:ind w:firstLine="420" w:firstLineChars="200"/>
        <w:rPr>
          <w:rFonts w:hint="eastAsia"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14:paraId="2C7A6FB5">
      <w:pPr>
        <w:spacing w:line="360" w:lineRule="auto"/>
        <w:ind w:firstLine="420" w:firstLineChars="200"/>
        <w:rPr>
          <w:rFonts w:hint="eastAsia" w:ascii="宋体" w:hAnsi="宋体"/>
          <w:szCs w:val="21"/>
        </w:rPr>
      </w:pPr>
      <w:r>
        <w:rPr>
          <w:rFonts w:hint="eastAsia" w:ascii="宋体" w:hAnsi="宋体"/>
          <w:szCs w:val="21"/>
        </w:rPr>
        <w:t>5.在基金财产清算过程中，基金管理人和基金托管人应各自履行职责，继续忠实、勤勉、尽责地履行基金合同和托管协议规定的义务，维护基金份额持有人的合法权益。</w:t>
      </w:r>
    </w:p>
    <w:p w14:paraId="0E8B1958">
      <w:pPr>
        <w:tabs>
          <w:tab w:val="left" w:pos="6435"/>
        </w:tabs>
        <w:spacing w:line="360" w:lineRule="auto"/>
        <w:ind w:firstLine="420" w:firstLineChars="200"/>
        <w:rPr>
          <w:rFonts w:hint="eastAsia" w:ascii="宋体" w:hAnsi="宋体"/>
          <w:szCs w:val="21"/>
        </w:rPr>
      </w:pPr>
      <w:r>
        <w:rPr>
          <w:rFonts w:hint="eastAsia" w:ascii="宋体" w:hAnsi="宋体"/>
          <w:szCs w:val="21"/>
        </w:rPr>
        <w:t>6.基金财产清算程序：</w:t>
      </w:r>
      <w:r>
        <w:rPr>
          <w:rFonts w:hint="eastAsia" w:ascii="宋体" w:hAnsi="宋体"/>
          <w:szCs w:val="21"/>
        </w:rPr>
        <w:tab/>
      </w:r>
    </w:p>
    <w:p w14:paraId="745A432C">
      <w:pPr>
        <w:spacing w:line="360" w:lineRule="auto"/>
        <w:ind w:firstLine="420" w:firstLineChars="200"/>
        <w:rPr>
          <w:rFonts w:hint="eastAsia" w:ascii="宋体" w:hAnsi="宋体"/>
          <w:szCs w:val="21"/>
        </w:rPr>
      </w:pPr>
      <w:r>
        <w:rPr>
          <w:rFonts w:hint="eastAsia" w:ascii="宋体" w:hAnsi="宋体"/>
          <w:szCs w:val="21"/>
        </w:rPr>
        <w:t>（1）《基金合同》终止情形出现时，由基金财产清算小组统一接管基金财产；</w:t>
      </w:r>
    </w:p>
    <w:p w14:paraId="7B9CD0CA">
      <w:pPr>
        <w:spacing w:line="360" w:lineRule="auto"/>
        <w:ind w:firstLine="420" w:firstLineChars="200"/>
        <w:rPr>
          <w:rFonts w:hint="eastAsia" w:ascii="宋体" w:hAnsi="宋体"/>
          <w:szCs w:val="21"/>
        </w:rPr>
      </w:pPr>
      <w:r>
        <w:rPr>
          <w:rFonts w:hint="eastAsia" w:ascii="宋体" w:hAnsi="宋体"/>
          <w:szCs w:val="21"/>
        </w:rPr>
        <w:t>（2）对基金财产和债权债务进行清理和确认；</w:t>
      </w:r>
    </w:p>
    <w:p w14:paraId="59641059">
      <w:pPr>
        <w:spacing w:line="360" w:lineRule="auto"/>
        <w:ind w:firstLine="420" w:firstLineChars="200"/>
        <w:rPr>
          <w:rFonts w:hint="eastAsia" w:ascii="宋体" w:hAnsi="宋体"/>
          <w:szCs w:val="21"/>
        </w:rPr>
      </w:pPr>
      <w:r>
        <w:rPr>
          <w:rFonts w:hint="eastAsia" w:ascii="宋体" w:hAnsi="宋体"/>
          <w:szCs w:val="21"/>
        </w:rPr>
        <w:t>（3）对基金财产进行估值和变现；</w:t>
      </w:r>
    </w:p>
    <w:p w14:paraId="120C7C08">
      <w:pPr>
        <w:spacing w:line="360" w:lineRule="auto"/>
        <w:ind w:firstLine="420" w:firstLineChars="200"/>
        <w:rPr>
          <w:rFonts w:hint="eastAsia" w:ascii="宋体" w:hAnsi="宋体"/>
          <w:szCs w:val="21"/>
        </w:rPr>
      </w:pPr>
      <w:r>
        <w:rPr>
          <w:rFonts w:hint="eastAsia" w:ascii="宋体" w:hAnsi="宋体"/>
          <w:szCs w:val="21"/>
        </w:rPr>
        <w:t>（4）制作清算报告；</w:t>
      </w:r>
    </w:p>
    <w:p w14:paraId="49D87B16">
      <w:pPr>
        <w:spacing w:line="360" w:lineRule="auto"/>
        <w:ind w:firstLine="420" w:firstLineChars="200"/>
        <w:rPr>
          <w:rFonts w:hint="eastAsia" w:ascii="宋体" w:hAnsi="宋体"/>
          <w:szCs w:val="21"/>
        </w:rPr>
      </w:pPr>
      <w:r>
        <w:rPr>
          <w:rFonts w:hint="eastAsia" w:ascii="宋体" w:hAnsi="宋体"/>
          <w:szCs w:val="21"/>
        </w:rPr>
        <w:t>（5）</w:t>
      </w:r>
      <w:r>
        <w:rPr>
          <w:rFonts w:hint="eastAsia" w:ascii="宋体" w:hAnsi="宋体"/>
          <w:bCs/>
          <w:szCs w:val="21"/>
        </w:rPr>
        <w:t>聘请符合《中华人民共和国证券法》规定的会计师事务所对清算报告进行外部审计，聘请律师事务所对清算报告出具法律意见书；</w:t>
      </w:r>
    </w:p>
    <w:p w14:paraId="2A14C4E2">
      <w:pPr>
        <w:spacing w:line="360" w:lineRule="auto"/>
        <w:ind w:firstLine="420" w:firstLineChars="200"/>
        <w:rPr>
          <w:rFonts w:hint="eastAsia" w:ascii="宋体" w:hAnsi="宋体"/>
          <w:kern w:val="0"/>
          <w:szCs w:val="21"/>
        </w:rPr>
      </w:pPr>
      <w:r>
        <w:rPr>
          <w:rFonts w:hint="eastAsia" w:ascii="宋体" w:hAnsi="宋体"/>
          <w:szCs w:val="21"/>
        </w:rPr>
        <w:t>（6）将清算报告报中国证监会备案并公告；</w:t>
      </w:r>
    </w:p>
    <w:p w14:paraId="3BEEC8D5">
      <w:pPr>
        <w:spacing w:line="360" w:lineRule="auto"/>
        <w:ind w:firstLine="420" w:firstLineChars="200"/>
        <w:rPr>
          <w:rFonts w:hint="eastAsia" w:ascii="宋体" w:hAnsi="宋体"/>
          <w:bCs/>
          <w:szCs w:val="21"/>
        </w:rPr>
      </w:pPr>
      <w:r>
        <w:rPr>
          <w:rFonts w:hint="eastAsia" w:ascii="宋体" w:hAnsi="宋体"/>
          <w:szCs w:val="21"/>
        </w:rPr>
        <w:t>（7）</w:t>
      </w:r>
      <w:r>
        <w:rPr>
          <w:rFonts w:hint="eastAsia" w:ascii="宋体" w:hAnsi="宋体"/>
          <w:bCs/>
          <w:szCs w:val="21"/>
        </w:rPr>
        <w:t>对基金剩余财产进行分配。</w:t>
      </w:r>
    </w:p>
    <w:p w14:paraId="2A1CCFEC">
      <w:pPr>
        <w:spacing w:line="360" w:lineRule="auto"/>
        <w:ind w:firstLine="420" w:firstLineChars="200"/>
        <w:rPr>
          <w:rFonts w:hint="eastAsia" w:ascii="宋体" w:hAnsi="宋体"/>
          <w:szCs w:val="21"/>
        </w:rPr>
      </w:pPr>
      <w:r>
        <w:rPr>
          <w:rFonts w:hint="eastAsia" w:ascii="宋体" w:hAnsi="宋体"/>
          <w:bCs/>
          <w:szCs w:val="21"/>
        </w:rPr>
        <w:t>7.基金财产清算的期限为6个月，但因本基金所持证券的流动性受到限制而不能及时变现的，清算期限可相应顺延。</w:t>
      </w:r>
    </w:p>
    <w:p w14:paraId="5D85BD7B">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8.清算费用</w:t>
      </w:r>
    </w:p>
    <w:p w14:paraId="3DB3A549">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清算费用是指基金财产清算小组在进行基金清算过程中发生的所有合理费用，清算费用由基金财产清算小组优先从基金剩余财产中支付。</w:t>
      </w:r>
    </w:p>
    <w:p w14:paraId="2C9880B9">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9.基金财产按下列顺序清偿：</w:t>
      </w:r>
    </w:p>
    <w:p w14:paraId="4D61E92D">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(1)支付清算费用；</w:t>
      </w:r>
    </w:p>
    <w:p w14:paraId="1162DADB">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(2)交纳所欠税款；</w:t>
      </w:r>
    </w:p>
    <w:p w14:paraId="71CF6B25">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(3)清偿基金债务；</w:t>
      </w:r>
    </w:p>
    <w:p w14:paraId="635F84C0">
      <w:pPr>
        <w:adjustRightInd w:val="0"/>
        <w:snapToGrid w:val="0"/>
        <w:spacing w:line="360" w:lineRule="auto"/>
        <w:ind w:firstLine="420" w:firstLineChars="200"/>
        <w:rPr>
          <w:rFonts w:hint="eastAsia" w:ascii="宋体" w:hAnsi="宋体" w:cs="Arial"/>
          <w:szCs w:val="21"/>
        </w:rPr>
      </w:pPr>
      <w:r>
        <w:rPr>
          <w:rFonts w:hint="eastAsia" w:ascii="宋体" w:hAnsi="宋体" w:cs="Arial"/>
          <w:szCs w:val="21"/>
        </w:rPr>
        <w:t>(4)按基金份额持有人持有的基金份额比例进行分配。</w:t>
      </w:r>
    </w:p>
    <w:p w14:paraId="04A7CD09">
      <w:pPr>
        <w:spacing w:line="360" w:lineRule="auto"/>
        <w:ind w:firstLine="200"/>
        <w:rPr>
          <w:rFonts w:hint="eastAsia" w:ascii="宋体" w:hAnsi="宋体" w:cs="Arial"/>
          <w:szCs w:val="21"/>
        </w:rPr>
      </w:pPr>
      <w:r>
        <w:rPr>
          <w:rFonts w:hint="eastAsia" w:ascii="宋体" w:hAnsi="宋体" w:cs="Arial"/>
          <w:szCs w:val="21"/>
        </w:rPr>
        <w:t>基金财产未按前款(1)－(3)项规定清偿前，不分配给基金份额持有人。</w:t>
      </w:r>
    </w:p>
    <w:p w14:paraId="1A09C209">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（三）基金财产清算的公告</w:t>
      </w:r>
    </w:p>
    <w:p w14:paraId="46B3A320">
      <w:pPr>
        <w:spacing w:line="360" w:lineRule="auto"/>
        <w:ind w:firstLine="420" w:firstLineChars="200"/>
        <w:rPr>
          <w:rFonts w:hint="eastAsia" w:ascii="宋体" w:hAnsi="宋体"/>
          <w:szCs w:val="21"/>
        </w:rPr>
      </w:pPr>
      <w:r>
        <w:rPr>
          <w:rFonts w:hint="eastAsia" w:ascii="宋体" w:hAnsi="宋体"/>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024A5CC">
      <w:pPr>
        <w:pStyle w:val="4"/>
        <w:keepNext w:val="0"/>
        <w:keepLines w:val="0"/>
        <w:tabs>
          <w:tab w:val="left" w:pos="1080"/>
        </w:tabs>
        <w:autoSpaceDE w:val="0"/>
        <w:autoSpaceDN w:val="0"/>
        <w:adjustRightInd w:val="0"/>
        <w:spacing w:before="0" w:after="0" w:line="360" w:lineRule="auto"/>
        <w:ind w:firstLine="411" w:firstLineChars="196"/>
        <w:textAlignment w:val="baseline"/>
        <w:rPr>
          <w:rFonts w:hint="eastAsia" w:ascii="宋体" w:hAnsi="宋体"/>
          <w:szCs w:val="21"/>
        </w:rPr>
      </w:pPr>
      <w:r>
        <w:rPr>
          <w:rFonts w:hint="eastAsia" w:ascii="宋体" w:hAnsi="宋体" w:eastAsia="宋体"/>
          <w:b w:val="0"/>
          <w:sz w:val="21"/>
          <w:szCs w:val="21"/>
        </w:rPr>
        <w:t>（四）基金财产清算账册及文件的保存</w:t>
      </w:r>
    </w:p>
    <w:p w14:paraId="67AE5ACE">
      <w:pPr>
        <w:spacing w:line="360" w:lineRule="auto"/>
        <w:ind w:firstLine="420" w:firstLineChars="200"/>
        <w:rPr>
          <w:rFonts w:hint="eastAsia" w:ascii="宋体" w:hAnsi="宋体"/>
          <w:szCs w:val="21"/>
        </w:rPr>
      </w:pPr>
      <w:r>
        <w:rPr>
          <w:rFonts w:hint="eastAsia" w:ascii="宋体" w:hAnsi="宋体"/>
          <w:szCs w:val="21"/>
        </w:rPr>
        <w:t>基金财产清算账册及有关文件由基金托管人保存，保存期限不低于法律法规规定的最低期限。</w:t>
      </w:r>
    </w:p>
    <w:p w14:paraId="1DC9E24B">
      <w:pPr>
        <w:spacing w:line="500" w:lineRule="atLeast"/>
        <w:jc w:val="center"/>
        <w:outlineLvl w:val="0"/>
        <w:rPr>
          <w:rFonts w:hint="eastAsia" w:ascii="宋体" w:hAnsi="宋体"/>
        </w:rPr>
      </w:pPr>
      <w:bookmarkStart w:id="74" w:name="_Toc382819133"/>
      <w:r>
        <w:rPr>
          <w:rFonts w:hint="eastAsia" w:ascii="宋体" w:hAnsi="宋体"/>
          <w:b/>
          <w:sz w:val="24"/>
        </w:rPr>
        <w:t>十六、违约责任</w:t>
      </w:r>
      <w:bookmarkEnd w:id="74"/>
    </w:p>
    <w:p w14:paraId="3133352D">
      <w:pPr>
        <w:spacing w:line="360" w:lineRule="auto"/>
        <w:ind w:firstLine="420" w:firstLineChars="200"/>
        <w:rPr>
          <w:bCs/>
          <w:szCs w:val="21"/>
        </w:rPr>
      </w:pPr>
      <w:r>
        <w:rPr>
          <w:rFonts w:hint="eastAsia" w:ascii="宋体" w:hAnsi="宋体"/>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14:paraId="0999AC37">
      <w:pPr>
        <w:spacing w:line="360" w:lineRule="auto"/>
        <w:ind w:firstLine="420" w:firstLineChars="200"/>
        <w:rPr>
          <w:rFonts w:hint="eastAsia" w:ascii="宋体" w:hAnsi="宋体"/>
          <w:szCs w:val="21"/>
        </w:rPr>
      </w:pPr>
      <w:r>
        <w:rPr>
          <w:rFonts w:hint="eastAsia" w:ascii="宋体" w:hAnsi="宋体"/>
          <w:szCs w:val="21"/>
        </w:rPr>
        <w:t>1.基金管理人和/或基金托管人按照当时有效的法律法规、规章或中国证监会的规定作为或不作为而造成的损失等；</w:t>
      </w:r>
    </w:p>
    <w:p w14:paraId="16F717C3">
      <w:pPr>
        <w:spacing w:line="360" w:lineRule="auto"/>
        <w:ind w:firstLine="420" w:firstLineChars="200"/>
        <w:rPr>
          <w:rFonts w:hint="eastAsia" w:ascii="宋体" w:hAnsi="宋体"/>
          <w:szCs w:val="21"/>
        </w:rPr>
      </w:pPr>
      <w:r>
        <w:rPr>
          <w:rFonts w:hint="eastAsia" w:ascii="宋体" w:hAnsi="宋体"/>
          <w:szCs w:val="21"/>
        </w:rPr>
        <w:t>2.基金管理人由于按照《基金合同》规定的投资原则而行使或不行使其投资权而造成的损失等；</w:t>
      </w:r>
    </w:p>
    <w:p w14:paraId="203FB57D">
      <w:pPr>
        <w:spacing w:line="360" w:lineRule="auto"/>
        <w:ind w:firstLine="420" w:firstLineChars="200"/>
        <w:rPr>
          <w:rFonts w:hint="eastAsia" w:ascii="宋体" w:hAnsi="宋体"/>
          <w:szCs w:val="21"/>
        </w:rPr>
      </w:pPr>
      <w:r>
        <w:rPr>
          <w:rFonts w:hint="eastAsia" w:ascii="宋体" w:hAnsi="宋体"/>
          <w:szCs w:val="21"/>
        </w:rPr>
        <w:t>3. 不可抗力。</w:t>
      </w:r>
    </w:p>
    <w:p w14:paraId="4452131E">
      <w:pPr>
        <w:spacing w:line="360" w:lineRule="auto"/>
        <w:ind w:firstLine="420" w:firstLineChars="200"/>
        <w:rPr>
          <w:bCs/>
          <w:szCs w:val="21"/>
        </w:rPr>
      </w:pPr>
      <w:r>
        <w:rPr>
          <w:rFonts w:hint="eastAsia" w:ascii="宋体" w:hAnsi="宋体"/>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5C60ABB">
      <w:pPr>
        <w:spacing w:line="360" w:lineRule="auto"/>
        <w:ind w:firstLine="420" w:firstLineChars="200"/>
        <w:rPr>
          <w:rFonts w:hint="eastAsia" w:ascii="宋体" w:hAnsi="宋体"/>
          <w:szCs w:val="21"/>
          <w:lang w:val="zh-CN"/>
        </w:rPr>
      </w:pPr>
      <w:r>
        <w:rPr>
          <w:rFonts w:hint="eastAsia" w:ascii="宋体" w:hAnsi="宋体"/>
          <w:szCs w:val="21"/>
          <w:lang w:val="zh-CN"/>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04A1F62">
      <w:pPr>
        <w:spacing w:line="500" w:lineRule="atLeast"/>
        <w:jc w:val="center"/>
        <w:outlineLvl w:val="0"/>
        <w:rPr>
          <w:rFonts w:hint="eastAsia" w:ascii="宋体" w:hAnsi="宋体"/>
        </w:rPr>
      </w:pPr>
      <w:bookmarkStart w:id="75" w:name="_Toc382819134"/>
      <w:r>
        <w:rPr>
          <w:rFonts w:hint="eastAsia" w:ascii="宋体" w:hAnsi="宋体"/>
          <w:b/>
          <w:sz w:val="24"/>
        </w:rPr>
        <w:t>十七、适用法律及争议解决方式</w:t>
      </w:r>
      <w:bookmarkEnd w:id="75"/>
    </w:p>
    <w:p w14:paraId="69FC9720">
      <w:pPr>
        <w:spacing w:line="360" w:lineRule="auto"/>
        <w:ind w:firstLine="422" w:firstLineChars="200"/>
        <w:rPr>
          <w:rFonts w:hint="eastAsia" w:ascii="宋体" w:hAnsi="宋体"/>
          <w:b/>
          <w:bCs/>
          <w:i/>
          <w:iCs/>
          <w:szCs w:val="21"/>
          <w:lang w:val="zh-CN"/>
        </w:rPr>
      </w:pPr>
      <w:r>
        <w:rPr>
          <w:rFonts w:hint="eastAsia" w:ascii="宋体" w:hAnsi="宋体"/>
          <w:b/>
          <w:bCs/>
          <w:i/>
          <w:iCs/>
          <w:szCs w:val="21"/>
          <w:lang w:val="zh-CN"/>
        </w:rPr>
        <w:t>（一）</w:t>
      </w:r>
      <w:r>
        <w:rPr>
          <w:rFonts w:hint="eastAsia" w:ascii="宋体" w:hAnsi="宋体"/>
          <w:b/>
          <w:bCs/>
          <w:i/>
          <w:iCs/>
          <w:szCs w:val="21"/>
        </w:rPr>
        <w:t>本协议适用中华人民共和国法律（为本协议之目的，在此不包括中国香港、澳门特别行政区和台湾地区法律），并从其解释。</w:t>
      </w:r>
    </w:p>
    <w:p w14:paraId="1D4EAF2C">
      <w:pPr>
        <w:spacing w:line="360" w:lineRule="auto"/>
        <w:ind w:firstLine="422" w:firstLineChars="200"/>
        <w:rPr>
          <w:rFonts w:hint="eastAsia" w:ascii="宋体" w:hAnsi="宋体"/>
          <w:b/>
          <w:bCs/>
          <w:i/>
          <w:iCs/>
          <w:szCs w:val="21"/>
        </w:rPr>
      </w:pPr>
      <w:r>
        <w:rPr>
          <w:rFonts w:hint="eastAsia" w:ascii="宋体" w:hAnsi="宋体"/>
          <w:b/>
          <w:bCs/>
          <w:i/>
          <w:iCs/>
          <w:szCs w:val="21"/>
        </w:rPr>
        <w:t>（二）双方当事人同意，因本协议而产生的或与本协议有关的一切争议，除经友好协商可以解决的，应提交上海国际经济贸易仲裁委员会，根据该会届时有效的仲裁规则进行仲裁，仲裁的地点在</w:t>
      </w:r>
      <w:r>
        <w:rPr>
          <w:rFonts w:hint="eastAsia" w:ascii="宋体" w:hAnsi="宋体"/>
          <w:b/>
          <w:bCs/>
          <w:i/>
          <w:iCs/>
          <w:szCs w:val="21"/>
          <w:u w:val="single"/>
        </w:rPr>
        <w:t>上海</w:t>
      </w:r>
      <w:r>
        <w:rPr>
          <w:rFonts w:hint="eastAsia" w:ascii="宋体" w:hAnsi="宋体"/>
          <w:b/>
          <w:bCs/>
          <w:i/>
          <w:iCs/>
          <w:szCs w:val="21"/>
        </w:rPr>
        <w:t>，仲裁裁决是终局性的并对双方均有约束力。除非仲裁裁决另有规定，仲裁费用、合理的律师费用由败诉方承担。</w:t>
      </w:r>
      <w:bookmarkStart w:id="78" w:name="_GoBack"/>
      <w:bookmarkEnd w:id="78"/>
    </w:p>
    <w:p w14:paraId="40AA47E7">
      <w:pPr>
        <w:spacing w:line="360" w:lineRule="auto"/>
        <w:ind w:firstLine="422" w:firstLineChars="200"/>
        <w:rPr>
          <w:rFonts w:hint="eastAsia" w:ascii="宋体" w:hAnsi="宋体"/>
          <w:b/>
          <w:bCs/>
          <w:i/>
          <w:iCs/>
          <w:szCs w:val="21"/>
        </w:rPr>
      </w:pPr>
      <w:r>
        <w:rPr>
          <w:rFonts w:hint="eastAsia" w:ascii="宋体" w:hAnsi="宋体"/>
          <w:b/>
          <w:bCs/>
          <w:i/>
          <w:iCs/>
          <w:szCs w:val="21"/>
        </w:rPr>
        <w:t>争议处理期间，双方当事人应恪守基金管理人和基金托管人职责，继续忠实、勤勉、尽责地履行《基金合同》和本托管协议规定的义务，维护基金份额持有人的合法权益。</w:t>
      </w:r>
    </w:p>
    <w:p w14:paraId="79D4E18A">
      <w:pPr>
        <w:spacing w:line="500" w:lineRule="atLeast"/>
        <w:jc w:val="center"/>
        <w:outlineLvl w:val="0"/>
        <w:rPr>
          <w:rFonts w:hint="eastAsia" w:ascii="宋体" w:hAnsi="宋体"/>
        </w:rPr>
      </w:pPr>
      <w:bookmarkStart w:id="76" w:name="_Toc382819135"/>
      <w:r>
        <w:rPr>
          <w:rFonts w:hint="eastAsia" w:ascii="宋体" w:hAnsi="宋体"/>
          <w:b/>
          <w:sz w:val="24"/>
        </w:rPr>
        <w:t>十八、基金托管协议的效力和文本</w:t>
      </w:r>
      <w:bookmarkEnd w:id="76"/>
    </w:p>
    <w:p w14:paraId="6D307EFE">
      <w:pPr>
        <w:pStyle w:val="12"/>
        <w:rPr>
          <w:rFonts w:hint="eastAsia"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本协议经基金管理人、基金托管人双方加盖公章或合同专用章以及双方法定代表人或授权代表签字或盖章后成立</w:t>
      </w:r>
      <w:r>
        <w:rPr>
          <w:rFonts w:hint="eastAsia" w:ascii="宋体" w:hAnsi="宋体"/>
          <w:szCs w:val="21"/>
        </w:rPr>
        <w:t>。本协议以中国证监会注册的文本为正式文本。基金管理人应确保报送证监会注册/备案的文本与双方签署的文本一致</w:t>
      </w:r>
    </w:p>
    <w:p w14:paraId="2F7D6471">
      <w:pPr>
        <w:pStyle w:val="12"/>
        <w:rPr>
          <w:rFonts w:hint="eastAsia" w:ascii="宋体" w:hAnsi="宋体"/>
          <w:szCs w:val="21"/>
        </w:rPr>
      </w:pPr>
      <w:r>
        <w:rPr>
          <w:rFonts w:hint="eastAsia" w:ascii="宋体" w:hAnsi="宋体"/>
          <w:szCs w:val="21"/>
        </w:rPr>
        <w:t>（二）本协议自本协议成立且《基金合同》生效之日起生效，有效期自其生效之日起至该基金财产清算结果报中国证监会备案并公告之日止。如发生第十五条约定的其他情形的，则自相应情形发生时终止。</w:t>
      </w:r>
    </w:p>
    <w:p w14:paraId="0065D798">
      <w:pPr>
        <w:spacing w:line="360" w:lineRule="auto"/>
        <w:ind w:firstLine="420" w:firstLineChars="200"/>
        <w:rPr>
          <w:rFonts w:hint="eastAsia" w:ascii="宋体" w:hAnsi="宋体"/>
          <w:szCs w:val="21"/>
        </w:rPr>
      </w:pPr>
      <w:r>
        <w:rPr>
          <w:rFonts w:hint="eastAsia" w:ascii="宋体" w:hAnsi="宋体"/>
          <w:szCs w:val="21"/>
        </w:rPr>
        <w:t>（三）本协议自生效之日起对双方当事人具有同等的法律约束力。</w:t>
      </w:r>
    </w:p>
    <w:p w14:paraId="57DE506F">
      <w:pPr>
        <w:spacing w:line="360" w:lineRule="auto"/>
        <w:ind w:firstLine="420" w:firstLineChars="200"/>
        <w:rPr>
          <w:rFonts w:hint="eastAsia" w:ascii="宋体" w:hAnsi="宋体"/>
          <w:szCs w:val="21"/>
        </w:rPr>
      </w:pPr>
      <w:r>
        <w:rPr>
          <w:rFonts w:hint="eastAsia" w:ascii="宋体" w:hAnsi="宋体"/>
          <w:szCs w:val="21"/>
        </w:rPr>
        <w:t>（四）本协议正本一式三份，除上报有关监管机构一份外，基金管理人、基金托管人各持有一份，每份具有同等的法律效力。</w:t>
      </w:r>
    </w:p>
    <w:p w14:paraId="759AC3F2">
      <w:pPr>
        <w:spacing w:line="500" w:lineRule="atLeast"/>
        <w:jc w:val="center"/>
        <w:outlineLvl w:val="0"/>
        <w:rPr>
          <w:rFonts w:hint="eastAsia" w:ascii="宋体" w:hAnsi="宋体"/>
        </w:rPr>
      </w:pPr>
      <w:r>
        <w:rPr>
          <w:rFonts w:ascii="宋体" w:hAnsi="宋体"/>
          <w:b/>
          <w:sz w:val="24"/>
        </w:rPr>
        <w:t xml:space="preserve"> </w:t>
      </w:r>
      <w:bookmarkStart w:id="77" w:name="_Toc382819136"/>
      <w:r>
        <w:rPr>
          <w:rFonts w:hint="eastAsia" w:ascii="宋体" w:hAnsi="宋体"/>
          <w:b/>
          <w:sz w:val="24"/>
        </w:rPr>
        <w:t>十九、其他事项</w:t>
      </w:r>
      <w:bookmarkEnd w:id="77"/>
    </w:p>
    <w:p w14:paraId="29FBF54E">
      <w:pPr>
        <w:pStyle w:val="12"/>
        <w:rPr>
          <w:rFonts w:hint="eastAsia" w:ascii="宋体" w:hAnsi="宋体"/>
          <w:szCs w:val="21"/>
        </w:rPr>
      </w:pPr>
      <w:r>
        <w:rPr>
          <w:rFonts w:hint="eastAsia" w:ascii="宋体" w:hAnsi="宋体"/>
          <w:szCs w:val="21"/>
        </w:rPr>
        <w:t>（一）双方在此确认，双方均已充分了解和知悉</w:t>
      </w:r>
      <w:r>
        <w:rPr>
          <w:rFonts w:hint="eastAsia" w:ascii="宋体" w:hAnsi="宋体"/>
          <w:szCs w:val="21"/>
          <w:lang w:val="en-US"/>
        </w:rPr>
        <w:t>双</w:t>
      </w:r>
      <w:r>
        <w:rPr>
          <w:rFonts w:hint="eastAsia" w:ascii="宋体" w:hAnsi="宋体"/>
          <w:szCs w:val="21"/>
        </w:rPr>
        <w:t>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34C22FD">
      <w:pPr>
        <w:pStyle w:val="12"/>
        <w:rPr>
          <w:rFonts w:hint="eastAsia" w:ascii="宋体" w:hAnsi="宋体"/>
          <w:szCs w:val="21"/>
        </w:rPr>
      </w:pPr>
      <w:r>
        <w:rPr>
          <w:rFonts w:hint="eastAsia" w:ascii="宋体" w:hAnsi="宋体"/>
          <w:szCs w:val="21"/>
        </w:rPr>
        <w:t>（二）反洗钱义务</w:t>
      </w:r>
    </w:p>
    <w:p w14:paraId="24DD0D4D">
      <w:pPr>
        <w:pStyle w:val="12"/>
        <w:rPr>
          <w:rFonts w:hint="eastAsia" w:ascii="宋体" w:hAnsi="宋体"/>
          <w:szCs w:val="21"/>
        </w:rPr>
      </w:pPr>
      <w:r>
        <w:rPr>
          <w:rFonts w:hint="eastAsia" w:ascii="宋体" w:hAnsi="宋体"/>
          <w:szCs w:val="21"/>
        </w:rPr>
        <w:t>基金管理人和基金托管人承诺自愿遵守反洗钱反恐怖融资法律法规，不参与涉嫌洗钱、恐怖融资、扩散融资等违法犯罪活动；主动配合</w:t>
      </w:r>
      <w:r>
        <w:rPr>
          <w:rFonts w:hint="eastAsia" w:ascii="宋体" w:hAnsi="宋体"/>
          <w:szCs w:val="21"/>
          <w:lang w:val="en-US"/>
        </w:rPr>
        <w:t>对方</w:t>
      </w:r>
      <w:r>
        <w:rPr>
          <w:rFonts w:hint="eastAsia" w:ascii="宋体" w:hAnsi="宋体"/>
          <w:szCs w:val="21"/>
        </w:rPr>
        <w:t>进行客户身份识别与尽职调查，提供真实、准确、完整客户资料，遵守各方反洗钱与反恐怖融资相关管理规定。如基金管理人和基金托管人信息（包括但不限于名称、法定代表人、住所、经营范围等）发生变化时，应当及时告知</w:t>
      </w:r>
      <w:r>
        <w:rPr>
          <w:rFonts w:hint="eastAsia" w:ascii="宋体" w:hAnsi="宋体"/>
          <w:szCs w:val="21"/>
          <w:lang w:val="en-US"/>
        </w:rPr>
        <w:t>对方</w:t>
      </w:r>
      <w:r>
        <w:rPr>
          <w:rFonts w:hint="eastAsia" w:ascii="宋体" w:hAnsi="宋体"/>
          <w:szCs w:val="21"/>
        </w:rPr>
        <w:t>。基金管理人或基金托管人若具备合理理由怀疑对方涉嫌洗钱、恐怖融资的，有权按照中国人民银行反洗钱监管规定采取必要管控措施，或单方面终止本协议。</w:t>
      </w:r>
    </w:p>
    <w:p w14:paraId="63D52711">
      <w:pPr>
        <w:pStyle w:val="12"/>
        <w:rPr>
          <w:rFonts w:hint="eastAsia" w:ascii="宋体" w:hAnsi="宋体"/>
          <w:szCs w:val="21"/>
        </w:rPr>
      </w:pPr>
      <w:r>
        <w:rPr>
          <w:rFonts w:hint="eastAsia" w:ascii="宋体" w:hAnsi="宋体"/>
          <w:szCs w:val="21"/>
        </w:rPr>
        <w:t>基金管理人确认并同意，基金托管人有权根据适用的反洗钱法律法规规定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美国、欧盟、英国、新加坡等国际组织或国家认定的洗钱、制裁、恐怖融资或大规模杀伤性武器扩散融资活动、出口管制、或逃税等违法违规行为的，基金托管人有权按照中国人民银行反洗钱监管规定等规定采取必要的管控措施。同时，基金托管人有权不经通知基金管理人，直接限制、暂停本协议项下全部或部分业务，有权终止本协议，并有权要求基金管理人承担因此给基金托管人造成的</w:t>
      </w:r>
      <w:r>
        <w:rPr>
          <w:rFonts w:hint="eastAsia" w:ascii="宋体" w:hAnsi="宋体"/>
          <w:szCs w:val="21"/>
          <w:lang w:val="en-US"/>
        </w:rPr>
        <w:t>直接</w:t>
      </w:r>
      <w:r>
        <w:rPr>
          <w:rFonts w:hint="eastAsia" w:ascii="宋体" w:hAnsi="宋体"/>
          <w:szCs w:val="21"/>
        </w:rPr>
        <w:t>损失。</w:t>
      </w:r>
    </w:p>
    <w:p w14:paraId="4BE6EFBB">
      <w:pPr>
        <w:pStyle w:val="12"/>
        <w:rPr>
          <w:rFonts w:hint="eastAsia" w:ascii="宋体" w:hAnsi="宋体"/>
          <w:szCs w:val="21"/>
        </w:rPr>
      </w:pPr>
      <w:r>
        <w:rPr>
          <w:rFonts w:hint="eastAsia" w:ascii="宋体" w:hAnsi="宋体"/>
          <w:szCs w:val="21"/>
        </w:rPr>
        <w:t>（三）通知</w:t>
      </w:r>
    </w:p>
    <w:p w14:paraId="2A25F970">
      <w:pPr>
        <w:spacing w:line="360" w:lineRule="auto"/>
        <w:ind w:firstLine="359" w:firstLineChars="171"/>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除本协议另有约定外，其他与本协议有关的通知应以书面形式作出，并送达至协议约定的地址，如果相关信息发生变动，变动的一方应当在变动发生之日起五（5）日书面通知其他各方。</w:t>
      </w:r>
    </w:p>
    <w:p w14:paraId="31692590">
      <w:pPr>
        <w:spacing w:line="360" w:lineRule="auto"/>
        <w:ind w:firstLine="359" w:firstLineChars="171"/>
        <w:rPr>
          <w:rFonts w:hint="eastAsia" w:ascii="宋体" w:hAnsi="宋体"/>
          <w:szCs w:val="21"/>
        </w:rPr>
      </w:pPr>
      <w:r>
        <w:rPr>
          <w:rFonts w:hint="eastAsia" w:ascii="宋体" w:hAnsi="宋体"/>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6FA24BFB">
      <w:pPr>
        <w:spacing w:line="360" w:lineRule="auto"/>
        <w:ind w:firstLine="359" w:firstLineChars="171"/>
        <w:rPr>
          <w:rFonts w:hint="eastAsia" w:ascii="宋体" w:hAnsi="宋体"/>
          <w:szCs w:val="21"/>
        </w:rPr>
      </w:pPr>
      <w:r>
        <w:rPr>
          <w:rFonts w:hint="eastAsia" w:ascii="宋体" w:hAnsi="宋体"/>
          <w:szCs w:val="21"/>
        </w:rPr>
        <w:t>3.任何一方在任何时间改变接收通知所用的地址都应立即将该变更通过本协议约定的邮箱或双方认可的方式通知另一方；如果该变更通知未能送达，递交给上述收件人或地址的通知或联络应视为被正常发送和接收。</w:t>
      </w:r>
    </w:p>
    <w:p w14:paraId="63F6389D">
      <w:pPr>
        <w:spacing w:line="360" w:lineRule="auto"/>
        <w:ind w:firstLine="359" w:firstLineChars="171"/>
        <w:rPr>
          <w:rFonts w:hint="eastAsia" w:ascii="宋体" w:hAnsi="宋体"/>
          <w:szCs w:val="21"/>
        </w:rPr>
      </w:pPr>
      <w:r>
        <w:rPr>
          <w:rFonts w:hint="eastAsia" w:ascii="宋体" w:hAnsi="宋体"/>
          <w:szCs w:val="21"/>
        </w:rPr>
        <w:t>4.双方确认，本协议首页列明的双方地址为其有效的送达地址。对本协议项下所发生的任何诉讼（包括一审、二审和再审等任何诉讼程序和执行程序）过程中对其发出的函件、传票、通知等法律文书，只要以邮寄或以本协议约定或双方认可的方式发送至本协议首页列明的送达地址即视为送达，具体送达日期适用《民事诉讼法》中关于送达日期的规定。上述送达地址的变更非经提前通知另一方，不发生法律效力，本协议中确认的送达地址仍然视为有效的送达地址。</w:t>
      </w:r>
    </w:p>
    <w:p w14:paraId="5BFDA1B4">
      <w:pPr>
        <w:pStyle w:val="12"/>
        <w:rPr>
          <w:rFonts w:hint="eastAsia" w:ascii="宋体" w:hAnsi="宋体"/>
          <w:szCs w:val="21"/>
        </w:rPr>
      </w:pPr>
      <w:r>
        <w:rPr>
          <w:rFonts w:hint="eastAsia" w:ascii="宋体" w:hAnsi="宋体"/>
          <w:szCs w:val="21"/>
        </w:rPr>
        <w:t>（三）本协议未尽事宜，当事人依据《基金合同》以及有关法律、法规和规定协商办理。</w:t>
      </w:r>
    </w:p>
    <w:p w14:paraId="14C5A54A">
      <w:pPr>
        <w:pStyle w:val="12"/>
        <w:rPr>
          <w:rFonts w:hint="eastAsia" w:ascii="宋体" w:hAnsi="宋体"/>
          <w:szCs w:val="21"/>
        </w:rPr>
      </w:pPr>
      <w:r>
        <w:rPr>
          <w:rFonts w:hint="eastAsia" w:ascii="宋体" w:hAnsi="宋体"/>
          <w:szCs w:val="21"/>
        </w:rPr>
        <w:t>（四）双方约定的其他事项（若有）</w:t>
      </w:r>
    </w:p>
    <w:p w14:paraId="0BD155F2">
      <w:pPr>
        <w:pStyle w:val="12"/>
        <w:ind w:firstLine="0" w:firstLineChars="0"/>
        <w:rPr>
          <w:rFonts w:hint="eastAsia" w:ascii="宋体" w:hAnsi="宋体"/>
          <w:szCs w:val="21"/>
        </w:rPr>
      </w:pPr>
      <w:r>
        <w:rPr>
          <w:rFonts w:hint="eastAsia" w:ascii="宋体" w:hAnsi="宋体"/>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本页以下无正文）</w:t>
      </w:r>
    </w:p>
    <w:p w14:paraId="5BADC4C3">
      <w:pPr>
        <w:rPr>
          <w:rFonts w:hint="eastAsia" w:ascii="宋体" w:hAnsi="宋体"/>
          <w:szCs w:val="21"/>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E518">
    <w:pPr>
      <w:pStyle w:val="14"/>
      <w:jc w:val="center"/>
    </w:pPr>
  </w:p>
  <w:p w14:paraId="6876B4F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02B4">
    <w:pPr>
      <w:pStyle w:val="14"/>
      <w:jc w:val="center"/>
    </w:pPr>
    <w:r>
      <w:fldChar w:fldCharType="begin"/>
    </w:r>
    <w:r>
      <w:instrText xml:space="preserve">PAGE   \* MERGEFORMAT</w:instrText>
    </w:r>
    <w:r>
      <w:fldChar w:fldCharType="separate"/>
    </w:r>
    <w:r>
      <w:rPr>
        <w:lang w:val="zh-CN"/>
      </w:rP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40C4">
    <w:pPr>
      <w:pStyle w:val="15"/>
      <w:ind w:right="720"/>
      <w:jc w:val="both"/>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3"/>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5"/>
      <w:suff w:val="nothing"/>
      <w:lvlText w:val="%3、"/>
      <w:lvlJc w:val="left"/>
      <w:pPr>
        <w:ind w:left="0" w:firstLine="482"/>
      </w:pPr>
      <w:rPr>
        <w:rFonts w:hint="eastAsia" w:ascii="黑体" w:eastAsia="黑体"/>
        <w:b/>
        <w:i w:val="0"/>
        <w:sz w:val="24"/>
      </w:rPr>
    </w:lvl>
    <w:lvl w:ilvl="3" w:tentative="0">
      <w:start w:val="1"/>
      <w:numFmt w:val="chineseCountingThousand"/>
      <w:pStyle w:val="6"/>
      <w:suff w:val="nothing"/>
      <w:lvlText w:val="(%4)"/>
      <w:lvlJc w:val="left"/>
      <w:pPr>
        <w:ind w:left="0" w:firstLine="482"/>
      </w:pPr>
      <w:rPr>
        <w:rFonts w:hint="eastAsia" w:ascii="仿宋_GB2312" w:eastAsia="仿宋_GB2312"/>
        <w:b w:val="0"/>
        <w:i w:val="0"/>
        <w:sz w:val="24"/>
      </w:rPr>
    </w:lvl>
    <w:lvl w:ilvl="4" w:tentative="0">
      <w:start w:val="1"/>
      <w:numFmt w:val="decimal"/>
      <w:pStyle w:val="7"/>
      <w:suff w:val="nothing"/>
      <w:lvlText w:val="%5."/>
      <w:lvlJc w:val="left"/>
      <w:pPr>
        <w:ind w:left="0" w:firstLine="527"/>
      </w:pPr>
      <w:rPr>
        <w:rFonts w:hint="eastAsia" w:ascii="仿宋_GB2312" w:eastAsia="仿宋_GB2312"/>
        <w:b w:val="0"/>
        <w:i w:val="0"/>
        <w:sz w:val="24"/>
      </w:rPr>
    </w:lvl>
    <w:lvl w:ilvl="5" w:tentative="0">
      <w:start w:val="1"/>
      <w:numFmt w:val="decimal"/>
      <w:pStyle w:val="8"/>
      <w:suff w:val="nothing"/>
      <w:lvlText w:val="(%6)"/>
      <w:lvlJc w:val="left"/>
      <w:pPr>
        <w:ind w:left="0" w:firstLine="482"/>
      </w:pPr>
      <w:rPr>
        <w:rFonts w:hint="eastAsia" w:ascii="仿宋_GB2312" w:eastAsia="仿宋_GB2312"/>
        <w:b w:val="0"/>
        <w:i w:val="0"/>
        <w:sz w:val="24"/>
      </w:rPr>
    </w:lvl>
    <w:lvl w:ilvl="6" w:tentative="0">
      <w:start w:val="1"/>
      <w:numFmt w:val="bullet"/>
      <w:pStyle w:val="9"/>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367903F8"/>
    <w:multiLevelType w:val="multilevel"/>
    <w:tmpl w:val="367903F8"/>
    <w:lvl w:ilvl="0" w:tentative="0">
      <w:start w:val="1"/>
      <w:numFmt w:val="decimal"/>
      <w:lvlText w:val="%1."/>
      <w:lvlJc w:val="left"/>
      <w:pPr>
        <w:ind w:left="893" w:hanging="420"/>
      </w:p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24EF"/>
    <w:rsid w:val="00014998"/>
    <w:rsid w:val="000246AC"/>
    <w:rsid w:val="00024DDA"/>
    <w:rsid w:val="00050C79"/>
    <w:rsid w:val="00053197"/>
    <w:rsid w:val="00063928"/>
    <w:rsid w:val="0006509E"/>
    <w:rsid w:val="00070C46"/>
    <w:rsid w:val="00080622"/>
    <w:rsid w:val="0008166B"/>
    <w:rsid w:val="00090B2E"/>
    <w:rsid w:val="0009788B"/>
    <w:rsid w:val="000A061E"/>
    <w:rsid w:val="000C0815"/>
    <w:rsid w:val="000E7AE1"/>
    <w:rsid w:val="000F1EB1"/>
    <w:rsid w:val="000F581B"/>
    <w:rsid w:val="00106548"/>
    <w:rsid w:val="00107EA3"/>
    <w:rsid w:val="00111856"/>
    <w:rsid w:val="001142CF"/>
    <w:rsid w:val="00126AE4"/>
    <w:rsid w:val="00135B9F"/>
    <w:rsid w:val="0014246D"/>
    <w:rsid w:val="00162C4A"/>
    <w:rsid w:val="0016302A"/>
    <w:rsid w:val="00170D13"/>
    <w:rsid w:val="00177C69"/>
    <w:rsid w:val="00190962"/>
    <w:rsid w:val="001A1969"/>
    <w:rsid w:val="001A7674"/>
    <w:rsid w:val="001B5B01"/>
    <w:rsid w:val="001C483E"/>
    <w:rsid w:val="001C5433"/>
    <w:rsid w:val="001C7B75"/>
    <w:rsid w:val="001E0A82"/>
    <w:rsid w:val="001F013E"/>
    <w:rsid w:val="001F4291"/>
    <w:rsid w:val="001F5830"/>
    <w:rsid w:val="001F7684"/>
    <w:rsid w:val="001F7C9B"/>
    <w:rsid w:val="00203F42"/>
    <w:rsid w:val="002071F0"/>
    <w:rsid w:val="00221B2B"/>
    <w:rsid w:val="002226C4"/>
    <w:rsid w:val="00230CA9"/>
    <w:rsid w:val="0023482D"/>
    <w:rsid w:val="002400B3"/>
    <w:rsid w:val="002571C9"/>
    <w:rsid w:val="002618B2"/>
    <w:rsid w:val="002755B8"/>
    <w:rsid w:val="00276C95"/>
    <w:rsid w:val="002947E2"/>
    <w:rsid w:val="00296AF1"/>
    <w:rsid w:val="002A29FD"/>
    <w:rsid w:val="002C1EAB"/>
    <w:rsid w:val="002C7C71"/>
    <w:rsid w:val="002D31DA"/>
    <w:rsid w:val="002F42EB"/>
    <w:rsid w:val="003033B4"/>
    <w:rsid w:val="00325B47"/>
    <w:rsid w:val="00325DFF"/>
    <w:rsid w:val="00327DA9"/>
    <w:rsid w:val="00357C42"/>
    <w:rsid w:val="0036635C"/>
    <w:rsid w:val="00382975"/>
    <w:rsid w:val="003A2B06"/>
    <w:rsid w:val="003B7EFD"/>
    <w:rsid w:val="003C0C16"/>
    <w:rsid w:val="003C3043"/>
    <w:rsid w:val="003C79A0"/>
    <w:rsid w:val="003D2FA5"/>
    <w:rsid w:val="003E1C92"/>
    <w:rsid w:val="00411554"/>
    <w:rsid w:val="00420F01"/>
    <w:rsid w:val="004315E0"/>
    <w:rsid w:val="004418E6"/>
    <w:rsid w:val="004421E3"/>
    <w:rsid w:val="0044266C"/>
    <w:rsid w:val="00455CE2"/>
    <w:rsid w:val="00465CC2"/>
    <w:rsid w:val="00485F0F"/>
    <w:rsid w:val="004863D2"/>
    <w:rsid w:val="0048757C"/>
    <w:rsid w:val="004A6884"/>
    <w:rsid w:val="004B443C"/>
    <w:rsid w:val="004C3AF6"/>
    <w:rsid w:val="004C5AC8"/>
    <w:rsid w:val="004E4CB4"/>
    <w:rsid w:val="004E6AE3"/>
    <w:rsid w:val="004F1E31"/>
    <w:rsid w:val="004F25BD"/>
    <w:rsid w:val="004F5CDF"/>
    <w:rsid w:val="00505A18"/>
    <w:rsid w:val="00512CAB"/>
    <w:rsid w:val="005134AB"/>
    <w:rsid w:val="00525E69"/>
    <w:rsid w:val="00526218"/>
    <w:rsid w:val="00542EBE"/>
    <w:rsid w:val="0054532E"/>
    <w:rsid w:val="00546387"/>
    <w:rsid w:val="00546A35"/>
    <w:rsid w:val="0056355B"/>
    <w:rsid w:val="00567448"/>
    <w:rsid w:val="005771A4"/>
    <w:rsid w:val="0058195E"/>
    <w:rsid w:val="00582C87"/>
    <w:rsid w:val="00586DA1"/>
    <w:rsid w:val="00587F80"/>
    <w:rsid w:val="005A24B0"/>
    <w:rsid w:val="005A4382"/>
    <w:rsid w:val="005B5D51"/>
    <w:rsid w:val="005C2F8E"/>
    <w:rsid w:val="005D050A"/>
    <w:rsid w:val="005D72AE"/>
    <w:rsid w:val="005E0FA7"/>
    <w:rsid w:val="005F314E"/>
    <w:rsid w:val="00606F78"/>
    <w:rsid w:val="00611313"/>
    <w:rsid w:val="00616AE9"/>
    <w:rsid w:val="006208B9"/>
    <w:rsid w:val="0062565D"/>
    <w:rsid w:val="0063373E"/>
    <w:rsid w:val="006359A9"/>
    <w:rsid w:val="00641021"/>
    <w:rsid w:val="006442DD"/>
    <w:rsid w:val="00651247"/>
    <w:rsid w:val="00656926"/>
    <w:rsid w:val="006601A1"/>
    <w:rsid w:val="00674801"/>
    <w:rsid w:val="00674863"/>
    <w:rsid w:val="006835B2"/>
    <w:rsid w:val="0069592C"/>
    <w:rsid w:val="006976E8"/>
    <w:rsid w:val="006A512E"/>
    <w:rsid w:val="006B1820"/>
    <w:rsid w:val="006D1965"/>
    <w:rsid w:val="006D569E"/>
    <w:rsid w:val="006E5EB7"/>
    <w:rsid w:val="006F70AF"/>
    <w:rsid w:val="007005B8"/>
    <w:rsid w:val="007005FB"/>
    <w:rsid w:val="007034DC"/>
    <w:rsid w:val="0070524E"/>
    <w:rsid w:val="00711591"/>
    <w:rsid w:val="00741F1B"/>
    <w:rsid w:val="00755471"/>
    <w:rsid w:val="00775D65"/>
    <w:rsid w:val="00777FFE"/>
    <w:rsid w:val="007903A2"/>
    <w:rsid w:val="007926B2"/>
    <w:rsid w:val="00796B7F"/>
    <w:rsid w:val="007A362D"/>
    <w:rsid w:val="007A7711"/>
    <w:rsid w:val="007B0332"/>
    <w:rsid w:val="007B315F"/>
    <w:rsid w:val="007D5F9E"/>
    <w:rsid w:val="007E28AE"/>
    <w:rsid w:val="008050F2"/>
    <w:rsid w:val="00825061"/>
    <w:rsid w:val="00826455"/>
    <w:rsid w:val="0082736C"/>
    <w:rsid w:val="00836247"/>
    <w:rsid w:val="008434C1"/>
    <w:rsid w:val="008450D5"/>
    <w:rsid w:val="00852EFA"/>
    <w:rsid w:val="00853775"/>
    <w:rsid w:val="0085435B"/>
    <w:rsid w:val="0086710E"/>
    <w:rsid w:val="0087186C"/>
    <w:rsid w:val="008873C4"/>
    <w:rsid w:val="008923C7"/>
    <w:rsid w:val="00894054"/>
    <w:rsid w:val="008C1C0E"/>
    <w:rsid w:val="008D4C0E"/>
    <w:rsid w:val="008D5899"/>
    <w:rsid w:val="008E5DC6"/>
    <w:rsid w:val="008F0CBE"/>
    <w:rsid w:val="008F1D70"/>
    <w:rsid w:val="008F50CD"/>
    <w:rsid w:val="008F6BF4"/>
    <w:rsid w:val="00900C4A"/>
    <w:rsid w:val="009342DB"/>
    <w:rsid w:val="00946123"/>
    <w:rsid w:val="009656CC"/>
    <w:rsid w:val="0097139B"/>
    <w:rsid w:val="00972139"/>
    <w:rsid w:val="00977A77"/>
    <w:rsid w:val="00980631"/>
    <w:rsid w:val="00984090"/>
    <w:rsid w:val="0098487C"/>
    <w:rsid w:val="00987871"/>
    <w:rsid w:val="00990CB5"/>
    <w:rsid w:val="0099659A"/>
    <w:rsid w:val="009A402C"/>
    <w:rsid w:val="009C08CC"/>
    <w:rsid w:val="009C5F6A"/>
    <w:rsid w:val="009D2D46"/>
    <w:rsid w:val="00A01962"/>
    <w:rsid w:val="00A040BD"/>
    <w:rsid w:val="00A04D17"/>
    <w:rsid w:val="00A131DE"/>
    <w:rsid w:val="00A16100"/>
    <w:rsid w:val="00A16F02"/>
    <w:rsid w:val="00A265EC"/>
    <w:rsid w:val="00A3622A"/>
    <w:rsid w:val="00A436B5"/>
    <w:rsid w:val="00A44596"/>
    <w:rsid w:val="00A45E01"/>
    <w:rsid w:val="00A53663"/>
    <w:rsid w:val="00A53930"/>
    <w:rsid w:val="00A64890"/>
    <w:rsid w:val="00A72A03"/>
    <w:rsid w:val="00A84C96"/>
    <w:rsid w:val="00A85CB5"/>
    <w:rsid w:val="00A90925"/>
    <w:rsid w:val="00A916A3"/>
    <w:rsid w:val="00A96512"/>
    <w:rsid w:val="00AA13D2"/>
    <w:rsid w:val="00AB0AD2"/>
    <w:rsid w:val="00AB6852"/>
    <w:rsid w:val="00AD6C2F"/>
    <w:rsid w:val="00AF5BE0"/>
    <w:rsid w:val="00AF62E7"/>
    <w:rsid w:val="00AF7082"/>
    <w:rsid w:val="00B03E07"/>
    <w:rsid w:val="00B05A74"/>
    <w:rsid w:val="00B16C4A"/>
    <w:rsid w:val="00B44094"/>
    <w:rsid w:val="00B513AA"/>
    <w:rsid w:val="00B91981"/>
    <w:rsid w:val="00B935B0"/>
    <w:rsid w:val="00B972AD"/>
    <w:rsid w:val="00BA076E"/>
    <w:rsid w:val="00BB171D"/>
    <w:rsid w:val="00BC37EA"/>
    <w:rsid w:val="00BD0108"/>
    <w:rsid w:val="00BD1528"/>
    <w:rsid w:val="00BD2902"/>
    <w:rsid w:val="00BE312E"/>
    <w:rsid w:val="00C06704"/>
    <w:rsid w:val="00C16A87"/>
    <w:rsid w:val="00C36C35"/>
    <w:rsid w:val="00C41C25"/>
    <w:rsid w:val="00C543EC"/>
    <w:rsid w:val="00C5461D"/>
    <w:rsid w:val="00C61BA6"/>
    <w:rsid w:val="00C62ACD"/>
    <w:rsid w:val="00C66FF3"/>
    <w:rsid w:val="00C70DAB"/>
    <w:rsid w:val="00C7684F"/>
    <w:rsid w:val="00C820A3"/>
    <w:rsid w:val="00C8335D"/>
    <w:rsid w:val="00C838D1"/>
    <w:rsid w:val="00C93AE8"/>
    <w:rsid w:val="00CA1B32"/>
    <w:rsid w:val="00CA22EF"/>
    <w:rsid w:val="00CA328F"/>
    <w:rsid w:val="00CB50D4"/>
    <w:rsid w:val="00CB77FA"/>
    <w:rsid w:val="00CC1BDA"/>
    <w:rsid w:val="00CE27A6"/>
    <w:rsid w:val="00CE6F27"/>
    <w:rsid w:val="00CF371D"/>
    <w:rsid w:val="00CF5ACD"/>
    <w:rsid w:val="00CF6712"/>
    <w:rsid w:val="00CF757E"/>
    <w:rsid w:val="00D04E6C"/>
    <w:rsid w:val="00D14F24"/>
    <w:rsid w:val="00D2332F"/>
    <w:rsid w:val="00D30E3A"/>
    <w:rsid w:val="00D3236A"/>
    <w:rsid w:val="00D32C3A"/>
    <w:rsid w:val="00D3667B"/>
    <w:rsid w:val="00D47104"/>
    <w:rsid w:val="00D50B05"/>
    <w:rsid w:val="00D57194"/>
    <w:rsid w:val="00D606A2"/>
    <w:rsid w:val="00D62185"/>
    <w:rsid w:val="00D67C93"/>
    <w:rsid w:val="00D751D5"/>
    <w:rsid w:val="00D77A47"/>
    <w:rsid w:val="00D81DB2"/>
    <w:rsid w:val="00D83120"/>
    <w:rsid w:val="00D85EAE"/>
    <w:rsid w:val="00D8649A"/>
    <w:rsid w:val="00DB17EC"/>
    <w:rsid w:val="00DB3B68"/>
    <w:rsid w:val="00DD330D"/>
    <w:rsid w:val="00DD4D55"/>
    <w:rsid w:val="00DE29E8"/>
    <w:rsid w:val="00DE5D3B"/>
    <w:rsid w:val="00DF1989"/>
    <w:rsid w:val="00E13468"/>
    <w:rsid w:val="00E13A3C"/>
    <w:rsid w:val="00E3001C"/>
    <w:rsid w:val="00E34742"/>
    <w:rsid w:val="00E37EE4"/>
    <w:rsid w:val="00E44CB0"/>
    <w:rsid w:val="00E47959"/>
    <w:rsid w:val="00E64669"/>
    <w:rsid w:val="00E64FEC"/>
    <w:rsid w:val="00E657FD"/>
    <w:rsid w:val="00E65EC9"/>
    <w:rsid w:val="00E710CD"/>
    <w:rsid w:val="00E7288F"/>
    <w:rsid w:val="00E72BEB"/>
    <w:rsid w:val="00E770D7"/>
    <w:rsid w:val="00E851A7"/>
    <w:rsid w:val="00E86DC0"/>
    <w:rsid w:val="00EA2610"/>
    <w:rsid w:val="00ED47D6"/>
    <w:rsid w:val="00EE757F"/>
    <w:rsid w:val="00EF244B"/>
    <w:rsid w:val="00F12D7B"/>
    <w:rsid w:val="00F1377D"/>
    <w:rsid w:val="00F17853"/>
    <w:rsid w:val="00F20269"/>
    <w:rsid w:val="00F260D2"/>
    <w:rsid w:val="00F27F0F"/>
    <w:rsid w:val="00F557EF"/>
    <w:rsid w:val="00F66BB0"/>
    <w:rsid w:val="00F7735B"/>
    <w:rsid w:val="00F8532B"/>
    <w:rsid w:val="00F97575"/>
    <w:rsid w:val="00FA542D"/>
    <w:rsid w:val="00FA55E5"/>
    <w:rsid w:val="00FA77A2"/>
    <w:rsid w:val="00FC0797"/>
    <w:rsid w:val="00FC708A"/>
    <w:rsid w:val="00FC7D76"/>
    <w:rsid w:val="00FD3C76"/>
    <w:rsid w:val="00FE3FE0"/>
    <w:rsid w:val="00FE6FE9"/>
    <w:rsid w:val="00FF4C78"/>
    <w:rsid w:val="01F96EDD"/>
    <w:rsid w:val="0617423B"/>
    <w:rsid w:val="06FC767D"/>
    <w:rsid w:val="07972371"/>
    <w:rsid w:val="08EF6243"/>
    <w:rsid w:val="0C2D6002"/>
    <w:rsid w:val="0C7E7E98"/>
    <w:rsid w:val="0FDC63C2"/>
    <w:rsid w:val="12931EC3"/>
    <w:rsid w:val="17444BAC"/>
    <w:rsid w:val="178B0A24"/>
    <w:rsid w:val="17F90B88"/>
    <w:rsid w:val="19984383"/>
    <w:rsid w:val="1E2B1A50"/>
    <w:rsid w:val="1E753BE6"/>
    <w:rsid w:val="228D3D6A"/>
    <w:rsid w:val="25047064"/>
    <w:rsid w:val="256D5C85"/>
    <w:rsid w:val="25F83E93"/>
    <w:rsid w:val="276A0521"/>
    <w:rsid w:val="2835369B"/>
    <w:rsid w:val="32296CF9"/>
    <w:rsid w:val="33E24A83"/>
    <w:rsid w:val="351C6E10"/>
    <w:rsid w:val="37174435"/>
    <w:rsid w:val="37B81CEB"/>
    <w:rsid w:val="3C782F17"/>
    <w:rsid w:val="3FC7615D"/>
    <w:rsid w:val="43CA1BFF"/>
    <w:rsid w:val="463D6A99"/>
    <w:rsid w:val="46B606B7"/>
    <w:rsid w:val="47AF683C"/>
    <w:rsid w:val="485708F2"/>
    <w:rsid w:val="49204B82"/>
    <w:rsid w:val="4BA53EF4"/>
    <w:rsid w:val="4C0B1BCA"/>
    <w:rsid w:val="4C1F04C3"/>
    <w:rsid w:val="50F7194B"/>
    <w:rsid w:val="511B19C9"/>
    <w:rsid w:val="53492ACC"/>
    <w:rsid w:val="552402B8"/>
    <w:rsid w:val="59135AFE"/>
    <w:rsid w:val="597D27E1"/>
    <w:rsid w:val="5D782C71"/>
    <w:rsid w:val="608151DF"/>
    <w:rsid w:val="63FB3B74"/>
    <w:rsid w:val="649440A3"/>
    <w:rsid w:val="657B0ADC"/>
    <w:rsid w:val="6A15605E"/>
    <w:rsid w:val="6AE14AEB"/>
    <w:rsid w:val="6AE64558"/>
    <w:rsid w:val="6D2C6956"/>
    <w:rsid w:val="77690573"/>
    <w:rsid w:val="777A4685"/>
    <w:rsid w:val="7F79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4">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numPr>
        <w:ilvl w:val="2"/>
        <w:numId w:val="1"/>
      </w:numPr>
      <w:spacing w:before="240" w:after="240" w:line="360" w:lineRule="auto"/>
      <w:jc w:val="center"/>
      <w:outlineLvl w:val="2"/>
    </w:pPr>
    <w:rPr>
      <w:rFonts w:ascii="Arial" w:hAnsi="Arial" w:eastAsia="仿宋_GB2312"/>
      <w:b/>
      <w:sz w:val="24"/>
      <w:szCs w:val="20"/>
      <w:lang w:val="zh-CN"/>
    </w:rPr>
  </w:style>
  <w:style w:type="paragraph" w:styleId="6">
    <w:name w:val="heading 4"/>
    <w:basedOn w:val="1"/>
    <w:next w:val="1"/>
    <w:link w:val="29"/>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7">
    <w:name w:val="heading 5"/>
    <w:basedOn w:val="1"/>
    <w:next w:val="1"/>
    <w:link w:val="30"/>
    <w:qFormat/>
    <w:uiPriority w:val="0"/>
    <w:pPr>
      <w:numPr>
        <w:ilvl w:val="4"/>
        <w:numId w:val="1"/>
      </w:numPr>
      <w:spacing w:line="360" w:lineRule="auto"/>
      <w:outlineLvl w:val="4"/>
    </w:pPr>
    <w:rPr>
      <w:rFonts w:ascii="Arial" w:hAnsi="Arial" w:eastAsia="仿宋_GB2312"/>
      <w:sz w:val="24"/>
      <w:szCs w:val="20"/>
      <w:lang w:val="zh-CN"/>
    </w:rPr>
  </w:style>
  <w:style w:type="paragraph" w:styleId="8">
    <w:name w:val="heading 6"/>
    <w:basedOn w:val="1"/>
    <w:next w:val="1"/>
    <w:link w:val="31"/>
    <w:qFormat/>
    <w:uiPriority w:val="0"/>
    <w:pPr>
      <w:numPr>
        <w:ilvl w:val="5"/>
        <w:numId w:val="1"/>
      </w:numPr>
      <w:spacing w:line="300" w:lineRule="auto"/>
      <w:outlineLvl w:val="5"/>
    </w:pPr>
    <w:rPr>
      <w:rFonts w:ascii="Arial" w:hAnsi="Arial" w:eastAsia="仿宋_GB2312"/>
      <w:sz w:val="24"/>
      <w:szCs w:val="20"/>
      <w:lang w:val="zh-CN"/>
    </w:rPr>
  </w:style>
  <w:style w:type="paragraph" w:styleId="9">
    <w:name w:val="heading 7"/>
    <w:basedOn w:val="1"/>
    <w:next w:val="10"/>
    <w:link w:val="32"/>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7"/>
    <w:semiHidden/>
    <w:unhideWhenUsed/>
    <w:qFormat/>
    <w:uiPriority w:val="99"/>
    <w:rPr>
      <w:sz w:val="18"/>
      <w:szCs w:val="18"/>
    </w:rPr>
  </w:style>
  <w:style w:type="paragraph" w:styleId="10">
    <w:name w:val="Normal Indent"/>
    <w:basedOn w:val="1"/>
    <w:link w:val="35"/>
    <w:qFormat/>
    <w:uiPriority w:val="99"/>
    <w:pPr>
      <w:ind w:firstLine="420" w:firstLineChars="200"/>
    </w:pPr>
    <w:rPr>
      <w:rFonts w:ascii="Calibri" w:hAnsi="Calibri"/>
    </w:rPr>
  </w:style>
  <w:style w:type="paragraph" w:styleId="11">
    <w:name w:val="annotation text"/>
    <w:basedOn w:val="1"/>
    <w:link w:val="38"/>
    <w:semiHidden/>
    <w:unhideWhenUsed/>
    <w:qFormat/>
    <w:uiPriority w:val="99"/>
    <w:pPr>
      <w:jc w:val="left"/>
    </w:pPr>
  </w:style>
  <w:style w:type="paragraph" w:styleId="12">
    <w:name w:val="Body Text Indent"/>
    <w:basedOn w:val="1"/>
    <w:link w:val="34"/>
    <w:qFormat/>
    <w:uiPriority w:val="0"/>
    <w:pPr>
      <w:spacing w:line="360" w:lineRule="auto"/>
      <w:ind w:firstLine="359" w:firstLineChars="171"/>
    </w:pPr>
    <w:rPr>
      <w:lang w:val="zh-CN"/>
    </w:rPr>
  </w:style>
  <w:style w:type="paragraph" w:styleId="13">
    <w:name w:val="Body Text Indent 2"/>
    <w:basedOn w:val="1"/>
    <w:link w:val="33"/>
    <w:qFormat/>
    <w:uiPriority w:val="0"/>
    <w:pPr>
      <w:spacing w:line="360" w:lineRule="auto"/>
      <w:ind w:firstLine="480"/>
      <w:outlineLvl w:val="0"/>
    </w:pPr>
    <w:rPr>
      <w:rFonts w:ascii="仿宋_GB2312" w:hAnsi="Calibri" w:eastAsia="仿宋_GB2312"/>
      <w:sz w:val="24"/>
      <w:szCs w:val="20"/>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39"/>
    <w:semiHidden/>
    <w:unhideWhenUsed/>
    <w:qFormat/>
    <w:uiPriority w:val="99"/>
    <w:rPr>
      <w:b/>
      <w:bCs/>
    </w:r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页眉 字符"/>
    <w:basedOn w:val="21"/>
    <w:link w:val="15"/>
    <w:qFormat/>
    <w:uiPriority w:val="99"/>
    <w:rPr>
      <w:sz w:val="18"/>
      <w:szCs w:val="18"/>
    </w:rPr>
  </w:style>
  <w:style w:type="character" w:customStyle="1" w:styleId="25">
    <w:name w:val="页脚 字符"/>
    <w:basedOn w:val="21"/>
    <w:link w:val="14"/>
    <w:qFormat/>
    <w:uiPriority w:val="99"/>
    <w:rPr>
      <w:sz w:val="18"/>
      <w:szCs w:val="18"/>
    </w:rPr>
  </w:style>
  <w:style w:type="character" w:customStyle="1" w:styleId="26">
    <w:name w:val="标题 1 字符"/>
    <w:basedOn w:val="21"/>
    <w:link w:val="3"/>
    <w:qFormat/>
    <w:uiPriority w:val="0"/>
    <w:rPr>
      <w:rFonts w:ascii="黑体" w:hAnsi="Times New Roman" w:eastAsia="黑体" w:cs="Times New Roman"/>
      <w:b/>
      <w:kern w:val="44"/>
      <w:sz w:val="32"/>
      <w:szCs w:val="20"/>
      <w:lang w:val="zh-CN" w:eastAsia="zh-CN"/>
    </w:rPr>
  </w:style>
  <w:style w:type="character" w:customStyle="1" w:styleId="27">
    <w:name w:val="标题 2 字符"/>
    <w:basedOn w:val="21"/>
    <w:link w:val="4"/>
    <w:qFormat/>
    <w:uiPriority w:val="0"/>
    <w:rPr>
      <w:rFonts w:ascii="Arial" w:hAnsi="Arial" w:eastAsia="黑体" w:cs="Times New Roman"/>
      <w:b/>
      <w:bCs/>
      <w:sz w:val="32"/>
      <w:szCs w:val="32"/>
    </w:rPr>
  </w:style>
  <w:style w:type="character" w:customStyle="1" w:styleId="28">
    <w:name w:val="标题 3 字符"/>
    <w:basedOn w:val="21"/>
    <w:link w:val="5"/>
    <w:qFormat/>
    <w:uiPriority w:val="0"/>
    <w:rPr>
      <w:rFonts w:ascii="Arial" w:hAnsi="Arial" w:eastAsia="仿宋_GB2312" w:cs="Times New Roman"/>
      <w:b/>
      <w:sz w:val="24"/>
      <w:szCs w:val="20"/>
      <w:lang w:val="zh-CN" w:eastAsia="zh-CN"/>
    </w:rPr>
  </w:style>
  <w:style w:type="character" w:customStyle="1" w:styleId="29">
    <w:name w:val="标题 4 字符"/>
    <w:basedOn w:val="21"/>
    <w:link w:val="6"/>
    <w:qFormat/>
    <w:uiPriority w:val="0"/>
    <w:rPr>
      <w:rFonts w:ascii="Arial" w:hAnsi="Arial" w:eastAsia="仿宋_GB2312" w:cs="Times New Roman"/>
      <w:sz w:val="24"/>
      <w:szCs w:val="20"/>
      <w:lang w:val="zh-CN" w:eastAsia="zh-CN"/>
    </w:rPr>
  </w:style>
  <w:style w:type="character" w:customStyle="1" w:styleId="30">
    <w:name w:val="标题 5 字符"/>
    <w:basedOn w:val="21"/>
    <w:link w:val="7"/>
    <w:qFormat/>
    <w:uiPriority w:val="0"/>
    <w:rPr>
      <w:rFonts w:ascii="Arial" w:hAnsi="Arial" w:eastAsia="仿宋_GB2312" w:cs="Times New Roman"/>
      <w:sz w:val="24"/>
      <w:szCs w:val="20"/>
      <w:lang w:val="zh-CN" w:eastAsia="zh-CN"/>
    </w:rPr>
  </w:style>
  <w:style w:type="character" w:customStyle="1" w:styleId="31">
    <w:name w:val="标题 6 字符"/>
    <w:basedOn w:val="21"/>
    <w:link w:val="8"/>
    <w:qFormat/>
    <w:uiPriority w:val="0"/>
    <w:rPr>
      <w:rFonts w:ascii="Arial" w:hAnsi="Arial" w:eastAsia="仿宋_GB2312" w:cs="Times New Roman"/>
      <w:sz w:val="24"/>
      <w:szCs w:val="20"/>
      <w:lang w:val="zh-CN" w:eastAsia="zh-CN"/>
    </w:rPr>
  </w:style>
  <w:style w:type="character" w:customStyle="1" w:styleId="32">
    <w:name w:val="标题 7 字符"/>
    <w:basedOn w:val="21"/>
    <w:link w:val="9"/>
    <w:qFormat/>
    <w:uiPriority w:val="0"/>
    <w:rPr>
      <w:rFonts w:ascii="仿宋_GB2312" w:hAnsi="Times New Roman" w:eastAsia="仿宋_GB2312" w:cs="Times New Roman"/>
      <w:sz w:val="24"/>
      <w:szCs w:val="20"/>
      <w:lang w:val="zh-CN" w:eastAsia="zh-CN"/>
    </w:rPr>
  </w:style>
  <w:style w:type="character" w:customStyle="1" w:styleId="33">
    <w:name w:val="正文文本缩进 2 字符"/>
    <w:basedOn w:val="21"/>
    <w:link w:val="13"/>
    <w:qFormat/>
    <w:uiPriority w:val="0"/>
    <w:rPr>
      <w:rFonts w:ascii="仿宋_GB2312" w:hAnsi="Calibri" w:eastAsia="仿宋_GB2312" w:cs="Times New Roman"/>
      <w:sz w:val="24"/>
      <w:szCs w:val="20"/>
    </w:rPr>
  </w:style>
  <w:style w:type="character" w:customStyle="1" w:styleId="34">
    <w:name w:val="正文文本缩进 字符"/>
    <w:basedOn w:val="21"/>
    <w:link w:val="12"/>
    <w:qFormat/>
    <w:uiPriority w:val="0"/>
    <w:rPr>
      <w:rFonts w:ascii="Times New Roman" w:hAnsi="Times New Roman" w:eastAsia="宋体" w:cs="Times New Roman"/>
      <w:szCs w:val="24"/>
      <w:lang w:val="zh-CN" w:eastAsia="zh-CN"/>
    </w:rPr>
  </w:style>
  <w:style w:type="character" w:customStyle="1" w:styleId="35">
    <w:name w:val="正文缩进 字符"/>
    <w:link w:val="10"/>
    <w:qFormat/>
    <w:uiPriority w:val="99"/>
    <w:rPr>
      <w:rFonts w:ascii="Calibri" w:hAnsi="Calibri" w:eastAsia="宋体" w:cs="Times New Roman"/>
      <w:szCs w:val="24"/>
    </w:rPr>
  </w:style>
  <w:style w:type="paragraph" w:customStyle="1" w:styleId="36">
    <w:name w:val="正文正文"/>
    <w:basedOn w:val="1"/>
    <w:qFormat/>
    <w:uiPriority w:val="99"/>
    <w:pPr>
      <w:spacing w:after="25" w:afterLines="25" w:line="360" w:lineRule="auto"/>
      <w:ind w:firstLine="200" w:firstLineChars="200"/>
    </w:pPr>
    <w:rPr>
      <w:sz w:val="24"/>
    </w:rPr>
  </w:style>
  <w:style w:type="character" w:customStyle="1" w:styleId="37">
    <w:name w:val="批注框文本 字符"/>
    <w:basedOn w:val="21"/>
    <w:link w:val="2"/>
    <w:semiHidden/>
    <w:qFormat/>
    <w:uiPriority w:val="99"/>
    <w:rPr>
      <w:rFonts w:ascii="Times New Roman" w:hAnsi="Times New Roman" w:eastAsia="宋体" w:cs="Times New Roman"/>
      <w:sz w:val="18"/>
      <w:szCs w:val="18"/>
    </w:rPr>
  </w:style>
  <w:style w:type="character" w:customStyle="1" w:styleId="38">
    <w:name w:val="批注文字 字符"/>
    <w:basedOn w:val="21"/>
    <w:link w:val="11"/>
    <w:semiHidden/>
    <w:qFormat/>
    <w:uiPriority w:val="99"/>
    <w:rPr>
      <w:rFonts w:ascii="Times New Roman" w:hAnsi="Times New Roman" w:eastAsia="宋体" w:cs="Times New Roman"/>
      <w:szCs w:val="24"/>
    </w:rPr>
  </w:style>
  <w:style w:type="character" w:customStyle="1" w:styleId="39">
    <w:name w:val="批注主题 字符"/>
    <w:basedOn w:val="38"/>
    <w:link w:val="19"/>
    <w:semiHidden/>
    <w:qFormat/>
    <w:uiPriority w:val="99"/>
    <w:rPr>
      <w:rFonts w:ascii="Times New Roman" w:hAnsi="Times New Roman" w:eastAsia="宋体" w:cs="Times New Roman"/>
      <w:b/>
      <w:bCs/>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EE4-661F-471F-9485-ECA3FBAF7C47}">
  <ds:schemaRefs/>
</ds:datastoreItem>
</file>

<file path=customXml/itemProps2.xml><?xml version="1.0" encoding="utf-8"?>
<ds:datastoreItem xmlns:ds="http://schemas.openxmlformats.org/officeDocument/2006/customXml" ds:itemID="{E87D0168-16D8-4DAF-9108-2B5D74F65D52}">
  <ds:schemaRefs/>
</ds:datastoreItem>
</file>

<file path=customXml/itemProps3.xml><?xml version="1.0" encoding="utf-8"?>
<ds:datastoreItem xmlns:ds="http://schemas.openxmlformats.org/officeDocument/2006/customXml" ds:itemID="{15F5742A-0804-4EE7-82C3-FFA26765DCAB}">
  <ds:schemaRefs/>
</ds:datastoreItem>
</file>

<file path=customXml/itemProps4.xml><?xml version="1.0" encoding="utf-8"?>
<ds:datastoreItem xmlns:ds="http://schemas.openxmlformats.org/officeDocument/2006/customXml" ds:itemID="{147A3315-BA27-4288-B2D7-02C7D091DCE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39</Pages>
  <Words>5791</Words>
  <Characters>33011</Characters>
  <Lines>275</Lines>
  <Paragraphs>77</Paragraphs>
  <TotalTime>3</TotalTime>
  <ScaleCrop>false</ScaleCrop>
  <LinksUpToDate>false</LinksUpToDate>
  <CharactersWithSpaces>38725</CharactersWithSpaces>
  <Application>WPS Office_12.8.2.19795_F1E327BC-269C-435d-A152-05C5408002CA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2023-10-11T05:21:00Z</dcterms:created>
  <dc:creator>Administrator</dc:creator>
  <cp:lastModifiedBy>fuxj</cp:lastModifiedBy>
  <cp:lastPrinted>2025-03-14T07:45:00Z</cp:lastPrinted>
  <dcterms:modified xsi:type="dcterms:W3CDTF">2025-07-29T07:31:15Z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2052-12.8.2.19795</vt:lpwstr>
  </property>
  <property fmtid="{D5CDD505-2E9C-101B-9397-08002B2CF9AE}" pid="4" name="ICV">
    <vt:lpwstr>ED9730A05A3545E0B7C9E4BC0CC24A75</vt:lpwstr>
  </property>
  <property fmtid="{D5CDD505-2E9C-101B-9397-08002B2CF9AE}" pid="5" name="KSOTemplateDocerSaveRecord">
    <vt:lpwstr>eyJoZGlkIjoiNjg0YjM5YjFkMzk3YzA2YjQ2YTBkNjU5MWY2ZDg2MGEiLCJ1c2VySWQiOiIyNTg0NzY1NjcifQ==</vt:lpwstr>
  </property>
</Properties>
</file>