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5F09E90">
      <w:pPr>
        <w:autoSpaceDE w:val="0"/>
        <w:autoSpaceDN w:val="0"/>
        <w:adjustRightInd w:val="0"/>
        <w:spacing w:line="360" w:lineRule="auto"/>
        <w:jc w:val="center"/>
        <w:rPr>
          <w:rFonts w:ascii="宋体" w:hAnsi="宋体" w:eastAsia="宋体" w:cs="宋体"/>
          <w:kern w:val="0"/>
          <w:sz w:val="24"/>
          <w:szCs w:val="24"/>
        </w:rPr>
      </w:pPr>
    </w:p>
    <w:p w14:paraId="1C77A538">
      <w:pPr>
        <w:jc w:val="center"/>
        <w:rPr>
          <w:rFonts w:ascii="宋体" w:hAnsi="宋体" w:eastAsia="宋体" w:cs="宋体"/>
          <w:b/>
          <w:sz w:val="44"/>
          <w:szCs w:val="20"/>
        </w:rPr>
      </w:pPr>
    </w:p>
    <w:p w14:paraId="7BBEECC9">
      <w:pPr>
        <w:ind w:firstLine="200"/>
        <w:jc w:val="center"/>
        <w:rPr>
          <w:rFonts w:ascii="宋体" w:hAnsi="宋体" w:eastAsia="宋体" w:cs="宋体"/>
          <w:b/>
          <w:sz w:val="44"/>
          <w:szCs w:val="20"/>
        </w:rPr>
      </w:pPr>
    </w:p>
    <w:p w14:paraId="76FFC8C2">
      <w:pPr>
        <w:ind w:firstLine="200"/>
        <w:jc w:val="center"/>
        <w:rPr>
          <w:rFonts w:ascii="宋体" w:hAnsi="宋体" w:eastAsia="宋体" w:cs="宋体"/>
          <w:b/>
          <w:sz w:val="44"/>
          <w:szCs w:val="20"/>
        </w:rPr>
      </w:pPr>
    </w:p>
    <w:p w14:paraId="1E7238FE">
      <w:pPr>
        <w:ind w:firstLine="200"/>
        <w:jc w:val="center"/>
        <w:rPr>
          <w:rFonts w:ascii="宋体" w:hAnsi="宋体" w:eastAsia="宋体" w:cs="宋体"/>
          <w:b/>
          <w:sz w:val="44"/>
          <w:szCs w:val="20"/>
        </w:rPr>
      </w:pPr>
    </w:p>
    <w:p w14:paraId="745779C7">
      <w:pPr>
        <w:spacing w:line="600" w:lineRule="auto"/>
        <w:ind w:firstLine="200"/>
        <w:jc w:val="center"/>
        <w:rPr>
          <w:rFonts w:ascii="宋体" w:hAnsi="宋体" w:eastAsia="宋体" w:cs="宋体"/>
          <w:b/>
          <w:sz w:val="48"/>
          <w:szCs w:val="48"/>
        </w:rPr>
      </w:pPr>
      <w:r>
        <w:rPr>
          <w:rFonts w:hint="eastAsia" w:ascii="宋体" w:hAnsi="宋体" w:eastAsia="宋体" w:cs="宋体"/>
          <w:b/>
          <w:sz w:val="48"/>
          <w:szCs w:val="48"/>
        </w:rPr>
        <w:t>博时中证800指数增强型证券投资基金基金合同</w:t>
      </w:r>
    </w:p>
    <w:p w14:paraId="1F8A18B9">
      <w:pPr>
        <w:ind w:firstLine="200"/>
        <w:jc w:val="center"/>
        <w:rPr>
          <w:rFonts w:ascii="宋体" w:hAnsi="宋体" w:eastAsia="宋体" w:cs="宋体"/>
          <w:b/>
          <w:sz w:val="44"/>
          <w:szCs w:val="20"/>
        </w:rPr>
      </w:pPr>
    </w:p>
    <w:p w14:paraId="5C12E360">
      <w:pPr>
        <w:ind w:firstLine="200"/>
        <w:jc w:val="center"/>
        <w:rPr>
          <w:rFonts w:ascii="宋体" w:hAnsi="宋体" w:eastAsia="宋体" w:cs="宋体"/>
          <w:b/>
          <w:sz w:val="44"/>
          <w:szCs w:val="20"/>
        </w:rPr>
      </w:pPr>
    </w:p>
    <w:p w14:paraId="28F3BD99">
      <w:pPr>
        <w:ind w:firstLine="200"/>
        <w:jc w:val="center"/>
        <w:rPr>
          <w:rFonts w:ascii="宋体" w:hAnsi="宋体" w:eastAsia="宋体" w:cs="宋体"/>
          <w:b/>
          <w:sz w:val="44"/>
          <w:szCs w:val="20"/>
        </w:rPr>
      </w:pPr>
    </w:p>
    <w:p w14:paraId="68CF683B">
      <w:pPr>
        <w:ind w:firstLine="200"/>
        <w:jc w:val="center"/>
        <w:rPr>
          <w:rFonts w:ascii="宋体" w:hAnsi="宋体" w:eastAsia="宋体" w:cs="宋体"/>
          <w:b/>
          <w:sz w:val="44"/>
          <w:szCs w:val="20"/>
        </w:rPr>
      </w:pPr>
    </w:p>
    <w:p w14:paraId="4E8E89D2">
      <w:pPr>
        <w:ind w:firstLine="200"/>
        <w:jc w:val="center"/>
        <w:rPr>
          <w:rFonts w:ascii="宋体" w:hAnsi="宋体" w:eastAsia="宋体" w:cs="宋体"/>
          <w:b/>
          <w:sz w:val="44"/>
          <w:szCs w:val="20"/>
        </w:rPr>
      </w:pPr>
    </w:p>
    <w:p w14:paraId="46A44E75">
      <w:pPr>
        <w:ind w:firstLine="200"/>
        <w:jc w:val="center"/>
        <w:rPr>
          <w:rFonts w:ascii="宋体" w:hAnsi="宋体" w:eastAsia="宋体" w:cs="宋体"/>
          <w:b/>
          <w:sz w:val="44"/>
          <w:szCs w:val="20"/>
        </w:rPr>
      </w:pPr>
    </w:p>
    <w:p w14:paraId="205C15F6">
      <w:pPr>
        <w:ind w:firstLine="200"/>
        <w:jc w:val="center"/>
        <w:rPr>
          <w:rFonts w:ascii="宋体" w:hAnsi="宋体" w:eastAsia="宋体" w:cs="宋体"/>
          <w:b/>
          <w:sz w:val="44"/>
          <w:szCs w:val="20"/>
        </w:rPr>
      </w:pPr>
    </w:p>
    <w:p w14:paraId="271F74E5">
      <w:pPr>
        <w:ind w:firstLine="1084" w:firstLineChars="300"/>
        <w:rPr>
          <w:rFonts w:ascii="宋体" w:hAnsi="宋体" w:eastAsia="宋体" w:cs="宋体"/>
          <w:b/>
          <w:sz w:val="36"/>
          <w:szCs w:val="36"/>
        </w:rPr>
      </w:pPr>
      <w:r>
        <w:rPr>
          <w:rFonts w:hint="eastAsia" w:ascii="宋体" w:hAnsi="宋体" w:eastAsia="宋体" w:cs="宋体"/>
          <w:b/>
          <w:sz w:val="36"/>
          <w:szCs w:val="36"/>
        </w:rPr>
        <w:t>基金管理人：博时基金管理有限公司</w:t>
      </w:r>
    </w:p>
    <w:p w14:paraId="0B84B8EF">
      <w:pPr>
        <w:ind w:firstLine="1084" w:firstLineChars="300"/>
        <w:rPr>
          <w:rFonts w:ascii="宋体" w:hAnsi="宋体" w:eastAsia="宋体" w:cs="宋体"/>
          <w:b/>
          <w:sz w:val="36"/>
          <w:szCs w:val="36"/>
        </w:rPr>
      </w:pPr>
      <w:r>
        <w:rPr>
          <w:rFonts w:hint="eastAsia" w:ascii="宋体" w:hAnsi="宋体" w:eastAsia="宋体" w:cs="宋体"/>
          <w:b/>
          <w:sz w:val="36"/>
          <w:szCs w:val="36"/>
        </w:rPr>
        <w:t>基金托管人：上海浦东发展银行股份有限公司</w:t>
      </w:r>
    </w:p>
    <w:p w14:paraId="07270880">
      <w:pPr>
        <w:jc w:val="center"/>
        <w:rPr>
          <w:rFonts w:ascii="宋体" w:hAnsi="宋体" w:eastAsia="宋体" w:cs="宋体"/>
          <w:b/>
          <w:sz w:val="36"/>
          <w:szCs w:val="36"/>
        </w:rPr>
      </w:pPr>
    </w:p>
    <w:p w14:paraId="17E2B8BE">
      <w:pPr>
        <w:jc w:val="center"/>
        <w:rPr>
          <w:rFonts w:ascii="宋体" w:hAnsi="宋体" w:eastAsia="宋体" w:cs="宋体"/>
          <w:b/>
          <w:sz w:val="36"/>
          <w:szCs w:val="36"/>
        </w:rPr>
      </w:pPr>
    </w:p>
    <w:p w14:paraId="76E8D57B">
      <w:pPr>
        <w:jc w:val="center"/>
        <w:rPr>
          <w:rFonts w:ascii="宋体" w:hAnsi="宋体" w:eastAsia="宋体" w:cs="宋体"/>
          <w:b/>
          <w:sz w:val="36"/>
          <w:szCs w:val="36"/>
        </w:rPr>
      </w:pPr>
    </w:p>
    <w:p w14:paraId="447BD7E8">
      <w:pPr>
        <w:jc w:val="center"/>
        <w:rPr>
          <w:rFonts w:ascii="宋体" w:hAnsi="宋体" w:eastAsia="宋体" w:cs="宋体"/>
          <w:b/>
          <w:sz w:val="36"/>
          <w:szCs w:val="36"/>
        </w:rPr>
      </w:pPr>
    </w:p>
    <w:p w14:paraId="49B6793D">
      <w:pPr>
        <w:jc w:val="center"/>
        <w:rPr>
          <w:rFonts w:ascii="宋体" w:hAnsi="宋体" w:eastAsia="宋体" w:cs="宋体"/>
          <w:b/>
          <w:kern w:val="0"/>
          <w:sz w:val="36"/>
          <w:szCs w:val="36"/>
        </w:rPr>
      </w:pPr>
    </w:p>
    <w:p w14:paraId="0263F95E">
      <w:pPr>
        <w:jc w:val="center"/>
        <w:rPr>
          <w:rFonts w:ascii="宋体" w:hAnsi="宋体" w:eastAsia="宋体" w:cs="宋体"/>
          <w:b/>
          <w:sz w:val="36"/>
          <w:szCs w:val="36"/>
        </w:rPr>
      </w:pPr>
    </w:p>
    <w:p w14:paraId="46CBB3F5">
      <w:pPr>
        <w:autoSpaceDE w:val="0"/>
        <w:autoSpaceDN w:val="0"/>
        <w:adjustRightInd w:val="0"/>
        <w:spacing w:line="360" w:lineRule="auto"/>
        <w:ind w:firstLine="480" w:firstLineChars="200"/>
        <w:jc w:val="left"/>
        <w:rPr>
          <w:rFonts w:ascii="宋体" w:hAnsi="宋体" w:eastAsia="宋体" w:cs="宋体"/>
          <w:kern w:val="0"/>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hint="eastAsia" w:ascii="宋体" w:hAnsi="宋体" w:eastAsia="宋体" w:cs="宋体"/>
          <w:b w:val="0"/>
          <w:bCs w:val="0"/>
          <w:color w:val="auto"/>
          <w:kern w:val="2"/>
          <w:sz w:val="21"/>
          <w:szCs w:val="22"/>
          <w:lang w:val="zh-CN"/>
        </w:rPr>
        <w:id w:val="1012728692"/>
      </w:sdtPr>
      <w:sdtEndPr>
        <w:rPr>
          <w:rFonts w:hint="eastAsia" w:ascii="宋体" w:hAnsi="宋体" w:eastAsia="宋体" w:cs="宋体"/>
          <w:b w:val="0"/>
          <w:bCs w:val="0"/>
          <w:color w:val="auto"/>
          <w:kern w:val="2"/>
          <w:sz w:val="21"/>
          <w:szCs w:val="22"/>
          <w:lang w:val="zh-CN"/>
        </w:rPr>
      </w:sdtEndPr>
      <w:sdtContent>
        <w:p w14:paraId="6A8ED3CB">
          <w:pPr>
            <w:pStyle w:val="33"/>
            <w:tabs>
              <w:tab w:val="center" w:pos="4153"/>
              <w:tab w:val="left" w:pos="6684"/>
            </w:tabs>
            <w:rPr>
              <w:rFonts w:ascii="宋体" w:hAnsi="宋体" w:eastAsia="宋体" w:cs="宋体"/>
            </w:rPr>
          </w:pPr>
          <w:r>
            <w:rPr>
              <w:rFonts w:hint="eastAsia" w:ascii="宋体" w:hAnsi="宋体" w:eastAsia="宋体" w:cs="宋体"/>
              <w:b w:val="0"/>
              <w:bCs w:val="0"/>
              <w:color w:val="auto"/>
              <w:kern w:val="2"/>
              <w:sz w:val="21"/>
              <w:szCs w:val="22"/>
              <w:lang w:val="zh-CN"/>
            </w:rPr>
            <w:tab/>
          </w:r>
          <w:r>
            <w:rPr>
              <w:rFonts w:hint="eastAsia" w:ascii="宋体" w:hAnsi="宋体" w:eastAsia="宋体" w:cs="宋体"/>
              <w:lang w:val="zh-CN"/>
            </w:rPr>
            <w:t>目录</w:t>
          </w:r>
          <w:r>
            <w:rPr>
              <w:rFonts w:hint="eastAsia" w:ascii="宋体" w:hAnsi="宋体" w:eastAsia="宋体" w:cs="宋体"/>
              <w:lang w:val="zh-CN"/>
            </w:rPr>
            <w:tab/>
          </w:r>
        </w:p>
        <w:p w14:paraId="744AE1C4">
          <w:pPr>
            <w:pStyle w:val="11"/>
            <w:rPr>
              <w:rFonts w:ascii="宋体" w:hAnsi="宋体" w:cs="宋体"/>
              <w:kern w:val="2"/>
              <w:sz w:val="21"/>
              <w:lang w:val="en-US"/>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"_Toc111811339" </w:instrText>
          </w:r>
          <w:r>
            <w:fldChar w:fldCharType="separate"/>
          </w:r>
          <w:r>
            <w:rPr>
              <w:rStyle w:val="19"/>
              <w:rFonts w:hint="eastAsia" w:ascii="宋体" w:hAnsi="宋体" w:cs="宋体"/>
            </w:rPr>
            <w:t>第一部分 前言</w:t>
          </w:r>
          <w:r>
            <w:rPr>
              <w:rFonts w:hint="eastAsia" w:ascii="宋体" w:hAnsi="宋体" w:cs="宋体"/>
            </w:rPr>
            <w:tab/>
          </w:r>
          <w:r>
            <w:rPr>
              <w:rFonts w:hint="eastAsia" w:ascii="宋体" w:hAnsi="宋体" w:cs="宋体"/>
            </w:rPr>
            <w:t>1-</w:t>
          </w:r>
          <w:r>
            <w:rPr>
              <w:rFonts w:hint="eastAsia" w:ascii="宋体" w:hAnsi="宋体" w:cs="宋体"/>
            </w:rPr>
            <w:fldChar w:fldCharType="begin"/>
          </w:r>
          <w:r>
            <w:rPr>
              <w:rFonts w:hint="eastAsia" w:ascii="宋体" w:hAnsi="宋体" w:cs="宋体"/>
            </w:rPr>
            <w:instrText xml:space="preserve"> PAGEREF _Toc111811339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61B8FC91">
          <w:pPr>
            <w:pStyle w:val="11"/>
            <w:rPr>
              <w:rFonts w:ascii="宋体" w:hAnsi="宋体" w:cs="宋体"/>
              <w:kern w:val="2"/>
              <w:sz w:val="21"/>
              <w:lang w:val="en-US"/>
            </w:rPr>
          </w:pPr>
          <w:r>
            <w:fldChar w:fldCharType="begin"/>
          </w:r>
          <w:r>
            <w:instrText xml:space="preserve"> HYPERLINK \l "_Toc111811340" </w:instrText>
          </w:r>
          <w:r>
            <w:fldChar w:fldCharType="separate"/>
          </w:r>
          <w:r>
            <w:rPr>
              <w:rStyle w:val="19"/>
              <w:rFonts w:hint="eastAsia" w:ascii="宋体" w:hAnsi="宋体" w:cs="宋体"/>
            </w:rPr>
            <w:t>第二部分 释义</w:t>
          </w:r>
          <w:r>
            <w:rPr>
              <w:rFonts w:hint="eastAsia" w:ascii="宋体" w:hAnsi="宋体" w:cs="宋体"/>
            </w:rPr>
            <w:tab/>
          </w:r>
          <w:r>
            <w:rPr>
              <w:rFonts w:hint="eastAsia" w:ascii="宋体" w:hAnsi="宋体" w:cs="宋体"/>
            </w:rPr>
            <w:t>2-</w:t>
          </w:r>
          <w:r>
            <w:rPr>
              <w:rFonts w:hint="eastAsia" w:ascii="宋体" w:hAnsi="宋体" w:cs="宋体"/>
            </w:rPr>
            <w:fldChar w:fldCharType="begin"/>
          </w:r>
          <w:r>
            <w:rPr>
              <w:rFonts w:hint="eastAsia" w:ascii="宋体" w:hAnsi="宋体" w:cs="宋体"/>
            </w:rPr>
            <w:instrText xml:space="preserve"> PAGEREF _Toc111811340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67C71197">
          <w:pPr>
            <w:pStyle w:val="11"/>
            <w:rPr>
              <w:rFonts w:ascii="宋体" w:hAnsi="宋体" w:cs="宋体"/>
              <w:kern w:val="2"/>
              <w:sz w:val="21"/>
              <w:lang w:val="en-US"/>
            </w:rPr>
          </w:pPr>
          <w:r>
            <w:fldChar w:fldCharType="begin"/>
          </w:r>
          <w:r>
            <w:instrText xml:space="preserve"> HYPERLINK \l "_Toc111811341" </w:instrText>
          </w:r>
          <w:r>
            <w:fldChar w:fldCharType="separate"/>
          </w:r>
          <w:r>
            <w:rPr>
              <w:rStyle w:val="19"/>
              <w:rFonts w:hint="eastAsia" w:ascii="宋体" w:hAnsi="宋体" w:cs="宋体"/>
            </w:rPr>
            <w:t>第三部分 基金的基本情况</w:t>
          </w:r>
          <w:r>
            <w:rPr>
              <w:rFonts w:hint="eastAsia" w:ascii="宋体" w:hAnsi="宋体" w:cs="宋体"/>
            </w:rPr>
            <w:tab/>
          </w:r>
          <w:r>
            <w:rPr>
              <w:rFonts w:hint="eastAsia" w:ascii="宋体" w:hAnsi="宋体" w:cs="宋体"/>
            </w:rPr>
            <w:t>3-</w:t>
          </w:r>
          <w:r>
            <w:rPr>
              <w:rFonts w:hint="eastAsia" w:ascii="宋体" w:hAnsi="宋体" w:cs="宋体"/>
            </w:rPr>
            <w:fldChar w:fldCharType="begin"/>
          </w:r>
          <w:r>
            <w:rPr>
              <w:rFonts w:hint="eastAsia" w:ascii="宋体" w:hAnsi="宋体" w:cs="宋体"/>
            </w:rPr>
            <w:instrText xml:space="preserve"> PAGEREF _Toc111811341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3F1FA09F">
          <w:pPr>
            <w:pStyle w:val="11"/>
            <w:rPr>
              <w:rFonts w:ascii="宋体" w:hAnsi="宋体" w:cs="宋体"/>
              <w:kern w:val="2"/>
              <w:sz w:val="21"/>
              <w:lang w:val="en-US"/>
            </w:rPr>
          </w:pPr>
          <w:r>
            <w:fldChar w:fldCharType="begin"/>
          </w:r>
          <w:r>
            <w:instrText xml:space="preserve"> HYPERLINK \l "_Toc111811342" </w:instrText>
          </w:r>
          <w:r>
            <w:fldChar w:fldCharType="separate"/>
          </w:r>
          <w:r>
            <w:rPr>
              <w:rStyle w:val="19"/>
              <w:rFonts w:hint="eastAsia" w:ascii="宋体" w:hAnsi="宋体" w:cs="宋体"/>
            </w:rPr>
            <w:t>第四部分 基金份额的发售</w:t>
          </w:r>
          <w:r>
            <w:rPr>
              <w:rFonts w:hint="eastAsia" w:ascii="宋体" w:hAnsi="宋体" w:cs="宋体"/>
            </w:rPr>
            <w:tab/>
          </w:r>
          <w:r>
            <w:rPr>
              <w:rFonts w:hint="eastAsia" w:ascii="宋体" w:hAnsi="宋体" w:cs="宋体"/>
            </w:rPr>
            <w:t>4-</w:t>
          </w:r>
          <w:r>
            <w:rPr>
              <w:rFonts w:hint="eastAsia" w:ascii="宋体" w:hAnsi="宋体" w:cs="宋体"/>
            </w:rPr>
            <w:fldChar w:fldCharType="begin"/>
          </w:r>
          <w:r>
            <w:rPr>
              <w:rFonts w:hint="eastAsia" w:ascii="宋体" w:hAnsi="宋体" w:cs="宋体"/>
            </w:rPr>
            <w:instrText xml:space="preserve"> PAGEREF _Toc111811342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7F09A5E2">
          <w:pPr>
            <w:pStyle w:val="11"/>
            <w:rPr>
              <w:rFonts w:ascii="宋体" w:hAnsi="宋体" w:cs="宋体"/>
              <w:kern w:val="2"/>
              <w:sz w:val="21"/>
              <w:lang w:val="en-US"/>
            </w:rPr>
          </w:pPr>
          <w:r>
            <w:fldChar w:fldCharType="begin"/>
          </w:r>
          <w:r>
            <w:instrText xml:space="preserve"> HYPERLINK \l "_Toc111811343" </w:instrText>
          </w:r>
          <w:r>
            <w:fldChar w:fldCharType="separate"/>
          </w:r>
          <w:r>
            <w:rPr>
              <w:rStyle w:val="19"/>
              <w:rFonts w:hint="eastAsia" w:ascii="宋体" w:hAnsi="宋体" w:cs="宋体"/>
            </w:rPr>
            <w:t>第五部分 基金备案</w:t>
          </w:r>
          <w:r>
            <w:rPr>
              <w:rFonts w:hint="eastAsia" w:ascii="宋体" w:hAnsi="宋体" w:cs="宋体"/>
            </w:rPr>
            <w:tab/>
          </w:r>
          <w:r>
            <w:rPr>
              <w:rFonts w:hint="eastAsia" w:ascii="宋体" w:hAnsi="宋体" w:cs="宋体"/>
            </w:rPr>
            <w:t>5-</w:t>
          </w:r>
          <w:r>
            <w:rPr>
              <w:rFonts w:hint="eastAsia" w:ascii="宋体" w:hAnsi="宋体" w:cs="宋体"/>
            </w:rPr>
            <w:fldChar w:fldCharType="begin"/>
          </w:r>
          <w:r>
            <w:rPr>
              <w:rFonts w:hint="eastAsia" w:ascii="宋体" w:hAnsi="宋体" w:cs="宋体"/>
            </w:rPr>
            <w:instrText xml:space="preserve"> PAGEREF _Toc111811343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45CCDB10">
          <w:pPr>
            <w:pStyle w:val="11"/>
            <w:rPr>
              <w:rFonts w:ascii="宋体" w:hAnsi="宋体" w:cs="宋体"/>
              <w:kern w:val="2"/>
              <w:sz w:val="21"/>
              <w:lang w:val="en-US"/>
            </w:rPr>
          </w:pPr>
          <w:r>
            <w:fldChar w:fldCharType="begin"/>
          </w:r>
          <w:r>
            <w:instrText xml:space="preserve"> HYPERLINK \l "_Toc111811344" </w:instrText>
          </w:r>
          <w:r>
            <w:fldChar w:fldCharType="separate"/>
          </w:r>
          <w:r>
            <w:rPr>
              <w:rStyle w:val="19"/>
              <w:rFonts w:hint="eastAsia" w:ascii="宋体" w:hAnsi="宋体" w:cs="宋体"/>
            </w:rPr>
            <w:t>第六部分 基金份额的申购与赎回</w:t>
          </w:r>
          <w:r>
            <w:rPr>
              <w:rFonts w:hint="eastAsia" w:ascii="宋体" w:hAnsi="宋体" w:cs="宋体"/>
            </w:rPr>
            <w:tab/>
          </w:r>
          <w:r>
            <w:rPr>
              <w:rFonts w:hint="eastAsia" w:ascii="宋体" w:hAnsi="宋体" w:cs="宋体"/>
            </w:rPr>
            <w:t>6-</w:t>
          </w:r>
          <w:r>
            <w:rPr>
              <w:rFonts w:hint="eastAsia" w:ascii="宋体" w:hAnsi="宋体" w:cs="宋体"/>
            </w:rPr>
            <w:fldChar w:fldCharType="begin"/>
          </w:r>
          <w:r>
            <w:rPr>
              <w:rFonts w:hint="eastAsia" w:ascii="宋体" w:hAnsi="宋体" w:cs="宋体"/>
            </w:rPr>
            <w:instrText xml:space="preserve"> PAGEREF _Toc111811344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59190768">
          <w:pPr>
            <w:pStyle w:val="11"/>
            <w:rPr>
              <w:rFonts w:ascii="宋体" w:hAnsi="宋体" w:cs="宋体"/>
              <w:kern w:val="2"/>
              <w:sz w:val="21"/>
              <w:lang w:val="en-US"/>
            </w:rPr>
          </w:pPr>
          <w:r>
            <w:fldChar w:fldCharType="begin"/>
          </w:r>
          <w:r>
            <w:instrText xml:space="preserve"> HYPERLINK \l "_Toc111811345" </w:instrText>
          </w:r>
          <w:r>
            <w:fldChar w:fldCharType="separate"/>
          </w:r>
          <w:r>
            <w:rPr>
              <w:rStyle w:val="19"/>
              <w:rFonts w:hint="eastAsia" w:ascii="宋体" w:hAnsi="宋体" w:cs="宋体"/>
            </w:rPr>
            <w:t>第七部分 基金合同当事人及权利义务</w:t>
          </w:r>
          <w:r>
            <w:rPr>
              <w:rFonts w:hint="eastAsia" w:ascii="宋体" w:hAnsi="宋体" w:cs="宋体"/>
            </w:rPr>
            <w:tab/>
          </w:r>
          <w:r>
            <w:rPr>
              <w:rFonts w:hint="eastAsia" w:ascii="宋体" w:hAnsi="宋体" w:cs="宋体"/>
            </w:rPr>
            <w:t>7-</w:t>
          </w:r>
          <w:r>
            <w:rPr>
              <w:rFonts w:hint="eastAsia" w:ascii="宋体" w:hAnsi="宋体" w:cs="宋体"/>
            </w:rPr>
            <w:fldChar w:fldCharType="begin"/>
          </w:r>
          <w:r>
            <w:rPr>
              <w:rFonts w:hint="eastAsia" w:ascii="宋体" w:hAnsi="宋体" w:cs="宋体"/>
            </w:rPr>
            <w:instrText xml:space="preserve"> PAGEREF _Toc111811345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1429E4AC">
          <w:pPr>
            <w:pStyle w:val="11"/>
            <w:rPr>
              <w:rFonts w:ascii="宋体" w:hAnsi="宋体" w:cs="宋体"/>
              <w:kern w:val="2"/>
              <w:sz w:val="21"/>
              <w:lang w:val="en-US"/>
            </w:rPr>
          </w:pPr>
          <w:r>
            <w:fldChar w:fldCharType="begin"/>
          </w:r>
          <w:r>
            <w:instrText xml:space="preserve"> HYPERLINK \l "_Toc111811346" </w:instrText>
          </w:r>
          <w:r>
            <w:fldChar w:fldCharType="separate"/>
          </w:r>
          <w:r>
            <w:rPr>
              <w:rStyle w:val="19"/>
              <w:rFonts w:hint="eastAsia" w:ascii="宋体" w:hAnsi="宋体" w:cs="宋体"/>
            </w:rPr>
            <w:t>第八部分 基金份额持有人大会</w:t>
          </w:r>
          <w:r>
            <w:rPr>
              <w:rFonts w:hint="eastAsia" w:ascii="宋体" w:hAnsi="宋体" w:cs="宋体"/>
            </w:rPr>
            <w:tab/>
          </w:r>
          <w:r>
            <w:rPr>
              <w:rFonts w:hint="eastAsia" w:ascii="宋体" w:hAnsi="宋体" w:cs="宋体"/>
            </w:rPr>
            <w:t>8-</w:t>
          </w:r>
          <w:r>
            <w:rPr>
              <w:rFonts w:hint="eastAsia" w:ascii="宋体" w:hAnsi="宋体" w:cs="宋体"/>
            </w:rPr>
            <w:fldChar w:fldCharType="begin"/>
          </w:r>
          <w:r>
            <w:rPr>
              <w:rFonts w:hint="eastAsia" w:ascii="宋体" w:hAnsi="宋体" w:cs="宋体"/>
            </w:rPr>
            <w:instrText xml:space="preserve"> PAGEREF _Toc111811346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5D21EECE">
          <w:pPr>
            <w:pStyle w:val="11"/>
            <w:rPr>
              <w:rFonts w:ascii="宋体" w:hAnsi="宋体" w:cs="宋体"/>
              <w:kern w:val="2"/>
              <w:sz w:val="21"/>
              <w:lang w:val="en-US"/>
            </w:rPr>
          </w:pPr>
          <w:r>
            <w:fldChar w:fldCharType="begin"/>
          </w:r>
          <w:r>
            <w:instrText xml:space="preserve"> HYPERLINK \l "_Toc111811347" </w:instrText>
          </w:r>
          <w:r>
            <w:fldChar w:fldCharType="separate"/>
          </w:r>
          <w:r>
            <w:rPr>
              <w:rStyle w:val="19"/>
              <w:rFonts w:hint="eastAsia" w:ascii="宋体" w:hAnsi="宋体" w:cs="宋体"/>
            </w:rPr>
            <w:t>第九部分 基金管理人、基金托管人的更换条件和程序</w:t>
          </w:r>
          <w:r>
            <w:rPr>
              <w:rFonts w:hint="eastAsia" w:ascii="宋体" w:hAnsi="宋体" w:cs="宋体"/>
            </w:rPr>
            <w:tab/>
          </w:r>
          <w:r>
            <w:rPr>
              <w:rFonts w:hint="eastAsia" w:ascii="宋体" w:hAnsi="宋体" w:cs="宋体"/>
            </w:rPr>
            <w:t>9-</w:t>
          </w:r>
          <w:r>
            <w:rPr>
              <w:rFonts w:hint="eastAsia" w:ascii="宋体" w:hAnsi="宋体" w:cs="宋体"/>
            </w:rPr>
            <w:fldChar w:fldCharType="begin"/>
          </w:r>
          <w:r>
            <w:rPr>
              <w:rFonts w:hint="eastAsia" w:ascii="宋体" w:hAnsi="宋体" w:cs="宋体"/>
            </w:rPr>
            <w:instrText xml:space="preserve"> PAGEREF _Toc111811347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04DC59D5">
          <w:pPr>
            <w:pStyle w:val="11"/>
            <w:rPr>
              <w:rFonts w:ascii="宋体" w:hAnsi="宋体" w:cs="宋体"/>
              <w:kern w:val="2"/>
              <w:sz w:val="21"/>
              <w:lang w:val="en-US"/>
            </w:rPr>
          </w:pPr>
          <w:r>
            <w:fldChar w:fldCharType="begin"/>
          </w:r>
          <w:r>
            <w:instrText xml:space="preserve"> HYPERLINK \l "_Toc111811348" </w:instrText>
          </w:r>
          <w:r>
            <w:fldChar w:fldCharType="separate"/>
          </w:r>
          <w:r>
            <w:rPr>
              <w:rStyle w:val="19"/>
              <w:rFonts w:hint="eastAsia" w:ascii="宋体" w:hAnsi="宋体" w:cs="宋体"/>
            </w:rPr>
            <w:t>第十部分 基金的托管</w:t>
          </w:r>
          <w:r>
            <w:rPr>
              <w:rFonts w:hint="eastAsia" w:ascii="宋体" w:hAnsi="宋体" w:cs="宋体"/>
            </w:rPr>
            <w:tab/>
          </w:r>
          <w:r>
            <w:rPr>
              <w:rFonts w:hint="eastAsia" w:ascii="宋体" w:hAnsi="宋体" w:cs="宋体"/>
            </w:rPr>
            <w:t>10-</w:t>
          </w:r>
          <w:r>
            <w:rPr>
              <w:rFonts w:hint="eastAsia" w:ascii="宋体" w:hAnsi="宋体" w:cs="宋体"/>
            </w:rPr>
            <w:fldChar w:fldCharType="begin"/>
          </w:r>
          <w:r>
            <w:rPr>
              <w:rFonts w:hint="eastAsia" w:ascii="宋体" w:hAnsi="宋体" w:cs="宋体"/>
            </w:rPr>
            <w:instrText xml:space="preserve"> PAGEREF _Toc111811348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1545439A">
          <w:pPr>
            <w:pStyle w:val="11"/>
            <w:rPr>
              <w:rFonts w:ascii="宋体" w:hAnsi="宋体" w:cs="宋体"/>
              <w:kern w:val="2"/>
              <w:sz w:val="21"/>
              <w:lang w:val="en-US"/>
            </w:rPr>
          </w:pPr>
          <w:r>
            <w:fldChar w:fldCharType="begin"/>
          </w:r>
          <w:r>
            <w:instrText xml:space="preserve"> HYPERLINK \l "_Toc111811349" </w:instrText>
          </w:r>
          <w:r>
            <w:fldChar w:fldCharType="separate"/>
          </w:r>
          <w:r>
            <w:rPr>
              <w:rStyle w:val="19"/>
              <w:rFonts w:hint="eastAsia" w:ascii="宋体" w:hAnsi="宋体" w:cs="宋体"/>
            </w:rPr>
            <w:t>第十一部分 基金份额的登记</w:t>
          </w:r>
          <w:r>
            <w:rPr>
              <w:rFonts w:hint="eastAsia" w:ascii="宋体" w:hAnsi="宋体" w:cs="宋体"/>
            </w:rPr>
            <w:tab/>
          </w:r>
          <w:r>
            <w:rPr>
              <w:rFonts w:hint="eastAsia" w:ascii="宋体" w:hAnsi="宋体" w:cs="宋体"/>
            </w:rPr>
            <w:t>11-</w:t>
          </w:r>
          <w:r>
            <w:rPr>
              <w:rFonts w:hint="eastAsia" w:ascii="宋体" w:hAnsi="宋体" w:cs="宋体"/>
            </w:rPr>
            <w:fldChar w:fldCharType="begin"/>
          </w:r>
          <w:r>
            <w:rPr>
              <w:rFonts w:hint="eastAsia" w:ascii="宋体" w:hAnsi="宋体" w:cs="宋体"/>
            </w:rPr>
            <w:instrText xml:space="preserve"> PAGEREF _Toc111811349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3BD5BB53">
          <w:pPr>
            <w:pStyle w:val="11"/>
            <w:rPr>
              <w:rFonts w:ascii="宋体" w:hAnsi="宋体" w:cs="宋体"/>
              <w:kern w:val="2"/>
              <w:sz w:val="21"/>
              <w:lang w:val="en-US"/>
            </w:rPr>
          </w:pPr>
          <w:r>
            <w:fldChar w:fldCharType="begin"/>
          </w:r>
          <w:r>
            <w:instrText xml:space="preserve"> HYPERLINK \l "_Toc111811350" </w:instrText>
          </w:r>
          <w:r>
            <w:fldChar w:fldCharType="separate"/>
          </w:r>
          <w:r>
            <w:rPr>
              <w:rStyle w:val="19"/>
              <w:rFonts w:hint="eastAsia" w:ascii="宋体" w:hAnsi="宋体" w:cs="宋体"/>
            </w:rPr>
            <w:t>第十二部分 基金的投资</w:t>
          </w:r>
          <w:r>
            <w:rPr>
              <w:rFonts w:hint="eastAsia" w:ascii="宋体" w:hAnsi="宋体" w:cs="宋体"/>
            </w:rPr>
            <w:tab/>
          </w:r>
          <w:r>
            <w:rPr>
              <w:rFonts w:hint="eastAsia" w:ascii="宋体" w:hAnsi="宋体" w:cs="宋体"/>
            </w:rPr>
            <w:t>12-</w:t>
          </w:r>
          <w:r>
            <w:rPr>
              <w:rFonts w:hint="eastAsia" w:ascii="宋体" w:hAnsi="宋体" w:cs="宋体"/>
            </w:rPr>
            <w:fldChar w:fldCharType="begin"/>
          </w:r>
          <w:r>
            <w:rPr>
              <w:rFonts w:hint="eastAsia" w:ascii="宋体" w:hAnsi="宋体" w:cs="宋体"/>
            </w:rPr>
            <w:instrText xml:space="preserve"> PAGEREF _Toc111811350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3FDACE4B">
          <w:pPr>
            <w:pStyle w:val="11"/>
            <w:rPr>
              <w:rFonts w:ascii="宋体" w:hAnsi="宋体" w:cs="宋体"/>
              <w:kern w:val="2"/>
              <w:sz w:val="21"/>
              <w:lang w:val="en-US"/>
            </w:rPr>
          </w:pPr>
          <w:r>
            <w:fldChar w:fldCharType="begin"/>
          </w:r>
          <w:r>
            <w:instrText xml:space="preserve"> HYPERLINK \l "_Toc111811351" </w:instrText>
          </w:r>
          <w:r>
            <w:fldChar w:fldCharType="separate"/>
          </w:r>
          <w:r>
            <w:rPr>
              <w:rStyle w:val="19"/>
              <w:rFonts w:hint="eastAsia" w:ascii="宋体" w:hAnsi="宋体" w:cs="宋体"/>
            </w:rPr>
            <w:t>第十三部分 基金的财产</w:t>
          </w:r>
          <w:r>
            <w:rPr>
              <w:rFonts w:hint="eastAsia" w:ascii="宋体" w:hAnsi="宋体" w:cs="宋体"/>
            </w:rPr>
            <w:tab/>
          </w:r>
          <w:r>
            <w:rPr>
              <w:rFonts w:hint="eastAsia" w:ascii="宋体" w:hAnsi="宋体" w:cs="宋体"/>
            </w:rPr>
            <w:t>13-</w:t>
          </w:r>
          <w:r>
            <w:rPr>
              <w:rFonts w:hint="eastAsia" w:ascii="宋体" w:hAnsi="宋体" w:cs="宋体"/>
            </w:rPr>
            <w:fldChar w:fldCharType="begin"/>
          </w:r>
          <w:r>
            <w:rPr>
              <w:rFonts w:hint="eastAsia" w:ascii="宋体" w:hAnsi="宋体" w:cs="宋体"/>
            </w:rPr>
            <w:instrText xml:space="preserve"> PAGEREF _Toc111811351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52DF0873">
          <w:pPr>
            <w:pStyle w:val="11"/>
            <w:rPr>
              <w:rFonts w:ascii="宋体" w:hAnsi="宋体" w:cs="宋体"/>
              <w:kern w:val="2"/>
              <w:sz w:val="21"/>
              <w:lang w:val="en-US"/>
            </w:rPr>
          </w:pPr>
          <w:r>
            <w:fldChar w:fldCharType="begin"/>
          </w:r>
          <w:r>
            <w:instrText xml:space="preserve"> HYPERLINK \l "_Toc111811352" </w:instrText>
          </w:r>
          <w:r>
            <w:fldChar w:fldCharType="separate"/>
          </w:r>
          <w:r>
            <w:rPr>
              <w:rStyle w:val="19"/>
              <w:rFonts w:hint="eastAsia" w:ascii="宋体" w:hAnsi="宋体" w:cs="宋体"/>
            </w:rPr>
            <w:t>第十四部分 基金资产估值</w:t>
          </w:r>
          <w:r>
            <w:rPr>
              <w:rFonts w:hint="eastAsia" w:ascii="宋体" w:hAnsi="宋体" w:cs="宋体"/>
            </w:rPr>
            <w:tab/>
          </w:r>
          <w:r>
            <w:rPr>
              <w:rFonts w:hint="eastAsia" w:ascii="宋体" w:hAnsi="宋体" w:cs="宋体"/>
            </w:rPr>
            <w:t>14-</w:t>
          </w:r>
          <w:r>
            <w:rPr>
              <w:rFonts w:hint="eastAsia" w:ascii="宋体" w:hAnsi="宋体" w:cs="宋体"/>
            </w:rPr>
            <w:fldChar w:fldCharType="begin"/>
          </w:r>
          <w:r>
            <w:rPr>
              <w:rFonts w:hint="eastAsia" w:ascii="宋体" w:hAnsi="宋体" w:cs="宋体"/>
            </w:rPr>
            <w:instrText xml:space="preserve"> PAGEREF _Toc111811352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593B8AA5">
          <w:pPr>
            <w:pStyle w:val="11"/>
            <w:rPr>
              <w:rFonts w:ascii="宋体" w:hAnsi="宋体" w:cs="宋体"/>
              <w:kern w:val="2"/>
              <w:sz w:val="21"/>
              <w:lang w:val="en-US"/>
            </w:rPr>
          </w:pPr>
          <w:r>
            <w:fldChar w:fldCharType="begin"/>
          </w:r>
          <w:r>
            <w:instrText xml:space="preserve"> HYPERLINK \l "_Toc111811353" </w:instrText>
          </w:r>
          <w:r>
            <w:fldChar w:fldCharType="separate"/>
          </w:r>
          <w:r>
            <w:rPr>
              <w:rStyle w:val="19"/>
              <w:rFonts w:hint="eastAsia" w:ascii="宋体" w:hAnsi="宋体" w:cs="宋体"/>
            </w:rPr>
            <w:t>第十五部分 基金费用与税收</w:t>
          </w:r>
          <w:r>
            <w:rPr>
              <w:rFonts w:hint="eastAsia" w:ascii="宋体" w:hAnsi="宋体" w:cs="宋体"/>
            </w:rPr>
            <w:tab/>
          </w:r>
          <w:r>
            <w:rPr>
              <w:rFonts w:hint="eastAsia" w:ascii="宋体" w:hAnsi="宋体" w:cs="宋体"/>
            </w:rPr>
            <w:t>15-</w:t>
          </w:r>
          <w:r>
            <w:rPr>
              <w:rFonts w:hint="eastAsia" w:ascii="宋体" w:hAnsi="宋体" w:cs="宋体"/>
            </w:rPr>
            <w:fldChar w:fldCharType="begin"/>
          </w:r>
          <w:r>
            <w:rPr>
              <w:rFonts w:hint="eastAsia" w:ascii="宋体" w:hAnsi="宋体" w:cs="宋体"/>
            </w:rPr>
            <w:instrText xml:space="preserve"> PAGEREF _Toc111811353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5D8DCDA1">
          <w:pPr>
            <w:pStyle w:val="11"/>
            <w:rPr>
              <w:rFonts w:ascii="宋体" w:hAnsi="宋体" w:cs="宋体"/>
              <w:kern w:val="2"/>
              <w:sz w:val="21"/>
              <w:lang w:val="en-US"/>
            </w:rPr>
          </w:pPr>
          <w:r>
            <w:fldChar w:fldCharType="begin"/>
          </w:r>
          <w:r>
            <w:instrText xml:space="preserve"> HYPERLINK \l "_Toc111811354" </w:instrText>
          </w:r>
          <w:r>
            <w:fldChar w:fldCharType="separate"/>
          </w:r>
          <w:r>
            <w:rPr>
              <w:rStyle w:val="19"/>
              <w:rFonts w:hint="eastAsia" w:ascii="宋体" w:hAnsi="宋体" w:cs="宋体"/>
            </w:rPr>
            <w:t>第十六部分 基金的收益与分配</w:t>
          </w:r>
          <w:r>
            <w:rPr>
              <w:rFonts w:hint="eastAsia" w:ascii="宋体" w:hAnsi="宋体" w:cs="宋体"/>
            </w:rPr>
            <w:tab/>
          </w:r>
          <w:r>
            <w:rPr>
              <w:rFonts w:hint="eastAsia" w:ascii="宋体" w:hAnsi="宋体" w:cs="宋体"/>
            </w:rPr>
            <w:t>16-</w:t>
          </w:r>
          <w:r>
            <w:rPr>
              <w:rFonts w:hint="eastAsia" w:ascii="宋体" w:hAnsi="宋体" w:cs="宋体"/>
            </w:rPr>
            <w:fldChar w:fldCharType="begin"/>
          </w:r>
          <w:r>
            <w:rPr>
              <w:rFonts w:hint="eastAsia" w:ascii="宋体" w:hAnsi="宋体" w:cs="宋体"/>
            </w:rPr>
            <w:instrText xml:space="preserve"> PAGEREF _Toc111811354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5A52E957">
          <w:pPr>
            <w:pStyle w:val="11"/>
            <w:rPr>
              <w:rFonts w:ascii="宋体" w:hAnsi="宋体" w:cs="宋体"/>
              <w:kern w:val="2"/>
              <w:sz w:val="21"/>
              <w:lang w:val="en-US"/>
            </w:rPr>
          </w:pPr>
          <w:r>
            <w:fldChar w:fldCharType="begin"/>
          </w:r>
          <w:r>
            <w:instrText xml:space="preserve"> HYPERLINK \l "_Toc111811355" </w:instrText>
          </w:r>
          <w:r>
            <w:fldChar w:fldCharType="separate"/>
          </w:r>
          <w:r>
            <w:rPr>
              <w:rStyle w:val="19"/>
              <w:rFonts w:hint="eastAsia" w:ascii="宋体" w:hAnsi="宋体" w:cs="宋体"/>
            </w:rPr>
            <w:t>第十七部分 基金的会计与审计</w:t>
          </w:r>
          <w:r>
            <w:rPr>
              <w:rFonts w:hint="eastAsia" w:ascii="宋体" w:hAnsi="宋体" w:cs="宋体"/>
            </w:rPr>
            <w:tab/>
          </w:r>
          <w:r>
            <w:rPr>
              <w:rFonts w:hint="eastAsia" w:ascii="宋体" w:hAnsi="宋体" w:cs="宋体"/>
            </w:rPr>
            <w:t>17-</w:t>
          </w:r>
          <w:r>
            <w:rPr>
              <w:rFonts w:hint="eastAsia" w:ascii="宋体" w:hAnsi="宋体" w:cs="宋体"/>
            </w:rPr>
            <w:fldChar w:fldCharType="begin"/>
          </w:r>
          <w:r>
            <w:rPr>
              <w:rFonts w:hint="eastAsia" w:ascii="宋体" w:hAnsi="宋体" w:cs="宋体"/>
            </w:rPr>
            <w:instrText xml:space="preserve"> PAGEREF _Toc111811355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7DEEB097">
          <w:pPr>
            <w:pStyle w:val="11"/>
            <w:rPr>
              <w:rFonts w:ascii="宋体" w:hAnsi="宋体" w:cs="宋体"/>
              <w:kern w:val="2"/>
              <w:sz w:val="21"/>
              <w:lang w:val="en-US"/>
            </w:rPr>
          </w:pPr>
          <w:r>
            <w:fldChar w:fldCharType="begin"/>
          </w:r>
          <w:r>
            <w:instrText xml:space="preserve"> HYPERLINK \l "_Toc111811356" </w:instrText>
          </w:r>
          <w:r>
            <w:fldChar w:fldCharType="separate"/>
          </w:r>
          <w:r>
            <w:rPr>
              <w:rStyle w:val="19"/>
              <w:rFonts w:hint="eastAsia" w:ascii="宋体" w:hAnsi="宋体" w:cs="宋体"/>
            </w:rPr>
            <w:t>第十八部分 基金的信息披露</w:t>
          </w:r>
          <w:r>
            <w:rPr>
              <w:rFonts w:hint="eastAsia" w:ascii="宋体" w:hAnsi="宋体" w:cs="宋体"/>
            </w:rPr>
            <w:tab/>
          </w:r>
          <w:r>
            <w:rPr>
              <w:rFonts w:hint="eastAsia" w:ascii="宋体" w:hAnsi="宋体" w:cs="宋体"/>
            </w:rPr>
            <w:t>18-</w:t>
          </w:r>
          <w:r>
            <w:rPr>
              <w:rFonts w:hint="eastAsia" w:ascii="宋体" w:hAnsi="宋体" w:cs="宋体"/>
            </w:rPr>
            <w:fldChar w:fldCharType="begin"/>
          </w:r>
          <w:r>
            <w:rPr>
              <w:rFonts w:hint="eastAsia" w:ascii="宋体" w:hAnsi="宋体" w:cs="宋体"/>
            </w:rPr>
            <w:instrText xml:space="preserve"> PAGEREF _Toc111811356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6256412D">
          <w:pPr>
            <w:pStyle w:val="11"/>
            <w:rPr>
              <w:rFonts w:ascii="宋体" w:hAnsi="宋体" w:cs="宋体"/>
              <w:kern w:val="2"/>
              <w:sz w:val="21"/>
              <w:lang w:val="en-US"/>
            </w:rPr>
          </w:pPr>
          <w:r>
            <w:fldChar w:fldCharType="begin"/>
          </w:r>
          <w:r>
            <w:instrText xml:space="preserve"> HYPERLINK \l "_Toc111811357" </w:instrText>
          </w:r>
          <w:r>
            <w:fldChar w:fldCharType="separate"/>
          </w:r>
          <w:r>
            <w:rPr>
              <w:rStyle w:val="19"/>
              <w:rFonts w:hint="eastAsia" w:ascii="宋体" w:hAnsi="宋体" w:cs="宋体"/>
            </w:rPr>
            <w:t>第十九部分 基金合同的变更、终止与基金财产的清算</w:t>
          </w:r>
          <w:r>
            <w:rPr>
              <w:rFonts w:hint="eastAsia" w:ascii="宋体" w:hAnsi="宋体" w:cs="宋体"/>
            </w:rPr>
            <w:tab/>
          </w:r>
          <w:r>
            <w:rPr>
              <w:rFonts w:hint="eastAsia" w:ascii="宋体" w:hAnsi="宋体" w:cs="宋体"/>
            </w:rPr>
            <w:t>19-</w:t>
          </w:r>
          <w:r>
            <w:rPr>
              <w:rFonts w:hint="eastAsia" w:ascii="宋体" w:hAnsi="宋体" w:cs="宋体"/>
            </w:rPr>
            <w:fldChar w:fldCharType="begin"/>
          </w:r>
          <w:r>
            <w:rPr>
              <w:rFonts w:hint="eastAsia" w:ascii="宋体" w:hAnsi="宋体" w:cs="宋体"/>
            </w:rPr>
            <w:instrText xml:space="preserve"> PAGEREF _Toc111811357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1A761601">
          <w:pPr>
            <w:pStyle w:val="11"/>
            <w:rPr>
              <w:rFonts w:ascii="宋体" w:hAnsi="宋体" w:cs="宋体"/>
              <w:kern w:val="2"/>
              <w:sz w:val="21"/>
              <w:lang w:val="en-US"/>
            </w:rPr>
          </w:pPr>
          <w:r>
            <w:fldChar w:fldCharType="begin"/>
          </w:r>
          <w:r>
            <w:instrText xml:space="preserve"> HYPERLINK \l "_Toc111811358" </w:instrText>
          </w:r>
          <w:r>
            <w:fldChar w:fldCharType="separate"/>
          </w:r>
          <w:r>
            <w:rPr>
              <w:rStyle w:val="19"/>
              <w:rFonts w:hint="eastAsia" w:ascii="宋体" w:hAnsi="宋体" w:cs="宋体"/>
            </w:rPr>
            <w:t>第二十部分 违约责任</w:t>
          </w:r>
          <w:r>
            <w:rPr>
              <w:rFonts w:hint="eastAsia" w:ascii="宋体" w:hAnsi="宋体" w:cs="宋体"/>
            </w:rPr>
            <w:tab/>
          </w:r>
          <w:r>
            <w:rPr>
              <w:rFonts w:hint="eastAsia" w:ascii="宋体" w:hAnsi="宋体" w:cs="宋体"/>
            </w:rPr>
            <w:t>20-</w:t>
          </w:r>
          <w:r>
            <w:rPr>
              <w:rFonts w:hint="eastAsia" w:ascii="宋体" w:hAnsi="宋体" w:cs="宋体"/>
            </w:rPr>
            <w:fldChar w:fldCharType="begin"/>
          </w:r>
          <w:r>
            <w:rPr>
              <w:rFonts w:hint="eastAsia" w:ascii="宋体" w:hAnsi="宋体" w:cs="宋体"/>
            </w:rPr>
            <w:instrText xml:space="preserve"> PAGEREF _Toc111811358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6835CA9D">
          <w:pPr>
            <w:pStyle w:val="11"/>
            <w:rPr>
              <w:rFonts w:ascii="宋体" w:hAnsi="宋体" w:cs="宋体"/>
              <w:kern w:val="2"/>
              <w:sz w:val="21"/>
              <w:lang w:val="en-US"/>
            </w:rPr>
          </w:pPr>
          <w:r>
            <w:fldChar w:fldCharType="begin"/>
          </w:r>
          <w:r>
            <w:instrText xml:space="preserve"> HYPERLINK \l "_Toc111811359" </w:instrText>
          </w:r>
          <w:r>
            <w:fldChar w:fldCharType="separate"/>
          </w:r>
          <w:r>
            <w:rPr>
              <w:rStyle w:val="19"/>
              <w:rFonts w:hint="eastAsia" w:ascii="宋体" w:hAnsi="宋体" w:cs="宋体"/>
            </w:rPr>
            <w:t>第二十一部分 争议的处理和适用的法律</w:t>
          </w:r>
          <w:r>
            <w:rPr>
              <w:rFonts w:hint="eastAsia" w:ascii="宋体" w:hAnsi="宋体" w:cs="宋体"/>
            </w:rPr>
            <w:tab/>
          </w:r>
          <w:r>
            <w:rPr>
              <w:rFonts w:hint="eastAsia" w:ascii="宋体" w:hAnsi="宋体" w:cs="宋体"/>
            </w:rPr>
            <w:t>21-</w:t>
          </w:r>
          <w:r>
            <w:rPr>
              <w:rFonts w:hint="eastAsia" w:ascii="宋体" w:hAnsi="宋体" w:cs="宋体"/>
            </w:rPr>
            <w:fldChar w:fldCharType="begin"/>
          </w:r>
          <w:r>
            <w:rPr>
              <w:rFonts w:hint="eastAsia" w:ascii="宋体" w:hAnsi="宋体" w:cs="宋体"/>
            </w:rPr>
            <w:instrText xml:space="preserve"> PAGEREF _Toc111811359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425270DC">
          <w:pPr>
            <w:pStyle w:val="11"/>
            <w:rPr>
              <w:rFonts w:ascii="宋体" w:hAnsi="宋体" w:cs="宋体"/>
              <w:kern w:val="2"/>
              <w:sz w:val="21"/>
              <w:lang w:val="en-US"/>
            </w:rPr>
          </w:pPr>
          <w:r>
            <w:fldChar w:fldCharType="begin"/>
          </w:r>
          <w:r>
            <w:instrText xml:space="preserve"> HYPERLINK \l "_Toc111811360" </w:instrText>
          </w:r>
          <w:r>
            <w:fldChar w:fldCharType="separate"/>
          </w:r>
          <w:r>
            <w:rPr>
              <w:rStyle w:val="19"/>
              <w:rFonts w:hint="eastAsia" w:ascii="宋体" w:hAnsi="宋体" w:cs="宋体"/>
            </w:rPr>
            <w:t>第二十二部分 基金合同的效力</w:t>
          </w:r>
          <w:r>
            <w:rPr>
              <w:rFonts w:hint="eastAsia" w:ascii="宋体" w:hAnsi="宋体" w:cs="宋体"/>
            </w:rPr>
            <w:tab/>
          </w:r>
          <w:r>
            <w:rPr>
              <w:rFonts w:hint="eastAsia" w:ascii="宋体" w:hAnsi="宋体" w:cs="宋体"/>
            </w:rPr>
            <w:t>22-</w:t>
          </w:r>
          <w:r>
            <w:rPr>
              <w:rFonts w:hint="eastAsia" w:ascii="宋体" w:hAnsi="宋体" w:cs="宋体"/>
            </w:rPr>
            <w:fldChar w:fldCharType="begin"/>
          </w:r>
          <w:r>
            <w:rPr>
              <w:rFonts w:hint="eastAsia" w:ascii="宋体" w:hAnsi="宋体" w:cs="宋体"/>
            </w:rPr>
            <w:instrText xml:space="preserve"> PAGEREF _Toc111811360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06579FD1">
          <w:pPr>
            <w:pStyle w:val="11"/>
            <w:rPr>
              <w:rFonts w:ascii="宋体" w:hAnsi="宋体" w:cs="宋体"/>
              <w:kern w:val="2"/>
              <w:sz w:val="21"/>
              <w:lang w:val="en-US"/>
            </w:rPr>
          </w:pPr>
          <w:r>
            <w:fldChar w:fldCharType="begin"/>
          </w:r>
          <w:r>
            <w:instrText xml:space="preserve"> HYPERLINK \l "_Toc111811361" </w:instrText>
          </w:r>
          <w:r>
            <w:fldChar w:fldCharType="separate"/>
          </w:r>
          <w:r>
            <w:rPr>
              <w:rStyle w:val="19"/>
              <w:rFonts w:hint="eastAsia" w:ascii="宋体" w:hAnsi="宋体" w:cs="宋体"/>
            </w:rPr>
            <w:t>第二十三部分 其他事项</w:t>
          </w:r>
          <w:r>
            <w:rPr>
              <w:rFonts w:hint="eastAsia" w:ascii="宋体" w:hAnsi="宋体" w:cs="宋体"/>
            </w:rPr>
            <w:tab/>
          </w:r>
          <w:r>
            <w:rPr>
              <w:rFonts w:hint="eastAsia" w:ascii="宋体" w:hAnsi="宋体" w:cs="宋体"/>
            </w:rPr>
            <w:t>23-</w:t>
          </w:r>
          <w:r>
            <w:rPr>
              <w:rFonts w:hint="eastAsia" w:ascii="宋体" w:hAnsi="宋体" w:cs="宋体"/>
            </w:rPr>
            <w:fldChar w:fldCharType="begin"/>
          </w:r>
          <w:r>
            <w:rPr>
              <w:rFonts w:hint="eastAsia" w:ascii="宋体" w:hAnsi="宋体" w:cs="宋体"/>
            </w:rPr>
            <w:instrText xml:space="preserve"> PAGEREF _Toc111811361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301E17D0">
          <w:pPr>
            <w:pStyle w:val="11"/>
            <w:rPr>
              <w:rFonts w:ascii="宋体" w:hAnsi="宋体" w:cs="宋体"/>
              <w:kern w:val="2"/>
              <w:sz w:val="21"/>
              <w:lang w:val="en-US"/>
            </w:rPr>
          </w:pPr>
          <w:r>
            <w:fldChar w:fldCharType="begin"/>
          </w:r>
          <w:r>
            <w:instrText xml:space="preserve"> HYPERLINK \l "_Toc111811362" </w:instrText>
          </w:r>
          <w:r>
            <w:fldChar w:fldCharType="separate"/>
          </w:r>
          <w:r>
            <w:rPr>
              <w:rStyle w:val="19"/>
              <w:rFonts w:hint="eastAsia" w:ascii="宋体" w:hAnsi="宋体" w:cs="宋体"/>
            </w:rPr>
            <w:t>第二十四部分 基金合同的内容摘要</w:t>
          </w:r>
          <w:r>
            <w:rPr>
              <w:rFonts w:hint="eastAsia" w:ascii="宋体" w:hAnsi="宋体" w:cs="宋体"/>
            </w:rPr>
            <w:tab/>
          </w:r>
          <w:r>
            <w:rPr>
              <w:rFonts w:hint="eastAsia" w:ascii="宋体" w:hAnsi="宋体" w:cs="宋体"/>
            </w:rPr>
            <w:t>24-</w:t>
          </w:r>
          <w:r>
            <w:rPr>
              <w:rFonts w:hint="eastAsia" w:ascii="宋体" w:hAnsi="宋体" w:cs="宋体"/>
            </w:rPr>
            <w:fldChar w:fldCharType="begin"/>
          </w:r>
          <w:r>
            <w:rPr>
              <w:rFonts w:hint="eastAsia" w:ascii="宋体" w:hAnsi="宋体" w:cs="宋体"/>
            </w:rPr>
            <w:instrText xml:space="preserve"> PAGEREF _Toc111811362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03FF9317">
          <w:pPr>
            <w:spacing w:line="360" w:lineRule="auto"/>
            <w:rPr>
              <w:rFonts w:ascii="宋体" w:hAnsi="宋体" w:eastAsia="宋体" w:cs="宋体"/>
            </w:rPr>
          </w:pPr>
          <w:r>
            <w:rPr>
              <w:rFonts w:hint="eastAsia" w:ascii="宋体" w:hAnsi="宋体" w:eastAsia="宋体" w:cs="宋体"/>
              <w:b/>
              <w:bCs/>
              <w:lang w:val="zh-CN"/>
            </w:rPr>
            <w:fldChar w:fldCharType="end"/>
          </w:r>
        </w:p>
      </w:sdtContent>
    </w:sdt>
    <w:p w14:paraId="42A38E11">
      <w:pPr>
        <w:autoSpaceDE w:val="0"/>
        <w:autoSpaceDN w:val="0"/>
        <w:adjustRightInd w:val="0"/>
        <w:spacing w:line="360" w:lineRule="auto"/>
        <w:jc w:val="left"/>
        <w:rPr>
          <w:rFonts w:ascii="宋体" w:hAnsi="宋体" w:eastAsia="宋体" w:cs="宋体"/>
          <w:kern w:val="0"/>
          <w:sz w:val="24"/>
          <w:szCs w:val="24"/>
        </w:rPr>
      </w:pPr>
    </w:p>
    <w:p w14:paraId="51EEFFA6">
      <w:pPr>
        <w:autoSpaceDE w:val="0"/>
        <w:autoSpaceDN w:val="0"/>
        <w:adjustRightInd w:val="0"/>
        <w:spacing w:line="360" w:lineRule="auto"/>
        <w:ind w:firstLine="480" w:firstLineChars="200"/>
        <w:jc w:val="left"/>
        <w:rPr>
          <w:rFonts w:ascii="宋体" w:hAnsi="宋体" w:eastAsia="宋体" w:cs="宋体"/>
          <w:kern w:val="0"/>
          <w:sz w:val="24"/>
          <w:szCs w:val="24"/>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38701ECE">
      <w:pPr>
        <w:pStyle w:val="3"/>
        <w:spacing w:before="0" w:after="0" w:line="360" w:lineRule="auto"/>
        <w:ind w:firstLine="602" w:firstLineChars="200"/>
        <w:jc w:val="center"/>
        <w:rPr>
          <w:rFonts w:ascii="宋体" w:hAnsi="宋体" w:eastAsia="宋体" w:cs="宋体"/>
          <w:kern w:val="0"/>
          <w:sz w:val="30"/>
          <w:lang w:val="zh-CN"/>
        </w:rPr>
      </w:pPr>
      <w:bookmarkStart w:id="0" w:name="_Toc111811339"/>
      <w:r>
        <w:rPr>
          <w:rFonts w:hint="eastAsia" w:ascii="宋体" w:hAnsi="宋体" w:eastAsia="宋体" w:cs="宋体"/>
          <w:kern w:val="0"/>
          <w:sz w:val="30"/>
          <w:lang w:val="zh-CN"/>
        </w:rPr>
        <w:t>第一部分 前言</w:t>
      </w:r>
      <w:bookmarkEnd w:id="0"/>
    </w:p>
    <w:p w14:paraId="234D1FA1">
      <w:pPr>
        <w:autoSpaceDE w:val="0"/>
        <w:autoSpaceDN w:val="0"/>
        <w:adjustRightInd w:val="0"/>
        <w:spacing w:line="360" w:lineRule="auto"/>
        <w:ind w:firstLine="480" w:firstLineChars="200"/>
        <w:jc w:val="left"/>
        <w:rPr>
          <w:rFonts w:ascii="宋体" w:hAnsi="宋体" w:eastAsia="宋体" w:cs="宋体"/>
          <w:kern w:val="0"/>
          <w:sz w:val="24"/>
          <w:szCs w:val="24"/>
        </w:rPr>
      </w:pPr>
    </w:p>
    <w:p w14:paraId="3C7A272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一、订立本基金合同的目的、依据和原则</w:t>
      </w:r>
    </w:p>
    <w:p w14:paraId="3857A0F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1、订立本基金合同的目的是保护投资人合法权益，明确基金合同当事人的权利义务，规范基金运作。</w:t>
      </w:r>
    </w:p>
    <w:p w14:paraId="260EE11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以下简称“《指数基金指引》”）和其他有关法律法规。</w:t>
      </w:r>
    </w:p>
    <w:p w14:paraId="7F7CF99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3、订立本基金合同的原则是平等自愿、诚实信用、充分保护投资人合法权益。</w:t>
      </w:r>
    </w:p>
    <w:p w14:paraId="4B1AF05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055FF9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合同的当事人包括基金管理人、基金托管人和基金份额持有人。基金管理人和基金托管人自本基金合同签订并生效之日起成为本基金合同的当事人。基金投资人自依本基金合同取得基金份额，即成为基金份额持有人和本基金合同的当事人，其持有基金份额的行为本身即表明其对基金合同的承认和接受。</w:t>
      </w:r>
    </w:p>
    <w:p w14:paraId="075D5E6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三、博时中证800指数增强型证券投资基金由基金管理人依照《基金法》、基金合同及其他有关规定募集，并经中国证券监督管理委员会(以下简称“中国证监会”)注册。</w:t>
      </w:r>
    </w:p>
    <w:p w14:paraId="38B08F7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中国证监会对本基金募集的注册，并不表明其对本基金的投资价值、市场前景和收益做出实质性判断或保证，也不表明投资于本基金没有风险。</w:t>
      </w:r>
    </w:p>
    <w:p w14:paraId="3A2D3B3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基金管理人依照恪尽职守、诚实信用、谨慎勤勉的原则管理和运用基金财产，但不保证投资于本基金一定盈利，也不保证最低收益。</w:t>
      </w:r>
    </w:p>
    <w:p w14:paraId="1B6F20A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投资者应当认真阅读基金招募说明书、基金合同、基金产品资料概要等信息披露文件，自主判断基金的投资价值，自主做出投资决策，自行承担投资风险。</w:t>
      </w:r>
    </w:p>
    <w:p w14:paraId="65C6CB3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四、基金管理人、基金托管人在本基金合同之外披露涉及本基金的信息，其内容涉及界定基金合同当事人之间权利义务关系的，如与基金合同有冲突，以基金合同为准。</w:t>
      </w:r>
    </w:p>
    <w:p w14:paraId="0E34789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五、本基金按照中国法律法规成立并运作，若基金合同的内容与届时有效的法律法规的强制性规定不一致，应当以届时有效的法律法规的规定为准。</w:t>
      </w:r>
    </w:p>
    <w:p w14:paraId="5244040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本基金因特殊情况（比如流动性不足等）导致本基金无法有效复制和跟踪标的指数时，为更好地实现基金的投资目标，本基金可能会部分投资于依法发行上市的非成份股（包括创业板及其他经中国证监会核准或注册上市的股票、存托凭证）、内地与香港股票市场交易互联互通机制下允许买卖的香港联合交易所上市股票（以下简称“港股通标的股票”）。</w:t>
      </w:r>
    </w:p>
    <w:p w14:paraId="2713CDC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w:t>
      </w:r>
      <w:bookmarkStart w:id="1" w:name="_Hlk181637247"/>
      <w:r>
        <w:rPr>
          <w:rFonts w:hint="eastAsia" w:ascii="宋体" w:hAnsi="宋体" w:eastAsia="宋体" w:cs="宋体"/>
          <w:kern w:val="0"/>
          <w:sz w:val="24"/>
          <w:szCs w:val="24"/>
        </w:rPr>
        <w:t>若本基金资产投资于港股通标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bookmarkEnd w:id="1"/>
      <w:r>
        <w:rPr>
          <w:rFonts w:hint="eastAsia" w:ascii="宋体" w:hAnsi="宋体" w:eastAsia="宋体" w:cs="宋体"/>
          <w:kern w:val="0"/>
          <w:sz w:val="24"/>
          <w:szCs w:val="24"/>
        </w:rPr>
        <w:t>本基金可能会选择将部分基金资产投资于港股通标的股票，但基金资产并非必然投资港股通标的股票。</w:t>
      </w:r>
    </w:p>
    <w:p w14:paraId="36D3CEB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八、本基金为指数基金，投资者投资于本基金面临跟踪误差控制未达约定目标、指数编制机构停止服务、成份股停牌或退市等潜在风险，具体风险详见本基金招募说明书。</w:t>
      </w:r>
    </w:p>
    <w:p w14:paraId="7B8DE74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九、本基金的投资范围包括存托凭证，除与其他仅投资于境内市场股票的基金所面临的共同风险外，本基金还将面临存托凭证价格大幅波动甚至出现较大亏损的风险，以及与存托凭证发行机制相关的风险。</w:t>
      </w:r>
    </w:p>
    <w:p w14:paraId="61B66B9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当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w:t>
      </w:r>
    </w:p>
    <w:p w14:paraId="13C96C0F">
      <w:pPr>
        <w:autoSpaceDE w:val="0"/>
        <w:autoSpaceDN w:val="0"/>
        <w:adjustRightInd w:val="0"/>
        <w:spacing w:line="360" w:lineRule="auto"/>
        <w:ind w:firstLine="480" w:firstLineChars="200"/>
        <w:jc w:val="left"/>
        <w:rPr>
          <w:rFonts w:ascii="宋体" w:hAnsi="宋体" w:eastAsia="宋体" w:cs="宋体"/>
          <w:kern w:val="0"/>
          <w:sz w:val="24"/>
          <w:szCs w:val="24"/>
        </w:rPr>
        <w:sectPr>
          <w:footerReference r:id="rId7" w:type="default"/>
          <w:pgSz w:w="11906" w:h="16838"/>
          <w:pgMar w:top="1440" w:right="1800" w:bottom="1440" w:left="1800" w:header="851" w:footer="992" w:gutter="0"/>
          <w:pgNumType w:start="1"/>
          <w:cols w:space="425" w:num="1"/>
          <w:docGrid w:type="lines" w:linePitch="312" w:charSpace="0"/>
        </w:sectPr>
      </w:pPr>
    </w:p>
    <w:p w14:paraId="1AD16915">
      <w:pPr>
        <w:pStyle w:val="3"/>
        <w:spacing w:before="0" w:after="0" w:line="360" w:lineRule="auto"/>
        <w:ind w:firstLine="602" w:firstLineChars="200"/>
        <w:jc w:val="center"/>
        <w:rPr>
          <w:rFonts w:ascii="宋体" w:hAnsi="宋体" w:eastAsia="宋体" w:cs="宋体"/>
          <w:kern w:val="0"/>
          <w:sz w:val="30"/>
          <w:lang w:val="zh-CN"/>
        </w:rPr>
      </w:pPr>
      <w:bookmarkStart w:id="2" w:name="_Toc111811340"/>
      <w:r>
        <w:rPr>
          <w:rFonts w:hint="eastAsia" w:ascii="宋体" w:hAnsi="宋体" w:eastAsia="宋体" w:cs="宋体"/>
          <w:kern w:val="0"/>
          <w:sz w:val="30"/>
          <w:lang w:val="zh-CN"/>
        </w:rPr>
        <w:t>第二部分 释义</w:t>
      </w:r>
      <w:bookmarkEnd w:id="2"/>
    </w:p>
    <w:p w14:paraId="793FFA3B">
      <w:pPr>
        <w:autoSpaceDE w:val="0"/>
        <w:autoSpaceDN w:val="0"/>
        <w:adjustRightInd w:val="0"/>
        <w:spacing w:line="360" w:lineRule="auto"/>
        <w:ind w:firstLine="480" w:firstLineChars="200"/>
        <w:jc w:val="left"/>
        <w:rPr>
          <w:rFonts w:ascii="宋体" w:hAnsi="宋体" w:eastAsia="宋体" w:cs="宋体"/>
          <w:kern w:val="0"/>
          <w:sz w:val="24"/>
          <w:szCs w:val="24"/>
        </w:rPr>
      </w:pPr>
    </w:p>
    <w:p w14:paraId="02D0388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在本基金合同中，除非文意另有所指，下列词语或简称具有如下含义：</w:t>
      </w:r>
    </w:p>
    <w:p w14:paraId="710F9A0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1、基金或本基金：指博时中证800指数增强型证券投资基金</w:t>
      </w:r>
    </w:p>
    <w:p w14:paraId="4075F00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2、基金管理人：指博时基金管理有限公司</w:t>
      </w:r>
    </w:p>
    <w:p w14:paraId="274B71D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3、基金托管人：指上海浦东发展银行股份有限公司</w:t>
      </w:r>
    </w:p>
    <w:p w14:paraId="2FC1F65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4、基金合同或本基金合同：指《博时中证800指数增强型证券投资基金基金合同》及对本基金合同的任何有效修订和补充</w:t>
      </w:r>
    </w:p>
    <w:p w14:paraId="1AAE362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5、托管协议：指基金管理人与基金托管人就本基金签订之《博时中证800指数增强型证券投资基金托管协议》及对该托管协议的任何有效修订和补充</w:t>
      </w:r>
    </w:p>
    <w:p w14:paraId="4D2B2CC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6、招募说明书：指《博时中证800指数增强型证券投资基金招募说明书》及其更新</w:t>
      </w:r>
    </w:p>
    <w:p w14:paraId="0E3A9BD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7、基金份额发售公告：指《博时中证800指数增强型证券投资基金基金份额发售公告》</w:t>
      </w:r>
    </w:p>
    <w:p w14:paraId="23A1492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8、基金产品资料概要：指《博时中证800指数增强型证券投资基金基金产品资料概要》及其更新</w:t>
      </w:r>
    </w:p>
    <w:p w14:paraId="26EF5AD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9、法律法规：指中国现行有效并公布实施的法律、行政法规、规范性文件、司法解释、行政规章以及其他对基金合同当事人有约束力的决定、决议、通知等</w:t>
      </w:r>
    </w:p>
    <w:p w14:paraId="67D59E5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10、《基金法》：指2003年10月28日经第十届全国人民代表大会常务委员会第五次会议通过，经2012年12月28日第十一届全国人民代表大会常务委员会第30 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2702ED2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11、《销售办法》：指中国证监会2020年8月28日颁布、同年10月1日实施的《公开募集证券投资基金销售机构监督管理办法》及颁布机关对其不时做出的修订</w:t>
      </w:r>
    </w:p>
    <w:p w14:paraId="24C112E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信息披露办法》：指中国证监会2019年7月26日颁布、同年9月1日实施，并经2020年3月20日中国证监会《关于修改部分证券期货规章的决定》修改的《公开募集证券投资基金信息披露管理办法》及颁布机关对其不时做出的修订</w:t>
      </w:r>
    </w:p>
    <w:p w14:paraId="66D3E6E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13、《运作办法》：指中国证监会2014年7月7日颁布、同年8月8日实施的《公开募集证券投资基金运作管理办法》及颁布机关对其不时做出的修订</w:t>
      </w:r>
    </w:p>
    <w:p w14:paraId="7562185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14、《流动性风险管理规定》：指中国证监会2017年8月31日颁布、同年10月1日实施的《公开募集开放式证券投资基金流动性风险管理规定》及颁布机关对其不时做出的修订</w:t>
      </w:r>
    </w:p>
    <w:p w14:paraId="7C26F67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15、中国证监会：指中国证券监督管理委员会</w:t>
      </w:r>
    </w:p>
    <w:p w14:paraId="386A331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16、银行业监督管理机构：指中国人民银行和/或国家金融监督管理总局</w:t>
      </w:r>
    </w:p>
    <w:p w14:paraId="3FD0518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17、基金合同当事人：指受基金合同约束，根据基金合同享有权利并承担义务的法律主体，包括基金管理人、基金托管人和基金份额持有人</w:t>
      </w:r>
    </w:p>
    <w:p w14:paraId="75C873E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18、个人投资者：指依据有关法律法规规定可投资于证券投资基金的自然人</w:t>
      </w:r>
    </w:p>
    <w:p w14:paraId="7F5F34D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19、机构投资者：指依法可以投资证券投资基金的、在中华人民共和国境内合法登记并存续或经有关政府部门批准设立并存续的企业法人、事业法人、社会团体或其他组织</w:t>
      </w:r>
    </w:p>
    <w:p w14:paraId="466D169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20、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42DFEB8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21、投资人、投资者：指个人投资者、机构投资者、合格境外投资者以及法律法规或中国证监会允许购买证券投资基金的其他投资人的合称</w:t>
      </w:r>
    </w:p>
    <w:p w14:paraId="5DA7516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22、基金份额持有人：指依基金合同和招募说明书合法取得基金份额的投资人</w:t>
      </w:r>
    </w:p>
    <w:p w14:paraId="1016165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23、基金销售业务：指基金管理人或销售机构宣传推介基金，发售基金份额，办理基金份额的申购、赎回、转换、转托管及定期定额投资等业务</w:t>
      </w:r>
    </w:p>
    <w:p w14:paraId="39875C9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24、销售机构：指博时基金管理有限公司以及符合《销售办法》和中国证监会规定的其他条件，取得基金销售业务资格并与基金管理人签订了基金销售服务协议，办理基金销售业务的机构</w:t>
      </w:r>
    </w:p>
    <w:p w14:paraId="4772A60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8B9B70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26、登记机构：指办理登记业务的机构。本基金的登记机构为博时基金管理有限公司</w:t>
      </w:r>
    </w:p>
    <w:p w14:paraId="61697D1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27、基金账户：指登记机构为投资人开立的、记录其持有的、基金管理人所管理的基金份额余额及其变动情况的账户</w:t>
      </w:r>
    </w:p>
    <w:p w14:paraId="7C3E503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28、基金交易账户：指销售机构为投资人开立的、记录投资人通过该销售机构办理认购、申购、赎回、转换、转托管及定期定额投资等业务而引起的基金份额变动及结余情况的账户</w:t>
      </w:r>
    </w:p>
    <w:p w14:paraId="6313A8B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29、基金合同生效日：指基金募集达到法律法规规定及基金合同规定的条件，基金管理人向中国证监会办理基金备案手续完毕，并获得中国证监会书面确认的日期</w:t>
      </w:r>
    </w:p>
    <w:p w14:paraId="5B01546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30、基金合同终止日：指基金合同规定的基金合同终止事由出现后，基金财产清算完毕，清算结果报中国证监会备案并予以公告的日期</w:t>
      </w:r>
    </w:p>
    <w:p w14:paraId="28BDF53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31、基金募集期：指自基金份额发售之日起至发售结束之日止的期间，最长不得超过3个月</w:t>
      </w:r>
    </w:p>
    <w:p w14:paraId="2A092EB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32、存续期：指基金合同生效至终止之间的不定期期限</w:t>
      </w:r>
    </w:p>
    <w:p w14:paraId="33AA7A2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33、工作日：指上海证券交易所、深圳证券交易所及相关期货交易所的正常交易日</w:t>
      </w:r>
    </w:p>
    <w:p w14:paraId="519FCA1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34、T日：指销售机构在规定时间受理投资人申购、赎回或其他业务申请的开放日</w:t>
      </w:r>
    </w:p>
    <w:p w14:paraId="36274B2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35、T+n日：指自T日起第n个工作日（不包含T日），n为自然数</w:t>
      </w:r>
    </w:p>
    <w:p w14:paraId="5F590F6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36、开放日：指为投资人办理基金份额申购、赎回或其他业务的工作日（若本基金参与港股通交易且该工作日为非港股通交易日时，则基金管理人可根据实际情况决定本基金是否暂停申购、赎回及转换业务，具体以届时提前发布的公告为准）</w:t>
      </w:r>
    </w:p>
    <w:p w14:paraId="2A244B1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37、开放时间：指开放日基金接受申购、赎回或其他交易的时间段</w:t>
      </w:r>
    </w:p>
    <w:p w14:paraId="3FEEB97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38、《业务规则》：指《博时基金管理有限公司开放式基金业务规则》，是规范基金管理人所管理的开放式证券投资基金登记方面的业务规则，由基金管理人、销售机构和投资人共同遵守</w:t>
      </w:r>
    </w:p>
    <w:p w14:paraId="3093BA9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39、认购：指在基金募集期内，投资人根据基金合同和招募说明书的规定，申请购买基金份额的行为</w:t>
      </w:r>
    </w:p>
    <w:p w14:paraId="53D7435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40、申购：指基金合同生效后，投资人根据基金合同和招募说明书的规定，申请购买基金份额的行为</w:t>
      </w:r>
    </w:p>
    <w:p w14:paraId="4540B46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41、赎回：指基金合同生效后，基金份额持有人按基金合同和招募说明书规定的条件，要求将基金份额兑换为现金的行为</w:t>
      </w:r>
    </w:p>
    <w:p w14:paraId="5922A39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42、基金转换：指基金份额持有人按照本基金合同和基金管理人届时有效公告规定的条件，申请将其持有基金管理人管理的、某一基金的基金份额转换为基金管理人管理的其他基金基金份额的行为</w:t>
      </w:r>
    </w:p>
    <w:p w14:paraId="006F095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43、转托管：指基金份额持有人在本基金的不同销售机构之间实施的变更所持基金份额销售机构的操作</w:t>
      </w:r>
    </w:p>
    <w:p w14:paraId="0B08283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44、定期定额投资计划：指投资人通过有关销售机构提出申请，约定每期申购日、扣款金额及扣款方式，由销售机构于每期约定扣款日在投资人指定银行账户内自动完成扣款及受理基金申购申请的一种投资方式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00A224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45、巨额赎回：指本基金单个开放日，基金净赎回申请（赎回申请份额总数加上基金转换中转出申请份额总数后扣除申购申请份额总数及基金转换中转入申请份额总数后的余额）超过上一开放日基金总份额的10%</w:t>
      </w:r>
    </w:p>
    <w:p w14:paraId="3B2A08B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46、元：指人民币元</w:t>
      </w:r>
    </w:p>
    <w:p w14:paraId="12BDE0D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47、基金收益：指基金投资所得红利、股息、债券利息、买卖证券价差、证券持有期间的公允价值变动、银行存款利息、已实现的其他合法收入及因运用基金财产带来的成本和费用的节约</w:t>
      </w:r>
    </w:p>
    <w:p w14:paraId="2CFFB83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48、</w:t>
      </w:r>
      <w:bookmarkStart w:id="3" w:name="_Hlk38272810"/>
      <w:r>
        <w:rPr>
          <w:rFonts w:hint="eastAsia" w:ascii="宋体" w:hAnsi="宋体" w:eastAsia="宋体" w:cs="宋体"/>
          <w:kern w:val="0"/>
          <w:sz w:val="24"/>
          <w:szCs w:val="24"/>
        </w:rPr>
        <w:t>基金资产总值：指基金拥有的各类有价证券、银行存款本息、基金应收款项及其他资产的价值总和</w:t>
      </w:r>
      <w:bookmarkEnd w:id="3"/>
    </w:p>
    <w:p w14:paraId="47CA223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49、基金资产净值：指基金资产总值减去基金负债后的价值</w:t>
      </w:r>
    </w:p>
    <w:p w14:paraId="1CC6B87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50、基金份额净值：指计算日基金资产净值除以计算日基金份额总数</w:t>
      </w:r>
    </w:p>
    <w:p w14:paraId="5D4C8DD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51、基金资产估值：指计算评估基金资产和负债的价值，以确定基金资产净值和基金份额净值的过程</w:t>
      </w:r>
    </w:p>
    <w:p w14:paraId="656353B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52、基金份额分类：指本基金分设两类基金份额：A类基金份额和C类基金份额。两类基金份额分设不同的基金代码，分别计算基金份额净值，计算公式为计算日各类别基金资产净值除以计算日该类别基金份额总数</w:t>
      </w:r>
    </w:p>
    <w:p w14:paraId="5EC9B4F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53、A类基金份额：指在投资者认购、申购时收取认购、申购费用，在赎回时根据持有期限收取赎回费用，但不从本类别基金资产中计提销售服务费的基金份额类别</w:t>
      </w:r>
    </w:p>
    <w:p w14:paraId="510EDB1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54、C类基金份额：指在投资者认购、申购时不收取认购、申购费用，在赎回时根据持有期限收取赎回费用，且从本类别基金资产中计提销售服务费的基金份额类别</w:t>
      </w:r>
    </w:p>
    <w:p w14:paraId="624714D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55、销售服务费：指从基金财产中计提的，用于本基金市场推广、销售以及基金份额持有人服务的费用</w:t>
      </w:r>
    </w:p>
    <w:p w14:paraId="0BFFF92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14:paraId="07BB7C7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57、港股通：指内地投资者委托内地证券公司，经由上海证券交易所、深圳证券交易所或经中国证监会认可的机构设立的证券交易服务公司，向香港联合交易所有限公司进行申报，买卖沪港通、深港通规定范围内的香港联合交易所上市的股票</w:t>
      </w:r>
    </w:p>
    <w:p w14:paraId="6F06BF2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44B7EFD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59、摆动定价机制：指当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6995A3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60、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366CA9B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61、规定媒介：指符合中国证监会规定条件的用以进行信息披露的全国性报刊及《信息披露办法》规定的互联网网站（包括基金管理人网站、基金托管人网站、中国证监会基金电子披露网站）等媒介</w:t>
      </w:r>
    </w:p>
    <w:p w14:paraId="0C1C776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62、中国法律：指中华人民共和国法律，就本基金合同而言，不包括香港特别行政区、澳门特别行政区和台湾地区法律</w:t>
      </w:r>
    </w:p>
    <w:p w14:paraId="1498648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63、不可抗力：指本基金合同当事人不能预见、不能避免且不能克服的客观事件</w:t>
      </w:r>
    </w:p>
    <w:p w14:paraId="63C3AC4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64、《指数基金指引》：指中国证监会2021年1月22日颁布、同年2月1日实施的《公开募集证券投资基金运作指引第3号——指数基金指引》及颁布机关对其不时做出的修订</w:t>
      </w:r>
    </w:p>
    <w:p w14:paraId="29BD634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65、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7D828E65">
      <w:pPr>
        <w:autoSpaceDE w:val="0"/>
        <w:autoSpaceDN w:val="0"/>
        <w:adjustRightInd w:val="0"/>
        <w:spacing w:line="360" w:lineRule="auto"/>
        <w:ind w:firstLine="480" w:firstLineChars="200"/>
        <w:rPr>
          <w:rFonts w:ascii="宋体" w:hAnsi="宋体" w:eastAsia="宋体" w:cs="宋体"/>
          <w:kern w:val="0"/>
          <w:sz w:val="24"/>
          <w:szCs w:val="24"/>
        </w:rPr>
        <w:sectPr>
          <w:footerReference r:id="rId8"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kern w:val="0"/>
          <w:sz w:val="24"/>
          <w:szCs w:val="24"/>
        </w:rPr>
        <w:t>66、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14:paraId="779259DC">
      <w:pPr>
        <w:pStyle w:val="3"/>
        <w:spacing w:before="0" w:after="0" w:line="360" w:lineRule="auto"/>
        <w:ind w:firstLine="602" w:firstLineChars="200"/>
        <w:jc w:val="center"/>
        <w:rPr>
          <w:rFonts w:ascii="宋体" w:hAnsi="宋体" w:eastAsia="宋体" w:cs="宋体"/>
          <w:kern w:val="0"/>
          <w:sz w:val="30"/>
          <w:lang w:val="zh-CN"/>
        </w:rPr>
      </w:pPr>
      <w:bookmarkStart w:id="4" w:name="_Toc111811341"/>
      <w:r>
        <w:rPr>
          <w:rFonts w:hint="eastAsia" w:ascii="宋体" w:hAnsi="宋体" w:eastAsia="宋体" w:cs="宋体"/>
          <w:kern w:val="0"/>
          <w:sz w:val="30"/>
          <w:lang w:val="zh-CN"/>
        </w:rPr>
        <w:t>第三部分 基金的基本情况</w:t>
      </w:r>
      <w:bookmarkEnd w:id="4"/>
    </w:p>
    <w:p w14:paraId="064E80AE">
      <w:pPr>
        <w:spacing w:line="360" w:lineRule="auto"/>
        <w:ind w:firstLine="480" w:firstLineChars="200"/>
        <w:rPr>
          <w:rFonts w:ascii="宋体" w:hAnsi="宋体" w:eastAsia="宋体" w:cs="宋体"/>
          <w:kern w:val="0"/>
          <w:sz w:val="24"/>
          <w:szCs w:val="24"/>
        </w:rPr>
      </w:pPr>
    </w:p>
    <w:p w14:paraId="426B6536">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一、基金名称</w:t>
      </w:r>
    </w:p>
    <w:p w14:paraId="2186F724">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博时中证800指数增强型证券投资基金</w:t>
      </w:r>
    </w:p>
    <w:p w14:paraId="676233C9">
      <w:pPr>
        <w:spacing w:line="360" w:lineRule="auto"/>
        <w:ind w:firstLine="480" w:firstLineChars="200"/>
        <w:rPr>
          <w:rFonts w:ascii="宋体" w:hAnsi="宋体" w:eastAsia="宋体" w:cs="宋体"/>
          <w:kern w:val="0"/>
          <w:sz w:val="24"/>
          <w:szCs w:val="24"/>
        </w:rPr>
      </w:pPr>
    </w:p>
    <w:p w14:paraId="466C466E">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二、基金的类别</w:t>
      </w:r>
    </w:p>
    <w:p w14:paraId="4548F7DD">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股票型证券投资基金</w:t>
      </w:r>
    </w:p>
    <w:p w14:paraId="1AB8131D">
      <w:pPr>
        <w:spacing w:line="360" w:lineRule="auto"/>
        <w:ind w:firstLine="480" w:firstLineChars="200"/>
        <w:rPr>
          <w:rFonts w:ascii="宋体" w:hAnsi="宋体" w:eastAsia="宋体" w:cs="宋体"/>
          <w:kern w:val="0"/>
          <w:sz w:val="24"/>
          <w:szCs w:val="24"/>
        </w:rPr>
      </w:pPr>
    </w:p>
    <w:p w14:paraId="3D3FE0B8">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三、基金的运作方式</w:t>
      </w:r>
    </w:p>
    <w:p w14:paraId="4A368C45">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契约型开放式</w:t>
      </w:r>
    </w:p>
    <w:p w14:paraId="63F2B042">
      <w:pPr>
        <w:spacing w:line="360" w:lineRule="auto"/>
        <w:ind w:firstLine="480" w:firstLineChars="200"/>
        <w:rPr>
          <w:rFonts w:ascii="宋体" w:hAnsi="宋体" w:eastAsia="宋体" w:cs="宋体"/>
          <w:kern w:val="0"/>
          <w:sz w:val="24"/>
          <w:szCs w:val="24"/>
        </w:rPr>
      </w:pPr>
    </w:p>
    <w:p w14:paraId="2705AA80">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四、基金的投资目标</w:t>
      </w:r>
    </w:p>
    <w:p w14:paraId="59170FC1">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通过数量化方法进行组合管理和风险控制，在力求对标的指数中证800指数有效跟踪的基础上，力争实现超越基准的投资收益，谋求基金资产的长期增值，力争控制本基金的净值增长率与业绩比较基准之间的日均跟踪偏离度小于0.50%，年跟踪误差不超过7.5%。</w:t>
      </w:r>
    </w:p>
    <w:p w14:paraId="22C35AF3">
      <w:pPr>
        <w:spacing w:line="360" w:lineRule="auto"/>
        <w:ind w:firstLine="480" w:firstLineChars="200"/>
        <w:rPr>
          <w:rFonts w:ascii="宋体" w:hAnsi="宋体" w:eastAsia="宋体" w:cs="宋体"/>
          <w:kern w:val="0"/>
          <w:sz w:val="24"/>
          <w:szCs w:val="24"/>
        </w:rPr>
      </w:pPr>
    </w:p>
    <w:p w14:paraId="14FE8E7E">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五、标的指数</w:t>
      </w:r>
    </w:p>
    <w:p w14:paraId="1E23ABD5">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本基金的标的指数为中证800指数</w:t>
      </w:r>
    </w:p>
    <w:p w14:paraId="1BDA9022">
      <w:pPr>
        <w:spacing w:line="360" w:lineRule="auto"/>
        <w:ind w:firstLine="480" w:firstLineChars="200"/>
        <w:rPr>
          <w:rFonts w:ascii="宋体" w:hAnsi="宋体" w:eastAsia="宋体" w:cs="宋体"/>
          <w:kern w:val="0"/>
          <w:sz w:val="24"/>
          <w:szCs w:val="24"/>
        </w:rPr>
      </w:pPr>
    </w:p>
    <w:p w14:paraId="6BFA2DCC">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六、基金的最低募集份额总额</w:t>
      </w:r>
    </w:p>
    <w:p w14:paraId="41656FDB">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本基金的最低募集份额总额为2亿份。</w:t>
      </w:r>
    </w:p>
    <w:p w14:paraId="6B952BE9">
      <w:pPr>
        <w:spacing w:line="360" w:lineRule="auto"/>
        <w:ind w:firstLine="480" w:firstLineChars="200"/>
        <w:rPr>
          <w:rFonts w:ascii="宋体" w:hAnsi="宋体" w:eastAsia="宋体" w:cs="宋体"/>
          <w:kern w:val="0"/>
          <w:sz w:val="24"/>
          <w:szCs w:val="24"/>
        </w:rPr>
      </w:pPr>
    </w:p>
    <w:p w14:paraId="0C70E246">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七、基金份额发售面值和认购费用</w:t>
      </w:r>
    </w:p>
    <w:p w14:paraId="09B51EAE">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本基金基金份额发售面值为人民币1.00元。</w:t>
      </w:r>
    </w:p>
    <w:p w14:paraId="7C7E803A">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本基金A类基金份额的具体认购费率按招募说明书及基金产品资料概要的规定执行。本基金C类基金份额不收取认购费。</w:t>
      </w:r>
    </w:p>
    <w:p w14:paraId="1B5BE2C9">
      <w:pPr>
        <w:spacing w:line="360" w:lineRule="auto"/>
        <w:ind w:firstLine="480" w:firstLineChars="200"/>
        <w:rPr>
          <w:rFonts w:ascii="宋体" w:hAnsi="宋体" w:eastAsia="宋体" w:cs="宋体"/>
          <w:kern w:val="0"/>
          <w:sz w:val="24"/>
          <w:szCs w:val="24"/>
        </w:rPr>
      </w:pPr>
    </w:p>
    <w:p w14:paraId="026BCB2B">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八、基金存续期限</w:t>
      </w:r>
    </w:p>
    <w:p w14:paraId="0D7400D9">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不定期</w:t>
      </w:r>
    </w:p>
    <w:p w14:paraId="4F07C947">
      <w:pPr>
        <w:spacing w:line="360" w:lineRule="auto"/>
        <w:ind w:firstLine="480" w:firstLineChars="200"/>
        <w:rPr>
          <w:rFonts w:ascii="宋体" w:hAnsi="宋体" w:eastAsia="宋体" w:cs="宋体"/>
          <w:kern w:val="0"/>
          <w:sz w:val="24"/>
          <w:szCs w:val="24"/>
        </w:rPr>
      </w:pPr>
    </w:p>
    <w:p w14:paraId="3AAD6F3E">
      <w:pPr>
        <w:spacing w:line="360" w:lineRule="auto"/>
        <w:ind w:firstLine="480" w:firstLineChars="200"/>
        <w:rPr>
          <w:rFonts w:ascii="宋体" w:hAnsi="宋体" w:eastAsia="宋体" w:cs="宋体"/>
          <w:bCs/>
          <w:color w:val="000000"/>
          <w:sz w:val="24"/>
          <w:szCs w:val="20"/>
        </w:rPr>
      </w:pPr>
      <w:r>
        <w:rPr>
          <w:rFonts w:hint="eastAsia" w:ascii="宋体" w:hAnsi="宋体" w:eastAsia="宋体" w:cs="宋体"/>
          <w:bCs/>
          <w:color w:val="000000"/>
          <w:sz w:val="24"/>
          <w:szCs w:val="20"/>
        </w:rPr>
        <w:t xml:space="preserve">九、基金份额类别设置 </w:t>
      </w:r>
    </w:p>
    <w:p w14:paraId="2D9046C4">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根据认购/申购费用、销售服务费收取方式的不同，将基金份额分为不同的类别。在投资者认购、申购时收取认购、申购费用，在赎回时根据持有期限收取赎回费用，但不从本类别基金资产中计提销售服务费的基金份额，称为A类基金份额；在投资者认购、申购时不收取认购、申购费用，在赎回时根据持有期限收取赎回费用，且从本类别基金资产中计提销售服务费的基金份额，称为C类基金份额。</w:t>
      </w:r>
    </w:p>
    <w:p w14:paraId="5226D4FD">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本基金A类基金份额和C类基金份额分别设置代码。本基金A类基金份额和C类基金份额将分别计算基金份额净值，计算公式为计算日各类别基金资产净值除以计算日该类别基金份额总数。</w:t>
      </w:r>
    </w:p>
    <w:p w14:paraId="0E08E601">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投资者可自行选择认购、申购的基金份额类别。</w:t>
      </w:r>
    </w:p>
    <w:p w14:paraId="5DA72E6D">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不违反法律法规、基金合同的约定以及对基金份额持有人利益无实质性不利影响的情况下，经与基金托管人协商一致，基金管理人可调整基金份额类别设置、对基金份额分类办法及规则进行调整并依照《信息披露办法》的有关规定在规定媒介上公告，不需要召开基金份额持有人大会。</w:t>
      </w:r>
    </w:p>
    <w:p w14:paraId="150FAE7C">
      <w:pPr>
        <w:spacing w:line="360" w:lineRule="auto"/>
        <w:ind w:firstLine="480" w:firstLineChars="200"/>
        <w:rPr>
          <w:rFonts w:ascii="宋体" w:hAnsi="宋体" w:eastAsia="宋体" w:cs="宋体"/>
          <w:kern w:val="0"/>
          <w:sz w:val="24"/>
          <w:szCs w:val="24"/>
        </w:rPr>
      </w:pPr>
    </w:p>
    <w:p w14:paraId="7B35F254">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十、未来条件许可情况下的基金模式转换</w:t>
      </w:r>
    </w:p>
    <w:p w14:paraId="56A30C45">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若将来本基金管理人</w:t>
      </w:r>
      <w:r>
        <w:rPr>
          <w:rFonts w:ascii="宋体" w:hAnsi="宋体" w:eastAsia="宋体" w:cs="宋体"/>
          <w:kern w:val="0"/>
          <w:sz w:val="24"/>
          <w:szCs w:val="24"/>
        </w:rPr>
        <w:t>同时管理</w:t>
      </w:r>
      <w:r>
        <w:rPr>
          <w:rFonts w:hint="eastAsia" w:ascii="宋体" w:hAnsi="宋体" w:eastAsia="宋体" w:cs="宋体"/>
          <w:kern w:val="0"/>
          <w:sz w:val="24"/>
          <w:szCs w:val="24"/>
        </w:rPr>
        <w:t>跟踪同一标的指数的增强交易型开放式指数证券投资基金（ETF），则基金管理人有权在履行适当程序后使本基金转型为该ETF的联接基金并相应修改合同，届时无需召开基金份额持有人大会但须提前公告。</w:t>
      </w:r>
    </w:p>
    <w:p w14:paraId="57357DEE">
      <w:pPr>
        <w:spacing w:line="360" w:lineRule="auto"/>
        <w:ind w:firstLine="480" w:firstLineChars="200"/>
        <w:rPr>
          <w:rFonts w:ascii="宋体" w:hAnsi="宋体" w:eastAsia="宋体" w:cs="宋体"/>
          <w:kern w:val="0"/>
          <w:sz w:val="24"/>
          <w:szCs w:val="24"/>
        </w:rPr>
      </w:pPr>
    </w:p>
    <w:p w14:paraId="1E47FA06">
      <w:pPr>
        <w:spacing w:line="360" w:lineRule="auto"/>
        <w:ind w:firstLine="480" w:firstLineChars="200"/>
        <w:rPr>
          <w:rFonts w:ascii="宋体" w:hAnsi="宋体" w:eastAsia="宋体" w:cs="宋体"/>
          <w:kern w:val="0"/>
          <w:sz w:val="24"/>
          <w:szCs w:val="24"/>
        </w:rPr>
      </w:pPr>
    </w:p>
    <w:p w14:paraId="191EE621">
      <w:pPr>
        <w:spacing w:line="360" w:lineRule="auto"/>
        <w:ind w:firstLine="480" w:firstLineChars="200"/>
        <w:rPr>
          <w:rFonts w:ascii="宋体" w:hAnsi="宋体" w:eastAsia="宋体" w:cs="宋体"/>
          <w:kern w:val="0"/>
          <w:sz w:val="24"/>
          <w:szCs w:val="24"/>
        </w:rPr>
      </w:pPr>
    </w:p>
    <w:p w14:paraId="6AA337B4">
      <w:pPr>
        <w:spacing w:line="360" w:lineRule="auto"/>
        <w:ind w:firstLine="480" w:firstLineChars="200"/>
        <w:rPr>
          <w:rFonts w:ascii="宋体" w:hAnsi="宋体" w:eastAsia="宋体" w:cs="宋体"/>
          <w:kern w:val="0"/>
          <w:sz w:val="24"/>
          <w:szCs w:val="24"/>
        </w:rPr>
      </w:pPr>
    </w:p>
    <w:p w14:paraId="0C7B1BD1">
      <w:pPr>
        <w:spacing w:line="360" w:lineRule="auto"/>
        <w:ind w:firstLine="480" w:firstLineChars="200"/>
        <w:rPr>
          <w:rFonts w:ascii="宋体" w:hAnsi="宋体" w:eastAsia="宋体" w:cs="宋体"/>
          <w:kern w:val="0"/>
          <w:sz w:val="24"/>
          <w:szCs w:val="24"/>
        </w:rPr>
        <w:sectPr>
          <w:footerReference r:id="rId9" w:type="default"/>
          <w:pgSz w:w="11906" w:h="16838"/>
          <w:pgMar w:top="1440" w:right="1800" w:bottom="1440" w:left="1800" w:header="851" w:footer="992" w:gutter="0"/>
          <w:pgNumType w:start="1"/>
          <w:cols w:space="425" w:num="1"/>
          <w:docGrid w:type="lines" w:linePitch="312" w:charSpace="0"/>
        </w:sectPr>
      </w:pPr>
    </w:p>
    <w:p w14:paraId="3331962E">
      <w:pPr>
        <w:pStyle w:val="3"/>
        <w:spacing w:before="0" w:after="0" w:line="360" w:lineRule="auto"/>
        <w:ind w:firstLine="602" w:firstLineChars="200"/>
        <w:jc w:val="center"/>
        <w:rPr>
          <w:rFonts w:ascii="宋体" w:hAnsi="宋体" w:eastAsia="宋体" w:cs="宋体"/>
          <w:kern w:val="0"/>
          <w:sz w:val="30"/>
          <w:lang w:val="zh-CN"/>
        </w:rPr>
      </w:pPr>
      <w:bookmarkStart w:id="5" w:name="_Toc111811342"/>
      <w:r>
        <w:rPr>
          <w:rFonts w:hint="eastAsia" w:ascii="宋体" w:hAnsi="宋体" w:eastAsia="宋体" w:cs="宋体"/>
          <w:kern w:val="0"/>
          <w:sz w:val="30"/>
          <w:lang w:val="zh-CN"/>
        </w:rPr>
        <w:t>第四部分 基金份额的发售</w:t>
      </w:r>
      <w:bookmarkEnd w:id="5"/>
    </w:p>
    <w:p w14:paraId="464C45AB">
      <w:pPr>
        <w:autoSpaceDE w:val="0"/>
        <w:autoSpaceDN w:val="0"/>
        <w:adjustRightInd w:val="0"/>
        <w:spacing w:line="360" w:lineRule="auto"/>
        <w:ind w:firstLine="480" w:firstLineChars="200"/>
        <w:jc w:val="left"/>
        <w:rPr>
          <w:rFonts w:ascii="宋体" w:hAnsi="宋体" w:eastAsia="宋体" w:cs="宋体"/>
          <w:kern w:val="0"/>
          <w:sz w:val="24"/>
          <w:szCs w:val="24"/>
        </w:rPr>
      </w:pPr>
    </w:p>
    <w:p w14:paraId="1646A49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一、基金份额的发售时间、发售方式、发售对象</w:t>
      </w:r>
    </w:p>
    <w:p w14:paraId="64C5E99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1、发售时间</w:t>
      </w:r>
    </w:p>
    <w:p w14:paraId="13B8EE4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自基金份额发售之日起最长不得超过3个月，具体发售时间见基金份额发售公告。</w:t>
      </w:r>
    </w:p>
    <w:p w14:paraId="021DC8A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2、发售方式</w:t>
      </w:r>
    </w:p>
    <w:p w14:paraId="53A9557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通过各销售机构的基金销售网点公开发售，各销售机构的具体名单见基金份额发售公告以及基金管理人网站。</w:t>
      </w:r>
    </w:p>
    <w:p w14:paraId="7047AC1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3、发售对象</w:t>
      </w:r>
    </w:p>
    <w:p w14:paraId="3D60E01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符合法律法规规定的可投资于证券投资基金的个人投资者、机构投资者、</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合格境外投资者</w:t>
      </w:r>
      <w:r>
        <w:rPr>
          <w:rFonts w:hint="eastAsia" w:ascii="宋体" w:hAnsi="宋体" w:eastAsia="宋体" w:cs="宋体"/>
          <w:kern w:val="0"/>
          <w:sz w:val="24"/>
          <w:szCs w:val="24"/>
        </w:rPr>
        <w:t>以及法律法规或中国证监会允许购买证券投资基金的其他投资人。</w:t>
      </w:r>
    </w:p>
    <w:p w14:paraId="01E662D6">
      <w:pPr>
        <w:spacing w:line="360" w:lineRule="auto"/>
        <w:ind w:firstLine="480" w:firstLineChars="200"/>
        <w:rPr>
          <w:rFonts w:ascii="宋体" w:hAnsi="宋体" w:eastAsia="宋体" w:cs="宋体"/>
          <w:bCs/>
          <w:sz w:val="24"/>
          <w:szCs w:val="20"/>
        </w:rPr>
      </w:pPr>
    </w:p>
    <w:p w14:paraId="65FDB22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二、基金份额的认购</w:t>
      </w:r>
    </w:p>
    <w:p w14:paraId="05FB526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1、认购费用</w:t>
      </w:r>
    </w:p>
    <w:p w14:paraId="5FDE6BA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本基金A类基金份额的认购费率由基金管理人决定，并在招募说明书及基金产品资料概要中列示。基金认购费用不列入基金财产。本基金C类基金份额不收取认购费用。</w:t>
      </w:r>
    </w:p>
    <w:p w14:paraId="34FBECC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2、募集期利息的处理方式</w:t>
      </w:r>
    </w:p>
    <w:p w14:paraId="48EB024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有效认购款项在募集期间产生的利息将折算为基金份额归基金份额持有人所有，其中利息转份额的具体数额以登记机构的记录为准。</w:t>
      </w:r>
    </w:p>
    <w:p w14:paraId="0C56221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3、基金认购份额的计算</w:t>
      </w:r>
    </w:p>
    <w:p w14:paraId="5D6C406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基金认购份额具体的计算方法在招募说明书中列示。</w:t>
      </w:r>
    </w:p>
    <w:p w14:paraId="51E560B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4、认购份额余额的处理方式</w:t>
      </w:r>
    </w:p>
    <w:p w14:paraId="4C8FBA8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认购份额的计算保留到小数点后2位，小数点2位以后的部分四舍五入，由此误差产生的收益或损失由基金财产承担。</w:t>
      </w:r>
    </w:p>
    <w:p w14:paraId="481A505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5、认购申请的确认</w:t>
      </w:r>
    </w:p>
    <w:p w14:paraId="457BF71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销售机构对认购申请的受理并不代表该申请一定成功，而仅代表销售机构确实接收到认购申请。认购申请的确认以登记机构的确认结果为准。对于认购申请及认购份额的确认情况，投资者应及时查询并妥善行使合法权利，否则，由此产生的投资者任何损失由投资者自行承担。</w:t>
      </w:r>
    </w:p>
    <w:p w14:paraId="550E4233">
      <w:pPr>
        <w:autoSpaceDE w:val="0"/>
        <w:autoSpaceDN w:val="0"/>
        <w:adjustRightInd w:val="0"/>
        <w:spacing w:line="360" w:lineRule="auto"/>
        <w:ind w:firstLine="480" w:firstLineChars="200"/>
        <w:rPr>
          <w:rFonts w:ascii="宋体" w:hAnsi="宋体" w:eastAsia="宋体" w:cs="宋体"/>
          <w:kern w:val="0"/>
          <w:sz w:val="24"/>
          <w:szCs w:val="24"/>
        </w:rPr>
      </w:pPr>
    </w:p>
    <w:p w14:paraId="406931F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三、基金份额认购金额的限制</w:t>
      </w:r>
    </w:p>
    <w:p w14:paraId="65FC60B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1、投资人认购时，需按销售机构规定的方式全额缴款。</w:t>
      </w:r>
    </w:p>
    <w:p w14:paraId="28F04FB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2、基金管理人可以对每个基金交易账户的单笔最低认购金额进行限制，具体限制请参看招募说明书或相关公告。</w:t>
      </w:r>
    </w:p>
    <w:p w14:paraId="173FA43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3、基金管理人可以对募集期间的单个投资人的累计认购金额进行限制，具体限制和处理方法请参看招募说明书或相关公告。</w:t>
      </w:r>
    </w:p>
    <w:p w14:paraId="635532D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4、投资者在募集期内可以多次认购基金份额，A类基金份额的认购费按每笔该类基金份额认购申请单独计算，但已受理的认购申请不允许撤销。</w:t>
      </w:r>
    </w:p>
    <w:p w14:paraId="2593622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单一投资者持有本基金份额集中度不得达到或者超过50%，对于可能导致单一投资者持有基金份额的比例达到或者超过50%，或者变相规避50%集中度的情形，基金管理人有权拒绝该等全部或者部分认购申请。法律法规、监管机构另有规定或基金合同另有约定的除外。</w:t>
      </w:r>
    </w:p>
    <w:p w14:paraId="748ADA6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6、本基金可设置首次募集规模上限，具体募集上限及规模控制的方案详见基金份额发售公告或其他公告。若本基金设置首次募集规模上限，基金合同生效后不受首次募集规模的限制。</w:t>
      </w:r>
    </w:p>
    <w:p w14:paraId="22E9941D">
      <w:pPr>
        <w:widowControl/>
        <w:ind w:firstLine="200"/>
        <w:jc w:val="left"/>
        <w:rPr>
          <w:rFonts w:ascii="宋体" w:hAnsi="宋体" w:eastAsia="宋体" w:cs="宋体"/>
          <w:kern w:val="0"/>
          <w:sz w:val="24"/>
          <w:szCs w:val="24"/>
        </w:rPr>
        <w:sectPr>
          <w:footerReference r:id="rId10" w:type="default"/>
          <w:pgSz w:w="11906" w:h="16838"/>
          <w:pgMar w:top="1440" w:right="1800" w:bottom="1440" w:left="1800" w:header="851" w:footer="992" w:gutter="0"/>
          <w:pgNumType w:start="1"/>
          <w:cols w:space="425" w:num="1"/>
          <w:docGrid w:type="lines" w:linePitch="312" w:charSpace="0"/>
        </w:sectPr>
      </w:pPr>
    </w:p>
    <w:p w14:paraId="17A2B34D">
      <w:pPr>
        <w:pStyle w:val="3"/>
        <w:spacing w:before="0" w:after="0" w:line="360" w:lineRule="auto"/>
        <w:ind w:firstLine="602" w:firstLineChars="200"/>
        <w:jc w:val="center"/>
        <w:rPr>
          <w:rFonts w:ascii="宋体" w:hAnsi="宋体" w:eastAsia="宋体" w:cs="宋体"/>
          <w:kern w:val="0"/>
          <w:sz w:val="30"/>
          <w:lang w:val="zh-CN"/>
        </w:rPr>
      </w:pPr>
      <w:bookmarkStart w:id="6" w:name="_Toc111811343"/>
      <w:r>
        <w:rPr>
          <w:rFonts w:hint="eastAsia" w:ascii="宋体" w:hAnsi="宋体" w:eastAsia="宋体" w:cs="宋体"/>
          <w:kern w:val="0"/>
          <w:sz w:val="30"/>
          <w:lang w:val="zh-CN"/>
        </w:rPr>
        <w:t>第五部分 基金备案</w:t>
      </w:r>
      <w:bookmarkEnd w:id="6"/>
    </w:p>
    <w:p w14:paraId="16523308">
      <w:pPr>
        <w:autoSpaceDE w:val="0"/>
        <w:autoSpaceDN w:val="0"/>
        <w:adjustRightInd w:val="0"/>
        <w:spacing w:line="360" w:lineRule="auto"/>
        <w:ind w:firstLine="480" w:firstLineChars="200"/>
        <w:jc w:val="left"/>
        <w:rPr>
          <w:rFonts w:ascii="宋体" w:hAnsi="宋体" w:eastAsia="宋体" w:cs="宋体"/>
          <w:kern w:val="0"/>
          <w:sz w:val="24"/>
          <w:szCs w:val="24"/>
        </w:rPr>
      </w:pPr>
    </w:p>
    <w:p w14:paraId="41E4A23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一、基金备案的条件</w:t>
      </w:r>
    </w:p>
    <w:p w14:paraId="159B105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自基金份额发售之日起3个月内，在基金募集份额总额不少于2亿份，基金募集金额不少于2亿元人民币且基金认购人数不少于200人的条件下，基金募集期届满或者基金管理人可以依据法律法规及招募说明书的规定决定停止基金发售，并在10日内聘请法定验资机构验资，基金管理人自收到验资报告之日起10日内，向中国证监会办理基金备案手续。</w:t>
      </w:r>
    </w:p>
    <w:p w14:paraId="52A5841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r>
        <w:rPr>
          <w:rFonts w:hint="eastAsia" w:ascii="宋体" w:hAnsi="宋体" w:eastAsia="宋体" w:cs="宋体"/>
          <w:bCs/>
          <w:sz w:val="24"/>
        </w:rPr>
        <w:t>基金管理人应将基金募集期间募集的资金存入专门账户，</w:t>
      </w:r>
      <w:r>
        <w:rPr>
          <w:rFonts w:hint="eastAsia" w:ascii="宋体" w:hAnsi="宋体" w:eastAsia="宋体" w:cs="宋体"/>
          <w:kern w:val="0"/>
          <w:sz w:val="24"/>
          <w:szCs w:val="24"/>
        </w:rPr>
        <w:t>在基金募集行为结束前，任何人不得动用。</w:t>
      </w:r>
    </w:p>
    <w:p w14:paraId="19E743A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二、基金合同不能生效时募集资金的处理方式</w:t>
      </w:r>
    </w:p>
    <w:p w14:paraId="05698B2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如果募集期限届满，未满足基金备案条件，基金管理人应当承担下列责任：</w:t>
      </w:r>
    </w:p>
    <w:p w14:paraId="6876014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1、以其固有财产承担因募集行为而产生的债务和费用；</w:t>
      </w:r>
    </w:p>
    <w:p w14:paraId="056AAE8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2、在基金募集期限届满后30日内返还投资者已交纳的款项，并加计银行同期活期存款利息；</w:t>
      </w:r>
    </w:p>
    <w:p w14:paraId="5038859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3、如基金募集失败，基金管理人、基金托管人及销售机构不得请求报酬。基金管理人、基金托管人和销售机构为基金募集支付之一切费用应由各方各自承担。</w:t>
      </w:r>
    </w:p>
    <w:p w14:paraId="6FB4955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三、基金存续期内的基金份额持有人数量和资产规模</w:t>
      </w:r>
    </w:p>
    <w:p w14:paraId="5BD46681">
      <w:pPr>
        <w:autoSpaceDE w:val="0"/>
        <w:autoSpaceDN w:val="0"/>
        <w:adjustRightInd w:val="0"/>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基金合同》生效后，连续20个工作日出现基金份额持有人数量不满200人或者基金资产净值低于5000万元情形的，基金管理人应当在定期报告中予以披露；连续60个工作日出现前述情形的，基金管理人应当在十个工作日内向中国证监会报告并提出解决方案，如持续运作、转换运作方式、与其他基金合并或者终止基金合同等，并在六个月内召集基金份额持有人大会。</w:t>
      </w:r>
    </w:p>
    <w:p w14:paraId="73F4BE9C">
      <w:pPr>
        <w:autoSpaceDE w:val="0"/>
        <w:autoSpaceDN w:val="0"/>
        <w:adjustRightInd w:val="0"/>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法律法规或中国证监会另有规定时，从其规定。</w:t>
      </w:r>
    </w:p>
    <w:p w14:paraId="5CC56105">
      <w:pPr>
        <w:widowControl/>
        <w:ind w:firstLine="200"/>
        <w:jc w:val="left"/>
        <w:rPr>
          <w:rFonts w:ascii="宋体" w:hAnsi="宋体" w:eastAsia="宋体" w:cs="宋体"/>
          <w:kern w:val="0"/>
          <w:sz w:val="24"/>
          <w:szCs w:val="24"/>
        </w:rPr>
        <w:sectPr>
          <w:footerReference r:id="rId11" w:type="default"/>
          <w:pgSz w:w="11906" w:h="16838"/>
          <w:pgMar w:top="1440" w:right="1800" w:bottom="1440" w:left="1800" w:header="851" w:footer="992" w:gutter="0"/>
          <w:pgNumType w:start="1"/>
          <w:cols w:space="425" w:num="1"/>
          <w:docGrid w:type="lines" w:linePitch="312" w:charSpace="0"/>
        </w:sectPr>
      </w:pPr>
    </w:p>
    <w:p w14:paraId="25BCBCB2">
      <w:pPr>
        <w:pStyle w:val="3"/>
        <w:spacing w:before="0" w:after="0" w:line="360" w:lineRule="auto"/>
        <w:ind w:firstLine="602" w:firstLineChars="200"/>
        <w:jc w:val="center"/>
        <w:rPr>
          <w:rFonts w:ascii="宋体" w:hAnsi="宋体" w:eastAsia="宋体" w:cs="宋体"/>
          <w:kern w:val="0"/>
          <w:sz w:val="30"/>
          <w:lang w:val="zh-CN"/>
        </w:rPr>
      </w:pPr>
      <w:bookmarkStart w:id="7" w:name="_Toc111811344"/>
      <w:r>
        <w:rPr>
          <w:rFonts w:hint="eastAsia" w:ascii="宋体" w:hAnsi="宋体" w:eastAsia="宋体" w:cs="宋体"/>
          <w:kern w:val="0"/>
          <w:sz w:val="30"/>
          <w:lang w:val="zh-CN"/>
        </w:rPr>
        <w:t>第六部分 基金份额的申购与赎回</w:t>
      </w:r>
      <w:bookmarkEnd w:id="7"/>
    </w:p>
    <w:p w14:paraId="20C2142E">
      <w:pPr>
        <w:autoSpaceDE w:val="0"/>
        <w:autoSpaceDN w:val="0"/>
        <w:adjustRightInd w:val="0"/>
        <w:spacing w:line="360" w:lineRule="auto"/>
        <w:ind w:firstLine="480" w:firstLineChars="200"/>
        <w:jc w:val="left"/>
        <w:rPr>
          <w:rFonts w:ascii="宋体" w:hAnsi="宋体" w:eastAsia="宋体" w:cs="宋体"/>
          <w:kern w:val="0"/>
          <w:sz w:val="24"/>
          <w:szCs w:val="24"/>
        </w:rPr>
      </w:pPr>
    </w:p>
    <w:p w14:paraId="10FC6F4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一、申购和赎回场所</w:t>
      </w:r>
    </w:p>
    <w:p w14:paraId="133396D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的申购与赎回将通过销售机构进行。具体的销售机构将由基金管理人在招募说明书或基金管理人网站公示。基金管理人可根据情况变更或增减销售机构。基金投资者应当在销售机构办理基金销售业务的营业场所或按销售机构提供的其他方式办理基金份额的申购与赎回。</w:t>
      </w:r>
    </w:p>
    <w:p w14:paraId="628B9FE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二、申购和赎回的开放日及时间</w:t>
      </w:r>
    </w:p>
    <w:p w14:paraId="04428F2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1、开放日及开放时间</w:t>
      </w:r>
    </w:p>
    <w:p w14:paraId="7755588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资人在开放日办理基金份额的申购和赎回，具体办理时间为上海证券交易所、深圳证券交易所及相关期货交易所的正常交易日的交易时间（若本基金参与港股通交易且该工作日为非港股通交易日时，则基金管理人可根据实际情况决定本基金是否暂停申购、赎回及转换业务，具体以届时提前发布的公告为准），但基金管理人根据法律法规、中国证监会的要求或本基金合同的规定公告暂停申购、赎回时除外。</w:t>
      </w:r>
    </w:p>
    <w:p w14:paraId="2523BDD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157999A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2、申购、赎回开始日及业务办理时间</w:t>
      </w:r>
    </w:p>
    <w:p w14:paraId="409B443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基金管理人可根据实际情况依法决定本基金开始办理申购的具体日期，具体业务办理时间在申购开始公告中规定。</w:t>
      </w:r>
    </w:p>
    <w:p w14:paraId="4C8651D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基金管理人自基金合同生效之日起不超过3个月开始办理赎回，具体业务办理时间在赎回开始公告中规定。</w:t>
      </w:r>
    </w:p>
    <w:p w14:paraId="6423860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在确定申购开始与赎回开始时间后，基金管理人应在申购、赎回开放日前依照《信息披露办法》的有关规定在规定媒介上公告申购与赎回的开始时间。</w:t>
      </w:r>
    </w:p>
    <w:p w14:paraId="44DB46D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别基金份额申购、赎回的价格。</w:t>
      </w:r>
    </w:p>
    <w:p w14:paraId="7F7C847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三、申购与赎回的原则</w:t>
      </w:r>
    </w:p>
    <w:p w14:paraId="6DB0EEB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1、“未知价”原则，即申购、赎回价格以申请当日收市后计算的该类别基金份额净值为基准进行计算；</w:t>
      </w:r>
    </w:p>
    <w:p w14:paraId="41FB298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2、“金额申购、份额赎回”原则，即申购以金额申请，赎回以份额申请；</w:t>
      </w:r>
    </w:p>
    <w:p w14:paraId="3EEBC47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3、当日的申购与赎回申请可以在基金管理人规定的时间以内撤销；</w:t>
      </w:r>
    </w:p>
    <w:p w14:paraId="418D421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4、赎回遵循“先进先出”原则，即按照投资人认购、申购的先后次序进行顺序赎回；</w:t>
      </w:r>
    </w:p>
    <w:p w14:paraId="7F3DEE5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5、办理申购、赎回业务时，应当遵循基金份额持有人利益优先原则，确保投资者的合法权益不受损害并得到公平对待。</w:t>
      </w:r>
    </w:p>
    <w:p w14:paraId="0EADC64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基金管理人可在不违反法律法规的情况下，对上述原则进行调整。基金管理人必须在新规则开始实施前依照《信息披露办法》的有关规定在规定媒介上公告。</w:t>
      </w:r>
    </w:p>
    <w:p w14:paraId="65F819C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四、申购与赎回的程序</w:t>
      </w:r>
    </w:p>
    <w:p w14:paraId="5F64B4C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1、申购和赎回的申请方式</w:t>
      </w:r>
    </w:p>
    <w:p w14:paraId="38DC222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投资人必须根据销售机构规定的程序，在开放日的具体业务办理时间内提出申购或赎回的申请。</w:t>
      </w:r>
    </w:p>
    <w:p w14:paraId="6B852A2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2、申购和赎回的款项支付</w:t>
      </w:r>
    </w:p>
    <w:p w14:paraId="111B970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投资人申购基金份额时，必须全额交付申购款项，投资人交付申购款项，申购成立；基金份额登记机构确认基金份额时，申购生效。</w:t>
      </w:r>
    </w:p>
    <w:p w14:paraId="0B2E59F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sz w:val="24"/>
        </w:rPr>
        <w:t>基金份额持有人递交赎回申请，赎回成立；</w:t>
      </w:r>
      <w:r>
        <w:rPr>
          <w:rFonts w:hint="eastAsia" w:ascii="宋体" w:hAnsi="宋体" w:eastAsia="宋体" w:cs="宋体"/>
          <w:sz w:val="24"/>
          <w:lang w:val="zh-CN"/>
        </w:rPr>
        <w:t>基金份额</w:t>
      </w:r>
      <w:r>
        <w:rPr>
          <w:rFonts w:hint="eastAsia" w:ascii="宋体" w:hAnsi="宋体" w:eastAsia="宋体" w:cs="宋体"/>
          <w:kern w:val="0"/>
          <w:sz w:val="24"/>
          <w:szCs w:val="24"/>
        </w:rPr>
        <w:t>登记机构确认赎回时，赎回生效。</w:t>
      </w:r>
    </w:p>
    <w:p w14:paraId="7152F4F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投资者的赎回申请生效后，基金管理人将在T＋7日（包括该日）内支付赎回款项。在发生巨额赎回或本基金合同载明的其它暂停赎回或延缓支付赎回款项的情形时，款项的支付办法参照本基金合同有关条款处理。</w:t>
      </w:r>
    </w:p>
    <w:p w14:paraId="087A6D0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遇交易所或交易市场数据传输延迟、通讯系统故障、银行数据交换系统故障、港股通交易系统故障、港股通资金交收规则限制或其他非基金管理人及基金托管人所能控制的因素影响业务处理流程，则赎回款项划付时间相应顺延。</w:t>
      </w:r>
    </w:p>
    <w:p w14:paraId="3134CE1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3、申购和赎回申请的确认</w:t>
      </w:r>
    </w:p>
    <w:p w14:paraId="4022363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立或无效，则申购款项本金退还给投资人。</w:t>
      </w:r>
    </w:p>
    <w:p w14:paraId="3163E02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基金销售机构受理申请并不代表该申请一定成功，而仅代表销售机构确实接收到该申请。申购和赎回申请的确认以基金登记机构的确认结果为准。对于申购、赎回申请的确认情况，投资者应及时查询。</w:t>
      </w:r>
    </w:p>
    <w:p w14:paraId="38751A8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基金管理人可以在不违反法律法规和基金合同的范围内，对上述业务办理时间进行调整，并在调整实施前依照《信息披露办法》的有关规定在规定媒介上公告。</w:t>
      </w:r>
    </w:p>
    <w:p w14:paraId="4527A04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五、申购和赎回的数量限制</w:t>
      </w:r>
    </w:p>
    <w:p w14:paraId="7FE0BD2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1、基金管理人可以规定投资人首次申购和每次申购的最低金额以及每次赎回的最低份额，具体规定请参见招募说明书或相关公告。</w:t>
      </w:r>
    </w:p>
    <w:p w14:paraId="2F002D8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2、基金管理人可以规定投资人每个基金交易账户的最低基金份额余额，具体规定请参见招募说明书或相关公告。</w:t>
      </w:r>
    </w:p>
    <w:p w14:paraId="0467AED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3、基金管理人可以规定单个投资人累计持有的基金份额上限，具体规定请参见招募说明书或相关公告。</w:t>
      </w:r>
    </w:p>
    <w:p w14:paraId="7A010D3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AD4DD0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5、基金管理人可在不违反法律法规的情况下，调整上述规定申购金额和赎回份额等数量限制。基金管理人必须在调整前依照《信息披露办法》的有关规定在规定媒介上公告。</w:t>
      </w:r>
    </w:p>
    <w:p w14:paraId="5FDE083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六、申购和赎回的价格、费用及其用途</w:t>
      </w:r>
    </w:p>
    <w:p w14:paraId="2B2790E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本基金各类基金份额净值的计算，均保留到小数点后4位，小数点后第5位四舍五入，由此产生的收益或损失由基金财产承担。T日的各类基金份额净值在当天收市后计算，并按基金合同的约定公告。遇特殊情况，经履行适当程序，可以适当延迟计算或公告。</w:t>
      </w:r>
    </w:p>
    <w:p w14:paraId="2AA54BB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申购份额的计算及余额的处理方式：本基金申购份额的计算详见《招募说明书》。本基金A类基金份额的申购费率由基金管理人决定，并在招募说明书及基金产品资料概要中列示。申购的有效份额为净申购金额除以当日该类基金份额的基金份额净值，有效份额单位为份，上述计算结果均按四舍五入方法，保留到小数点后2位，由此产生的收益或损失由基金财产承担。</w:t>
      </w:r>
    </w:p>
    <w:p w14:paraId="13CBE0A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赎回金额的计算及处理方式：本基金赎回金额的计算详见《招募说明书》。本基金的赎回费率由基金管理人决定，并在招募说明书及基金产品资料概要中列示。赎回金额为按实际确认的有效赎回份额乘以当日该类基金份额的基金份额净值并扣除相应的费用，赎回金额单位为元。上述计算结果均按四舍五入方法，保留到小数点后2位，由此产生的收益或损失由基金财产承担。</w:t>
      </w:r>
    </w:p>
    <w:p w14:paraId="6E93407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4、本基金A类基金份额的申购费用由申购A类基金份额的投资人承担，不列入基金财产；C类基金份额不收取申购费用。</w:t>
      </w:r>
    </w:p>
    <w:p w14:paraId="1403423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5、赎回费用由赎回基金份额的基金份额持有人承担，在基金份额持有人赎回基金份额时收取。赎回费用归入基金财产的比例依</w:t>
      </w:r>
      <w:r>
        <w:rPr>
          <w:rFonts w:hint="eastAsia" w:ascii="宋体" w:hAnsi="宋体" w:eastAsia="宋体" w:cs="宋体"/>
          <w:sz w:val="24"/>
        </w:rPr>
        <w:t>照相关法律法规设定，具体</w:t>
      </w:r>
      <w:r>
        <w:rPr>
          <w:rFonts w:hint="eastAsia" w:ascii="宋体" w:hAnsi="宋体" w:eastAsia="宋体" w:cs="宋体"/>
          <w:kern w:val="0"/>
          <w:sz w:val="24"/>
        </w:rPr>
        <w:t>见招募说明书</w:t>
      </w:r>
      <w:r>
        <w:rPr>
          <w:rFonts w:hint="eastAsia" w:ascii="宋体" w:hAnsi="宋体" w:eastAsia="宋体" w:cs="宋体"/>
          <w:sz w:val="24"/>
        </w:rPr>
        <w:t>的规定</w:t>
      </w:r>
      <w:r>
        <w:rPr>
          <w:rFonts w:hint="eastAsia" w:ascii="宋体" w:hAnsi="宋体" w:eastAsia="宋体" w:cs="宋体"/>
          <w:kern w:val="0"/>
          <w:sz w:val="24"/>
          <w:szCs w:val="24"/>
        </w:rPr>
        <w:t>，未归入基金财产的部分用于支付登记费和其他必要的手续费。其中，对持续持有期少于7日的投资者收取不低于1.5%的赎回费，并全额计入基金财产。</w:t>
      </w:r>
    </w:p>
    <w:p w14:paraId="7D523EA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本基金A类基金份额的申购费率、A类基金份额和C类基金份额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3D5B03D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7、当本基金发生大额申购或赎回情形时，基金管理人可以采用摆动定价机制以确保基金估值的公平性。具体处理原则与操作规范遵循相关法律法规以及监管部门、自律规则的规定。</w:t>
      </w:r>
    </w:p>
    <w:p w14:paraId="7F01D8D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基金管理人可以在不违背法律法规规定及基金合同约定并对现有份额持有人利益无实质性不利影响的情况下，根据市场情况制定基金促销计划，定期或不定期地开展基金促销活动。在基金促销活动期间，基金管理人可以按中国证监会要求履行必要手续后，对基金投资者适当调低基金申购费率、赎回费率和销售服务费率。</w:t>
      </w:r>
    </w:p>
    <w:p w14:paraId="04813A4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七、拒绝或暂停申购的情形</w:t>
      </w:r>
    </w:p>
    <w:p w14:paraId="65FD8386">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发生下列情况时，基金管理人可拒绝或暂停接受投资人的申购申请：</w:t>
      </w:r>
    </w:p>
    <w:p w14:paraId="08D260F1">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1、因不可抗力导致基金无法正常运作。</w:t>
      </w:r>
    </w:p>
    <w:p w14:paraId="7A8C0385">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2、发生基金合同规定的暂停基金资产估值情况时。</w:t>
      </w:r>
    </w:p>
    <w:p w14:paraId="46DCE3F3">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3、证券、期货交易所或外汇市场交易时间非正常停市，导致基金管理人无法计算当日基金资产净值。</w:t>
      </w:r>
    </w:p>
    <w:p w14:paraId="48FD514E">
      <w:pPr>
        <w:spacing w:line="360" w:lineRule="auto"/>
        <w:ind w:firstLine="480" w:firstLineChars="200"/>
        <w:rPr>
          <w:rFonts w:ascii="宋体" w:hAnsi="宋体" w:eastAsia="宋体" w:cs="宋体"/>
          <w:bCs/>
          <w:sz w:val="24"/>
          <w:szCs w:val="24"/>
        </w:rPr>
      </w:pPr>
      <w:bookmarkStart w:id="8" w:name="_Hlt70481650"/>
      <w:bookmarkEnd w:id="8"/>
      <w:r>
        <w:rPr>
          <w:rFonts w:hint="eastAsia" w:ascii="宋体" w:hAnsi="宋体" w:eastAsia="宋体" w:cs="宋体"/>
          <w:bCs/>
          <w:sz w:val="24"/>
          <w:szCs w:val="24"/>
        </w:rPr>
        <w:t>4、基金管理人接受某笔或某些申购申请可能会影响或损害现有基金份额持有人利益或对存量基金份额持有人利益构成潜在重大不利影响时。</w:t>
      </w:r>
    </w:p>
    <w:p w14:paraId="49268527">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5、基金资产规模过大，使基金管理人无法找到合适的投资品种，或其他可能对基金业绩产生负面影响，或发生其他损害现有基金份额持有人利益的情形。</w:t>
      </w:r>
    </w:p>
    <w:p w14:paraId="7857F6F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6、基金管理人、基金托管人、销售机构或登记机构的技术故障等异常情况导致基金销售系统、基金注册登记系统或基金会计系统无法正常运行。</w:t>
      </w:r>
    </w:p>
    <w:p w14:paraId="1C79B09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67F5E283">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8、基金管理人接受某笔或者某些申购申请有可能导致单一投资者持有基金份额的比例达到或者超过50%，或者变相规避50%集中度的情形时。</w:t>
      </w:r>
    </w:p>
    <w:p w14:paraId="591F33AA">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9、港股通的业务规则发生重大变化时。</w:t>
      </w:r>
    </w:p>
    <w:p w14:paraId="781AB310">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10、法律法规规定或中国证监会认定的其他情形。</w:t>
      </w:r>
    </w:p>
    <w:p w14:paraId="4010B978">
      <w:pPr>
        <w:spacing w:line="360" w:lineRule="auto"/>
        <w:ind w:firstLine="480" w:firstLineChars="200"/>
        <w:rPr>
          <w:rFonts w:ascii="宋体" w:hAnsi="宋体" w:eastAsia="宋体" w:cs="宋体"/>
          <w:sz w:val="24"/>
          <w:szCs w:val="20"/>
        </w:rPr>
      </w:pPr>
      <w:r>
        <w:rPr>
          <w:rFonts w:hint="eastAsia" w:ascii="宋体" w:hAnsi="宋体" w:eastAsia="宋体" w:cs="宋体"/>
          <w:bCs/>
          <w:sz w:val="24"/>
          <w:szCs w:val="24"/>
        </w:rPr>
        <w:t>发生上述第1、2、3、5、6、7、9、10项暂停申购情形之一且基金管理人决定暂停接受投资人的申购申请时，基金管理人应当根据有关规定在规定媒介上刊登暂停申购公告。如果投资人的申购申请被全部或部分拒绝，被拒绝的申购款项本金将退还给投资人。在暂停申购的情况消除时，基金管理人应及时恢复申购业务的办理。</w:t>
      </w:r>
    </w:p>
    <w:p w14:paraId="7DAFA2C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八、暂停赎回或延缓支付赎回款项的情形</w:t>
      </w:r>
    </w:p>
    <w:p w14:paraId="719FCB3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发生下列情形时，基金管理人可暂停接受投资人的赎回申请或延缓支付赎回款项：</w:t>
      </w:r>
    </w:p>
    <w:p w14:paraId="560F4394">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1、因不可抗力导致基金管理人不能支付赎回款项。</w:t>
      </w:r>
    </w:p>
    <w:p w14:paraId="76AE5288">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2、发生基金合同规定的暂停基金资产估值情况时。</w:t>
      </w:r>
    </w:p>
    <w:p w14:paraId="14252746">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3、证券、期货交易所或外汇市场交易时间非正常停市，导致基金管理人无法计算当日基金资产</w:t>
      </w:r>
      <w:bookmarkStart w:id="9" w:name="_Hlt152500890"/>
      <w:r>
        <w:rPr>
          <w:rFonts w:hint="eastAsia" w:ascii="宋体" w:hAnsi="宋体" w:eastAsia="宋体" w:cs="宋体"/>
          <w:bCs/>
          <w:sz w:val="24"/>
          <w:szCs w:val="24"/>
        </w:rPr>
        <w:t>净值。</w:t>
      </w:r>
    </w:p>
    <w:p w14:paraId="2342759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4、连续两个或两个以上开放日发生巨额赎回。</w:t>
      </w:r>
    </w:p>
    <w:bookmarkEnd w:id="9"/>
    <w:p w14:paraId="64106B8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5、发生继续接受赎回申请将损害现有基金份额持有人利益的情形。</w:t>
      </w:r>
    </w:p>
    <w:p w14:paraId="6DCB579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355CE4EC">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7、法律法规规定或中国证监会认定的其他情形。</w:t>
      </w:r>
    </w:p>
    <w:p w14:paraId="1EA0DF88">
      <w:pPr>
        <w:spacing w:line="360" w:lineRule="auto"/>
        <w:ind w:firstLine="480" w:firstLineChars="200"/>
        <w:rPr>
          <w:rFonts w:ascii="宋体" w:hAnsi="宋体" w:eastAsia="宋体" w:cs="宋体"/>
          <w:sz w:val="24"/>
          <w:szCs w:val="20"/>
        </w:rPr>
      </w:pPr>
      <w:r>
        <w:rPr>
          <w:rFonts w:hint="eastAsia" w:ascii="宋体" w:hAnsi="宋体" w:eastAsia="宋体" w:cs="宋体"/>
          <w:bCs/>
          <w:sz w:val="24"/>
          <w:szCs w:val="24"/>
        </w:rPr>
        <w:t>发生上述情形之一（第4项除外）且基金管理人决定暂停赎回或延缓支付赎回款项时，基金管理人应按规定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42B5F20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九、巨额赎回的情形及处理方式</w:t>
      </w:r>
    </w:p>
    <w:p w14:paraId="4A27448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1、巨额赎回的认定</w:t>
      </w:r>
    </w:p>
    <w:p w14:paraId="502DA22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4A5271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2、巨额赎回的处理方式</w:t>
      </w:r>
    </w:p>
    <w:p w14:paraId="4E8B35D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当基金出现巨额赎回时，基金管理人可以根据基金当时的资产组合状况决定全额赎回、部分延期赎回或暂停赎回。</w:t>
      </w:r>
    </w:p>
    <w:p w14:paraId="0E04568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（1）全额赎回：当基金管理人认为有能力支付投资人的全部赎回申请时，按正常赎回程序执行。</w:t>
      </w:r>
    </w:p>
    <w:p w14:paraId="3322903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1BA5962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本基金发生巨额赎回时，对于单个基金份额持有人当日赎回申请超过上一开放日基金总份额10%以上的部分，基金管理人有权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开放日基金总份额10％的部分，基金管理人根据前段“（1）全额赎回”或“（2）部分延期赎回”的约定方式与其他基金份额持有人的赎回申请一并办理。但是，如该持有人在提交赎回申请时选择取消赎回，则其当日未获受理的部分赎回申请将被撤销。</w:t>
      </w:r>
    </w:p>
    <w:p w14:paraId="59DCC20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暂停赎回：连续2个开放日以上（含2个开放日）发生巨额赎回，如基金管理人认为有必要，可暂停接受基金的赎回申请；已经接受的赎回申请可以延缓支付赎回款项，但不得超过20个工作日，并应当在规定媒介上进行公告。</w:t>
      </w:r>
    </w:p>
    <w:p w14:paraId="3ADF18B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3、巨额赎回的公告</w:t>
      </w:r>
    </w:p>
    <w:p w14:paraId="6217E54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当发生上述巨额赎回并延期办理时，基金管理人应当通过邮寄、传真或者招募说明书规定的其他方式在3个交易日内通知基金份额持有人，说明有关处理方法，并在2日内在规定媒介上刊登公告。</w:t>
      </w:r>
    </w:p>
    <w:p w14:paraId="5EC62B8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十、暂停申购或赎回的公告和重新开放申购或赎回的公告</w:t>
      </w:r>
    </w:p>
    <w:p w14:paraId="43BB764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1、发生上述暂停申购或赎回情况的，基金管理人应在规定期限内在规定媒介上刊登暂停公告。</w:t>
      </w:r>
    </w:p>
    <w:p w14:paraId="0067236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4097CB2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3、上述暂停申购或赎回情况消除的，基金管理人应于重新开放日公布最近1个开放日各类基金份额净值。</w:t>
      </w:r>
    </w:p>
    <w:p w14:paraId="2439E11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十一、基金转换</w:t>
      </w:r>
    </w:p>
    <w:p w14:paraId="1978B19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0DCC2F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十二、基金份额的转让</w:t>
      </w:r>
    </w:p>
    <w:p w14:paraId="3EE3E7E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C01E5F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十三、基金的非交易过户</w:t>
      </w:r>
    </w:p>
    <w:p w14:paraId="06D5161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DB16CB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EFEC8C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十四、基金的转托管</w:t>
      </w:r>
    </w:p>
    <w:p w14:paraId="148468F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基金份额持有人可办理已持有基金份额在不同销售机构之间的转托管，基金销售机构可以按照规定的标准收取转托管费。</w:t>
      </w:r>
    </w:p>
    <w:p w14:paraId="1FE0150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十五、定期定额投资计划</w:t>
      </w:r>
    </w:p>
    <w:p w14:paraId="1042137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35DA23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十六、基金份额的冻结和解冻与质押</w:t>
      </w:r>
    </w:p>
    <w:p w14:paraId="44233BC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3EFB24C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对基金份额持有人无实质不利影响的前提下，如相关法律法规允许，基金管理人履行相关程序后可办理基金份额的质押业务或其他基金业务，基金管理人将制定和实施相应的业务规则。</w:t>
      </w:r>
    </w:p>
    <w:p w14:paraId="303D2B7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十七、实施侧袋机制期间本基金的申购与赎回</w:t>
      </w:r>
    </w:p>
    <w:p w14:paraId="7611591A">
      <w:pPr>
        <w:widowControl/>
        <w:autoSpaceDE w:val="0"/>
        <w:autoSpaceDN w:val="0"/>
        <w:adjustRightInd w:val="0"/>
        <w:spacing w:line="360" w:lineRule="auto"/>
        <w:ind w:firstLine="480" w:firstLineChars="200"/>
        <w:rPr>
          <w:rFonts w:ascii="宋体" w:hAnsi="宋体" w:eastAsia="宋体" w:cs="宋体"/>
          <w:kern w:val="0"/>
          <w:sz w:val="24"/>
          <w:szCs w:val="24"/>
        </w:rPr>
        <w:sectPr>
          <w:footerReference r:id="rId12"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kern w:val="0"/>
          <w:sz w:val="24"/>
          <w:szCs w:val="24"/>
        </w:rPr>
        <w:t>本基金实施侧袋机制的，本基金的申购和赎回安排详见招募说明书或相关公告。</w:t>
      </w:r>
    </w:p>
    <w:p w14:paraId="6DC4EA8D">
      <w:pPr>
        <w:pStyle w:val="3"/>
        <w:spacing w:before="0" w:after="0" w:line="360" w:lineRule="auto"/>
        <w:ind w:firstLine="602" w:firstLineChars="200"/>
        <w:jc w:val="center"/>
        <w:rPr>
          <w:rFonts w:ascii="宋体" w:hAnsi="宋体" w:eastAsia="宋体" w:cs="宋体"/>
          <w:kern w:val="0"/>
          <w:sz w:val="30"/>
          <w:lang w:val="zh-CN"/>
        </w:rPr>
      </w:pPr>
      <w:bookmarkStart w:id="10" w:name="_Toc111811345"/>
      <w:r>
        <w:rPr>
          <w:rFonts w:hint="eastAsia" w:ascii="宋体" w:hAnsi="宋体" w:eastAsia="宋体" w:cs="宋体"/>
          <w:kern w:val="0"/>
          <w:sz w:val="30"/>
          <w:lang w:val="zh-CN"/>
        </w:rPr>
        <w:t>第七部分 基金合同当事人及权利义务</w:t>
      </w:r>
      <w:bookmarkEnd w:id="10"/>
    </w:p>
    <w:p w14:paraId="2204E47B">
      <w:pPr>
        <w:autoSpaceDE w:val="0"/>
        <w:autoSpaceDN w:val="0"/>
        <w:adjustRightInd w:val="0"/>
        <w:spacing w:line="360" w:lineRule="auto"/>
        <w:ind w:firstLine="480" w:firstLineChars="200"/>
        <w:jc w:val="left"/>
        <w:rPr>
          <w:rFonts w:ascii="宋体" w:hAnsi="宋体" w:eastAsia="宋体" w:cs="宋体"/>
          <w:kern w:val="0"/>
          <w:sz w:val="24"/>
          <w:szCs w:val="24"/>
        </w:rPr>
      </w:pPr>
    </w:p>
    <w:p w14:paraId="6B35339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一、基金管理人</w:t>
      </w:r>
    </w:p>
    <w:p w14:paraId="1B2C30E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kern w:val="0"/>
          <w:sz w:val="24"/>
          <w:szCs w:val="24"/>
        </w:rPr>
        <w:tab/>
      </w:r>
      <w:r>
        <w:rPr>
          <w:rFonts w:hint="eastAsia" w:ascii="宋体" w:hAnsi="宋体" w:eastAsia="宋体" w:cs="宋体"/>
          <w:kern w:val="0"/>
          <w:sz w:val="24"/>
          <w:szCs w:val="24"/>
        </w:rPr>
        <w:t>基金管理人简况</w:t>
      </w:r>
    </w:p>
    <w:p w14:paraId="3E04216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名称：博时基金管理有限公司</w:t>
      </w:r>
    </w:p>
    <w:p w14:paraId="7E7D6CA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住所：深圳市福田区莲花街道福新社区益田路5999号基金大厦21层</w:t>
      </w:r>
    </w:p>
    <w:p w14:paraId="0BE0188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法定代表人：江向阳</w:t>
      </w:r>
    </w:p>
    <w:p w14:paraId="3CE7999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设立日期： 1998年7月13日</w:t>
      </w:r>
    </w:p>
    <w:p w14:paraId="233A253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批准设立机关及批准设立文号：中国证监会证监基字【1998】26号</w:t>
      </w:r>
    </w:p>
    <w:p w14:paraId="27CCFB0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组织形式：有限责任公司</w:t>
      </w:r>
    </w:p>
    <w:p w14:paraId="50E7A25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注册资本： 2.5亿元人民币</w:t>
      </w:r>
    </w:p>
    <w:p w14:paraId="2328B77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存续期限： 持续经营</w:t>
      </w:r>
    </w:p>
    <w:p w14:paraId="306F1FC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联系电话：0755-83169999</w:t>
      </w:r>
    </w:p>
    <w:p w14:paraId="709685D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kern w:val="0"/>
          <w:sz w:val="24"/>
          <w:szCs w:val="24"/>
        </w:rPr>
        <w:tab/>
      </w:r>
      <w:r>
        <w:rPr>
          <w:rFonts w:hint="eastAsia" w:ascii="宋体" w:hAnsi="宋体" w:eastAsia="宋体" w:cs="宋体"/>
          <w:kern w:val="0"/>
          <w:sz w:val="24"/>
          <w:szCs w:val="24"/>
        </w:rPr>
        <w:t>基金管理人的权利与义务</w:t>
      </w:r>
    </w:p>
    <w:p w14:paraId="128BBAA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1、根据《基金法》、《运作办法》及其他有关规定，基金管理人的权利包括但不限于：</w:t>
      </w:r>
    </w:p>
    <w:p w14:paraId="6AE8CD8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（1）依法募集资金；</w:t>
      </w:r>
    </w:p>
    <w:p w14:paraId="71914BD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（2）自《基金合同》生效之日起，根据法律法规和《基金合同》独立运用并管理基金财产；</w:t>
      </w:r>
    </w:p>
    <w:p w14:paraId="7812BDE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（3）依照《基金合同》收取基金管理费以及法律法规规定或中国证监会批准的其他费用；</w:t>
      </w:r>
    </w:p>
    <w:p w14:paraId="10DCAC7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（4）销售基金份额；</w:t>
      </w:r>
    </w:p>
    <w:p w14:paraId="6F51812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（5）按照规定召集基金份额持有人大会；</w:t>
      </w:r>
    </w:p>
    <w:p w14:paraId="21B06F1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0E5F967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（7）在基金托管人更换时，提名新的基金托管人；</w:t>
      </w:r>
    </w:p>
    <w:p w14:paraId="5CF8E22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（8）选择、更换基金销售机构，对基金销售机构的相关行为进行监督和处理； </w:t>
      </w:r>
    </w:p>
    <w:p w14:paraId="15BD5EF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（9）担任或委托其他符合条件的机构担任基金登记机构办理基金登记业务并获得《基金合同》规定的费用； </w:t>
      </w:r>
    </w:p>
    <w:p w14:paraId="038D857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（10）依据《基金合同》及有关法律规定决定基金收益的分配方案；</w:t>
      </w:r>
      <w:r>
        <w:rPr>
          <w:rFonts w:hint="eastAsia" w:ascii="宋体" w:hAnsi="宋体" w:eastAsia="宋体" w:cs="宋体"/>
          <w:kern w:val="0"/>
          <w:sz w:val="24"/>
          <w:szCs w:val="24"/>
        </w:rPr>
        <w:tab/>
      </w:r>
    </w:p>
    <w:p w14:paraId="3DCE5A5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（11）在《基金合同》约定的范围内，拒绝或暂停受理申购、赎回与转换申请； </w:t>
      </w:r>
    </w:p>
    <w:p w14:paraId="7F0195D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（12）依照法律法规为基金的利益对被投资公司行使股东权利，为基金的利益行使因基金财产投资于证券所产生的权利；</w:t>
      </w:r>
    </w:p>
    <w:p w14:paraId="3CAC0E7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（13）在法律法规允许的前提下，为基金的利益依法为基金进行融资及转融通证券出借业务；</w:t>
      </w:r>
    </w:p>
    <w:p w14:paraId="307852E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（14）以基金管理人的名义，代表基金份额持有人的利益行使诉讼权利或者实施其他法律行为；</w:t>
      </w:r>
    </w:p>
    <w:p w14:paraId="3A04169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（15）选择、更换律师事务所、会计师事务所、证券、期货经纪商或其他为基金提供服务的外部机构；</w:t>
      </w:r>
    </w:p>
    <w:p w14:paraId="68DB243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（16）在符合有关法律、法规的前提下，制订和调整有关基金认购、申购、赎回、转换、定期定额投资和非交易过户等业务规则；</w:t>
      </w:r>
    </w:p>
    <w:p w14:paraId="0C2CFA9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（17）法律法规及中国证监会规定的和《基金合同》约定的其他权利。</w:t>
      </w:r>
    </w:p>
    <w:p w14:paraId="71AD70A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2、根据《基金法》、《运作办法》及其他有关规定，基金管理人的义务包括但不限于：</w:t>
      </w:r>
    </w:p>
    <w:p w14:paraId="78CA9C1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（1）依法募集资金，办理或者委托经中国证监会认定的其他机构代为办理基金份额的发售、申购、赎回和登记事宜；</w:t>
      </w:r>
    </w:p>
    <w:p w14:paraId="3F3525F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（2）办理基金备案手续；</w:t>
      </w:r>
    </w:p>
    <w:p w14:paraId="3404FA0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（3）自《基金合同》生效之日起，以诚实信用、谨慎勤勉的原则管理和运用基金财产；</w:t>
      </w:r>
    </w:p>
    <w:p w14:paraId="034192A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（4）配备足够的具有专业资格的人员进行基金投资分析、决策，以专业化的经营方式管理和运作基金财产；</w:t>
      </w:r>
    </w:p>
    <w:p w14:paraId="2ADDEFE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（5）建立健全内部风险控制、监察与稽核、财务管理及人事管理等制度，保证所管理的基金财产和基金管理人的财产相互独立，对所管理的不同基金分别管理，分别记账，进行证券投资；</w:t>
      </w:r>
    </w:p>
    <w:p w14:paraId="14D553B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（6）除依据《基金法》、《基金合同》及其他有关规定外，不得利用基金财产为自己及任何第三人谋取利益，不得委托第三人运作基金财产；</w:t>
      </w:r>
    </w:p>
    <w:p w14:paraId="2128705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（7）依法接受基金托管人的监督；</w:t>
      </w:r>
    </w:p>
    <w:p w14:paraId="6CDC82B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（8）采取适当合理的措施使计算基金份额认购、申购、赎回和注销价格的方法符合《基金合同》等法律文件的规定，按有关规定计算并公告基金净值信息，确定基金份额申购、赎回的价格；</w:t>
      </w:r>
    </w:p>
    <w:p w14:paraId="18811F0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（9）进行基金会计核算并编制基金财务会计报告；</w:t>
      </w:r>
    </w:p>
    <w:p w14:paraId="445DACE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（10）编制季度报告、中期报告和年度报告；</w:t>
      </w:r>
    </w:p>
    <w:p w14:paraId="56F5828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（11）严格按照《基金法》、《基金合同》及其他有关规定，履行信息披露及报告义务；</w:t>
      </w:r>
    </w:p>
    <w:p w14:paraId="71C2E28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12）保守基金商业秘密，不泄露基金投资计划、投资意向等。除《基金法》、《基金合同》及其他有关规定另有规定外，在基金信息公开披露前应予保密，不向他人泄露，但因监管机构、司法机关等有权机关要求，或因审计、法律等外部专业顾问提供服务需要提供的情况除外；</w:t>
      </w:r>
    </w:p>
    <w:p w14:paraId="39F9C27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（13）按《基金合同》的约定确定基金收益分配方案，及时向基金份额持有人分配基金收益；</w:t>
      </w:r>
    </w:p>
    <w:p w14:paraId="0E1A3C3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（14）按规定受理申购与赎回申请，及时、足额支付赎回款项；</w:t>
      </w:r>
    </w:p>
    <w:p w14:paraId="12E985A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（15）依据《基金法》、《基金合同》及其他有关规定召集基金份额持有人大会或配合基金托管人、基金份额持有人依法召集基金份额持有人大会；</w:t>
      </w:r>
    </w:p>
    <w:p w14:paraId="5855620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（16）按规定保存基金财产管理业务活动的会计账册、报表、记录和其他相关资料，保存期限不低于法律法规规定的最低期限；</w:t>
      </w:r>
    </w:p>
    <w:p w14:paraId="55DBD32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03CFD3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（18）组织并参加基金财产清算小组，参与基金财产的保管、清理、估价、变现和分配；</w:t>
      </w:r>
    </w:p>
    <w:p w14:paraId="66B9554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（19）面临解散、依法被撤销或者被依法宣告破产时，及时报告中国证监会并通知基金托管人；</w:t>
      </w:r>
    </w:p>
    <w:p w14:paraId="586C9BD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（20）因违反《基金合同》导致基金财产的损失或损害基金份额持有人合法权益时，应当承担赔偿责任，其赔偿责任不因其退任而免除；</w:t>
      </w:r>
    </w:p>
    <w:p w14:paraId="05A68AF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（21）监督基金托管人按法律法规和《基金合同》规定履行自己的义务，基金托管人违反《基金合同》造成基金财产损失时，基金管理人应为基金份额持有人利益向基金托管人追偿；</w:t>
      </w:r>
    </w:p>
    <w:p w14:paraId="3A3B673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（22）当基金管理人将其义务委托第三方处理时，应当对第三方处理有关基金事务的行为承担责任；</w:t>
      </w:r>
    </w:p>
    <w:p w14:paraId="483488A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（23）以基金管理人名义，代表基金份额持有人利益行使诉讼权利或实施其他法律行为；</w:t>
      </w:r>
      <w:r>
        <w:rPr>
          <w:rFonts w:hint="eastAsia" w:ascii="宋体" w:hAnsi="宋体" w:eastAsia="宋体" w:cs="宋体"/>
          <w:kern w:val="0"/>
          <w:sz w:val="24"/>
          <w:szCs w:val="24"/>
        </w:rPr>
        <w:tab/>
      </w:r>
    </w:p>
    <w:p w14:paraId="2348AA2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（24）基金在募集期间未能达到基金的备案条件，《基金合同》不能生效，基金管理人承担全部募集费用，将已募集资金并加计银行同期活期存款利息在基金募集期结束后30日内退还基金认购人；</w:t>
      </w:r>
    </w:p>
    <w:p w14:paraId="348D54A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（25）执行生效的基金份额持有人大会的决议；</w:t>
      </w:r>
    </w:p>
    <w:p w14:paraId="69E6D62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（26）建立并保存基金份额持有人名册；</w:t>
      </w:r>
    </w:p>
    <w:p w14:paraId="441D75E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（27）法律法规及中国证监会规定的和《基金合同》约定的其他义务。</w:t>
      </w:r>
    </w:p>
    <w:p w14:paraId="796BA8D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二、基金托管人</w:t>
      </w:r>
    </w:p>
    <w:p w14:paraId="5622B86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kern w:val="0"/>
          <w:sz w:val="24"/>
          <w:szCs w:val="24"/>
        </w:rPr>
        <w:tab/>
      </w:r>
      <w:r>
        <w:rPr>
          <w:rFonts w:hint="eastAsia" w:ascii="宋体" w:hAnsi="宋体" w:eastAsia="宋体" w:cs="宋体"/>
          <w:kern w:val="0"/>
          <w:sz w:val="24"/>
          <w:szCs w:val="24"/>
        </w:rPr>
        <w:t>基金托管人简况</w:t>
      </w:r>
    </w:p>
    <w:p w14:paraId="2369C3C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名称：上海浦东发展银行股份有限公司</w:t>
      </w:r>
    </w:p>
    <w:p w14:paraId="38D26DBB">
      <w:pPr>
        <w:autoSpaceDE w:val="0"/>
        <w:autoSpaceDN w:val="0"/>
        <w:adjustRightIn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住所：上海市中山东一路12号</w:t>
      </w:r>
    </w:p>
    <w:p w14:paraId="4194EAF9">
      <w:pPr>
        <w:autoSpaceDE w:val="0"/>
        <w:autoSpaceDN w:val="0"/>
        <w:adjustRightIn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法定代表人：张为忠</w:t>
      </w:r>
    </w:p>
    <w:p w14:paraId="16175DB5">
      <w:pPr>
        <w:autoSpaceDE w:val="0"/>
        <w:autoSpaceDN w:val="0"/>
        <w:adjustRightIn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成立日期：1992年10月19日</w:t>
      </w:r>
    </w:p>
    <w:p w14:paraId="43F3477A">
      <w:pPr>
        <w:autoSpaceDE w:val="0"/>
        <w:autoSpaceDN w:val="0"/>
        <w:adjustRightIn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基金托管业务资格批准机关：中国证监会</w:t>
      </w:r>
    </w:p>
    <w:p w14:paraId="1C8B7517">
      <w:pPr>
        <w:autoSpaceDE w:val="0"/>
        <w:autoSpaceDN w:val="0"/>
        <w:adjustRightIn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基金托管业务资格文号：证监基金字[2003]105号</w:t>
      </w:r>
    </w:p>
    <w:p w14:paraId="060131EB">
      <w:pPr>
        <w:autoSpaceDE w:val="0"/>
        <w:autoSpaceDN w:val="0"/>
        <w:adjustRightIn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组织形式：股份有限公司（上市）</w:t>
      </w:r>
    </w:p>
    <w:p w14:paraId="76079388">
      <w:pPr>
        <w:autoSpaceDE w:val="0"/>
        <w:autoSpaceDN w:val="0"/>
        <w:adjustRightIn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注册资本：人民币293.52亿元</w:t>
      </w:r>
    </w:p>
    <w:p w14:paraId="35F2A7D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经营期限：永久存续</w:t>
      </w:r>
    </w:p>
    <w:p w14:paraId="7EF232B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kern w:val="0"/>
          <w:sz w:val="24"/>
          <w:szCs w:val="24"/>
        </w:rPr>
        <w:tab/>
      </w:r>
      <w:r>
        <w:rPr>
          <w:rFonts w:hint="eastAsia" w:ascii="宋体" w:hAnsi="宋体" w:eastAsia="宋体" w:cs="宋体"/>
          <w:kern w:val="0"/>
          <w:sz w:val="24"/>
          <w:szCs w:val="24"/>
        </w:rPr>
        <w:t>基金托管人的权利与义务</w:t>
      </w:r>
    </w:p>
    <w:p w14:paraId="070DA12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1、根据《基金法》、《运作办法》及其他有关规定，基金托管人的权利包括但不限于：</w:t>
      </w:r>
    </w:p>
    <w:p w14:paraId="6A2D0F7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（1）自《基金合同》生效之日起，依法律法规和《基金合同》的规定安全保管基金财产；</w:t>
      </w:r>
    </w:p>
    <w:p w14:paraId="5E8B2AA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（2）依《基金合同》约定获得基金托管费以及法律法规规定或监管部门批准的其他费用；</w:t>
      </w:r>
    </w:p>
    <w:p w14:paraId="47FA756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3F4279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（4）根据相关市场规则，为基金开设资金账户、证券账户等投资所需账户，为基金办理证券、期货交易资金清算；</w:t>
      </w:r>
    </w:p>
    <w:p w14:paraId="2598226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（5）提议召开或召集基金份额持有人大会；</w:t>
      </w:r>
    </w:p>
    <w:p w14:paraId="5CAACB1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（6）在基金管理人更换时，提名新的基金管理人；</w:t>
      </w:r>
    </w:p>
    <w:p w14:paraId="7DA60B0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（7）法律法规及中国证监会规定的和《基金合同》约定的其他权利。</w:t>
      </w:r>
    </w:p>
    <w:p w14:paraId="590708D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2、根据《基金法》、《运作办法》及其他有关规定，基金托管人的义务包括但不限于：</w:t>
      </w:r>
    </w:p>
    <w:p w14:paraId="7E24706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（1）以诚实信用、勤勉尽责的原则持有并安全保管基金财产；</w:t>
      </w:r>
    </w:p>
    <w:p w14:paraId="6A2F065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（2）设立专门的基金托管部门，具有符合要求的营业场所，配备足够的、合格的熟悉基金托管业务的专职人员，负责基金财产托管事宜；</w:t>
      </w:r>
    </w:p>
    <w:p w14:paraId="43665D6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A2A15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（4）除依据《基金法》、《基金合同》及其他有关规定外，不得利用基金财产为自己及任何第三人谋取利益，不得委托第三人托管基金财产；</w:t>
      </w:r>
    </w:p>
    <w:p w14:paraId="7EEB4BB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（5）保管由基金管理人代表基金签订的与基金有关的重大合同及有关凭证；</w:t>
      </w:r>
    </w:p>
    <w:p w14:paraId="20422DD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（6）按规定开设基金财产的资金账户和证券账户等投资所需账户，按照《基金合同》的约定，根据基金管理人的投资指令，及时办理清算、交割事宜；</w:t>
      </w:r>
    </w:p>
    <w:p w14:paraId="1A4C349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保守基金商业秘密，除《基金法》、《基金合同》及其他有关规定另有规定外，在基金信息公开披露前予以保密，不得向他人泄露，但因监管机构、司法机关等有权机关要求，或因审计、法律等外部专业顾问提供服务需要提供的情况除外；</w:t>
      </w:r>
    </w:p>
    <w:p w14:paraId="24F8C77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（8）复核、审查基金管理人计算的基金资产净值、基金份额净值、基金份额申购、赎回价格；</w:t>
      </w:r>
    </w:p>
    <w:p w14:paraId="0366EE1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（9）办理与基金托管业务活动有关的信息披露事项；</w:t>
      </w:r>
    </w:p>
    <w:p w14:paraId="0A6F5C6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3633A2C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（11）保存基金托管业务活动的记录、账册、报表和其他相关资料，保存期限不低于法律法规规定的最低期限；</w:t>
      </w:r>
    </w:p>
    <w:p w14:paraId="4F5F5DB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（12）保存基金份额持有人名册；</w:t>
      </w:r>
    </w:p>
    <w:p w14:paraId="3872D90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（13）按规定制作相关账册并与基金管理人核对；</w:t>
      </w:r>
    </w:p>
    <w:p w14:paraId="71C602A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（14）依据基金管理人的指令或有关规定向基金份额持有人支付基金收益和赎回款项；</w:t>
      </w:r>
    </w:p>
    <w:p w14:paraId="5286E9E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（15）依据《基金法》、《基金合同》及其他有关规定，召集基金份额持有人大会或配合基金管理人、基金份额持有人依法召集基金份额持有人大会；</w:t>
      </w:r>
    </w:p>
    <w:p w14:paraId="1E679A2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（16）按照法律法规和《基金合同》的规定监督基金管理人的投资运作；</w:t>
      </w:r>
    </w:p>
    <w:p w14:paraId="38150E4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（17）参加基金财产清算小组，参与基金财产的保管、清理、估价、变现和分配；</w:t>
      </w:r>
    </w:p>
    <w:p w14:paraId="5AB11C8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（18）面临解散、依法被撤销或者被依法宣告破产时，及时报告中国证监会和银行业监督管理机构，并通知基金管理人；</w:t>
      </w:r>
    </w:p>
    <w:p w14:paraId="3CA09F0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（19）因违反《基金合同》导致基金财产损失时，应承担赔偿责任，其赔偿责任不因其退任而免除；</w:t>
      </w:r>
    </w:p>
    <w:p w14:paraId="2BAF661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（20）按规定监督基金管理人按法律法规和《基金合同》规定履行自己的义务，基金管理人因违反《基金合同》造成基金财产损失时，应为基金份额持有人利益向基金管理人追偿；</w:t>
      </w:r>
    </w:p>
    <w:p w14:paraId="7C35E6C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（21）执行生效的基金份额持有人大会的决议；</w:t>
      </w:r>
    </w:p>
    <w:p w14:paraId="3CEDB83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（22）法律法规及中国证监会规定的和《基金合同》约定的其他义务。</w:t>
      </w:r>
    </w:p>
    <w:p w14:paraId="3422CBF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三、基金份额持有人</w:t>
      </w:r>
    </w:p>
    <w:p w14:paraId="158F591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投资者持有本基金基金份额的行为即视为对《基金合同》的承认和接受，基金投资者自依据《基金合同》取得基金份额，即成为本基金的基金份额持有人和《基金合同》的当事人，直至其不再持有本基金的基金份额。基金份额持有人作为《基金合同》当事人并不以在《基金合同》上书面签章或签字为必要条件。</w:t>
      </w:r>
    </w:p>
    <w:p w14:paraId="3EB5DD0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除法律法规另有规定或本基金合同另有约定外，同一类别每份基金份额具有同等的合法权益。</w:t>
      </w:r>
    </w:p>
    <w:p w14:paraId="471EE90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1、根据《基金法》、《运作办法》及其他有关规定，基金份额持有人的权利包括但不限于：</w:t>
      </w:r>
    </w:p>
    <w:p w14:paraId="4533B4C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（1）分享基金财产收益；</w:t>
      </w:r>
    </w:p>
    <w:p w14:paraId="51F83FF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（2）参与分配清算后的剩余基金财产；</w:t>
      </w:r>
    </w:p>
    <w:p w14:paraId="760A8BA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（3）依法转让或者申请赎回其持有的基金份额；</w:t>
      </w:r>
    </w:p>
    <w:p w14:paraId="71F3B00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（4）按照规定要求召开基金份额持有人大会或者召集基金份额持有人大会；</w:t>
      </w:r>
    </w:p>
    <w:p w14:paraId="5B74388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（5）出席或者委派代表出席基金份额持有人大会，对基金份额持有人大会审议事项行使表决权；</w:t>
      </w:r>
    </w:p>
    <w:p w14:paraId="2DF3664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（6）查阅或者复制公开披露的基金信息资料；</w:t>
      </w:r>
    </w:p>
    <w:p w14:paraId="2FB01CD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（7）监督基金管理人的投资运作；</w:t>
      </w:r>
    </w:p>
    <w:p w14:paraId="45E34F1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（8）对基金管理人、基金托管人、基金服务机构损害其合法权益的行为依法提起诉讼或仲裁；</w:t>
      </w:r>
    </w:p>
    <w:p w14:paraId="1A15CCE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（9）法律法规及中国证监会规定的和《基金合同》约定的其他权利。</w:t>
      </w:r>
    </w:p>
    <w:p w14:paraId="626AA15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2、根据《基金法》、《运作办法》及其他有关规定，基金份额持有人的义务包括但不限于：</w:t>
      </w:r>
    </w:p>
    <w:p w14:paraId="0E8B580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（1）认真阅读并遵守《基金合同》、招募说明书及基金产品资料概要等信息披露文件；</w:t>
      </w:r>
    </w:p>
    <w:p w14:paraId="54E7C0B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（2）了解所投资基金产品，了解自身风险承受能力，自主判断基金的投资价值，自主做出投资决策，自行承担投资风险；</w:t>
      </w:r>
    </w:p>
    <w:p w14:paraId="15CCF6B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（3）关注基金信息披露，及时行使权利和履行义务；</w:t>
      </w:r>
    </w:p>
    <w:p w14:paraId="4656A5A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（4）交纳基金认购、申购款项及法律法规和《基金合同》所规定的费用；</w:t>
      </w:r>
    </w:p>
    <w:p w14:paraId="72F8986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（5）在其持有的基金份额范围内，承担基金亏损或者《基金合同》终止的有限责任；</w:t>
      </w:r>
    </w:p>
    <w:p w14:paraId="2735CB5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（6）不从事任何有损基金及其他《基金合同》当事人合法权益的活动；</w:t>
      </w:r>
    </w:p>
    <w:p w14:paraId="6D76364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（7）执行生效的基金份额持有人大会的决议；</w:t>
      </w:r>
    </w:p>
    <w:p w14:paraId="294DBA8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（8）返还在基金交易过程中因任何原因获得的不当得利；</w:t>
      </w:r>
    </w:p>
    <w:p w14:paraId="29EA89D3">
      <w:pPr>
        <w:spacing w:line="360" w:lineRule="auto"/>
        <w:ind w:firstLine="480" w:firstLineChars="200"/>
        <w:rPr>
          <w:rFonts w:ascii="宋体" w:hAnsi="宋体" w:eastAsia="宋体" w:cs="宋体"/>
          <w:bCs/>
          <w:sz w:val="24"/>
        </w:rPr>
      </w:pPr>
      <w:r>
        <w:rPr>
          <w:rFonts w:hint="eastAsia" w:ascii="宋体" w:hAnsi="宋体" w:eastAsia="宋体" w:cs="宋体"/>
          <w:kern w:val="0"/>
          <w:sz w:val="24"/>
          <w:szCs w:val="24"/>
        </w:rPr>
        <w:t>（9）法律法规及中国证监会规定的和《基金合同》约定的其他义务。</w:t>
      </w:r>
    </w:p>
    <w:p w14:paraId="047C35A3">
      <w:pPr>
        <w:widowControl/>
        <w:ind w:firstLine="200"/>
        <w:jc w:val="left"/>
        <w:rPr>
          <w:rFonts w:ascii="宋体" w:hAnsi="宋体" w:eastAsia="宋体" w:cs="宋体"/>
          <w:kern w:val="0"/>
          <w:sz w:val="24"/>
          <w:szCs w:val="24"/>
        </w:rPr>
        <w:sectPr>
          <w:footerReference r:id="rId13" w:type="default"/>
          <w:pgSz w:w="11906" w:h="16838"/>
          <w:pgMar w:top="1440" w:right="1800" w:bottom="1440" w:left="1800" w:header="851" w:footer="992" w:gutter="0"/>
          <w:pgNumType w:start="1"/>
          <w:cols w:space="425" w:num="1"/>
          <w:docGrid w:type="lines" w:linePitch="312" w:charSpace="0"/>
        </w:sectPr>
      </w:pPr>
    </w:p>
    <w:p w14:paraId="629DB7C1">
      <w:pPr>
        <w:pStyle w:val="3"/>
        <w:spacing w:before="0" w:after="0" w:line="360" w:lineRule="auto"/>
        <w:ind w:firstLine="602" w:firstLineChars="200"/>
        <w:jc w:val="center"/>
        <w:rPr>
          <w:rFonts w:ascii="宋体" w:hAnsi="宋体" w:eastAsia="宋体" w:cs="宋体"/>
          <w:kern w:val="0"/>
          <w:sz w:val="30"/>
          <w:lang w:val="zh-CN"/>
        </w:rPr>
      </w:pPr>
      <w:bookmarkStart w:id="11" w:name="_Toc111811346"/>
      <w:r>
        <w:rPr>
          <w:rFonts w:hint="eastAsia" w:ascii="宋体" w:hAnsi="宋体" w:eastAsia="宋体" w:cs="宋体"/>
          <w:kern w:val="0"/>
          <w:sz w:val="30"/>
          <w:lang w:val="zh-CN"/>
        </w:rPr>
        <w:t>第八部分 基金份额持有人大会</w:t>
      </w:r>
      <w:bookmarkEnd w:id="11"/>
    </w:p>
    <w:p w14:paraId="3C42C41D">
      <w:pPr>
        <w:autoSpaceDE w:val="0"/>
        <w:autoSpaceDN w:val="0"/>
        <w:adjustRightInd w:val="0"/>
        <w:spacing w:line="360" w:lineRule="auto"/>
        <w:ind w:firstLine="480" w:firstLineChars="200"/>
        <w:jc w:val="left"/>
        <w:rPr>
          <w:rFonts w:ascii="宋体" w:hAnsi="宋体" w:eastAsia="宋体" w:cs="宋体"/>
          <w:kern w:val="0"/>
          <w:sz w:val="24"/>
          <w:szCs w:val="24"/>
        </w:rPr>
      </w:pPr>
    </w:p>
    <w:p w14:paraId="04362B7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14:paraId="3E948C0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本基金基金份额持有人大会不设日常机构。</w:t>
      </w:r>
    </w:p>
    <w:p w14:paraId="109E973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一、召开事由</w:t>
      </w:r>
    </w:p>
    <w:p w14:paraId="3322219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1、除法律法规和中国证监会另有规定或《基金合同》另有约定外，当出现或需要决定下列事由之一的，应当召开基金份额持有人大会：</w:t>
      </w:r>
    </w:p>
    <w:p w14:paraId="4C24FF2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（1）终止《基金合同》；</w:t>
      </w:r>
    </w:p>
    <w:p w14:paraId="3640EC1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（2）更换基金管理人；</w:t>
      </w:r>
    </w:p>
    <w:p w14:paraId="3980C90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（3）更换基金托管人；</w:t>
      </w:r>
    </w:p>
    <w:p w14:paraId="7248BEF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（4）转换基金运作方式；</w:t>
      </w:r>
    </w:p>
    <w:p w14:paraId="12A42B4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（5）调整基金管理人、基金托管人的报酬标准或提高销售服务费率；</w:t>
      </w:r>
    </w:p>
    <w:p w14:paraId="624A663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（6）变更基金类别；</w:t>
      </w:r>
    </w:p>
    <w:p w14:paraId="113BA5C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（7）本基金与其他基金的合并；</w:t>
      </w:r>
    </w:p>
    <w:p w14:paraId="5C0F61E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（8）变更基金投资目标、范围或策略；</w:t>
      </w:r>
    </w:p>
    <w:p w14:paraId="15BB4EF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（9）变更基金份额持有人大会程序；</w:t>
      </w:r>
    </w:p>
    <w:p w14:paraId="67BEB5C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（10）基金管理人或基金托管人要求召开基金份额持有人大会；</w:t>
      </w:r>
    </w:p>
    <w:p w14:paraId="033B413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（11）单独或合计持有本基金总份额10%以上（含10%）基金份额的基金份额持有人（以基金管理人收到提议当日的基金份额计算，下同）就同一事项书面要求召开基金份额持有人大会；</w:t>
      </w:r>
    </w:p>
    <w:p w14:paraId="62E732D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（12）对基金合同当事人权利和义务产生重大影响的其他事项；</w:t>
      </w:r>
    </w:p>
    <w:p w14:paraId="4A970C1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（13）法律法规、《基金合同》或中国证监会规定的其他应当召开基金份额持有人大会的事项。</w:t>
      </w:r>
    </w:p>
    <w:p w14:paraId="2EFD174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57D4E02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（1）法律法规要求增加的基金费用的收取；</w:t>
      </w:r>
    </w:p>
    <w:p w14:paraId="47B53B6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（2）调整本基金的申购费率、调低销售服务费率或变更收费方式，调整基金份额类别设置、对基金份额分类办法及规则进行调整；</w:t>
      </w:r>
    </w:p>
    <w:p w14:paraId="33B617E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（3）因相应的法律法规发生变动而应当对《基金合同》进行修改；</w:t>
      </w:r>
    </w:p>
    <w:p w14:paraId="7E7913E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（4）对《基金合同》的修改对基金份额持有人利益无实质性不利影响或修改不涉及《基金合同》当事人权利义务关系发生重大变化；</w:t>
      </w:r>
    </w:p>
    <w:p w14:paraId="11F6FF7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（5）基金管理人、登记机构、基金销售机构调整有关申购、赎回、转换、基金交易、非交易过户、转托管等业务规则；</w:t>
      </w:r>
    </w:p>
    <w:p w14:paraId="4605E7A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（6）履行相关程序后，基金推出新业务或服务；</w:t>
      </w:r>
    </w:p>
    <w:p w14:paraId="488A80B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（7）按照法律法规和《基金合同》规定不需召开基金份额持有人大会的其他情形。</w:t>
      </w:r>
    </w:p>
    <w:p w14:paraId="3DC3DDD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二、会议召集人及召集方式</w:t>
      </w:r>
    </w:p>
    <w:p w14:paraId="5FE3C23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1、除法律法规规定或《基金合同》另有约定外，基金份额持有人大会由基金管理人召集。</w:t>
      </w:r>
    </w:p>
    <w:p w14:paraId="5FB77F1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2、基金管理人未按规定召集或不能召集时，由基金托管人召集。</w:t>
      </w:r>
    </w:p>
    <w:p w14:paraId="4A456F5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33AD5A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2E43D3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4AD7EB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6、基金份额持有人会议的召集人负责选择确定开会时间、地点、方式和权益登记日。</w:t>
      </w:r>
    </w:p>
    <w:p w14:paraId="5611263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三、召开基金份额持有人大会的通知时间、通知内容、通知方式</w:t>
      </w:r>
    </w:p>
    <w:p w14:paraId="583E96B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1、召开基金份额持有人大会，召集人应于会议召开前30日，在规定媒介公告。基金份额持有人大会通知应至少载明以下内容：</w:t>
      </w:r>
    </w:p>
    <w:p w14:paraId="5EA5CBE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（1）会议召开的时间、地点和会议形式；</w:t>
      </w:r>
    </w:p>
    <w:p w14:paraId="413DE61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（2）会议拟审议的事项、议事程序和表决方式；</w:t>
      </w:r>
    </w:p>
    <w:p w14:paraId="5B8EC43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（3）有权出席基金份额持有人大会的基金份额持有人的权益登记日；</w:t>
      </w:r>
    </w:p>
    <w:p w14:paraId="5F00446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（4）授权委托证明的内容要求（包括但不限于代理人身份，代理权限和代理有效期限等）、送达时间和地点；</w:t>
      </w:r>
    </w:p>
    <w:p w14:paraId="092520C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（5）会务常设联系人姓名及联系电话；</w:t>
      </w:r>
    </w:p>
    <w:p w14:paraId="7C788FA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（6）出席会议者必须准备的文件和必须履行的手续；</w:t>
      </w:r>
    </w:p>
    <w:p w14:paraId="4B79729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（7）召集人需要通知的其他事项。</w:t>
      </w:r>
    </w:p>
    <w:p w14:paraId="4EADC3E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0A20CE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444BB3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四、基金份额持有人出席会议的方式</w:t>
      </w:r>
    </w:p>
    <w:p w14:paraId="53E2185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基金份额持有人大会可通过现场开会方式、通讯开会方式或法律法规、监管机构允许的其他方式召开，会议的召开方式由会议召集人确定。</w:t>
      </w:r>
    </w:p>
    <w:p w14:paraId="770A705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9355A2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78EA1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8B4C57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2E738E2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在同时符合以下条件时，通讯开会的方式视为有效：</w:t>
      </w:r>
    </w:p>
    <w:p w14:paraId="6747120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（1）会议召集人按《基金合同》约定公布会议通知后，在2个工作日内连续公布相关提示性公告；</w:t>
      </w:r>
    </w:p>
    <w:p w14:paraId="1B4AAF5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2F919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02543AF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94AAC2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在不违反法律法规和监管机关规定的情况下，本基金的基金份额持有人亦可采用其他非书面方式授权其代理人出席基金份额持有人大会，授权方式可以采用书面、网络、电话、短信或其他方式，具体方式由会议召集人确定并在会议通知中列明。</w:t>
      </w:r>
    </w:p>
    <w:p w14:paraId="4414B40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9BD2FC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五、议事内容与程序</w:t>
      </w:r>
    </w:p>
    <w:p w14:paraId="430135F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1、议事内容及提案权</w:t>
      </w:r>
    </w:p>
    <w:p w14:paraId="07CA898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3B8AC1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基金份额持有人大会的召集人发出召集会议的通知后，对原有提案的修改应当在基金份额持有人大会召开前及时公告。</w:t>
      </w:r>
    </w:p>
    <w:p w14:paraId="7552D94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基金份额持有人大会不得对未事先公告的议事内容进行表决。</w:t>
      </w:r>
    </w:p>
    <w:p w14:paraId="0461269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2、议事程序</w:t>
      </w:r>
    </w:p>
    <w:p w14:paraId="3AE7445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（1）现场开会</w:t>
      </w:r>
    </w:p>
    <w:p w14:paraId="6792551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48AB0B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237817A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（2）通讯开会</w:t>
      </w:r>
    </w:p>
    <w:p w14:paraId="4F79FB9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在通讯开会的情况下，首先由召集人提前30日公布提案，在所通知的表决截止日期后2个工作日内在公证机关监督下由召集人统计全部有效表决，在公证机关监督下形成决议。</w:t>
      </w:r>
    </w:p>
    <w:p w14:paraId="7ED091C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六、表决</w:t>
      </w:r>
    </w:p>
    <w:p w14:paraId="2B91F90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基金份额持有人所持每份基金份额有一票表决权。</w:t>
      </w:r>
    </w:p>
    <w:p w14:paraId="67B1A89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基金份额持有人大会决议分为一般决议和特别决议：</w:t>
      </w:r>
    </w:p>
    <w:p w14:paraId="24D62BB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019C42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6D46F24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基金份额持有人大会采取记名方式进行投票表决。</w:t>
      </w:r>
    </w:p>
    <w:p w14:paraId="6A46A85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B173CF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基金份额持有人大会的各项提案或同一项提案内并列的各项议题应当分开审议、逐项表决。</w:t>
      </w:r>
    </w:p>
    <w:p w14:paraId="25F422CC">
      <w:pPr>
        <w:spacing w:line="360" w:lineRule="auto"/>
        <w:ind w:firstLine="480"/>
        <w:rPr>
          <w:rFonts w:ascii="宋体" w:hAnsi="宋体" w:eastAsia="宋体" w:cs="宋体"/>
          <w:sz w:val="24"/>
          <w:szCs w:val="24"/>
        </w:rPr>
      </w:pPr>
      <w:r>
        <w:rPr>
          <w:rFonts w:hint="eastAsia" w:ascii="宋体" w:hAnsi="宋体" w:eastAsia="宋体" w:cs="宋体"/>
          <w:sz w:val="24"/>
          <w:szCs w:val="24"/>
        </w:rPr>
        <w:t>在上述规则的前提下，具体规则以召集人发布的基金份额持有人大会通知为准。</w:t>
      </w:r>
    </w:p>
    <w:p w14:paraId="0C639B1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七、计票</w:t>
      </w:r>
    </w:p>
    <w:p w14:paraId="5301CC9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1、现场开会</w:t>
      </w:r>
    </w:p>
    <w:p w14:paraId="42B4D44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3AEFDD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（2）监票人应当在基金份额持有人表决后立即进行清点并由大会主持人当场公布计票结果。</w:t>
      </w:r>
    </w:p>
    <w:p w14:paraId="2D755C5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6BE06B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（4）计票过程应由公证机关予以公证，基金管理人或基金托管人拒不出席大会的，不影响计票的效力。</w:t>
      </w:r>
    </w:p>
    <w:p w14:paraId="77CDBA6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2、通讯开会</w:t>
      </w:r>
    </w:p>
    <w:p w14:paraId="68AB735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0DA15E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八、生效与公告</w:t>
      </w:r>
    </w:p>
    <w:p w14:paraId="55072CC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基金份额持有人大会的决议，召集人应当自通过之日起5日内报中国证监会备案。</w:t>
      </w:r>
    </w:p>
    <w:p w14:paraId="58F5CFE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基金份额持有人大会的决议自表决通过之日起生效。</w:t>
      </w:r>
    </w:p>
    <w:p w14:paraId="696D69B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基金份额持有人大会决议自生效之日起按规定在规定媒介上公告。如果采用通讯方式进行表决，在公告基金份额持有人大会决议时，必须将公证书全文、公证机构、公证员姓名等一同公告。</w:t>
      </w:r>
    </w:p>
    <w:p w14:paraId="4FFD66E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63658BA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九、实施侧袋机制期间基金份额持有人大会的特殊约定</w:t>
      </w:r>
    </w:p>
    <w:p w14:paraId="14E56B3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7B9D0D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1、基金份额持有人行使提议权、召集权、提名权所需单独或合计代表相关基金份额10%以上（含10%）；</w:t>
      </w:r>
    </w:p>
    <w:p w14:paraId="5CF02DE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2、现场开会的到会者在权益登记日代表的基金份额不少于本基金在权益登记日相关基金份额的二分之一（含二分之一）；</w:t>
      </w:r>
    </w:p>
    <w:p w14:paraId="27BAEBD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3、通讯开会的直接出具表决意见或授权他人代表出具表决意见的基金份额持有人所持有的基金份额不小于在权益登记日相关基金份额的二分之一（含二分之一）；</w:t>
      </w:r>
    </w:p>
    <w:p w14:paraId="1166A2B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558D5E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5、现场开会由出席大会的基金份额持有人和代理人所持表决权的50%以上（含50%）选举产生一名基金份额持有人作为该次基金份额持有人大会的主持人；</w:t>
      </w:r>
    </w:p>
    <w:p w14:paraId="18354BE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6、一般决议须经参加大会的基金份额持有人或其代理人所持表决权的二分之一以上（含二分之一）通过；</w:t>
      </w:r>
    </w:p>
    <w:p w14:paraId="17E5A61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7、特别决议应当经参加大会的基金份额持有人或其代理人所持表决权的三分之二以上（含三分之二）通过。</w:t>
      </w:r>
    </w:p>
    <w:p w14:paraId="54DC569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6A90884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侧袋机制实施期间，关于基金份额持有人大会的相关规定以本节特殊约定内容为准，本节没有规定的适用上文相关约定。</w:t>
      </w:r>
    </w:p>
    <w:p w14:paraId="4C428CB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1A77EBBA">
      <w:pPr>
        <w:autoSpaceDE w:val="0"/>
        <w:autoSpaceDN w:val="0"/>
        <w:adjustRightInd w:val="0"/>
        <w:spacing w:line="360" w:lineRule="auto"/>
        <w:ind w:firstLine="480" w:firstLineChars="200"/>
        <w:jc w:val="left"/>
        <w:rPr>
          <w:rFonts w:ascii="宋体" w:hAnsi="宋体" w:eastAsia="宋体" w:cs="宋体"/>
          <w:kern w:val="0"/>
          <w:sz w:val="24"/>
          <w:szCs w:val="24"/>
        </w:rPr>
        <w:sectPr>
          <w:footerReference r:id="rId14" w:type="default"/>
          <w:pgSz w:w="11906" w:h="16838"/>
          <w:pgMar w:top="1440" w:right="1800" w:bottom="1440" w:left="1800" w:header="851" w:footer="992" w:gutter="0"/>
          <w:pgNumType w:start="1"/>
          <w:cols w:space="425" w:num="1"/>
          <w:docGrid w:type="lines" w:linePitch="312" w:charSpace="0"/>
        </w:sectPr>
      </w:pPr>
    </w:p>
    <w:p w14:paraId="7B7D1A07">
      <w:pPr>
        <w:pStyle w:val="3"/>
        <w:spacing w:before="0" w:after="0" w:line="360" w:lineRule="auto"/>
        <w:ind w:firstLine="602" w:firstLineChars="200"/>
        <w:jc w:val="center"/>
        <w:rPr>
          <w:rFonts w:ascii="宋体" w:hAnsi="宋体" w:eastAsia="宋体" w:cs="宋体"/>
          <w:kern w:val="0"/>
          <w:sz w:val="30"/>
          <w:lang w:val="zh-CN"/>
        </w:rPr>
      </w:pPr>
      <w:bookmarkStart w:id="12" w:name="_Toc111811347"/>
      <w:r>
        <w:rPr>
          <w:rFonts w:hint="eastAsia" w:ascii="宋体" w:hAnsi="宋体" w:eastAsia="宋体" w:cs="宋体"/>
          <w:kern w:val="0"/>
          <w:sz w:val="30"/>
          <w:lang w:val="zh-CN"/>
        </w:rPr>
        <w:t>第九部分 基金管理人、基金托管人的更换条件和程序</w:t>
      </w:r>
      <w:bookmarkEnd w:id="12"/>
    </w:p>
    <w:p w14:paraId="259C3669">
      <w:pPr>
        <w:autoSpaceDE w:val="0"/>
        <w:autoSpaceDN w:val="0"/>
        <w:adjustRightInd w:val="0"/>
        <w:spacing w:line="360" w:lineRule="auto"/>
        <w:ind w:firstLine="480" w:firstLineChars="200"/>
        <w:jc w:val="left"/>
        <w:rPr>
          <w:rFonts w:ascii="宋体" w:hAnsi="宋体" w:eastAsia="宋体" w:cs="宋体"/>
          <w:kern w:val="0"/>
          <w:sz w:val="24"/>
          <w:szCs w:val="24"/>
        </w:rPr>
      </w:pPr>
    </w:p>
    <w:p w14:paraId="4433A6D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一、基金管理人和基金托管人职责终止的情形</w:t>
      </w:r>
    </w:p>
    <w:p w14:paraId="7006E79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kern w:val="0"/>
          <w:sz w:val="24"/>
          <w:szCs w:val="24"/>
        </w:rPr>
        <w:tab/>
      </w:r>
      <w:r>
        <w:rPr>
          <w:rFonts w:hint="eastAsia" w:ascii="宋体" w:hAnsi="宋体" w:eastAsia="宋体" w:cs="宋体"/>
          <w:kern w:val="0"/>
          <w:sz w:val="24"/>
          <w:szCs w:val="24"/>
        </w:rPr>
        <w:t>基金管理人职责终止的情形</w:t>
      </w:r>
    </w:p>
    <w:p w14:paraId="475F551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有下列情形之一的，基金管理人职责终止：</w:t>
      </w:r>
    </w:p>
    <w:p w14:paraId="62F227F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1、被依法取消基金管理资格；</w:t>
      </w:r>
    </w:p>
    <w:p w14:paraId="160A64C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2、被基金份额持有人大会解任；</w:t>
      </w:r>
    </w:p>
    <w:p w14:paraId="110BF30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3、依法解散、被依法撤销或被依法宣告破产；</w:t>
      </w:r>
    </w:p>
    <w:p w14:paraId="0F27DF0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4、法律法规及中国证监会规定的和《基金合同》约定的其他情形。</w:t>
      </w:r>
    </w:p>
    <w:p w14:paraId="5868232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kern w:val="0"/>
          <w:sz w:val="24"/>
          <w:szCs w:val="24"/>
        </w:rPr>
        <w:tab/>
      </w:r>
      <w:r>
        <w:rPr>
          <w:rFonts w:hint="eastAsia" w:ascii="宋体" w:hAnsi="宋体" w:eastAsia="宋体" w:cs="宋体"/>
          <w:kern w:val="0"/>
          <w:sz w:val="24"/>
          <w:szCs w:val="24"/>
        </w:rPr>
        <w:t>基金托管人职责终止的情形</w:t>
      </w:r>
    </w:p>
    <w:p w14:paraId="3B35F59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有下列情形之一的，基金托管人职责终止：</w:t>
      </w:r>
    </w:p>
    <w:p w14:paraId="0A73DA8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1、被依法取消基金托管资格；</w:t>
      </w:r>
    </w:p>
    <w:p w14:paraId="4E9DCAA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2、被基金份额持有人大会解任；</w:t>
      </w:r>
    </w:p>
    <w:p w14:paraId="6D4C6B9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3、依法解散、被依法撤销或被依法宣告破产；</w:t>
      </w:r>
    </w:p>
    <w:p w14:paraId="43472AE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4、法律法规及中国证监会规定的和《基金合同》约定的其他情形。</w:t>
      </w:r>
    </w:p>
    <w:p w14:paraId="2229F8B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二、基金管理人和基金托管人的更换程序</w:t>
      </w:r>
    </w:p>
    <w:p w14:paraId="67B8D50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kern w:val="0"/>
          <w:sz w:val="24"/>
          <w:szCs w:val="24"/>
        </w:rPr>
        <w:tab/>
      </w:r>
      <w:r>
        <w:rPr>
          <w:rFonts w:hint="eastAsia" w:ascii="宋体" w:hAnsi="宋体" w:eastAsia="宋体" w:cs="宋体"/>
          <w:kern w:val="0"/>
          <w:sz w:val="24"/>
          <w:szCs w:val="24"/>
        </w:rPr>
        <w:t>基金管理人的更换程序</w:t>
      </w:r>
    </w:p>
    <w:p w14:paraId="7BDE66F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1、提名：新任基金管理人由基金托管人或由单独或合计持有10%以上（含10%）基金份额的基金份额持有人提名；</w:t>
      </w:r>
    </w:p>
    <w:p w14:paraId="3096D2C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4C3410A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3、临时基金管理人：新任基金管理人产生之前，由中国证监会指定临时基金管理人；</w:t>
      </w:r>
    </w:p>
    <w:p w14:paraId="63EC847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4、备案：基金份额持有人大会更换基金管理人的决议须报中国证监会备案；</w:t>
      </w:r>
    </w:p>
    <w:p w14:paraId="7D4D10A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5、公告：基金管理人更换后，由基金托管人在更换基金管理人的基金份额持有人大会决议生效后2日内在规定媒介公告；</w:t>
      </w:r>
    </w:p>
    <w:p w14:paraId="073E1AA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2F4ABA5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审计：基金管理人职责终止的，应当按照法律法规规定聘请符合《中华人民共和国证券法》规定的会计师事务所对基金财产进行审计，并将审计结果予以公告，同时报中国证监会备案，审计费用在基金财产中列支；</w:t>
      </w:r>
    </w:p>
    <w:p w14:paraId="2D86609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8、基金名称变更：基金管理人更换后，如果原任或新任基金管理人要求，应按其要求替换或删除基金名称中与原基金管理人有关的名称字样。</w:t>
      </w:r>
    </w:p>
    <w:p w14:paraId="094DFD4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kern w:val="0"/>
          <w:sz w:val="24"/>
          <w:szCs w:val="24"/>
        </w:rPr>
        <w:tab/>
      </w:r>
      <w:r>
        <w:rPr>
          <w:rFonts w:hint="eastAsia" w:ascii="宋体" w:hAnsi="宋体" w:eastAsia="宋体" w:cs="宋体"/>
          <w:kern w:val="0"/>
          <w:sz w:val="24"/>
          <w:szCs w:val="24"/>
        </w:rPr>
        <w:t>基金托管人的更换程序</w:t>
      </w:r>
    </w:p>
    <w:p w14:paraId="51E268C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1、提名：新任基金托管人由基金管理人或由单独或合计持有10%以上（含10%）基金份额的基金份额持有人提名；</w:t>
      </w:r>
    </w:p>
    <w:p w14:paraId="70AE4F4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2、决议：基金份额持有人大会在基金托管人职责终止后6个月内对被提名的基金托管人形成决议，该决议需经参加大会的基金份额持有人所持表决权的</w:t>
      </w:r>
      <w:bookmarkStart w:id="13" w:name="_Hlk174537581"/>
      <w:r>
        <w:rPr>
          <w:rFonts w:hint="eastAsia" w:ascii="宋体" w:hAnsi="宋体" w:eastAsia="宋体" w:cs="宋体"/>
          <w:kern w:val="0"/>
          <w:sz w:val="24"/>
          <w:szCs w:val="24"/>
        </w:rPr>
        <w:t>三分之二</w:t>
      </w:r>
      <w:bookmarkEnd w:id="13"/>
      <w:r>
        <w:rPr>
          <w:rFonts w:hint="eastAsia" w:ascii="宋体" w:hAnsi="宋体" w:eastAsia="宋体" w:cs="宋体"/>
          <w:kern w:val="0"/>
          <w:sz w:val="24"/>
          <w:szCs w:val="24"/>
        </w:rPr>
        <w:t>以上（含三分之二）表决通过，决议自表决通过之日起生效；</w:t>
      </w:r>
    </w:p>
    <w:p w14:paraId="043D91E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3、临时基金托管人：新任基金托管人产生之前，由中国证监会指定临时基金托管人；</w:t>
      </w:r>
    </w:p>
    <w:p w14:paraId="073BB2A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4、备案：基金份额持有人大会更换基金托管人的决议须报中国证监会备案；</w:t>
      </w:r>
    </w:p>
    <w:p w14:paraId="33A7CB4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5、公告：基金托管人更换后，由基金管理人在更换基金托管人的基金份额持有人大会决议生效后</w:t>
      </w:r>
      <w:bookmarkStart w:id="14" w:name="_Hlk174463992"/>
      <w:r>
        <w:rPr>
          <w:rFonts w:hint="eastAsia" w:ascii="宋体" w:hAnsi="宋体" w:eastAsia="宋体" w:cs="宋体"/>
          <w:kern w:val="0"/>
          <w:sz w:val="24"/>
          <w:szCs w:val="24"/>
        </w:rPr>
        <w:t>2日内</w:t>
      </w:r>
      <w:bookmarkEnd w:id="14"/>
      <w:r>
        <w:rPr>
          <w:rFonts w:hint="eastAsia" w:ascii="宋体" w:hAnsi="宋体" w:eastAsia="宋体" w:cs="宋体"/>
          <w:kern w:val="0"/>
          <w:sz w:val="24"/>
          <w:szCs w:val="24"/>
        </w:rPr>
        <w:t>在规定媒介公告；</w:t>
      </w:r>
    </w:p>
    <w:p w14:paraId="7CACEE9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 </w:t>
      </w:r>
    </w:p>
    <w:p w14:paraId="28BEC81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审计：基金托管人职责终止的，应当按照法律法规规定聘请符合《中华人民共和国证券法》规定的会计师事务所对基金财产进行审计，并将审计结果予以公告，同时报中国证监会备案，审计费用在基金财产中列支。</w:t>
      </w:r>
    </w:p>
    <w:p w14:paraId="1F16063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（三）基金管理人与基金托管人同时更换的条件和程序</w:t>
      </w:r>
    </w:p>
    <w:p w14:paraId="687A513A">
      <w:pPr>
        <w:autoSpaceDE w:val="0"/>
        <w:autoSpaceDN w:val="0"/>
        <w:adjustRightInd w:val="0"/>
        <w:spacing w:line="360" w:lineRule="auto"/>
        <w:ind w:firstLine="480" w:firstLineChars="200"/>
        <w:jc w:val="left"/>
        <w:rPr>
          <w:rFonts w:ascii="宋体" w:hAnsi="宋体" w:eastAsia="宋体" w:cs="宋体"/>
          <w:kern w:val="0"/>
          <w:sz w:val="24"/>
          <w:szCs w:val="24"/>
        </w:rPr>
      </w:pPr>
      <w:bookmarkStart w:id="15" w:name="_Hlk174540175"/>
      <w:r>
        <w:rPr>
          <w:rFonts w:hint="eastAsia" w:ascii="宋体" w:hAnsi="宋体" w:eastAsia="宋体" w:cs="宋体"/>
          <w:kern w:val="0"/>
          <w:sz w:val="24"/>
          <w:szCs w:val="24"/>
        </w:rPr>
        <w:t>1、提名：如果基金管理人和基金托管人同时更换，由单独或合计持有基金总份额10%以上（含10%）的基金份额持有人提名新的基金管理人和基金托管人；</w:t>
      </w:r>
    </w:p>
    <w:p w14:paraId="3B942F2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2、基金管理人和基金托管人的更换分别按上述程序进行；</w:t>
      </w:r>
    </w:p>
    <w:p w14:paraId="17F964F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3、公告：新任基金管理人和新任基金托管人应在更换基金管理人和基金托管人的基金份额持有人大会决议生效后2日内在规定媒介上联合公告。</w:t>
      </w:r>
      <w:bookmarkEnd w:id="15"/>
    </w:p>
    <w:p w14:paraId="1FEED5E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791805C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2F14924F">
      <w:pPr>
        <w:autoSpaceDE w:val="0"/>
        <w:autoSpaceDN w:val="0"/>
        <w:adjustRightInd w:val="0"/>
        <w:spacing w:line="360" w:lineRule="auto"/>
        <w:ind w:firstLine="480" w:firstLineChars="200"/>
        <w:jc w:val="left"/>
        <w:rPr>
          <w:rFonts w:ascii="宋体" w:hAnsi="宋体" w:eastAsia="宋体" w:cs="宋体"/>
          <w:kern w:val="0"/>
          <w:sz w:val="24"/>
          <w:szCs w:val="24"/>
        </w:rPr>
        <w:sectPr>
          <w:footerReference r:id="rId15" w:type="default"/>
          <w:pgSz w:w="11906" w:h="16838"/>
          <w:pgMar w:top="1440" w:right="1800" w:bottom="1440" w:left="1800" w:header="851" w:footer="992" w:gutter="0"/>
          <w:pgNumType w:start="1"/>
          <w:cols w:space="425" w:num="1"/>
          <w:docGrid w:type="lines" w:linePitch="312" w:charSpace="0"/>
        </w:sectPr>
      </w:pPr>
    </w:p>
    <w:p w14:paraId="6D09E89E">
      <w:pPr>
        <w:pStyle w:val="3"/>
        <w:spacing w:before="0" w:after="0" w:line="360" w:lineRule="auto"/>
        <w:ind w:firstLine="602" w:firstLineChars="200"/>
        <w:jc w:val="center"/>
        <w:rPr>
          <w:rFonts w:ascii="宋体" w:hAnsi="宋体" w:eastAsia="宋体" w:cs="宋体"/>
          <w:kern w:val="0"/>
          <w:sz w:val="30"/>
          <w:lang w:val="zh-CN"/>
        </w:rPr>
      </w:pPr>
      <w:bookmarkStart w:id="16" w:name="_Toc111811348"/>
      <w:r>
        <w:rPr>
          <w:rFonts w:hint="eastAsia" w:ascii="宋体" w:hAnsi="宋体" w:eastAsia="宋体" w:cs="宋体"/>
          <w:kern w:val="0"/>
          <w:sz w:val="30"/>
          <w:lang w:val="zh-CN"/>
        </w:rPr>
        <w:t>第十部分 基金的托管</w:t>
      </w:r>
      <w:bookmarkEnd w:id="16"/>
    </w:p>
    <w:p w14:paraId="2A3F0EAC">
      <w:pPr>
        <w:autoSpaceDE w:val="0"/>
        <w:autoSpaceDN w:val="0"/>
        <w:adjustRightInd w:val="0"/>
        <w:spacing w:line="360" w:lineRule="auto"/>
        <w:ind w:firstLine="480" w:firstLineChars="200"/>
        <w:jc w:val="left"/>
        <w:rPr>
          <w:rFonts w:ascii="宋体" w:hAnsi="宋体" w:eastAsia="宋体" w:cs="宋体"/>
          <w:kern w:val="0"/>
          <w:sz w:val="24"/>
          <w:szCs w:val="24"/>
        </w:rPr>
      </w:pPr>
    </w:p>
    <w:p w14:paraId="0DF7656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基金托管人和基金管理人按照《基金法》、《基金合同》及其他有关规定订立托管协议。</w:t>
      </w:r>
    </w:p>
    <w:p w14:paraId="1E34FA4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3E327AF">
      <w:pPr>
        <w:autoSpaceDE w:val="0"/>
        <w:autoSpaceDN w:val="0"/>
        <w:adjustRightInd w:val="0"/>
        <w:spacing w:line="360" w:lineRule="auto"/>
        <w:ind w:firstLine="480" w:firstLineChars="200"/>
        <w:jc w:val="left"/>
        <w:rPr>
          <w:rFonts w:ascii="宋体" w:hAnsi="宋体" w:eastAsia="宋体" w:cs="宋体"/>
          <w:kern w:val="0"/>
          <w:sz w:val="24"/>
          <w:szCs w:val="24"/>
        </w:rPr>
        <w:sectPr>
          <w:footerReference r:id="rId16" w:type="default"/>
          <w:pgSz w:w="11906" w:h="16838"/>
          <w:pgMar w:top="1440" w:right="1800" w:bottom="1440" w:left="1800" w:header="851" w:footer="992" w:gutter="0"/>
          <w:pgNumType w:start="1"/>
          <w:cols w:space="425" w:num="1"/>
          <w:docGrid w:type="lines" w:linePitch="312" w:charSpace="0"/>
        </w:sectPr>
      </w:pPr>
    </w:p>
    <w:p w14:paraId="43C8E026">
      <w:pPr>
        <w:pStyle w:val="3"/>
        <w:spacing w:before="0" w:after="0" w:line="360" w:lineRule="auto"/>
        <w:ind w:firstLine="602" w:firstLineChars="200"/>
        <w:jc w:val="center"/>
        <w:rPr>
          <w:rFonts w:ascii="宋体" w:hAnsi="宋体" w:eastAsia="宋体" w:cs="宋体"/>
          <w:kern w:val="0"/>
          <w:sz w:val="30"/>
          <w:lang w:val="zh-CN"/>
        </w:rPr>
      </w:pPr>
      <w:bookmarkStart w:id="17" w:name="_Toc111811349"/>
      <w:r>
        <w:rPr>
          <w:rFonts w:hint="eastAsia" w:ascii="宋体" w:hAnsi="宋体" w:eastAsia="宋体" w:cs="宋体"/>
          <w:kern w:val="0"/>
          <w:sz w:val="30"/>
          <w:lang w:val="zh-CN"/>
        </w:rPr>
        <w:t>第十一部分 基金份额的登记</w:t>
      </w:r>
      <w:bookmarkEnd w:id="17"/>
    </w:p>
    <w:p w14:paraId="1BD9C9C2">
      <w:pPr>
        <w:autoSpaceDE w:val="0"/>
        <w:autoSpaceDN w:val="0"/>
        <w:adjustRightInd w:val="0"/>
        <w:spacing w:line="360" w:lineRule="auto"/>
        <w:ind w:firstLine="480" w:firstLineChars="200"/>
        <w:jc w:val="left"/>
        <w:rPr>
          <w:rFonts w:ascii="宋体" w:hAnsi="宋体" w:eastAsia="宋体" w:cs="宋体"/>
          <w:kern w:val="0"/>
          <w:sz w:val="24"/>
          <w:szCs w:val="24"/>
        </w:rPr>
      </w:pPr>
    </w:p>
    <w:p w14:paraId="2860646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一、基金份额的登记业务</w:t>
      </w:r>
    </w:p>
    <w:p w14:paraId="5A381AD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9ABC2A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二、基金登记业务办理机构</w:t>
      </w:r>
    </w:p>
    <w:p w14:paraId="075E55C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17C292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三、基金登记机构的权利</w:t>
      </w:r>
    </w:p>
    <w:p w14:paraId="2CDEA45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基金登记机构享有以下权利：</w:t>
      </w:r>
    </w:p>
    <w:p w14:paraId="5ED57B2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1、取得登记费；</w:t>
      </w:r>
    </w:p>
    <w:p w14:paraId="5DB154D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2、建立和管理投资者基金账户；</w:t>
      </w:r>
    </w:p>
    <w:p w14:paraId="47F7A18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3、保管基金份额持有人开户资料、交易资料、基金份额持有人名册等；</w:t>
      </w:r>
    </w:p>
    <w:p w14:paraId="268820E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4、在法律法规允许的范围内，对登记业务的办理时间进行调整，并依照有关规定于开始实施前在规定媒介上公告；</w:t>
      </w:r>
    </w:p>
    <w:p w14:paraId="598CF08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5、法律法规及中国证监会规定的和《基金合同》约定的其他权利。</w:t>
      </w:r>
    </w:p>
    <w:p w14:paraId="5016AF4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四、基金登记机构的义务</w:t>
      </w:r>
    </w:p>
    <w:p w14:paraId="32F3AF8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基金登记机构承担以下义务：</w:t>
      </w:r>
    </w:p>
    <w:p w14:paraId="0EC1076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1、配备足够的专业人员办理本基金份额的登记业务；</w:t>
      </w:r>
    </w:p>
    <w:p w14:paraId="200D5C4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2、严格按照法律法规和《基金合同》规定的条件办理本基金份额的登记业务；</w:t>
      </w:r>
    </w:p>
    <w:p w14:paraId="33876B4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3、妥善保存登记数据，并将基金份额持有人名称、身份信息及基金份额明细等数据备份至中国证监会认定的机构，其保存期限不得少于法律法规规定的最低年限；</w:t>
      </w:r>
    </w:p>
    <w:p w14:paraId="0F423E6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52908D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5、按《基金合同》及招募说明书规定为投资者办理非交易过户业务、提供其他必要的服务；</w:t>
      </w:r>
    </w:p>
    <w:p w14:paraId="675C79A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6、接受基金管理人的监督；</w:t>
      </w:r>
    </w:p>
    <w:p w14:paraId="5FFC103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7、法律法规及中国证监会规定的和《基金合同》约定的其他义务。</w:t>
      </w:r>
    </w:p>
    <w:p w14:paraId="57FACD6D">
      <w:pPr>
        <w:autoSpaceDE w:val="0"/>
        <w:autoSpaceDN w:val="0"/>
        <w:adjustRightInd w:val="0"/>
        <w:spacing w:line="360" w:lineRule="auto"/>
        <w:ind w:firstLine="480" w:firstLineChars="200"/>
        <w:jc w:val="left"/>
        <w:rPr>
          <w:rFonts w:ascii="宋体" w:hAnsi="宋体" w:eastAsia="宋体" w:cs="宋体"/>
          <w:kern w:val="0"/>
          <w:sz w:val="24"/>
          <w:szCs w:val="24"/>
        </w:rPr>
        <w:sectPr>
          <w:footerReference r:id="rId17" w:type="default"/>
          <w:pgSz w:w="11906" w:h="16838"/>
          <w:pgMar w:top="1440" w:right="1800" w:bottom="1440" w:left="1800" w:header="851" w:footer="992" w:gutter="0"/>
          <w:pgNumType w:start="1"/>
          <w:cols w:space="425" w:num="1"/>
          <w:docGrid w:type="lines" w:linePitch="312" w:charSpace="0"/>
        </w:sectPr>
      </w:pPr>
    </w:p>
    <w:p w14:paraId="5011CB01">
      <w:pPr>
        <w:pStyle w:val="3"/>
        <w:spacing w:before="0" w:after="0" w:line="360" w:lineRule="auto"/>
        <w:ind w:firstLine="602" w:firstLineChars="200"/>
        <w:jc w:val="center"/>
        <w:rPr>
          <w:rFonts w:ascii="宋体" w:hAnsi="宋体" w:eastAsia="宋体" w:cs="宋体"/>
          <w:kern w:val="0"/>
          <w:sz w:val="30"/>
          <w:lang w:val="zh-CN"/>
        </w:rPr>
      </w:pPr>
      <w:bookmarkStart w:id="18" w:name="_Toc111811350"/>
      <w:r>
        <w:rPr>
          <w:rFonts w:hint="eastAsia" w:ascii="宋体" w:hAnsi="宋体" w:eastAsia="宋体" w:cs="宋体"/>
          <w:kern w:val="0"/>
          <w:sz w:val="30"/>
          <w:lang w:val="zh-CN"/>
        </w:rPr>
        <w:t>第十二部分 基金的投资</w:t>
      </w:r>
      <w:bookmarkEnd w:id="18"/>
    </w:p>
    <w:p w14:paraId="65661465">
      <w:pPr>
        <w:autoSpaceDE w:val="0"/>
        <w:autoSpaceDN w:val="0"/>
        <w:adjustRightInd w:val="0"/>
        <w:spacing w:line="360" w:lineRule="auto"/>
        <w:ind w:firstLine="480" w:firstLineChars="200"/>
        <w:jc w:val="left"/>
        <w:rPr>
          <w:rFonts w:ascii="宋体" w:hAnsi="宋体" w:eastAsia="宋体" w:cs="宋体"/>
          <w:kern w:val="0"/>
          <w:sz w:val="24"/>
          <w:szCs w:val="24"/>
        </w:rPr>
      </w:pPr>
    </w:p>
    <w:p w14:paraId="397009B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一、投资目标</w:t>
      </w:r>
    </w:p>
    <w:p w14:paraId="1EB0E66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通过数量化方法进行组合管理和风险控制，在力求对标的指数中证800指数有效跟踪的基础上，力争实现超越基准的投资收益，谋求基金资产的长期增值，力争控制本基金的净值增长率与业绩比较基准之间的日均跟踪偏离度小于0.50%，年跟踪误差不超过7.5%。</w:t>
      </w:r>
    </w:p>
    <w:p w14:paraId="62F2F12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二、投资范围</w:t>
      </w:r>
    </w:p>
    <w:p w14:paraId="3639D39E">
      <w:pPr>
        <w:adjustRightInd w:val="0"/>
        <w:snapToGrid w:val="0"/>
        <w:spacing w:line="360" w:lineRule="auto"/>
        <w:ind w:firstLine="480" w:firstLineChars="200"/>
        <w:rPr>
          <w:rFonts w:ascii="宋体" w:hAnsi="宋体" w:eastAsia="宋体" w:cs="宋体"/>
          <w:sz w:val="24"/>
          <w:szCs w:val="24"/>
        </w:rPr>
      </w:pPr>
      <w:bookmarkStart w:id="19" w:name="OLE_LINK2"/>
      <w:r>
        <w:rPr>
          <w:rFonts w:hint="eastAsia" w:ascii="宋体" w:hAnsi="宋体" w:eastAsia="宋体" w:cs="宋体"/>
          <w:sz w:val="24"/>
          <w:szCs w:val="24"/>
        </w:rPr>
        <w:t>本基金主要投资于标的指数成份股和备选成份股（含存托凭证）。</w:t>
      </w:r>
    </w:p>
    <w:p w14:paraId="39D1C74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更好地实现基金的投资目标，本基金可能会部分投资于依法发行上市的非成份股（包括创业板及其他经中国证监会核准或注册上市的股票、存托凭证）、港股通标的股票、债券（包括国债、金融债、地方政府债、政府支持机构债券、企业债、公司债、可转换债券（含分离交易可转债）、可交换债券、央行票据、短期融资券、超短期融资券、中期票据等）、资产支持证券、股指期货、国债期货、股票期权、债券回购、货币市场工具（包括银行存款、同业存单等）以及法律法规或中国证监会允许基金投资的其他金融工具（但须符合中国证监会的相关规定）。</w:t>
      </w:r>
    </w:p>
    <w:p w14:paraId="32B5C3E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本基金可根据法律法规的规定参与融资及转融通证券出借业务。</w:t>
      </w:r>
    </w:p>
    <w:p w14:paraId="1D908F5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如法律法规或监管机构以后允许基金投资其他品种，基金管理人在履行适当程序后，可以将其纳入投资范围。</w:t>
      </w:r>
    </w:p>
    <w:p w14:paraId="473F6464">
      <w:pPr>
        <w:adjustRightInd w:val="0"/>
        <w:snapToGrid w:val="0"/>
        <w:spacing w:line="360" w:lineRule="auto"/>
        <w:ind w:firstLine="422" w:firstLineChars="176"/>
        <w:rPr>
          <w:rFonts w:ascii="宋体" w:hAnsi="宋体" w:eastAsia="宋体" w:cs="宋体"/>
          <w:sz w:val="24"/>
          <w:szCs w:val="24"/>
        </w:rPr>
      </w:pPr>
      <w:r>
        <w:rPr>
          <w:rFonts w:hint="eastAsia" w:ascii="宋体" w:hAnsi="宋体" w:eastAsia="宋体" w:cs="宋体"/>
          <w:sz w:val="24"/>
          <w:szCs w:val="24"/>
        </w:rPr>
        <w:t>基金的投资组合比例为：</w:t>
      </w:r>
      <w:bookmarkStart w:id="20" w:name="_Hlk174529114"/>
      <w:r>
        <w:rPr>
          <w:rFonts w:hint="eastAsia" w:ascii="宋体" w:hAnsi="宋体" w:eastAsia="宋体" w:cs="宋体"/>
          <w:sz w:val="24"/>
          <w:szCs w:val="24"/>
        </w:rPr>
        <w:t>股票资产占基金资产的比例不低于80%，其中投资标的指数成份股及其备选成份股的比例不低于非现金基金资产的80%；投资于港股通标的股票的比例占股票资产的0%-50%；</w:t>
      </w:r>
      <w:bookmarkEnd w:id="20"/>
      <w:r>
        <w:rPr>
          <w:rFonts w:hint="eastAsia" w:ascii="宋体" w:hAnsi="宋体" w:eastAsia="宋体" w:cs="宋体"/>
          <w:sz w:val="24"/>
          <w:szCs w:val="24"/>
        </w:rPr>
        <w:t>每个交易日日终在扣除股指期货、股票期权和国债期货合约需缴纳的交易保证金后</w:t>
      </w:r>
      <w:bookmarkStart w:id="21" w:name="_Hlk174529094"/>
      <w:r>
        <w:rPr>
          <w:rFonts w:hint="eastAsia" w:ascii="宋体" w:hAnsi="宋体" w:eastAsia="宋体" w:cs="宋体"/>
          <w:sz w:val="24"/>
          <w:szCs w:val="24"/>
        </w:rPr>
        <w:t>，保持不低于基金资产净值5%的现金或者到期日在一年以内的政府债券，</w:t>
      </w:r>
      <w:bookmarkEnd w:id="21"/>
      <w:r>
        <w:rPr>
          <w:rFonts w:hint="eastAsia" w:ascii="宋体" w:hAnsi="宋体" w:eastAsia="宋体" w:cs="宋体"/>
          <w:sz w:val="24"/>
          <w:szCs w:val="24"/>
        </w:rPr>
        <w:t>其中现金不包括结算备付金、存出保证金和应收申购款等；股指期货、股票期权、国债期货及其他金融工具的投资比例依照法律法规或监管机构的规定执行。</w:t>
      </w:r>
    </w:p>
    <w:p w14:paraId="1C66521F">
      <w:pPr>
        <w:adjustRightInd w:val="0"/>
        <w:snapToGrid w:val="0"/>
        <w:spacing w:line="360" w:lineRule="auto"/>
        <w:ind w:firstLine="422" w:firstLineChars="176"/>
        <w:rPr>
          <w:rFonts w:ascii="宋体" w:hAnsi="宋体" w:eastAsia="宋体" w:cs="宋体"/>
          <w:sz w:val="24"/>
          <w:szCs w:val="24"/>
        </w:rPr>
      </w:pPr>
      <w:r>
        <w:rPr>
          <w:rFonts w:hint="eastAsia" w:ascii="宋体" w:hAnsi="宋体" w:eastAsia="宋体" w:cs="宋体"/>
          <w:sz w:val="24"/>
          <w:szCs w:val="24"/>
        </w:rPr>
        <w:t>若法律法规的相关规定发生变更或监管机构允许，本基金管理人在履行适当程序后，可对上述资产配置比例进行调整。</w:t>
      </w:r>
    </w:p>
    <w:bookmarkEnd w:id="19"/>
    <w:p w14:paraId="619AF31B">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三、投资策略</w:t>
      </w:r>
    </w:p>
    <w:p w14:paraId="2292E031">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本基金在指数化投资的基础上通过数量化模型进行投资组合优化，在控制与业绩比较基准偏离风险的前提下，力争获得超越标的指数的投资收益。 </w:t>
      </w:r>
    </w:p>
    <w:p w14:paraId="2AEA207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（一）股票投资策略 </w:t>
      </w:r>
    </w:p>
    <w:p w14:paraId="6D5FC741">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1、指数化投资策略 </w:t>
      </w:r>
    </w:p>
    <w:p w14:paraId="64421B44">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本基金将运用指数化的投资方法，通过控制对各成份股在标的指数中权重的偏离，实现跟踪误差控制目标，达到对标的指数的跟踪目标。</w:t>
      </w:r>
    </w:p>
    <w:p w14:paraId="7DFBBC65">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2、投资组合构建和优化 </w:t>
      </w:r>
    </w:p>
    <w:p w14:paraId="45F07E18">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将以博时数量化模型对股票的回报预测为基础，综合考虑组合与业绩比较基准的跟踪误差、行业偏离、交易成本等，进行投资组合构建和优化。投资组合的股票选择将以指数成份股及备选成份股为主，并根据博时数量化模型对股票的回报预测，优先选择成份股和非成份股中综合评估较高的股票，对指数中的股票权重进行调整，以达到指数增强的目的。</w:t>
      </w:r>
    </w:p>
    <w:p w14:paraId="17E945FF">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3、指数增强策略</w:t>
      </w:r>
    </w:p>
    <w:p w14:paraId="37AA0C2B">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本基金主要通过博时数量化模型对股票进行综合评定，结合风险控制模型，在控制投资组合风险预算下，对股票组合进行优化，力争获得超越业绩比较基准的回报。</w:t>
      </w:r>
    </w:p>
    <w:p w14:paraId="43373E0C">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基金管理人借鉴国际定量分析的经验，以对中国市场的长期研究为基础，综合来自公司财务报表、分析师预测和市场行情趋势等方面的信息，构建博时数量化模型。该模型从价值、成长、盈利、质量、行情趋势等方面，从长期和短期角度，对股票进行综合评估，得到股票未来回报能力的判断。投资经理以数量化模型为基础，根据自身经验对市场状况作出前瞻性判断，优化投资组合。</w:t>
      </w:r>
    </w:p>
    <w:p w14:paraId="6A48A9DE">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基金管理人将根据历史回测数据和市场状况，对博时数量化模型进行检验和改进，力争保持模型的有效和稳定，为投资决策提供支持。</w:t>
      </w:r>
    </w:p>
    <w:p w14:paraId="7AF10C4C">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4、港股投资策略</w:t>
      </w:r>
    </w:p>
    <w:p w14:paraId="43F6BB2F">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本基金将充分挖掘内地与香港股票市场交易互联互通、资金双向流动机制下A股市场和港股市场的投资机会。具体投资策略如下：</w:t>
      </w:r>
    </w:p>
    <w:p w14:paraId="05BFC96E">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第一，通过自主开发的针对港股的以基本面因子为主导的多因子量化模型，以港股通标的股票为选股池，根据市场流动性和产品规模等实际需求选择因子打分高的标的构建港股通量化优选组合。</w:t>
      </w:r>
    </w:p>
    <w:p w14:paraId="3869FF78">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第二，对于两地同时上市的公司，考察其折溢价水平，寻找相对于A股有异常折价或估值和波动性相对于A股更加稳定的H股标的。</w:t>
      </w:r>
    </w:p>
    <w:p w14:paraId="3038F6D0">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第三，考察港股通标的股票的行业属性和商业模式，在A股暂时无相应标的的行业中寻找估值低且具有成长性的标的。</w:t>
      </w:r>
    </w:p>
    <w:p w14:paraId="284E937B">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本基金将持续追踪A股市场和港股市场的相对估值和市场情况，适时调整组合中港股通标的股票的投资比例。 </w:t>
      </w:r>
    </w:p>
    <w:p w14:paraId="3181AAE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5、存托凭证投资策略 </w:t>
      </w:r>
    </w:p>
    <w:p w14:paraId="53F758EB">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本基金将根据本基金的投资目标和股票投资策略，基于对基础证券投资价值的深入研究判断，进行存托凭证的投资。</w:t>
      </w:r>
    </w:p>
    <w:p w14:paraId="7CC95EB9">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（二）债券投资策略 </w:t>
      </w:r>
    </w:p>
    <w:p w14:paraId="5B17E92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本基金采用的债券投资策略包括：期限结构策略、信用策略、互换策略、息差策略、可转换债券、可交换债券投资策略等。</w:t>
      </w:r>
    </w:p>
    <w:p w14:paraId="5AB0FB58">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1、期限结构策略</w:t>
      </w:r>
    </w:p>
    <w:p w14:paraId="16F7C087">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通过预测收益率曲线的形状和变化趋势，对各类型债券进行久期配置。具体策略又分为跟踪收益率曲线的骑乘策略和基于收益率曲线变化的子弹策略、杠铃策略及梯式策略。</w:t>
      </w:r>
    </w:p>
    <w:p w14:paraId="7610723D">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2、信用策略</w:t>
      </w:r>
    </w:p>
    <w:p w14:paraId="080C93C7">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信用债收益率等于基准收益率加信用利差，信用利差收益主要受两个方面的影响，一是该信用债对应信用水平的市场平均信用利差曲线走势；二是该信用债本身的信用变化。基于这两方面的因素，本基金管理人分别采用（1）基于信用利差曲线变化策略和（2）基于信用债信用变化策略。</w:t>
      </w:r>
    </w:p>
    <w:p w14:paraId="1CE7798F">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3、互换策略</w:t>
      </w:r>
    </w:p>
    <w:p w14:paraId="02274738">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不同券种在利息、违约风险、久期、流动性、税收和衍生条款等方面存在差别，基金管理人可以同时买入和卖出具有相近特性的两个或两个以上券种，赚取收益级差。</w:t>
      </w:r>
    </w:p>
    <w:p w14:paraId="75CFFC21">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4、息差策略</w:t>
      </w:r>
    </w:p>
    <w:p w14:paraId="64CFD6F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通过正回购，融资买入收益率高于回购成本的债券，从而获得杠杆放大收益。</w:t>
      </w:r>
    </w:p>
    <w:p w14:paraId="2DC2CC89">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5、可转换债券、可交换债券投资策略</w:t>
      </w:r>
    </w:p>
    <w:p w14:paraId="78826D2F">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力争获取超额收益。</w:t>
      </w:r>
    </w:p>
    <w:p w14:paraId="309EBD60">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可交换债券在换股期间用于交换的股票是发行人持有的其他上市公司(以下简称“目标公司”)的股票。可交换债券同样兼具股票和债券的特性。其中,债券特性与可转换债券相同,指持有至到期获取的票面利息和票面价值。股票特性则指目标公司的成长能力、盈利能力及目标公司股票价格的成长性等。本基金将通过对可交换债券的纯债价值和目标公司的股票价值进行研究分析,综合开展投资决策。</w:t>
      </w:r>
    </w:p>
    <w:p w14:paraId="08B0B632">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（三）衍生品投资策略</w:t>
      </w:r>
    </w:p>
    <w:p w14:paraId="628CEBB9">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1、股指期货投资策略</w:t>
      </w:r>
    </w:p>
    <w:p w14:paraId="3988EA48">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可以参与股指期货交易，但必须根据风险管理的原则，以套期保值为目的。本基金将根据对现货和期货市场的分析，采取多头或空头套期保值等策略进行套期保值操作。股指期货的具体投资策略包括：（1）对冲投资组合的系统性风险；（2）有效管理现金流量、降低建仓或调仓过程中的冲击成本等。</w:t>
      </w:r>
    </w:p>
    <w:p w14:paraId="79FB79CC">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2、国债期货投资策略</w:t>
      </w:r>
    </w:p>
    <w:p w14:paraId="42BC6BDB">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本基金将根据风险管理的原则，以套期保值为目的，在风险可控的前提下，本着谨慎原则，参与国债期货的投资，以管理投资组合的系统性风险，改善组合的风险收益特性。</w:t>
      </w:r>
    </w:p>
    <w:p w14:paraId="09B3F589">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3、股票期权投资策略</w:t>
      </w:r>
    </w:p>
    <w:p w14:paraId="50FFF93B">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股票期权为本基金辅助性投资工具。股票期权的投资原则为有利于基金资产增值、控制下跌风险、实现保值和锁定收益。</w:t>
      </w:r>
    </w:p>
    <w:p w14:paraId="19DA52E4">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（四）资产支持证券投资策略</w:t>
      </w:r>
    </w:p>
    <w:p w14:paraId="25E92E3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本基金将通过对资产支持证券基础资产及结构设计的研究，结合多种定价模型，根据基金资产组合情况适度进行资产支持证券的投资。 </w:t>
      </w:r>
    </w:p>
    <w:p w14:paraId="36FCF8F9">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（五）融资及转融通证券出借业务投资策略 </w:t>
      </w:r>
    </w:p>
    <w:p w14:paraId="5BDAFDB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将在充分考虑风险和收益特征的基础上，审慎参与融资及转融通证券出借业务。本基金将基于对市场行情和组合风险收益的分析，确定投资时机、标的证券以及投资比例。本基金将根据市场情况、投资者类型和结构、本基金的历史申赎情况、出借证券流动性情况等因素，合理确定出借证券的范围和品类。若相关融资及转融通证券出借业务法律法规发生变化，本基金将从其最新规定，以符合上述法律法规和监管要求的变化。</w:t>
      </w:r>
    </w:p>
    <w:p w14:paraId="453ED70D">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未来随着证券市场投资工具的发展和丰富，在符合有关法律法规规定的前提下，在履行适当程序后，本基金可相应调整和更新相关投资策略，并在招募说明书更新中公告。</w:t>
      </w:r>
    </w:p>
    <w:p w14:paraId="32B704D5">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四、投资限制</w:t>
      </w:r>
    </w:p>
    <w:p w14:paraId="5F3B3A41">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1、组合限制</w:t>
      </w:r>
    </w:p>
    <w:p w14:paraId="2478F2DE">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基金的投资组合应遵循以下限制：</w:t>
      </w:r>
    </w:p>
    <w:p w14:paraId="1883B775">
      <w:pPr>
        <w:adjustRightInd w:val="0"/>
        <w:snapToGrid w:val="0"/>
        <w:spacing w:line="360" w:lineRule="auto"/>
        <w:ind w:firstLine="422" w:firstLineChars="176"/>
        <w:rPr>
          <w:rFonts w:ascii="宋体" w:hAnsi="宋体" w:eastAsia="宋体" w:cs="宋体"/>
          <w:kern w:val="0"/>
          <w:sz w:val="24"/>
          <w:szCs w:val="24"/>
        </w:rPr>
      </w:pPr>
      <w:bookmarkStart w:id="22" w:name="_Hlk174529373"/>
      <w:r>
        <w:rPr>
          <w:rFonts w:hint="eastAsia" w:ascii="宋体" w:hAnsi="宋体" w:eastAsia="宋体" w:cs="宋体"/>
          <w:kern w:val="0"/>
          <w:sz w:val="24"/>
          <w:szCs w:val="24"/>
        </w:rPr>
        <w:t>（1）股票资产占基金资产的比例不低于80%，其中投资标的指数成份股及其备选成份股的比例不低于非现金基金资产的80%；投资于港股通标的股票的比例占股票资产的0%-50%；</w:t>
      </w:r>
    </w:p>
    <w:p w14:paraId="22041D5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2）每个交易日日终在扣除股指期货、国债期货、股票期权合约需缴纳的交易保证金后，保持不低于基金资产净值5%的现金或到期日在一年以内的政府债券，其中现金不包括结算备付金、存出保证金、应收申购款等；</w:t>
      </w:r>
    </w:p>
    <w:p w14:paraId="3F448B0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（3）本基金持有一家公司发行的证券，其市值（若同时持有一家公司发行的A股和H股，则为A股与H股合计市值）不超过基金资产净值的10%，但完全按照有关指数的构成比例进行证券投资的基金品种不受此限制；</w:t>
      </w:r>
    </w:p>
    <w:p w14:paraId="079DC8D3">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4）本基金管理人管理的全部基金持有一家公司发行的证券，不超过该证券（若同时持有一家公司发行的A股和H股，则为A股与H股合计市值）的10%，但完全按照有关指数的构成比例进行证券投资的基金品种不受此限制；</w:t>
      </w:r>
    </w:p>
    <w:p w14:paraId="5334C4B7">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（5）本基金资产总值不得超过基金资产净值的140%；</w:t>
      </w:r>
    </w:p>
    <w:p w14:paraId="22EA8527">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（6）本基金投资于同一原始权益人的各类资产支持证券的比例，不得超过基金资产净值的10%；</w:t>
      </w:r>
    </w:p>
    <w:p w14:paraId="4A74392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（7）本基金持有的全部资产支持证券，其市值不得超过基金资产净值的20%；</w:t>
      </w:r>
    </w:p>
    <w:p w14:paraId="08C6C2AC">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（8）本基金持有的同一(指同一信用级别)资产支持证券的比例，不得超过该资产支持证券规模的10%；</w:t>
      </w:r>
    </w:p>
    <w:p w14:paraId="79A8D8EE">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（9）本基金管理人管理的全部基金投资于同一原始权益人的各类资产支持证券，不得超过其各类资产支持证券合计规模的10%；</w:t>
      </w:r>
    </w:p>
    <w:p w14:paraId="729311DF">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（10）本基金应投资于信用级别评级为BBB以上(含BBB)的资产支持证券。基金持有资产支持证券期间，如果其信用等级下降、不再符合投资标准，应在评级报告发布之日起3个月内予以全部卖出；</w:t>
      </w:r>
    </w:p>
    <w:p w14:paraId="2F6BED05">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（11）基金财产参与股票发行申购，本基金所申报的金额不超过本基金的总资产，本基金所申报的股票数量不超过拟发行股票公司本次发行股票的总量；</w:t>
      </w:r>
    </w:p>
    <w:p w14:paraId="2F10D35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（12）本基金参与融资的，在任何交易日日终，本基金持有的融资买入股票与其他有价证券市值之和，不得超过基金资产净值的95%；</w:t>
      </w:r>
    </w:p>
    <w:p w14:paraId="5A6D5C3C">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（13）本基金参与股指期货和国债期货交易的，还应遵循如下投资组合限制：</w:t>
      </w:r>
    </w:p>
    <w:p w14:paraId="28270BE5">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1）在任何交易日日终，本基金持有的买入股指期货合约价值不超过基金资产净值的10%；在任何交易日日终，持有的买入国债期货合约价值，不得超过基金资产净值15%；</w:t>
      </w:r>
    </w:p>
    <w:p w14:paraId="796F19C9">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2）在任何交易日日终，持有的卖出股指期货合约价值不超过基金持有的股票总市值的20%；在任何交易日日终，持有的卖出国债期货合约价值不得超过基金持有的债券总市值的30%；</w:t>
      </w:r>
    </w:p>
    <w:p w14:paraId="2E9D51F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3）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36168A7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4）本基金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6D62BF2B">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5）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798D0E1D">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（14）本基金投资于股票期权，还应遵循如下投资组合限制：</w:t>
      </w:r>
    </w:p>
    <w:p w14:paraId="5307B3FB">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1）因未平仓的期权合约支付和收取的权利金总额不得超过基金资产净值的10%；</w:t>
      </w:r>
    </w:p>
    <w:p w14:paraId="0EBC5D30">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2）开仓卖出认购期权的，应持有足额标的证券；开仓卖出认沽期权的，应持有合约行权所需的全额现金或交易所规则认可的可冲抵期权保证金的现金等价物；</w:t>
      </w:r>
    </w:p>
    <w:p w14:paraId="3139FC1A">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3）未平仓的期权合约面值不得超过基金资产净值的20%。其中，合约面值按照行权价乘以合约乘数计算；</w:t>
      </w:r>
    </w:p>
    <w:p w14:paraId="73181392">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（15）本基金参与转融通证券出借业务，需遵守下列投资限制：</w:t>
      </w:r>
    </w:p>
    <w:p w14:paraId="71F325F1">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1）出借证券资产不得超过基金资产净值的30%，出借期限在10 个交易日以上的出借证券应纳入《流动性风险管理规定》所述流动性受限证券的范围；</w:t>
      </w:r>
    </w:p>
    <w:p w14:paraId="6EDC8533">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2）参与出借业务的单只证券不得超过本基金持有该证券总量的50%；</w:t>
      </w:r>
    </w:p>
    <w:p w14:paraId="4913A365">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3）最近6个月内日均基金资产净值不得低于2亿元；</w:t>
      </w:r>
    </w:p>
    <w:p w14:paraId="36F11E06">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4）证券出借的平均剩余期限不得超过30天，平均剩余期限按照市值加权平均计算；</w:t>
      </w:r>
    </w:p>
    <w:p w14:paraId="65E20DEA">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因证券/期货市场波动、上市公司合并、基金规模变动等基金管理人之外的因素致使基金投资不符合上述规定的，基金管理人不得新增出借业务；</w:t>
      </w:r>
    </w:p>
    <w:p w14:paraId="26AE68C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16）本基金管理人管理的全部开放式基金持有一家上市公司发行的可流通股票，不得超过该上市公司可流通股票的15%，完全按照有关指数的构成比例进行证券投资的开放式基金以及中国证监会认定的特殊投资组合可不受前述比例限制；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E6F0C2C">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（17）本基金主动投资于流动性受限资产的市值合计不得超过本基金资产净值的15%；</w:t>
      </w:r>
    </w:p>
    <w:p w14:paraId="37B57377">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因证券/期货市场波动、上市公司股票停牌、基金规模变动等基金管理人之外的因素致使基金不符合该比例限制的，基金管理人不得主动新增流动性受限资产的投资；</w:t>
      </w:r>
    </w:p>
    <w:p w14:paraId="43034F4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（18）本基金与私募类证券资管产品及中国证监会认定的其他主体为交易对手开展逆回购交易的，可接受质押品的资质要求应当与基金合同约定的投资范围保持一致；</w:t>
      </w:r>
    </w:p>
    <w:p w14:paraId="5C229087">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（19）本基金投资存托凭证的比例限制依照境内上市交易的股票执行，与境内上市交易的股票合并计算；</w:t>
      </w:r>
    </w:p>
    <w:p w14:paraId="2A76CA2F">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（20）相关法律法规以及监管部门规定的和基金合同约定的其它投资比例限制。</w:t>
      </w:r>
    </w:p>
    <w:bookmarkEnd w:id="22"/>
    <w:p w14:paraId="430C145D">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除上述第（2）、（10）、（15）、（17）、（18）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p>
    <w:p w14:paraId="7FEF896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53972BE">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法律法规或监管部门取消或变更上述限制，如适用于本基金，基金管理人在履行适当程序后，则本基金投资不再受相关限制，或以变更后的规定为准。</w:t>
      </w:r>
    </w:p>
    <w:p w14:paraId="7762C997">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2、禁止行为</w:t>
      </w:r>
    </w:p>
    <w:p w14:paraId="3987EC3D">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为维护基金份额持有人的合法权益，基金财产不得用于下列投资或者活动：</w:t>
      </w:r>
    </w:p>
    <w:p w14:paraId="4008977E">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（1）承销证券；</w:t>
      </w:r>
    </w:p>
    <w:p w14:paraId="6027B754">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（2）违反规定向他人贷款或者提供担保；</w:t>
      </w:r>
    </w:p>
    <w:p w14:paraId="3840E5D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（3）从事承担无限责任的投资；</w:t>
      </w:r>
    </w:p>
    <w:p w14:paraId="18E7F42F">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（4）买卖其他基金份额，但是中国证监会另有规定的除外；</w:t>
      </w:r>
    </w:p>
    <w:p w14:paraId="02C6B2DF">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（5）向其基金管理人、基金托管人出资；</w:t>
      </w:r>
    </w:p>
    <w:p w14:paraId="1D2DE25D">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（6）从事内幕交易、操纵证券交易价格及其他不正当的证券交易活动；</w:t>
      </w:r>
    </w:p>
    <w:p w14:paraId="01FA4481">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（7）</w:t>
      </w:r>
      <w:bookmarkStart w:id="23" w:name="_Hlk174537917"/>
      <w:r>
        <w:rPr>
          <w:rFonts w:hint="eastAsia" w:ascii="宋体" w:hAnsi="宋体" w:eastAsia="宋体" w:cs="宋体"/>
          <w:kern w:val="0"/>
          <w:sz w:val="24"/>
          <w:szCs w:val="24"/>
        </w:rPr>
        <w:t>法律、行政法规和中国证监会规定禁止的其他活动</w:t>
      </w:r>
      <w:bookmarkEnd w:id="23"/>
      <w:r>
        <w:rPr>
          <w:rFonts w:hint="eastAsia" w:ascii="宋体" w:hAnsi="宋体" w:eastAsia="宋体" w:cs="宋体"/>
          <w:kern w:val="0"/>
          <w:sz w:val="24"/>
          <w:szCs w:val="24"/>
        </w:rPr>
        <w:t>。</w:t>
      </w:r>
    </w:p>
    <w:p w14:paraId="3B3B4753">
      <w:pPr>
        <w:adjustRightInd w:val="0"/>
        <w:snapToGrid w:val="0"/>
        <w:spacing w:line="360" w:lineRule="auto"/>
        <w:ind w:firstLine="422" w:firstLineChars="176"/>
        <w:rPr>
          <w:rFonts w:ascii="宋体" w:hAnsi="宋体" w:eastAsia="宋体" w:cs="宋体"/>
          <w:kern w:val="0"/>
          <w:sz w:val="24"/>
          <w:szCs w:val="24"/>
        </w:rPr>
      </w:pPr>
      <w:bookmarkStart w:id="24" w:name="_Hlk174529615"/>
      <w:r>
        <w:rPr>
          <w:rFonts w:hint="eastAsia" w:ascii="宋体" w:hAnsi="宋体" w:eastAsia="宋体" w:cs="宋体"/>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bookmarkEnd w:id="24"/>
    </w:p>
    <w:p w14:paraId="5B94F5FB">
      <w:pPr>
        <w:adjustRightInd w:val="0"/>
        <w:snapToGrid w:val="0"/>
        <w:spacing w:line="360" w:lineRule="auto"/>
        <w:ind w:firstLine="422" w:firstLineChars="176"/>
        <w:rPr>
          <w:rFonts w:ascii="宋体" w:hAnsi="宋体" w:eastAsia="宋体" w:cs="宋体"/>
          <w:kern w:val="0"/>
          <w:sz w:val="24"/>
          <w:szCs w:val="24"/>
        </w:rPr>
      </w:pPr>
      <w:bookmarkStart w:id="25" w:name="_Hlk174529649"/>
      <w:r>
        <w:rPr>
          <w:rFonts w:hint="eastAsia" w:ascii="宋体" w:hAnsi="宋体" w:eastAsia="宋体" w:cs="宋体"/>
          <w:kern w:val="0"/>
          <w:sz w:val="24"/>
          <w:szCs w:val="24"/>
        </w:rPr>
        <w:t>法律、行政法规或监管部门变更或取消上述规定，在履行适当程序后，本基金可按变更后的规定执行或不受上述规定的限制</w:t>
      </w:r>
      <w:bookmarkEnd w:id="25"/>
      <w:r>
        <w:rPr>
          <w:rFonts w:hint="eastAsia" w:ascii="宋体" w:hAnsi="宋体" w:eastAsia="宋体" w:cs="宋体"/>
          <w:kern w:val="0"/>
          <w:sz w:val="24"/>
          <w:szCs w:val="24"/>
        </w:rPr>
        <w:t>。</w:t>
      </w:r>
    </w:p>
    <w:p w14:paraId="5238E90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五、标的指数和业绩比较基准</w:t>
      </w:r>
    </w:p>
    <w:p w14:paraId="4F335F22">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本基金的标的指数为：中证800指数。</w:t>
      </w:r>
    </w:p>
    <w:p w14:paraId="15C032F4">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本基金业绩比较基准为：中证800指数收益率×95%+银行活期存款利率(税后)×5%。</w:t>
      </w:r>
    </w:p>
    <w:p w14:paraId="21DCF10B">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中证800指数从各行业选取市值较大、流动性较好的800只证券作为指数样本，以反映各行业最具代表性上市公司证券的整体表现。</w:t>
      </w:r>
    </w:p>
    <w:p w14:paraId="5B67A85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未来若出现标的指数不符合要求（因成份股价格波动等指数编制方法变动之外的因素致使标的指数不符合要求以及法律法规、监管机构另有规定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w:t>
      </w:r>
    </w:p>
    <w:p w14:paraId="5D8E4154">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自指数编制机构停止标的指数的编制及发布至解决方案确定期间，基金管理人应按照指数编制机构提供的最近一个交易日的指数信息遵循基金份额持有人利益优先原则维持基金投资运作。</w:t>
      </w:r>
    </w:p>
    <w:p w14:paraId="26CD1A10">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六、风险收益特征</w:t>
      </w:r>
    </w:p>
    <w:p w14:paraId="3AE885F7">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本基金属于股票型基金，其预期收益及预期风险水平高于混合型基金、债券型基金与货币市场基金。</w:t>
      </w:r>
    </w:p>
    <w:p w14:paraId="636EF3FE">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本基金为股票型指数增强基金，跟踪中证800指数，其风险收益特征与标的指数所表征的市场组合的风险收益特征相似。本基金如果投资港股通标的股票，需承担汇率风险以及境外市场的风险。</w:t>
      </w:r>
    </w:p>
    <w:p w14:paraId="1058BD32">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七、基金管理人代表基金行使股东或债权人权利的处理原则及方法</w:t>
      </w:r>
    </w:p>
    <w:p w14:paraId="6E5F306D">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1、基金管理人按照国家有关规定代表基金独立行使股东或债权人权利，保护基金份额持有人的利益； </w:t>
      </w:r>
    </w:p>
    <w:p w14:paraId="230F8893">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2、不谋求对上市公司的控股； </w:t>
      </w:r>
    </w:p>
    <w:p w14:paraId="70821039">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 xml:space="preserve">3、有利于基金财产的安全与增值； </w:t>
      </w:r>
    </w:p>
    <w:p w14:paraId="5105C52D">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4、不通过关联交易为自身、雇员、授权代理人或任何存在利害关系的第三人牟取任何不当利益。</w:t>
      </w:r>
    </w:p>
    <w:p w14:paraId="43118060">
      <w:pPr>
        <w:tabs>
          <w:tab w:val="left" w:pos="3780"/>
        </w:tabs>
        <w:autoSpaceDE w:val="0"/>
        <w:autoSpaceDN w:val="0"/>
        <w:snapToGrid w:val="0"/>
        <w:spacing w:line="360" w:lineRule="auto"/>
        <w:ind w:firstLine="480" w:firstLineChars="200"/>
        <w:textAlignment w:val="bottom"/>
        <w:rPr>
          <w:rFonts w:ascii="宋体" w:hAnsi="宋体" w:eastAsia="宋体" w:cs="宋体"/>
          <w:sz w:val="24"/>
          <w:szCs w:val="24"/>
        </w:rPr>
      </w:pPr>
      <w:r>
        <w:rPr>
          <w:rFonts w:hint="eastAsia" w:ascii="宋体" w:hAnsi="宋体" w:eastAsia="宋体" w:cs="宋体"/>
          <w:sz w:val="24"/>
          <w:szCs w:val="24"/>
        </w:rPr>
        <w:t>八、侧袋机制的实施和投资运作安排</w:t>
      </w:r>
    </w:p>
    <w:p w14:paraId="5508443D">
      <w:pPr>
        <w:tabs>
          <w:tab w:val="left" w:pos="3780"/>
        </w:tabs>
        <w:autoSpaceDE w:val="0"/>
        <w:autoSpaceDN w:val="0"/>
        <w:snapToGrid w:val="0"/>
        <w:spacing w:line="360" w:lineRule="auto"/>
        <w:ind w:firstLine="482" w:firstLineChars="201"/>
        <w:textAlignment w:val="bottom"/>
        <w:rPr>
          <w:rFonts w:ascii="宋体" w:hAnsi="宋体" w:eastAsia="宋体" w:cs="宋体"/>
          <w:sz w:val="24"/>
          <w:szCs w:val="24"/>
        </w:rPr>
      </w:pPr>
      <w:r>
        <w:rPr>
          <w:rFonts w:hint="eastAsia" w:ascii="宋体" w:hAnsi="宋体" w:eastAsia="宋体" w:cs="宋体"/>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4391E843">
      <w:pPr>
        <w:tabs>
          <w:tab w:val="left" w:pos="3780"/>
        </w:tabs>
        <w:autoSpaceDE w:val="0"/>
        <w:autoSpaceDN w:val="0"/>
        <w:snapToGrid w:val="0"/>
        <w:spacing w:line="360" w:lineRule="auto"/>
        <w:ind w:firstLine="482" w:firstLineChars="201"/>
        <w:textAlignment w:val="bottom"/>
        <w:rPr>
          <w:rFonts w:ascii="宋体" w:hAnsi="宋体" w:eastAsia="宋体" w:cs="宋体"/>
          <w:sz w:val="24"/>
          <w:szCs w:val="24"/>
        </w:rPr>
      </w:pPr>
      <w:r>
        <w:rPr>
          <w:rFonts w:hint="eastAsia" w:ascii="宋体" w:hAnsi="宋体" w:eastAsia="宋体" w:cs="宋体"/>
          <w:sz w:val="24"/>
          <w:szCs w:val="24"/>
        </w:rPr>
        <w:t>侧袋机制实施期间，本部分约定的投资组合比例、投资策略、组合限制、业绩比较基准、风险收益特征等约定仅适用于主袋账户。</w:t>
      </w:r>
    </w:p>
    <w:p w14:paraId="7F8AC1CE">
      <w:pPr>
        <w:tabs>
          <w:tab w:val="left" w:pos="3780"/>
        </w:tabs>
        <w:autoSpaceDE w:val="0"/>
        <w:autoSpaceDN w:val="0"/>
        <w:snapToGrid w:val="0"/>
        <w:spacing w:line="360" w:lineRule="auto"/>
        <w:ind w:firstLine="482" w:firstLineChars="201"/>
        <w:textAlignment w:val="bottom"/>
        <w:rPr>
          <w:rFonts w:ascii="宋体" w:hAnsi="宋体" w:eastAsia="宋体" w:cs="宋体"/>
          <w:sz w:val="24"/>
          <w:szCs w:val="24"/>
        </w:rPr>
        <w:sectPr>
          <w:footerReference r:id="rId18"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sz w:val="24"/>
          <w:szCs w:val="24"/>
        </w:rPr>
        <w:t>侧袋账户的实施条件、实施程序、运作安排、投资安排、特定资产的处置变现和支付等对投资者权益有重大影响的事项详见招募说明书的规定。</w:t>
      </w:r>
    </w:p>
    <w:p w14:paraId="4F3C14AE">
      <w:pPr>
        <w:pStyle w:val="3"/>
        <w:spacing w:before="0" w:after="0" w:line="360" w:lineRule="auto"/>
        <w:ind w:firstLine="602" w:firstLineChars="200"/>
        <w:jc w:val="center"/>
        <w:rPr>
          <w:rFonts w:ascii="宋体" w:hAnsi="宋体" w:eastAsia="宋体" w:cs="宋体"/>
          <w:kern w:val="0"/>
          <w:sz w:val="30"/>
          <w:lang w:val="zh-CN"/>
        </w:rPr>
      </w:pPr>
      <w:bookmarkStart w:id="26" w:name="_Toc111811351"/>
      <w:r>
        <w:rPr>
          <w:rFonts w:hint="eastAsia" w:ascii="宋体" w:hAnsi="宋体" w:eastAsia="宋体" w:cs="宋体"/>
          <w:kern w:val="0"/>
          <w:sz w:val="30"/>
          <w:lang w:val="zh-CN"/>
        </w:rPr>
        <w:t>第十三部分 基金的财产</w:t>
      </w:r>
      <w:bookmarkEnd w:id="26"/>
    </w:p>
    <w:p w14:paraId="26C0A607">
      <w:pPr>
        <w:autoSpaceDE w:val="0"/>
        <w:autoSpaceDN w:val="0"/>
        <w:adjustRightInd w:val="0"/>
        <w:spacing w:line="360" w:lineRule="auto"/>
        <w:ind w:firstLine="480" w:firstLineChars="200"/>
        <w:jc w:val="left"/>
        <w:rPr>
          <w:rFonts w:ascii="宋体" w:hAnsi="宋体" w:eastAsia="宋体" w:cs="宋体"/>
          <w:kern w:val="0"/>
          <w:sz w:val="24"/>
          <w:szCs w:val="24"/>
        </w:rPr>
      </w:pPr>
    </w:p>
    <w:p w14:paraId="22F8D42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一、基金资产总值</w:t>
      </w:r>
    </w:p>
    <w:p w14:paraId="39EC7F4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基金资产总值是指基金拥有的各类有价证券、银行存款本息、基金应收款项及其他资产的价值总和。</w:t>
      </w:r>
    </w:p>
    <w:p w14:paraId="5816C2B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二、基金资产净值</w:t>
      </w:r>
    </w:p>
    <w:p w14:paraId="337CDCB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基金资产净值是指基金资产总值减去基金负债后的价值。</w:t>
      </w:r>
    </w:p>
    <w:p w14:paraId="3F85D1E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三、基金财产的账户</w:t>
      </w:r>
    </w:p>
    <w:p w14:paraId="070E457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8DE1C0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四、基金财产的保管和处分</w:t>
      </w:r>
    </w:p>
    <w:p w14:paraId="06FC909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905A28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F4F4FAD">
      <w:pPr>
        <w:autoSpaceDE w:val="0"/>
        <w:autoSpaceDN w:val="0"/>
        <w:adjustRightInd w:val="0"/>
        <w:spacing w:line="360" w:lineRule="auto"/>
        <w:ind w:firstLine="480" w:firstLineChars="200"/>
        <w:jc w:val="left"/>
        <w:rPr>
          <w:rFonts w:ascii="宋体" w:hAnsi="宋体" w:eastAsia="宋体" w:cs="宋体"/>
          <w:kern w:val="0"/>
          <w:sz w:val="24"/>
          <w:szCs w:val="24"/>
        </w:rPr>
        <w:sectPr>
          <w:footerReference r:id="rId19" w:type="default"/>
          <w:pgSz w:w="11906" w:h="16838"/>
          <w:pgMar w:top="1440" w:right="1800" w:bottom="1440" w:left="1800" w:header="851" w:footer="992" w:gutter="0"/>
          <w:pgNumType w:start="1"/>
          <w:cols w:space="425" w:num="1"/>
          <w:docGrid w:type="lines" w:linePitch="312" w:charSpace="0"/>
        </w:sectPr>
      </w:pPr>
    </w:p>
    <w:p w14:paraId="45F15EBB">
      <w:pPr>
        <w:pStyle w:val="3"/>
        <w:spacing w:before="0" w:after="0" w:line="360" w:lineRule="auto"/>
        <w:ind w:firstLine="602" w:firstLineChars="200"/>
        <w:jc w:val="center"/>
        <w:rPr>
          <w:rFonts w:ascii="宋体" w:hAnsi="宋体" w:eastAsia="宋体" w:cs="宋体"/>
          <w:kern w:val="0"/>
          <w:sz w:val="30"/>
          <w:lang w:val="zh-CN"/>
        </w:rPr>
      </w:pPr>
      <w:bookmarkStart w:id="27" w:name="_Toc111811352"/>
      <w:r>
        <w:rPr>
          <w:rFonts w:hint="eastAsia" w:ascii="宋体" w:hAnsi="宋体" w:eastAsia="宋体" w:cs="宋体"/>
          <w:kern w:val="0"/>
          <w:sz w:val="30"/>
          <w:lang w:val="zh-CN"/>
        </w:rPr>
        <w:t>第十四部分 基金资产估值</w:t>
      </w:r>
      <w:bookmarkEnd w:id="27"/>
    </w:p>
    <w:p w14:paraId="0806F476">
      <w:pPr>
        <w:autoSpaceDE w:val="0"/>
        <w:autoSpaceDN w:val="0"/>
        <w:adjustRightInd w:val="0"/>
        <w:spacing w:line="360" w:lineRule="auto"/>
        <w:ind w:firstLine="480" w:firstLineChars="200"/>
        <w:jc w:val="left"/>
        <w:rPr>
          <w:rFonts w:ascii="宋体" w:hAnsi="宋体" w:eastAsia="宋体" w:cs="宋体"/>
          <w:kern w:val="0"/>
          <w:sz w:val="24"/>
          <w:szCs w:val="24"/>
        </w:rPr>
      </w:pPr>
    </w:p>
    <w:p w14:paraId="1D386EC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一、估值日</w:t>
      </w:r>
    </w:p>
    <w:p w14:paraId="7402D50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本基金的估值日为本基金相关的证券交易场所的交易日以及国家法律法规规定需要对外披露基金净值的非交易日。</w:t>
      </w:r>
    </w:p>
    <w:p w14:paraId="1EF7924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二、估值对象</w:t>
      </w:r>
    </w:p>
    <w:p w14:paraId="23691C8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基金所拥有的股票（含存托凭证）、股指期货合约、国债期货合约、股票期权合约、债券和银行存款本息、应收款项、资产支持证券、其它投资等资产及负债。</w:t>
      </w:r>
    </w:p>
    <w:p w14:paraId="5C5AB5B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三、估值原则</w:t>
      </w:r>
    </w:p>
    <w:p w14:paraId="7839FB7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基金管理人在确定相关金融资产和金融负债的公允价值时，应符合《企业会计准则》、监管部门有关规定。</w:t>
      </w:r>
    </w:p>
    <w:p w14:paraId="5D9D08D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C629C9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F8E6C2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BB8C8E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（三）如经济环境发生重大变化或证券发行人发生影响证券价格的重大事件，使潜在估值调整对前一估值日的基金资产净值的影响在0.25%以上的，应对估值进行调整并确定公允价值。</w:t>
      </w:r>
    </w:p>
    <w:p w14:paraId="760E66A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四、估值方法</w:t>
      </w:r>
    </w:p>
    <w:p w14:paraId="70388407">
      <w:pPr>
        <w:autoSpaceDE w:val="0"/>
        <w:autoSpaceDN w:val="0"/>
        <w:adjustRightInd w:val="0"/>
        <w:spacing w:line="360" w:lineRule="auto"/>
        <w:ind w:firstLine="480" w:firstLineChars="200"/>
        <w:rPr>
          <w:rFonts w:ascii="宋体" w:hAnsi="宋体" w:eastAsia="宋体" w:cs="宋体"/>
          <w:kern w:val="0"/>
          <w:sz w:val="24"/>
          <w:szCs w:val="24"/>
        </w:rPr>
      </w:pPr>
      <w:bookmarkStart w:id="28" w:name="_Hlk174536486"/>
      <w:r>
        <w:rPr>
          <w:rFonts w:hint="eastAsia" w:ascii="宋体" w:hAnsi="宋体" w:eastAsia="宋体" w:cs="宋体"/>
          <w:kern w:val="0"/>
          <w:sz w:val="24"/>
          <w:szCs w:val="24"/>
        </w:rPr>
        <w:t>1、交易所上市或挂牌转让的有价证券（包括股票等，本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259F4D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2、对于已上市或已挂牌转让的不含权固定收益品种，选取估值日第三方估值基准服务机构提供的相应品种当日的估值全价进行估值。</w:t>
      </w:r>
    </w:p>
    <w:p w14:paraId="358108A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3、对于已上市或已挂牌转让的含权固定收益品种，选取估值日第三方估值基准服务机构提供的相应品种当日的唯一估值全价或推荐估值全价进行估值；</w:t>
      </w:r>
    </w:p>
    <w:p w14:paraId="5956219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66B1DCE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BB98A8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5、对于未上市或未挂牌转让且不存在活跃市场的固定收益品种，应采用在当前情况下适用并且有足够可利用数据和其他信息支持的估值技术确定其公允价值。</w:t>
      </w:r>
    </w:p>
    <w:p w14:paraId="77053D1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6、处于未上市期间的有价证券应区分如下情况处理：</w:t>
      </w:r>
    </w:p>
    <w:p w14:paraId="453C0D9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（1）送股、转增股、配股和公开增发的新股，按估值日在证券交易所挂牌的同一股票的估值方法估值；该日无交易的，以最近一日的市价（收盘价）估值；</w:t>
      </w:r>
    </w:p>
    <w:p w14:paraId="342B27D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（2）首次公开发行未上市的股票，采用估值技术确定公允价值，在估值技术难以可靠计量公允价值的情况下，按成本估值；</w:t>
      </w:r>
    </w:p>
    <w:p w14:paraId="3F7F978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364AD0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7、本基金投资存托凭证的估值核算，依照境内上市交易的股票执行。</w:t>
      </w:r>
    </w:p>
    <w:p w14:paraId="7B4DB8E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8、同一证券同时在两个或两个以上市场交易的，按证券所处的市场分别估值。</w:t>
      </w:r>
    </w:p>
    <w:p w14:paraId="2ADFC96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9、本基金参与股指期货合约、国债期货合约交易，一般以估值当日结算价进行估值，估值当日无结算价的，且最近交易日后经济环境未发生重大变化的，采用最近交易日结算价估值。</w:t>
      </w:r>
    </w:p>
    <w:p w14:paraId="55348C2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10、本基金投资股票期权，根据相关法律法规以及监管部门的规定估值。</w:t>
      </w:r>
    </w:p>
    <w:p w14:paraId="1F665FA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11、本基金参与融资或转融通证券出借业务的，应参照行业协会的相关规定进行估值，确保估值的公允性。</w:t>
      </w:r>
    </w:p>
    <w:p w14:paraId="4F80CB7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12、汇率</w:t>
      </w:r>
    </w:p>
    <w:p w14:paraId="721163C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本基金外币资产价值计算中，涉及主要货币对人民币汇率的，应当以基金估值日中国人民银行或其授权机构公布的人民币汇率中间价为准。</w:t>
      </w:r>
    </w:p>
    <w:p w14:paraId="059C484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13、如有确凿证据表明按上述方法进行估值不能客观反映其公允价值的，基金管理人可根据具体情况与基金托管人商定后，按最能反映公允价值的价格估值。</w:t>
      </w:r>
    </w:p>
    <w:p w14:paraId="5B0D592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14、当发生大额申购或赎回情形时，基金管理人可以采用摆动定价机制，以确保基金估值的公平性。具体处理原则与操作规范遵循相关法律法规以及监管部门、自律规则的规定。</w:t>
      </w:r>
    </w:p>
    <w:p w14:paraId="75EC25E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15、相关法律法规以及监管部门有强制规定的，从其规定。如有新增事项，按国家最新规定估值。</w:t>
      </w:r>
    </w:p>
    <w:p w14:paraId="5D64B90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034D3B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bookmarkEnd w:id="28"/>
    <w:p w14:paraId="706C837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五、估值程序</w:t>
      </w:r>
    </w:p>
    <w:p w14:paraId="1239275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各类基金份额净值是按照每个工作日闭市后，各类基金份额的基金资产净值除以当日该类基金份额的余额数量计算，均精确到0.0001元，小数点后第5位四舍五入。基金管理人可以设立大额赎回情形下的净值精度应急调整机制。国家另有规定的，从其规定。</w:t>
      </w:r>
    </w:p>
    <w:p w14:paraId="5146F35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基金管理人于每个工作日计算基金资产净值及各类基金份额净值，并按规定公告。</w:t>
      </w:r>
    </w:p>
    <w:p w14:paraId="05F98E3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14:paraId="2800CDC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六、估值错误的处理</w:t>
      </w:r>
    </w:p>
    <w:p w14:paraId="3377E06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基金管理人和基金托管人将采取必要、适当、合理的措施确保基金资产估值的准确性、及时性。当任一类基金份额净值小数点后4位以内(含第4位)发生估值错误时，视为该类基金份额净值错误。</w:t>
      </w:r>
    </w:p>
    <w:p w14:paraId="4F0B30D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本基金合同的当事人应按照以下约定处理：</w:t>
      </w:r>
    </w:p>
    <w:p w14:paraId="34D54C7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1、估值错误类型</w:t>
      </w:r>
      <w:r>
        <w:rPr>
          <w:rFonts w:hint="eastAsia" w:ascii="宋体" w:hAnsi="宋体" w:eastAsia="宋体" w:cs="宋体"/>
          <w:kern w:val="0"/>
          <w:sz w:val="24"/>
          <w:szCs w:val="24"/>
        </w:rPr>
        <w:tab/>
      </w:r>
    </w:p>
    <w:p w14:paraId="2112A93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AD1CE0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上述估值错误的主要类型包括但不限于：资料申报差错、数据传输差错、数据计算差错、系统故障差错、下达指令差错等。</w:t>
      </w:r>
    </w:p>
    <w:p w14:paraId="508EE56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2、估值错误处理原则</w:t>
      </w:r>
    </w:p>
    <w:p w14:paraId="0784AD2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66963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（2）估值错误的责任方对有关当事人的直接损失负责，不对间接损失负责，并且仅对估值错误的有关直接当事人负责，不对第三方负责。</w:t>
      </w:r>
    </w:p>
    <w:p w14:paraId="43CB5B5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22112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（4）估值错误调整采用尽量恢复至假设未发生估值错误的正确情形的方式。</w:t>
      </w:r>
    </w:p>
    <w:p w14:paraId="5DA3E19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3、估值错误处理程序</w:t>
      </w:r>
    </w:p>
    <w:p w14:paraId="33F0B48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估值错误被发现后，有关的当事人应当及时进行处理，处理的程序如下：</w:t>
      </w:r>
    </w:p>
    <w:p w14:paraId="03D028D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（1）查明估值错误发生的原因，列明所有的当事人，并根据估值错误发生的原因确定估值错误的责任方；</w:t>
      </w:r>
    </w:p>
    <w:p w14:paraId="5BA4A28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（2）根据估值错误处理原则或当事人协商的方法对因估值错误造成的损失进行评估；</w:t>
      </w:r>
    </w:p>
    <w:p w14:paraId="26B95CF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（3）根据估值错误处理原则或当事人协商的方法由估值错误的责任方进行更正和赔偿损失；</w:t>
      </w:r>
    </w:p>
    <w:p w14:paraId="375519F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（4）根据估值错误处理的方法，需要修改基金登记机构交易数据的，由基金登记机构进行更正，并就估值错误的更正向有关当事人进行确认。</w:t>
      </w:r>
    </w:p>
    <w:p w14:paraId="62B79F9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4、基金份额净值估值错误处理的方法如下：</w:t>
      </w:r>
    </w:p>
    <w:p w14:paraId="079ACBA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（1）基金份额净值计算出现错误时，基金管理人应当立即予以纠正，通报基金托管人，并采取合理的措施防止损失进一步扩大。</w:t>
      </w:r>
    </w:p>
    <w:p w14:paraId="63DA8F1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（2）错误偏差达到该类基金份额净值的0.25%时，基金管理人应当通报基金托管人并报中国证监会备案；错误偏差达到该类基金份额净值的0.5%时，基金管理人应当公告，并报中国证监会备案。</w:t>
      </w:r>
    </w:p>
    <w:p w14:paraId="4AEFFB4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（3）前述内容如法律法规或监管机关另有规定的，从其规定处理。如果行业另有通行做法，基金管理人、基金托管人应本着平等和保护基金份额持有人利益的原则进行协商。</w:t>
      </w:r>
    </w:p>
    <w:p w14:paraId="5DCFE8A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七、暂停估值的情形</w:t>
      </w:r>
    </w:p>
    <w:p w14:paraId="12066F0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1、基金投资所涉及的证券、期货交易市场或外汇市场遇法定节假日或因其他原因暂停营业时；</w:t>
      </w:r>
    </w:p>
    <w:p w14:paraId="7FBA97E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2、因不可抗力致使基金管理人、基金托管人无法准确评估基金资产价值时；</w:t>
      </w:r>
    </w:p>
    <w:p w14:paraId="0F1CA05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3、当特定资产占前一估值日基金资产净值50%以上的，经与基金托管人协商确认后，基金管理人应当暂停估值；</w:t>
      </w:r>
    </w:p>
    <w:p w14:paraId="11A19D0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4、法律法规规定、中国证监会和基金合同认定的其它情形。</w:t>
      </w:r>
    </w:p>
    <w:p w14:paraId="79F32FD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八、基金净值的确认</w:t>
      </w:r>
    </w:p>
    <w:p w14:paraId="568C5D6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信息按约定予以公布。</w:t>
      </w:r>
    </w:p>
    <w:p w14:paraId="329C1E1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九、特殊情况的处理</w:t>
      </w:r>
    </w:p>
    <w:p w14:paraId="63D7A46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1、基金管理人或基金托管人按估值方法的第13项进行估值时，所造成的误差不作为基金资产估值错误处理。</w:t>
      </w:r>
    </w:p>
    <w:p w14:paraId="68E3362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2、由于</w:t>
      </w:r>
      <w:bookmarkStart w:id="29" w:name="_Hlk174536772"/>
      <w:r>
        <w:rPr>
          <w:rFonts w:hint="eastAsia" w:ascii="宋体" w:hAnsi="宋体" w:eastAsia="宋体" w:cs="宋体"/>
          <w:kern w:val="0"/>
          <w:sz w:val="24"/>
          <w:szCs w:val="24"/>
        </w:rPr>
        <w:t>不可抗力原因，或由于证券、期货交易所</w:t>
      </w:r>
      <w:r>
        <w:rPr>
          <w:rFonts w:hint="eastAsia" w:ascii="宋体" w:hAnsi="宋体" w:eastAsia="宋体" w:cs="宋体"/>
          <w:bCs/>
          <w:sz w:val="24"/>
        </w:rPr>
        <w:t>、证券经纪商</w:t>
      </w:r>
      <w:r>
        <w:rPr>
          <w:rFonts w:hint="eastAsia" w:ascii="宋体" w:hAnsi="宋体" w:eastAsia="宋体" w:cs="宋体"/>
          <w:kern w:val="0"/>
          <w:sz w:val="24"/>
          <w:szCs w:val="24"/>
        </w:rPr>
        <w:t>或登记结算公司</w:t>
      </w:r>
      <w:r>
        <w:rPr>
          <w:rFonts w:hint="eastAsia" w:cs="宋体"/>
          <w:sz w:val="24"/>
          <w:szCs w:val="24"/>
        </w:rPr>
        <w:t>、指数编制机构</w:t>
      </w:r>
      <w:r>
        <w:rPr>
          <w:rFonts w:hint="eastAsia" w:ascii="宋体" w:hAnsi="宋体" w:eastAsia="宋体" w:cs="宋体"/>
          <w:kern w:val="0"/>
          <w:sz w:val="24"/>
          <w:szCs w:val="24"/>
        </w:rPr>
        <w:t>及存款银行等第三方机构发送的数据错误、遗漏或市场规则变更等非基金管理人与基金托管人原因</w:t>
      </w:r>
      <w:bookmarkEnd w:id="29"/>
      <w:r>
        <w:rPr>
          <w:rFonts w:hint="eastAsia" w:ascii="宋体" w:hAnsi="宋体" w:eastAsia="宋体" w:cs="宋体"/>
          <w:kern w:val="0"/>
          <w:sz w:val="24"/>
          <w:szCs w:val="24"/>
        </w:rPr>
        <w:t>，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16F7ABE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十、实施侧袋机制期间的基金资产估值</w:t>
      </w:r>
    </w:p>
    <w:p w14:paraId="353BF716">
      <w:pPr>
        <w:autoSpaceDE w:val="0"/>
        <w:autoSpaceDN w:val="0"/>
        <w:adjustRightInd w:val="0"/>
        <w:spacing w:line="360" w:lineRule="auto"/>
        <w:ind w:firstLine="480" w:firstLineChars="200"/>
        <w:rPr>
          <w:rFonts w:ascii="宋体" w:hAnsi="宋体" w:eastAsia="宋体" w:cs="宋体"/>
          <w:kern w:val="0"/>
          <w:sz w:val="24"/>
          <w:szCs w:val="24"/>
        </w:rPr>
        <w:sectPr>
          <w:footerReference r:id="rId20"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kern w:val="0"/>
          <w:sz w:val="24"/>
          <w:szCs w:val="24"/>
        </w:rPr>
        <w:t>本基金实施侧袋机制的，应根据本部分的约定对主袋账户资产进行估值并披露主袋账户的基金净值信息，暂停披露侧袋账户基金净值信息。</w:t>
      </w:r>
    </w:p>
    <w:p w14:paraId="5D381E4B">
      <w:pPr>
        <w:pStyle w:val="3"/>
        <w:spacing w:before="0" w:after="0" w:line="360" w:lineRule="auto"/>
        <w:ind w:firstLine="602" w:firstLineChars="200"/>
        <w:jc w:val="center"/>
        <w:rPr>
          <w:rFonts w:ascii="宋体" w:hAnsi="宋体" w:eastAsia="宋体" w:cs="宋体"/>
          <w:kern w:val="0"/>
          <w:sz w:val="30"/>
          <w:lang w:val="zh-CN"/>
        </w:rPr>
      </w:pPr>
      <w:bookmarkStart w:id="30" w:name="_Toc111811353"/>
      <w:r>
        <w:rPr>
          <w:rFonts w:hint="eastAsia" w:ascii="宋体" w:hAnsi="宋体" w:eastAsia="宋体" w:cs="宋体"/>
          <w:kern w:val="0"/>
          <w:sz w:val="30"/>
          <w:lang w:val="zh-CN"/>
        </w:rPr>
        <w:t>第十五部分 基金费用与税收</w:t>
      </w:r>
      <w:bookmarkEnd w:id="30"/>
    </w:p>
    <w:p w14:paraId="2992D504">
      <w:pPr>
        <w:autoSpaceDE w:val="0"/>
        <w:autoSpaceDN w:val="0"/>
        <w:adjustRightInd w:val="0"/>
        <w:spacing w:line="360" w:lineRule="auto"/>
        <w:ind w:firstLine="480" w:firstLineChars="200"/>
        <w:jc w:val="left"/>
        <w:rPr>
          <w:rFonts w:ascii="宋体" w:hAnsi="宋体" w:eastAsia="宋体" w:cs="宋体"/>
          <w:kern w:val="0"/>
          <w:sz w:val="24"/>
          <w:szCs w:val="24"/>
        </w:rPr>
      </w:pPr>
    </w:p>
    <w:p w14:paraId="255C5BA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一、基金费用的种类</w:t>
      </w:r>
    </w:p>
    <w:p w14:paraId="1FC4407B">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1、基金管理人的管理费；</w:t>
      </w:r>
    </w:p>
    <w:p w14:paraId="716C69BD">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2、基金托管人的托管费；</w:t>
      </w:r>
    </w:p>
    <w:p w14:paraId="2680A3AB">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3、C类基金份额的销售服务费；</w:t>
      </w:r>
    </w:p>
    <w:p w14:paraId="72B4FF85">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4、基金合同生效后与基金相关的信息披露费用，法律法规、中国证监会另有规定的除外；</w:t>
      </w:r>
    </w:p>
    <w:p w14:paraId="2A9BCFDE">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5、基金合同生效后与基金相关的会计师费、律师费</w:t>
      </w:r>
      <w:bookmarkStart w:id="31" w:name="_Hlk174537402"/>
      <w:r>
        <w:rPr>
          <w:rFonts w:hint="eastAsia" w:ascii="宋体" w:hAnsi="宋体" w:eastAsia="宋体" w:cs="宋体"/>
          <w:bCs/>
          <w:sz w:val="24"/>
          <w:szCs w:val="20"/>
        </w:rPr>
        <w:t>、诉讼费和仲裁费</w:t>
      </w:r>
      <w:bookmarkEnd w:id="31"/>
      <w:r>
        <w:rPr>
          <w:rFonts w:hint="eastAsia" w:ascii="宋体" w:hAnsi="宋体" w:eastAsia="宋体" w:cs="宋体"/>
          <w:bCs/>
          <w:sz w:val="24"/>
          <w:szCs w:val="20"/>
        </w:rPr>
        <w:t>；</w:t>
      </w:r>
    </w:p>
    <w:p w14:paraId="716321E8">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6、基金份额持有人大会费用；</w:t>
      </w:r>
    </w:p>
    <w:p w14:paraId="267F32BD">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7、基金的证券</w:t>
      </w:r>
      <w:bookmarkStart w:id="32" w:name="_Hlk174463486"/>
      <w:r>
        <w:rPr>
          <w:rFonts w:hint="eastAsia" w:ascii="宋体" w:hAnsi="宋体" w:eastAsia="宋体" w:cs="宋体"/>
          <w:bCs/>
          <w:sz w:val="24"/>
          <w:szCs w:val="20"/>
        </w:rPr>
        <w:t>、期货、股票期权</w:t>
      </w:r>
      <w:bookmarkEnd w:id="32"/>
      <w:r>
        <w:rPr>
          <w:rFonts w:hint="eastAsia" w:ascii="宋体" w:hAnsi="宋体" w:eastAsia="宋体" w:cs="宋体"/>
          <w:bCs/>
          <w:sz w:val="24"/>
          <w:szCs w:val="20"/>
        </w:rPr>
        <w:t>交易费用；</w:t>
      </w:r>
    </w:p>
    <w:p w14:paraId="4B374BA9">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8、基金的银行汇划费用；</w:t>
      </w:r>
    </w:p>
    <w:p w14:paraId="4C623B8B">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9、账户开户费用、账户维护费用；</w:t>
      </w:r>
    </w:p>
    <w:p w14:paraId="1EC1CACB">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10、因投资港股通标的股票而产生的各项合理费用；</w:t>
      </w:r>
    </w:p>
    <w:p w14:paraId="3F22BDF1">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11、按照国家有关规定和基金合同约定，可以在基金财产中列支的其他费用。</w:t>
      </w:r>
    </w:p>
    <w:p w14:paraId="0C82206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二、基金费用计提方法、计提标准和支付方式</w:t>
      </w:r>
    </w:p>
    <w:p w14:paraId="2E518455">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 xml:space="preserve">1、基金管理人的管理费 </w:t>
      </w:r>
    </w:p>
    <w:p w14:paraId="62F30E4E">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本基金的管理费按前一日基金资产净值的0.80%年费率计提。管理费的计算方法如下：</w:t>
      </w:r>
    </w:p>
    <w:p w14:paraId="5D1DF5D7">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H＝E×0.80%÷当年天数</w:t>
      </w:r>
    </w:p>
    <w:p w14:paraId="0EBFC3B0">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H为每日应计提的基金管理费</w:t>
      </w:r>
    </w:p>
    <w:p w14:paraId="1D6A3B07">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E为前一日的基金资产净值</w:t>
      </w:r>
    </w:p>
    <w:p w14:paraId="06207292">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基金管理费每日计提，逐日累计至每月月末，按月支付，经基金管理人与基金托管人双方核对无误后，基金托管人</w:t>
      </w:r>
      <w:r>
        <w:rPr>
          <w:rFonts w:hint="eastAsia" w:ascii="宋体" w:hAnsi="宋体" w:eastAsia="宋体" w:cs="宋体"/>
          <w:bCs/>
          <w:sz w:val="24"/>
          <w:szCs w:val="24"/>
        </w:rPr>
        <w:t>按照</w:t>
      </w:r>
      <w:r>
        <w:rPr>
          <w:rFonts w:hint="eastAsia" w:ascii="宋体" w:hAnsi="宋体" w:eastAsia="宋体" w:cs="宋体"/>
          <w:sz w:val="24"/>
          <w:szCs w:val="24"/>
        </w:rPr>
        <w:t>与基金管理人协商</w:t>
      </w:r>
      <w:r>
        <w:rPr>
          <w:rFonts w:hint="eastAsia" w:ascii="宋体" w:hAnsi="宋体" w:eastAsia="宋体" w:cs="宋体"/>
          <w:sz w:val="24"/>
          <w:szCs w:val="20"/>
        </w:rPr>
        <w:t>一致的</w:t>
      </w:r>
      <w:r>
        <w:rPr>
          <w:rFonts w:hint="eastAsia" w:ascii="宋体" w:hAnsi="宋体" w:eastAsia="宋体" w:cs="宋体"/>
          <w:sz w:val="24"/>
          <w:szCs w:val="24"/>
        </w:rPr>
        <w:t>方式</w:t>
      </w:r>
      <w:r>
        <w:rPr>
          <w:rFonts w:hint="eastAsia" w:ascii="宋体" w:hAnsi="宋体" w:eastAsia="宋体" w:cs="宋体"/>
          <w:bCs/>
          <w:sz w:val="24"/>
          <w:szCs w:val="20"/>
        </w:rPr>
        <w:t>于次月月初5个工作日内从基金财产中一次性支付给基金管理人。若遇法定节假日、公休假或不可抗力等，支付日期顺延。</w:t>
      </w:r>
    </w:p>
    <w:p w14:paraId="29978482">
      <w:pPr>
        <w:spacing w:line="360" w:lineRule="auto"/>
        <w:ind w:firstLine="480" w:firstLineChars="200"/>
        <w:rPr>
          <w:rFonts w:ascii="宋体" w:hAnsi="宋体" w:eastAsia="宋体" w:cs="宋体"/>
          <w:bCs/>
          <w:sz w:val="24"/>
          <w:szCs w:val="20"/>
        </w:rPr>
      </w:pPr>
      <w:bookmarkStart w:id="33" w:name="_Hlk106985061"/>
      <w:r>
        <w:rPr>
          <w:rFonts w:hint="eastAsia" w:ascii="宋体" w:hAnsi="宋体" w:eastAsia="宋体" w:cs="宋体"/>
          <w:bCs/>
          <w:sz w:val="24"/>
          <w:szCs w:val="20"/>
        </w:rPr>
        <w:t>2、基金托管人的托管费</w:t>
      </w:r>
    </w:p>
    <w:p w14:paraId="37BB0B51">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本基金的托管费按前一日基金资产净值的0.10%年费率计提。托管费的计算方法如下：</w:t>
      </w:r>
    </w:p>
    <w:p w14:paraId="7784E0CA">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H＝E×0.10%÷当年天数</w:t>
      </w:r>
    </w:p>
    <w:p w14:paraId="52093161">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H为每日应计提的基金托管费</w:t>
      </w:r>
    </w:p>
    <w:p w14:paraId="2FBCD7D3">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E为前一日的基金资产净值</w:t>
      </w:r>
    </w:p>
    <w:p w14:paraId="00CFD1BA">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基金托管费每日计提，逐日累计至每月月末，按月支付，经基金管理人与基金托管人双方核对无误后，基金托管人</w:t>
      </w:r>
      <w:r>
        <w:rPr>
          <w:rFonts w:hint="eastAsia" w:ascii="宋体" w:hAnsi="宋体" w:eastAsia="宋体" w:cs="宋体"/>
          <w:bCs/>
          <w:sz w:val="24"/>
          <w:szCs w:val="24"/>
        </w:rPr>
        <w:t>按照</w:t>
      </w:r>
      <w:r>
        <w:rPr>
          <w:rFonts w:hint="eastAsia" w:ascii="宋体" w:hAnsi="宋体" w:eastAsia="宋体" w:cs="宋体"/>
          <w:sz w:val="24"/>
          <w:szCs w:val="24"/>
        </w:rPr>
        <w:t>与基金管理人协商</w:t>
      </w:r>
      <w:r>
        <w:rPr>
          <w:rFonts w:hint="eastAsia" w:ascii="宋体" w:hAnsi="宋体" w:eastAsia="宋体" w:cs="宋体"/>
          <w:sz w:val="24"/>
          <w:szCs w:val="20"/>
        </w:rPr>
        <w:t>一致的</w:t>
      </w:r>
      <w:r>
        <w:rPr>
          <w:rFonts w:hint="eastAsia" w:ascii="宋体" w:hAnsi="宋体" w:eastAsia="宋体" w:cs="宋体"/>
          <w:sz w:val="24"/>
          <w:szCs w:val="24"/>
        </w:rPr>
        <w:t>方式</w:t>
      </w:r>
      <w:r>
        <w:rPr>
          <w:rFonts w:hint="eastAsia" w:ascii="宋体" w:hAnsi="宋体" w:eastAsia="宋体" w:cs="宋体"/>
          <w:bCs/>
          <w:sz w:val="24"/>
          <w:szCs w:val="20"/>
        </w:rPr>
        <w:t>于次月月初5个工作日内从基金财产中一次性支取。若遇法定节假日、公休假或不可抗力等，支付日期顺延。</w:t>
      </w:r>
      <w:bookmarkEnd w:id="33"/>
    </w:p>
    <w:p w14:paraId="50FBC905">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3、C类基金份额的销售服务费</w:t>
      </w:r>
    </w:p>
    <w:p w14:paraId="66ACAE8C">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本基金A类基金份额不收取销售服务费，C类基金份额的销售服务费年费率为0.30%。</w:t>
      </w:r>
    </w:p>
    <w:p w14:paraId="330A6CB1">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 xml:space="preserve">本基金销售服务费按前一日C类基金份额基金资产净值的0.30%年费率计提。计算方法如下： </w:t>
      </w:r>
    </w:p>
    <w:p w14:paraId="0AFB886B">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H＝E×0.30</w:t>
      </w:r>
      <w:r>
        <w:rPr>
          <w:rFonts w:hint="eastAsia" w:ascii="宋体" w:hAnsi="宋体"/>
          <w:sz w:val="24"/>
        </w:rPr>
        <w:t>%</w:t>
      </w:r>
      <w:r>
        <w:rPr>
          <w:rFonts w:hint="eastAsia" w:ascii="宋体" w:hAnsi="宋体" w:eastAsia="宋体" w:cs="宋体"/>
          <w:bCs/>
          <w:sz w:val="24"/>
          <w:szCs w:val="20"/>
        </w:rPr>
        <w:t xml:space="preserve">÷当年天数 </w:t>
      </w:r>
    </w:p>
    <w:p w14:paraId="147F0CDB">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H为C类基金份额每日应计提的销售服务费</w:t>
      </w:r>
    </w:p>
    <w:p w14:paraId="352BD568">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E为C类基金份额前一日的基金资产净值</w:t>
      </w:r>
    </w:p>
    <w:p w14:paraId="5F1C7FF2">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基金销售服务费每日计提，逐日累计至每月月末，按月支付。经基金管理人与基金托管人双方核对无误后，基金托管人</w:t>
      </w:r>
      <w:r>
        <w:rPr>
          <w:rFonts w:hint="eastAsia" w:ascii="宋体" w:hAnsi="宋体" w:eastAsia="宋体" w:cs="宋体"/>
          <w:bCs/>
          <w:sz w:val="24"/>
          <w:szCs w:val="24"/>
        </w:rPr>
        <w:t>按照</w:t>
      </w:r>
      <w:r>
        <w:rPr>
          <w:rFonts w:hint="eastAsia" w:ascii="宋体" w:hAnsi="宋体" w:eastAsia="宋体" w:cs="宋体"/>
          <w:sz w:val="24"/>
          <w:szCs w:val="24"/>
        </w:rPr>
        <w:t>与基金管理人协商</w:t>
      </w:r>
      <w:r>
        <w:rPr>
          <w:rFonts w:hint="eastAsia" w:ascii="宋体" w:hAnsi="宋体" w:eastAsia="宋体" w:cs="宋体"/>
          <w:sz w:val="24"/>
          <w:szCs w:val="20"/>
        </w:rPr>
        <w:t>一致的</w:t>
      </w:r>
      <w:r>
        <w:rPr>
          <w:rFonts w:hint="eastAsia" w:ascii="宋体" w:hAnsi="宋体" w:eastAsia="宋体" w:cs="宋体"/>
          <w:sz w:val="24"/>
          <w:szCs w:val="24"/>
        </w:rPr>
        <w:t>方式</w:t>
      </w:r>
      <w:r>
        <w:rPr>
          <w:rFonts w:hint="eastAsia" w:ascii="宋体" w:hAnsi="宋体" w:eastAsia="宋体" w:cs="宋体"/>
          <w:bCs/>
          <w:sz w:val="24"/>
          <w:szCs w:val="20"/>
        </w:rPr>
        <w:t>于次月月初5个工作日内从基金财产中一次性支付。若遇法定节假日、公休假或不可抗力等，支付日期顺延。</w:t>
      </w:r>
    </w:p>
    <w:p w14:paraId="0233D5E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上述“一、基金费用的种类”中第4－11项费用，根据有关法规及相应协议规定，按费用实际支出金额列入当期费用，由基金托管人从基金财产中支付。</w:t>
      </w:r>
    </w:p>
    <w:p w14:paraId="4412B9A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三、不列入基金费用的项目</w:t>
      </w:r>
    </w:p>
    <w:p w14:paraId="7A55530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下列费用不列入基金费用：</w:t>
      </w:r>
    </w:p>
    <w:p w14:paraId="37D3D62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1、基金管理人和基金托管人因未履行或未完全履行义务导致的费用支出或基金财产的损失；</w:t>
      </w:r>
    </w:p>
    <w:p w14:paraId="2A6D356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2、基金管理人和基金托管人处理与基金运作无关的事项发生的费用；</w:t>
      </w:r>
    </w:p>
    <w:p w14:paraId="340D4E5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3、指数许可使用费；</w:t>
      </w:r>
    </w:p>
    <w:p w14:paraId="31E737A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4、《基金合同》生效前的相关费用；</w:t>
      </w:r>
    </w:p>
    <w:p w14:paraId="0C34C95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5、其他根据相关法律法规及中国证监会的有关规定不得列入基金费用的项目。</w:t>
      </w:r>
    </w:p>
    <w:p w14:paraId="3AB1E47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四、实施侧袋机制期间的基金费用</w:t>
      </w:r>
    </w:p>
    <w:p w14:paraId="745FC17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本基金实施侧袋机制的，与侧袋账户有关的费用可以从侧袋账户中列支，但应待侧袋账户资产变现后方可列支，有关费用可酌情收取或减免，但不得收取管理费，详见招募说明书的规定。</w:t>
      </w:r>
    </w:p>
    <w:p w14:paraId="5537A96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五、基金税收</w:t>
      </w:r>
    </w:p>
    <w:p w14:paraId="0B835F0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基金运作过程中涉及的各纳税主体，其纳税义务按国家税收法律、法规执行。基金财产投资的相关税收，由基金份额持有人承担，基金管理人或者其他扣缴义务人按照国家有关税收征收的规定代扣代缴。</w:t>
      </w:r>
    </w:p>
    <w:p w14:paraId="4A859DF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本基金支付给基金管理人、基金托管人的各项费用均为含税价格，具体税率适用中国税务主管机关的规定。</w:t>
      </w:r>
    </w:p>
    <w:p w14:paraId="13BFD3E5">
      <w:pPr>
        <w:widowControl/>
        <w:ind w:firstLine="200"/>
        <w:jc w:val="left"/>
        <w:rPr>
          <w:rFonts w:ascii="宋体" w:hAnsi="宋体" w:eastAsia="宋体" w:cs="宋体"/>
          <w:kern w:val="0"/>
          <w:sz w:val="24"/>
          <w:szCs w:val="24"/>
        </w:rPr>
        <w:sectPr>
          <w:footerReference r:id="rId21" w:type="default"/>
          <w:pgSz w:w="11906" w:h="16838"/>
          <w:pgMar w:top="1440" w:right="1800" w:bottom="1440" w:left="1800" w:header="851" w:footer="992" w:gutter="0"/>
          <w:pgNumType w:start="1"/>
          <w:cols w:space="425" w:num="1"/>
          <w:docGrid w:type="lines" w:linePitch="312" w:charSpace="0"/>
        </w:sectPr>
      </w:pPr>
    </w:p>
    <w:p w14:paraId="6DD17800">
      <w:pPr>
        <w:pStyle w:val="3"/>
        <w:spacing w:before="0" w:after="0" w:line="360" w:lineRule="auto"/>
        <w:ind w:firstLine="602" w:firstLineChars="200"/>
        <w:jc w:val="center"/>
        <w:rPr>
          <w:rFonts w:ascii="宋体" w:hAnsi="宋体" w:eastAsia="宋体" w:cs="宋体"/>
          <w:kern w:val="0"/>
          <w:sz w:val="30"/>
        </w:rPr>
      </w:pPr>
      <w:bookmarkStart w:id="34" w:name="_Toc111811354"/>
      <w:r>
        <w:rPr>
          <w:rFonts w:hint="eastAsia" w:ascii="宋体" w:hAnsi="宋体" w:eastAsia="宋体" w:cs="宋体"/>
          <w:kern w:val="0"/>
          <w:sz w:val="30"/>
          <w:lang w:val="zh-CN"/>
        </w:rPr>
        <w:t>第十六部分</w:t>
      </w:r>
      <w:r>
        <w:rPr>
          <w:rFonts w:hint="eastAsia" w:ascii="宋体" w:hAnsi="宋体" w:eastAsia="宋体" w:cs="宋体"/>
          <w:kern w:val="0"/>
          <w:sz w:val="30"/>
        </w:rPr>
        <w:t xml:space="preserve"> </w:t>
      </w:r>
      <w:r>
        <w:rPr>
          <w:rFonts w:hint="eastAsia" w:ascii="宋体" w:hAnsi="宋体" w:eastAsia="宋体" w:cs="宋体"/>
          <w:kern w:val="0"/>
          <w:sz w:val="30"/>
          <w:lang w:val="zh-CN"/>
        </w:rPr>
        <w:t>基金的收益与分配</w:t>
      </w:r>
      <w:bookmarkEnd w:id="34"/>
    </w:p>
    <w:p w14:paraId="259D34F4">
      <w:pPr>
        <w:autoSpaceDE w:val="0"/>
        <w:autoSpaceDN w:val="0"/>
        <w:adjustRightInd w:val="0"/>
        <w:spacing w:line="360" w:lineRule="auto"/>
        <w:ind w:firstLine="480" w:firstLineChars="200"/>
        <w:jc w:val="left"/>
        <w:rPr>
          <w:rFonts w:ascii="宋体" w:hAnsi="宋体" w:eastAsia="宋体" w:cs="宋体"/>
          <w:kern w:val="0"/>
          <w:sz w:val="24"/>
          <w:szCs w:val="24"/>
        </w:rPr>
      </w:pPr>
    </w:p>
    <w:p w14:paraId="3E17F2A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一、基金利润的构成</w:t>
      </w:r>
    </w:p>
    <w:p w14:paraId="11693A8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基金利润指基金利息收入、投资收益、公允价值变动收益和其他收入扣除相关费用后的余额，基金已实现收益指基金利润减去公允价值变动收益后的余额。</w:t>
      </w:r>
    </w:p>
    <w:p w14:paraId="53BF64B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二、基金可供分配利润</w:t>
      </w:r>
    </w:p>
    <w:p w14:paraId="1CA984E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基金可供分配利润指截至收益分配基准日基金未分配利润与未分配利润中已实现收益的孰低数。</w:t>
      </w:r>
    </w:p>
    <w:p w14:paraId="0EE711C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三、基金收益分配原则</w:t>
      </w:r>
    </w:p>
    <w:p w14:paraId="5C26B62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14:paraId="2939D15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2、基金管理人可每季度对基金相对业绩比较基准的超额收益率以及基金的可供分配利润进行评价，在符合收益分配相关规定的前提下，基金管理人可进行收益分配，具体分配方案以届时的公告为准；</w:t>
      </w:r>
    </w:p>
    <w:p w14:paraId="2BF1278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3、在符合上述基金分红条件的前提下，本基金管理人可以安排本基金每季度进行1次收益分配；</w:t>
      </w:r>
    </w:p>
    <w:p w14:paraId="64B78BE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4、由于本基金A类基金份额不收取销售服务费，C类基金份额收取销售服务费，各基金份额类别对应的可分配收益将有所不同。本基金同一类别每一基金份额享有同等分配权；</w:t>
      </w:r>
    </w:p>
    <w:p w14:paraId="79529AB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5、法律法规或监管机关另有规定的，从其规定。</w:t>
      </w:r>
    </w:p>
    <w:p w14:paraId="4B86995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在不违反法律法规且对基金份额持有人利益无实质性不利影响的前提下，基金管理人在履行适当程序后，可对基金收益分配的有关业务规则进行调整，并及时公告。</w:t>
      </w:r>
    </w:p>
    <w:p w14:paraId="2105EBB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四、收益分配方案</w:t>
      </w:r>
    </w:p>
    <w:p w14:paraId="5DE0033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基金收益分配方案中应载明截至收益分配基准日的可供分配利润、基金收益分配对象、分配时间、分配数额及比例、分配方式等内容。</w:t>
      </w:r>
    </w:p>
    <w:p w14:paraId="490437B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五、收益分配方案的确定、公告与实施</w:t>
      </w:r>
    </w:p>
    <w:p w14:paraId="3C423F2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本基金收益分配方案由基金管理人拟定，并由基金托管人复核，按规定在规定媒介公告。</w:t>
      </w:r>
    </w:p>
    <w:p w14:paraId="006EBD8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六、基金收益分配中发生的费用</w:t>
      </w:r>
    </w:p>
    <w:p w14:paraId="12EF5E2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4170BEF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七、实施侧袋机制期间的收益分配</w:t>
      </w:r>
    </w:p>
    <w:p w14:paraId="02D4AE3E">
      <w:pPr>
        <w:autoSpaceDE w:val="0"/>
        <w:autoSpaceDN w:val="0"/>
        <w:adjustRightInd w:val="0"/>
        <w:spacing w:line="360" w:lineRule="auto"/>
        <w:ind w:firstLine="480" w:firstLineChars="200"/>
        <w:rPr>
          <w:rFonts w:ascii="宋体" w:hAnsi="宋体" w:eastAsia="宋体" w:cs="宋体"/>
          <w:kern w:val="0"/>
          <w:sz w:val="24"/>
          <w:szCs w:val="24"/>
        </w:rPr>
        <w:sectPr>
          <w:footerReference r:id="rId22"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kern w:val="0"/>
          <w:sz w:val="24"/>
          <w:szCs w:val="24"/>
        </w:rPr>
        <w:t>本基金实施侧袋机制的，侧袋账户不进行收益分配，详见招募说明书的规定。</w:t>
      </w:r>
    </w:p>
    <w:p w14:paraId="603EABD8">
      <w:pPr>
        <w:pStyle w:val="3"/>
        <w:spacing w:before="0" w:after="0" w:line="360" w:lineRule="auto"/>
        <w:ind w:firstLine="602" w:firstLineChars="200"/>
        <w:jc w:val="center"/>
        <w:rPr>
          <w:rFonts w:ascii="宋体" w:hAnsi="宋体" w:eastAsia="宋体" w:cs="宋体"/>
          <w:kern w:val="0"/>
          <w:sz w:val="30"/>
          <w:lang w:val="zh-CN"/>
        </w:rPr>
      </w:pPr>
      <w:bookmarkStart w:id="35" w:name="_Toc111811355"/>
      <w:r>
        <w:rPr>
          <w:rFonts w:hint="eastAsia" w:ascii="宋体" w:hAnsi="宋体" w:eastAsia="宋体" w:cs="宋体"/>
          <w:kern w:val="0"/>
          <w:sz w:val="30"/>
          <w:lang w:val="zh-CN"/>
        </w:rPr>
        <w:t>第十七部分 基金的会计与审计</w:t>
      </w:r>
      <w:bookmarkEnd w:id="35"/>
    </w:p>
    <w:p w14:paraId="38BA441E">
      <w:pPr>
        <w:autoSpaceDE w:val="0"/>
        <w:autoSpaceDN w:val="0"/>
        <w:adjustRightInd w:val="0"/>
        <w:spacing w:line="360" w:lineRule="auto"/>
        <w:ind w:firstLine="480" w:firstLineChars="200"/>
        <w:jc w:val="left"/>
        <w:rPr>
          <w:rFonts w:ascii="宋体" w:hAnsi="宋体" w:eastAsia="宋体" w:cs="宋体"/>
          <w:kern w:val="0"/>
          <w:sz w:val="24"/>
          <w:szCs w:val="24"/>
        </w:rPr>
      </w:pPr>
    </w:p>
    <w:p w14:paraId="387DD9E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一、基金会计政策</w:t>
      </w:r>
    </w:p>
    <w:p w14:paraId="0D34E6A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1、基金管理人为本基金的基金会计责任方；</w:t>
      </w:r>
    </w:p>
    <w:p w14:paraId="6262401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2、基金的会计年度为公历年度的1月1日至12月31日；基金首次募集的会计年度按如下原则：如果《基金合同》生效少于2个月，可以并入下一个会计年度披露；</w:t>
      </w:r>
    </w:p>
    <w:p w14:paraId="65CC752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3、基金核算以人民币为记账本位币，以人民币元为记账单位；</w:t>
      </w:r>
    </w:p>
    <w:p w14:paraId="3E80FAD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4、会计制度执行国家有关会计制度；</w:t>
      </w:r>
    </w:p>
    <w:p w14:paraId="763FA9C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5、本基金独立建账、独立核算；</w:t>
      </w:r>
    </w:p>
    <w:p w14:paraId="286545C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6、基金管理人及基金托管人各自保留完整的会计账目、凭证并进行日常的会计核算，按照有关规定编制基金会计报表；</w:t>
      </w:r>
    </w:p>
    <w:p w14:paraId="7F57EB7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7、基金托管人每月与基金管理人就基金的会计核算、报表编制等进行核对并以书面方式确认。</w:t>
      </w:r>
    </w:p>
    <w:p w14:paraId="6AB7A35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二、基金的年度审计</w:t>
      </w:r>
    </w:p>
    <w:p w14:paraId="23FB2E5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1、基金管理人聘请与基金管理人、基金托管人相互独立且符合《中华人民共和国证券法》规定的会计师事务所及其注册会计师对本基金的年度财务报表进行审计。</w:t>
      </w:r>
    </w:p>
    <w:p w14:paraId="309E161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2、会计师事务所更换经办注册会计师，应事先征得基金管理人同意。</w:t>
      </w:r>
    </w:p>
    <w:p w14:paraId="10C536D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3、基金管理人认为有充足理由更换会计师事务所，须通报基金托管人。更换会计师事务所需按规定在规定媒介公告。</w:t>
      </w:r>
    </w:p>
    <w:p w14:paraId="3B3CFBED">
      <w:pPr>
        <w:ind w:firstLine="200"/>
        <w:rPr>
          <w:rFonts w:ascii="宋体" w:hAnsi="宋体" w:eastAsia="宋体" w:cs="宋体"/>
        </w:rPr>
      </w:pPr>
    </w:p>
    <w:p w14:paraId="6262ACFD">
      <w:pPr>
        <w:widowControl/>
        <w:ind w:firstLine="200"/>
        <w:jc w:val="left"/>
        <w:rPr>
          <w:rFonts w:ascii="宋体" w:hAnsi="宋体" w:eastAsia="宋体" w:cs="宋体"/>
          <w:b/>
          <w:kern w:val="0"/>
          <w:sz w:val="30"/>
          <w:szCs w:val="30"/>
          <w:lang w:val="zh-CN"/>
        </w:rPr>
        <w:sectPr>
          <w:footerReference r:id="rId23" w:type="default"/>
          <w:pgSz w:w="11906" w:h="16838"/>
          <w:pgMar w:top="1440" w:right="1800" w:bottom="1440" w:left="1800" w:header="851" w:footer="992" w:gutter="0"/>
          <w:pgNumType w:start="1"/>
          <w:cols w:space="425" w:num="1"/>
          <w:docGrid w:type="lines" w:linePitch="312" w:charSpace="0"/>
        </w:sectPr>
      </w:pPr>
    </w:p>
    <w:p w14:paraId="12ADA6B1">
      <w:pPr>
        <w:pStyle w:val="3"/>
        <w:spacing w:before="0" w:after="0" w:line="360" w:lineRule="auto"/>
        <w:ind w:firstLine="602" w:firstLineChars="200"/>
        <w:jc w:val="center"/>
        <w:rPr>
          <w:rFonts w:ascii="宋体" w:hAnsi="宋体" w:eastAsia="宋体" w:cs="宋体"/>
          <w:kern w:val="0"/>
          <w:sz w:val="30"/>
          <w:lang w:val="zh-CN"/>
        </w:rPr>
      </w:pPr>
      <w:bookmarkStart w:id="36" w:name="_Toc111811356"/>
      <w:r>
        <w:rPr>
          <w:rFonts w:hint="eastAsia" w:ascii="宋体" w:hAnsi="宋体" w:eastAsia="宋体" w:cs="宋体"/>
          <w:kern w:val="0"/>
          <w:sz w:val="30"/>
          <w:lang w:val="zh-CN"/>
        </w:rPr>
        <w:t>第十八部分 基金的信息披露</w:t>
      </w:r>
      <w:bookmarkEnd w:id="36"/>
    </w:p>
    <w:p w14:paraId="36C381D2">
      <w:pPr>
        <w:autoSpaceDE w:val="0"/>
        <w:autoSpaceDN w:val="0"/>
        <w:adjustRightInd w:val="0"/>
        <w:spacing w:line="360" w:lineRule="auto"/>
        <w:ind w:firstLine="480" w:firstLineChars="200"/>
        <w:jc w:val="left"/>
        <w:rPr>
          <w:rFonts w:ascii="宋体" w:hAnsi="宋体" w:eastAsia="宋体" w:cs="宋体"/>
          <w:kern w:val="0"/>
          <w:sz w:val="24"/>
          <w:szCs w:val="24"/>
        </w:rPr>
      </w:pPr>
    </w:p>
    <w:p w14:paraId="2FACE9B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一、本基金的信息披露应符合《基金法》、《运作办法》、《信息披露办法》、《流动性风险管理规定》、《基金合同》及其他有关规定。相关法律法规关于信息披露的规定发生变化时，本基金从其最新规定。</w:t>
      </w:r>
    </w:p>
    <w:p w14:paraId="43BC08C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二、信息披露义务人</w:t>
      </w:r>
    </w:p>
    <w:p w14:paraId="59AB57E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本基金信息披露义务人包括基金管理人、基金托管人、召集基金份额持有人大会的基金份额持有人等法律法规和中国证监会规定的自然人、法人和非法人组织。</w:t>
      </w:r>
    </w:p>
    <w:p w14:paraId="2BF3290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本基金信息披露义务人以保护基金份额持有人利益为根本出发点，按照法律法规和中国证监会的规定披露基金信息，并保证所披露信息的真实性、准确性、完整性、及时性、简明性和易得性。</w:t>
      </w:r>
    </w:p>
    <w:p w14:paraId="0455194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1233557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三、本基金信息披露义务人承诺公开披露的基金信息，不得有下列行为：</w:t>
      </w:r>
    </w:p>
    <w:p w14:paraId="35FA84B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1、虚假记载、误导性陈述或者重大遗漏；</w:t>
      </w:r>
    </w:p>
    <w:p w14:paraId="3AB2680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2、对证券投资业绩进行预测；</w:t>
      </w:r>
    </w:p>
    <w:p w14:paraId="3A7F4DE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3、违规承诺收益或者承担损失；</w:t>
      </w:r>
    </w:p>
    <w:p w14:paraId="286B7B9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4、诋毁其他基金管理人、基金托管人或者基金销售机构；</w:t>
      </w:r>
    </w:p>
    <w:p w14:paraId="2F60D46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5、登载任何自然人、法人和非法人组织的祝贺性、恭维性或推荐性文字；</w:t>
      </w:r>
    </w:p>
    <w:p w14:paraId="635304A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6、中国证监会禁止的其他行为。</w:t>
      </w:r>
    </w:p>
    <w:p w14:paraId="65D54AB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四、本基金公开披露的信息应采用中文文本。如同时采用外文文本的，基金信息披露义务人应保证不同文本的内容一致。不同文本之间发生歧义的，以中文文本为准。</w:t>
      </w:r>
    </w:p>
    <w:p w14:paraId="0EDCBB5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本基金公开披露的信息采用阿拉伯数字；除特别说明外，货币单位为人民币元。</w:t>
      </w:r>
    </w:p>
    <w:p w14:paraId="44F57C7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五、公开披露的基金信息</w:t>
      </w:r>
    </w:p>
    <w:p w14:paraId="20A373D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公开披露的基金信息包括：</w:t>
      </w:r>
    </w:p>
    <w:p w14:paraId="240C2CC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（一）基金招募说明书、基金产品资料概要、《基金合同》、基金托管协议</w:t>
      </w:r>
    </w:p>
    <w:p w14:paraId="66C8C01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1、《基金合同》是界定《基金合同》当事人的各项权利、义务关系，明确基金份额持有人大会召开的规则及具体程序，说明基金产品的特性等涉及基金投资者重大利益的事项的法律文件。</w:t>
      </w:r>
    </w:p>
    <w:p w14:paraId="64EA02E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2、基金招募说明书应当最大限度地披露影响基金投资者决策的全部事项，说明基金认购、申购和赎回安排、基金投资、基金产品特性、风险揭示、信息披露及基金份额持有人服务等内容。</w:t>
      </w:r>
    </w:p>
    <w:p w14:paraId="1924BCB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基金产品资料概要是基金招募说明书的摘要文件，用于向投资者提供简明的基金概要信息。基金管理人应当依照法律法规和中国证监会的规定编制、披露与更新基金产品资料概要。</w:t>
      </w:r>
    </w:p>
    <w:p w14:paraId="1F38856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51B2BEF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基金终止运作的，除基金合同另有约定外，基金管理人可以不再更新基金招募说明书和基金产品资料概要。</w:t>
      </w:r>
    </w:p>
    <w:p w14:paraId="1412982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3、基金托管协议是界定基金托管人和基金管理人在基金财产保管及基金运作监督等活动中的权利、义务关系的法律文件。</w:t>
      </w:r>
    </w:p>
    <w:p w14:paraId="1F80008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募集申请经中国证监会注册后，基金管理人在基金份额发售的3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7D14184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（二）基金份额发售公告</w:t>
      </w:r>
    </w:p>
    <w:p w14:paraId="5590EEC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基金管理人应当就基金份额发售的具体事宜编制基金份额发售公告。</w:t>
      </w:r>
    </w:p>
    <w:p w14:paraId="1DC30B9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（三）《基金合同》生效公告</w:t>
      </w:r>
    </w:p>
    <w:p w14:paraId="4C8FE9D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基金管理人应当在收到中国证监会确认文件的次日在规定报刊和规定网站上登载《基金合同》生效公告。</w:t>
      </w:r>
    </w:p>
    <w:p w14:paraId="7BFB160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w:t>
      </w:r>
      <w:bookmarkStart w:id="37" w:name="_Hlk174462659"/>
      <w:r>
        <w:rPr>
          <w:rFonts w:hint="eastAsia" w:ascii="宋体" w:hAnsi="宋体" w:eastAsia="宋体" w:cs="宋体"/>
          <w:kern w:val="0"/>
          <w:sz w:val="24"/>
          <w:szCs w:val="24"/>
        </w:rPr>
        <w:t>基金净值信息</w:t>
      </w:r>
      <w:bookmarkEnd w:id="37"/>
    </w:p>
    <w:p w14:paraId="3839403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《基金合同》生效后，在开始办理基金份额申购或者赎回前，基金管理人应当至少每周在规定网站公告一次各类基金份额净值和各类基金份额累计净值。</w:t>
      </w:r>
    </w:p>
    <w:p w14:paraId="58EA760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在开始办理基金份额申购或者赎回后，基金管理人应当在不晚于每个开放日的次日，通过规定网站、基金销售机构网站或者营业网点披露开放日的各类基金份额净值和各类基金份额累计净值。</w:t>
      </w:r>
    </w:p>
    <w:p w14:paraId="2E56E8D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基金管理人应当在不晚于半年度和年度最后一日的次日，在规定网站公告半年度和年度最后一日各类基金份额净值和各类基金份额累计净值。</w:t>
      </w:r>
    </w:p>
    <w:p w14:paraId="0B04AE7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w:t>
      </w:r>
      <w:bookmarkStart w:id="38" w:name="_Hlk174462707"/>
      <w:r>
        <w:rPr>
          <w:rFonts w:hint="eastAsia" w:ascii="宋体" w:hAnsi="宋体" w:eastAsia="宋体" w:cs="宋体"/>
          <w:kern w:val="0"/>
          <w:sz w:val="24"/>
          <w:szCs w:val="24"/>
        </w:rPr>
        <w:t>基金份额申购、赎回价格</w:t>
      </w:r>
      <w:bookmarkEnd w:id="38"/>
    </w:p>
    <w:p w14:paraId="0495186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6E2E6C6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（六）基金定期报告，包括基金年度报告、基金中期报告和基金季度报告（含资产组合季度报告）</w:t>
      </w:r>
    </w:p>
    <w:p w14:paraId="1A3A491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w:t>
      </w:r>
    </w:p>
    <w:p w14:paraId="0BA86FE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基金管理人应当在上半年结束之日起两个月内，编制完成基金中期报告，将中期报告登载在规定网站上，并将中期报告提示性公告登载在规定报刊上。</w:t>
      </w:r>
    </w:p>
    <w:p w14:paraId="4BAE6B5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基金管理人应当在季度结束之日起15个工作日内，编制完成基金季度报告，将季度报告登载在规定网站上，并将季度报告提示性公告登载在规定报刊上。</w:t>
      </w:r>
    </w:p>
    <w:p w14:paraId="2A8C9F8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《基金合同》生效不足2个月的，基金管理人可以不编制当期季度报告、中期报告或者年度报告。</w:t>
      </w:r>
    </w:p>
    <w:p w14:paraId="235C419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FD57D2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基金管理人应当在基金年度报告和中期报告中披露基金组合资产情况及其流动性风险分析等。</w:t>
      </w:r>
    </w:p>
    <w:p w14:paraId="4A6B805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（七）临时报告</w:t>
      </w:r>
    </w:p>
    <w:p w14:paraId="3F1B111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本基金发生重大事件，有关信息披露义务人应当按规定编制临时报告书，并登载在规定报刊和规定网站上。</w:t>
      </w:r>
    </w:p>
    <w:p w14:paraId="6863AD1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前款所称重大事件，是指可能对基金份额持有人权益或者基金份额的价格产生重大影响的下列事件：</w:t>
      </w:r>
    </w:p>
    <w:p w14:paraId="4D68994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1、基金份额持有人大会的召开及决定的事项；</w:t>
      </w:r>
    </w:p>
    <w:p w14:paraId="1B2EFE0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2、《基金合同》终止、基金清算；</w:t>
      </w:r>
    </w:p>
    <w:p w14:paraId="2DC14D8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3、转换基金运作方式、基金合并；</w:t>
      </w:r>
    </w:p>
    <w:p w14:paraId="6CCB8CF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4、更换基金管理人、基金托管人；</w:t>
      </w:r>
    </w:p>
    <w:p w14:paraId="70FFA9C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5、基金管理人委托基金服务机构代为办理基金的份额登记、核算、估值等事项，基金托管人委托基金服务机构代为办理基金的核算、估值、复核等事项；</w:t>
      </w:r>
    </w:p>
    <w:p w14:paraId="4401C79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6、基金管理人、基金托管人的法定名称、住所发生变更；</w:t>
      </w:r>
    </w:p>
    <w:p w14:paraId="54CF322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7、基金管理人变更持有百分之五以上股权的股东、变更基金管理人的实际控制人；</w:t>
      </w:r>
    </w:p>
    <w:p w14:paraId="1B8E371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8、基金募集期延长或提前结束募集；</w:t>
      </w:r>
    </w:p>
    <w:p w14:paraId="6165488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9、基金管理人高级管理人员、基金经理和基金托管人专门基金托管部门负责人发生变动；</w:t>
      </w:r>
    </w:p>
    <w:p w14:paraId="3810500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10、基金管理人的董事在最近12个月内变更超过百分之五十；</w:t>
      </w:r>
    </w:p>
    <w:p w14:paraId="65374C6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11、基金管理人、基金托管人专门基金托管部门的主要业务人员在最近12个月内变动超过百分之三十；</w:t>
      </w:r>
    </w:p>
    <w:p w14:paraId="76E73E6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12、涉及基金管理业务、基金财产、基金托管业务的诉讼或仲裁； </w:t>
      </w:r>
    </w:p>
    <w:p w14:paraId="0DE6DF9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13、基金管理人或其高级管理人员、基金经理因基金管理业务相关行为受到重大行政处罚、刑事处罚，基金托管人或其专门基金托管部门负责人因基金托管业务相关行为受到重大行政处罚、刑事处罚；</w:t>
      </w:r>
    </w:p>
    <w:p w14:paraId="3D52C27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266759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15、基金收益分配事项；</w:t>
      </w:r>
    </w:p>
    <w:p w14:paraId="0B15303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16、管理费、托管费、销售服务费、申购费、赎回费等费用计提标准、计提方式和费率发生变更；</w:t>
      </w:r>
    </w:p>
    <w:p w14:paraId="7F1BAA6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17、任一类基金份额净值计价错误达该类基金份额净值百分之零点五；</w:t>
      </w:r>
    </w:p>
    <w:p w14:paraId="5CBFCB9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18、基金改聘会计师事务所；</w:t>
      </w:r>
    </w:p>
    <w:p w14:paraId="2566325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19、更换基金登记机构；</w:t>
      </w:r>
    </w:p>
    <w:p w14:paraId="7831407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20、本基金开始办理申购、赎回；</w:t>
      </w:r>
    </w:p>
    <w:p w14:paraId="7F2A64A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21、本基金发生巨额赎回并延期办理；</w:t>
      </w:r>
    </w:p>
    <w:p w14:paraId="1EB2446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22、本基金连续发生巨额赎回并暂停接受赎回申请或延缓支付赎回款项；</w:t>
      </w:r>
    </w:p>
    <w:p w14:paraId="74AEB4D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23、本基金暂停接受申购、赎回申请或重新接受申购、赎回申请；</w:t>
      </w:r>
    </w:p>
    <w:p w14:paraId="19E1D2B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24、发生涉及基金申购、赎回事项调整或潜在影响投资者赎回等重大事项时；</w:t>
      </w:r>
    </w:p>
    <w:p w14:paraId="4CDCFCC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25、基金管理人采用摆动定价机制进行估值；</w:t>
      </w:r>
    </w:p>
    <w:p w14:paraId="197497C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26、调整基金份额类别的设置；</w:t>
      </w:r>
    </w:p>
    <w:p w14:paraId="4C681C1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27、基金推出新业务或服务；</w:t>
      </w:r>
    </w:p>
    <w:p w14:paraId="7C6C690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28、基金信息披露义务人认为可能对基金份额持有人权益或者基金份额的价格产生重大影响的其他事项或中国证监会规定的和基金合同约定的其他事项。</w:t>
      </w:r>
    </w:p>
    <w:p w14:paraId="035FFDB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（八）澄清公告</w:t>
      </w:r>
    </w:p>
    <w:p w14:paraId="264FE6A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19A0650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（九）</w:t>
      </w:r>
      <w:bookmarkStart w:id="39" w:name="_Hlk174462757"/>
      <w:r>
        <w:rPr>
          <w:rFonts w:hint="eastAsia" w:ascii="宋体" w:hAnsi="宋体" w:eastAsia="宋体" w:cs="宋体"/>
          <w:kern w:val="0"/>
          <w:sz w:val="24"/>
          <w:szCs w:val="24"/>
        </w:rPr>
        <w:t>清算报告</w:t>
      </w:r>
      <w:bookmarkEnd w:id="39"/>
    </w:p>
    <w:p w14:paraId="570B886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14D0480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（十）基金份额持有人大会决议</w:t>
      </w:r>
    </w:p>
    <w:p w14:paraId="789D5CB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基金份额持有人大会决定的事项，应当依法报中国证监会备案，并予以公告。</w:t>
      </w:r>
    </w:p>
    <w:p w14:paraId="566A7BB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（十一）参与股指期货、</w:t>
      </w:r>
      <w:bookmarkStart w:id="40" w:name="_Hlk174462790"/>
      <w:r>
        <w:rPr>
          <w:rFonts w:hint="eastAsia" w:ascii="宋体" w:hAnsi="宋体" w:eastAsia="宋体" w:cs="宋体"/>
          <w:kern w:val="0"/>
          <w:sz w:val="24"/>
          <w:szCs w:val="24"/>
        </w:rPr>
        <w:t>国债期货</w:t>
      </w:r>
      <w:bookmarkEnd w:id="40"/>
      <w:r>
        <w:rPr>
          <w:rFonts w:hint="eastAsia" w:ascii="宋体" w:hAnsi="宋体" w:eastAsia="宋体" w:cs="宋体"/>
          <w:kern w:val="0"/>
          <w:sz w:val="24"/>
          <w:szCs w:val="24"/>
        </w:rPr>
        <w:t>交易的信息披露</w:t>
      </w:r>
    </w:p>
    <w:p w14:paraId="498FD46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在基金季度报告、基金中期报告、基金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14:paraId="2D92B60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（十二）投资股票期权的信息披露</w:t>
      </w:r>
    </w:p>
    <w:p w14:paraId="390A634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在基金季度报告、基金中期报告、基金年度报告等定期报告和招募说明书（更新）等文件中披露股票期权交易情况，包括投资政策、持仓情况、损益情况、风险指标、估值方法等，并充分揭示股票期权交易对基金总体风险的影响以及是否符合既定的投资政策和投资目标等。</w:t>
      </w:r>
    </w:p>
    <w:p w14:paraId="28C41F5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（十三）</w:t>
      </w:r>
      <w:bookmarkStart w:id="41" w:name="_Hlk174462814"/>
      <w:r>
        <w:rPr>
          <w:rFonts w:hint="eastAsia" w:ascii="宋体" w:hAnsi="宋体" w:eastAsia="宋体" w:cs="宋体"/>
          <w:kern w:val="0"/>
          <w:sz w:val="24"/>
          <w:szCs w:val="24"/>
        </w:rPr>
        <w:t>投资</w:t>
      </w:r>
      <w:bookmarkEnd w:id="41"/>
      <w:r>
        <w:rPr>
          <w:rFonts w:hint="eastAsia" w:ascii="宋体" w:hAnsi="宋体" w:eastAsia="宋体" w:cs="宋体"/>
          <w:kern w:val="0"/>
          <w:sz w:val="24"/>
          <w:szCs w:val="24"/>
        </w:rPr>
        <w:t>资产支持证券的信息披露</w:t>
      </w:r>
    </w:p>
    <w:p w14:paraId="3186F05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CCEA47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（十四）</w:t>
      </w:r>
      <w:bookmarkStart w:id="42" w:name="_Hlk174462859"/>
      <w:r>
        <w:rPr>
          <w:rFonts w:hint="eastAsia" w:ascii="宋体" w:hAnsi="宋体" w:eastAsia="宋体" w:cs="宋体"/>
          <w:kern w:val="0"/>
          <w:sz w:val="24"/>
          <w:szCs w:val="24"/>
        </w:rPr>
        <w:t>投资港股通标的股票的信息披露</w:t>
      </w:r>
      <w:bookmarkEnd w:id="42"/>
    </w:p>
    <w:p w14:paraId="4154314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625B751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（十五）</w:t>
      </w:r>
      <w:bookmarkStart w:id="43" w:name="_Hlk174462877"/>
      <w:r>
        <w:rPr>
          <w:rFonts w:hint="eastAsia" w:ascii="宋体" w:hAnsi="宋体" w:eastAsia="宋体" w:cs="宋体"/>
          <w:kern w:val="0"/>
          <w:sz w:val="24"/>
          <w:szCs w:val="24"/>
        </w:rPr>
        <w:t>投资非公开发行股票的信息披露</w:t>
      </w:r>
      <w:bookmarkEnd w:id="43"/>
    </w:p>
    <w:p w14:paraId="11475D0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28002BA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（十六）参与融资和转融通证券出借业务的信息披露</w:t>
      </w:r>
    </w:p>
    <w:p w14:paraId="7C30FAE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14:paraId="3B1B050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本基金参与转融通证券出借业务的，基金管理人应当在基金定期报告等文件中就报告期内发生的重大关联交易事项做详细说明。</w:t>
      </w:r>
    </w:p>
    <w:p w14:paraId="1A0AC69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（十七）</w:t>
      </w:r>
      <w:bookmarkStart w:id="44" w:name="_Hlk174462918"/>
      <w:r>
        <w:rPr>
          <w:rFonts w:hint="eastAsia" w:ascii="宋体" w:hAnsi="宋体" w:eastAsia="宋体" w:cs="宋体"/>
          <w:kern w:val="0"/>
          <w:sz w:val="24"/>
          <w:szCs w:val="24"/>
        </w:rPr>
        <w:t>实施侧袋机制期间的信息披露</w:t>
      </w:r>
      <w:bookmarkEnd w:id="44"/>
    </w:p>
    <w:p w14:paraId="4B7798C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本基金实施侧袋机制的，相关信息披露义务人应当根据法律法规、基金合同和招募说明书的规定进行信息披露，详见招募说明书的规定。</w:t>
      </w:r>
    </w:p>
    <w:p w14:paraId="440E9E81">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（十八）中国证监会规定的其他信息</w:t>
      </w:r>
    </w:p>
    <w:p w14:paraId="1ED7CAB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六、信息披露事务管理</w:t>
      </w:r>
    </w:p>
    <w:p w14:paraId="593F788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基金管理人、基金托管人应当建立健全信息披露管理制度，指定专门部门及高级管理人员负责管理信息披露事务。</w:t>
      </w:r>
    </w:p>
    <w:p w14:paraId="61BA613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基金信息披露义务人公开披露基金信息，应当符合中国证监会相关基金信息披露内容与格式准则等法规的规定。</w:t>
      </w:r>
    </w:p>
    <w:p w14:paraId="0A1755F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基金托管人应当按照相关法律法规、中国证监会的规定和《基金合同》的约定，对基金管理人编制的基金资产净值、各类基金份额净值、</w:t>
      </w:r>
      <w:bookmarkStart w:id="45" w:name="_Hlk174463174"/>
      <w:r>
        <w:rPr>
          <w:rFonts w:hint="eastAsia" w:ascii="宋体" w:hAnsi="宋体" w:eastAsia="宋体" w:cs="宋体"/>
          <w:kern w:val="0"/>
          <w:sz w:val="24"/>
          <w:szCs w:val="24"/>
        </w:rPr>
        <w:t>基金份额申购赎回价格、</w:t>
      </w:r>
      <w:bookmarkEnd w:id="45"/>
      <w:r>
        <w:rPr>
          <w:rFonts w:hint="eastAsia" w:ascii="宋体" w:hAnsi="宋体" w:eastAsia="宋体" w:cs="宋体"/>
          <w:kern w:val="0"/>
          <w:sz w:val="24"/>
          <w:szCs w:val="24"/>
        </w:rPr>
        <w:t>基金定期报告、更新的招募说明书、基金产品资料概要、基金清算报告等相关基金信息进行复核、审查，并向基金管理人进行书面或电子确认。</w:t>
      </w:r>
    </w:p>
    <w:p w14:paraId="13EC8EB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基金管理人、基金托管人应当在规定报刊中选择披露信息的报刊。</w:t>
      </w:r>
    </w:p>
    <w:p w14:paraId="3A686D2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基金管理人、基金托管人应当向中国证监会基金电子披露网站报送拟披露的基金信息，并保证相关报送信息的真实、准确、完整、及时。</w:t>
      </w:r>
    </w:p>
    <w:p w14:paraId="528B352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2F7AEEF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3531C1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为基金信息披露义务人公开披露的基金信息出具审计报告、法律意见书的专业机构，应当制作工作底稿，并将相关档案至少保存到《基金合同》终止后10年。</w:t>
      </w:r>
    </w:p>
    <w:p w14:paraId="220E4EA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七、信息披露文件的存放与查阅</w:t>
      </w:r>
    </w:p>
    <w:p w14:paraId="67302A7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依法必须披露的信息发布后，基金管理人、基金托管人应当按照相关法律法规规定将信息置备于公司住所，以供社会公众查阅、复制。</w:t>
      </w:r>
    </w:p>
    <w:p w14:paraId="348D29E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八、暂停或延迟信息披露的情形</w:t>
      </w:r>
    </w:p>
    <w:p w14:paraId="7C7CB14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1、不可抗力；</w:t>
      </w:r>
    </w:p>
    <w:p w14:paraId="730E1A7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bookmarkStart w:id="46" w:name="_Hlk174539920"/>
      <w:r>
        <w:rPr>
          <w:rFonts w:hint="eastAsia" w:ascii="宋体" w:hAnsi="宋体" w:eastAsia="宋体" w:cs="宋体"/>
          <w:kern w:val="0"/>
          <w:sz w:val="24"/>
          <w:szCs w:val="24"/>
        </w:rPr>
        <w:t>发生基金合同约定的暂停估值的情形；</w:t>
      </w:r>
      <w:bookmarkEnd w:id="46"/>
    </w:p>
    <w:p w14:paraId="13E3124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3、法律法规规定、中国证监会或基金合同认定的其他情形。</w:t>
      </w:r>
    </w:p>
    <w:p w14:paraId="3F6B7E1F">
      <w:pPr>
        <w:autoSpaceDE w:val="0"/>
        <w:autoSpaceDN w:val="0"/>
        <w:adjustRightInd w:val="0"/>
        <w:spacing w:line="360" w:lineRule="auto"/>
        <w:ind w:firstLine="480" w:firstLineChars="200"/>
        <w:jc w:val="left"/>
        <w:rPr>
          <w:rFonts w:ascii="宋体" w:hAnsi="宋体" w:eastAsia="宋体" w:cs="宋体"/>
          <w:kern w:val="0"/>
          <w:sz w:val="24"/>
          <w:szCs w:val="24"/>
        </w:rPr>
      </w:pPr>
    </w:p>
    <w:p w14:paraId="1C19F8FB">
      <w:pPr>
        <w:pStyle w:val="3"/>
        <w:spacing w:before="0" w:after="0" w:line="360" w:lineRule="auto"/>
        <w:ind w:firstLine="602" w:firstLineChars="200"/>
        <w:rPr>
          <w:rFonts w:ascii="宋体" w:hAnsi="宋体" w:eastAsia="宋体" w:cs="宋体"/>
          <w:kern w:val="0"/>
          <w:sz w:val="30"/>
          <w:lang w:val="zh-CN"/>
        </w:rPr>
        <w:sectPr>
          <w:footerReference r:id="rId24" w:type="default"/>
          <w:pgSz w:w="11906" w:h="16838"/>
          <w:pgMar w:top="1440" w:right="1800" w:bottom="1440" w:left="1800" w:header="851" w:footer="992" w:gutter="0"/>
          <w:pgNumType w:start="1"/>
          <w:cols w:space="425" w:num="1"/>
          <w:docGrid w:type="lines" w:linePitch="312" w:charSpace="0"/>
        </w:sectPr>
      </w:pPr>
      <w:bookmarkStart w:id="47" w:name="_Toc111811357"/>
    </w:p>
    <w:p w14:paraId="6B491987">
      <w:pPr>
        <w:pStyle w:val="3"/>
        <w:spacing w:before="0" w:after="0" w:line="360" w:lineRule="auto"/>
        <w:ind w:firstLine="602" w:firstLineChars="200"/>
        <w:rPr>
          <w:rFonts w:ascii="宋体" w:hAnsi="宋体" w:eastAsia="宋体" w:cs="宋体"/>
          <w:kern w:val="0"/>
          <w:sz w:val="30"/>
          <w:lang w:val="zh-CN"/>
        </w:rPr>
      </w:pPr>
      <w:r>
        <w:rPr>
          <w:rFonts w:hint="eastAsia" w:ascii="宋体" w:hAnsi="宋体" w:eastAsia="宋体" w:cs="宋体"/>
          <w:kern w:val="0"/>
          <w:sz w:val="30"/>
          <w:lang w:val="zh-CN"/>
        </w:rPr>
        <w:t>第十九部分 基金合同的变更、终止与基金财产的清算</w:t>
      </w:r>
      <w:bookmarkEnd w:id="47"/>
    </w:p>
    <w:p w14:paraId="4BA9CED1">
      <w:pPr>
        <w:autoSpaceDE w:val="0"/>
        <w:autoSpaceDN w:val="0"/>
        <w:adjustRightInd w:val="0"/>
        <w:spacing w:line="360" w:lineRule="auto"/>
        <w:ind w:firstLine="480" w:firstLineChars="200"/>
        <w:jc w:val="left"/>
        <w:rPr>
          <w:rFonts w:ascii="宋体" w:hAnsi="宋体" w:eastAsia="宋体" w:cs="宋体"/>
          <w:kern w:val="0"/>
          <w:sz w:val="24"/>
          <w:szCs w:val="24"/>
        </w:rPr>
      </w:pPr>
    </w:p>
    <w:p w14:paraId="13F0AF1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一、《基金合同》的变更</w:t>
      </w:r>
    </w:p>
    <w:p w14:paraId="32835B4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w:t>
      </w:r>
    </w:p>
    <w:p w14:paraId="4375B6C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2、关于《基金合同》变更的基金份额持有人大会决议自生效后方可执行，自决议生效后按规定在规定媒介公告。</w:t>
      </w:r>
    </w:p>
    <w:p w14:paraId="2E392C1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二、《基金合同》的终止事由</w:t>
      </w:r>
    </w:p>
    <w:p w14:paraId="6BB3A46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有下列情形之一的，经履行相关程序后，《基金合同》应当终止：</w:t>
      </w:r>
    </w:p>
    <w:p w14:paraId="4EAA301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1、基金份额持有人大会决定终止的；</w:t>
      </w:r>
    </w:p>
    <w:p w14:paraId="12DCE04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2、基金管理人、基金托管人职责终止，在6个月内没有新基金管理人、新基金托管人承接的；</w:t>
      </w:r>
    </w:p>
    <w:p w14:paraId="1E7B317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出现标的指数不符合要求（因成份股价格波动等指数编制方法变动之外的因素致使标的指数不符合要求以及法律法规、监管机构另有规定的情形除外）、指数编制机构退出等情形，基金管理人召集基金份额持有人大会对解决方案进行表决，基金份额持有人大会未成功召开或就上述事项表决未通过的；</w:t>
      </w:r>
    </w:p>
    <w:p w14:paraId="79C2ED4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4、《基金合同》约定的其他情形；</w:t>
      </w:r>
    </w:p>
    <w:p w14:paraId="5BFDCA5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5、相关法律法规和中国证监会规定的其他情况。</w:t>
      </w:r>
    </w:p>
    <w:p w14:paraId="4124BD7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三、基金财产的清算</w:t>
      </w:r>
    </w:p>
    <w:p w14:paraId="300643C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1、基金财产清算小组：自出现《基金合同》终止事由之日起30个工作日内成立基金财产清算小组，基金管理人组织基金财产清算小组并在中国证监会的监督下进行基金清算。</w:t>
      </w:r>
    </w:p>
    <w:p w14:paraId="6666E14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2、在基金财产清算小组接管基金财产之前，基金管理人和基金托管人应按照《基金合同》和托管协议的规定继续履行保护基金财产安全的职责。</w:t>
      </w:r>
    </w:p>
    <w:p w14:paraId="32B439F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88F53A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4、基金财产清算小组职责：基金财产清算小组负责基金财产的保管、清理、估价、变现和分配。基金财产清算小组可以依法进行必要的民事活动。</w:t>
      </w:r>
    </w:p>
    <w:p w14:paraId="2D3B757F">
      <w:pPr>
        <w:autoSpaceDE w:val="0"/>
        <w:autoSpaceDN w:val="0"/>
        <w:adjustRightInd w:val="0"/>
        <w:spacing w:line="360" w:lineRule="auto"/>
        <w:ind w:firstLine="480" w:firstLineChars="200"/>
        <w:jc w:val="left"/>
        <w:rPr>
          <w:rFonts w:ascii="宋体" w:hAnsi="宋体" w:eastAsia="宋体" w:cs="宋体"/>
          <w:kern w:val="0"/>
          <w:sz w:val="24"/>
          <w:szCs w:val="24"/>
        </w:rPr>
      </w:pPr>
      <w:bookmarkStart w:id="48" w:name="_Hlk174540238"/>
      <w:r>
        <w:rPr>
          <w:rFonts w:hint="eastAsia" w:ascii="宋体" w:hAnsi="宋体" w:eastAsia="宋体" w:cs="宋体"/>
          <w:kern w:val="0"/>
          <w:sz w:val="24"/>
          <w:szCs w:val="24"/>
        </w:rPr>
        <w:t>5、在基金财产清算过程中，基金管理人和基金托管人应各自履行职责，继续忠实、勤勉、尽责地履行基金合同和托管协议规定的义务，维护基金份额持有人的合法权益。</w:t>
      </w:r>
    </w:p>
    <w:bookmarkEnd w:id="48"/>
    <w:p w14:paraId="1F5C42F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6、基金财产清算程序：</w:t>
      </w:r>
    </w:p>
    <w:p w14:paraId="213C610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（1）《基金合同》终止情形出现时，由基金财产清算小组统一接管基金财产；</w:t>
      </w:r>
    </w:p>
    <w:p w14:paraId="049B847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（2）对基金财产和债权债务进行清理和确认；</w:t>
      </w:r>
    </w:p>
    <w:p w14:paraId="6A22BCD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（3）对基金财产进行估值和变现；</w:t>
      </w:r>
    </w:p>
    <w:p w14:paraId="734C8CE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（4）制作清算报告；</w:t>
      </w:r>
    </w:p>
    <w:p w14:paraId="6FBF00D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（5）聘请符合《中华人民共和国证券法》规定的会计师事务所对清算报告进行外部审计，聘请律师事务所对清算报告出具法律意见书；</w:t>
      </w:r>
    </w:p>
    <w:p w14:paraId="23FE4AD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（6）将清算报告报中国证监会备案并公告；</w:t>
      </w:r>
    </w:p>
    <w:p w14:paraId="40F6A6F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（7）对基金剩余财产进行分配。</w:t>
      </w:r>
    </w:p>
    <w:p w14:paraId="7CC7EAC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7、基金财产清算的期限为6个月，但因本基金所持证券的流动性受到限制而不能及时变现的，清算期限可相应顺延。</w:t>
      </w:r>
    </w:p>
    <w:p w14:paraId="7C08DA2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四、清算费用</w:t>
      </w:r>
    </w:p>
    <w:p w14:paraId="11484F1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清算费用是指基金财产清算小组在进行基金清算过程中发生的所有合理费用，清算费用由基金财产清算小组优先从基金剩余财产中支付。</w:t>
      </w:r>
    </w:p>
    <w:p w14:paraId="30199A6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五、基金财产清算剩余资产的分配</w:t>
      </w:r>
    </w:p>
    <w:p w14:paraId="26BF854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56D97E9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六、基金财产清算的公告</w:t>
      </w:r>
    </w:p>
    <w:p w14:paraId="0FFF795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DE5D75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七、基金财产清算账册及文件的保存</w:t>
      </w:r>
    </w:p>
    <w:p w14:paraId="32049DE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基金财产清算账册及有关文件由基金托管人保存，保存期限不低于法律法规规定的最低期限。</w:t>
      </w:r>
    </w:p>
    <w:p w14:paraId="6A1EECE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八、基金合并</w:t>
      </w:r>
    </w:p>
    <w:p w14:paraId="0C1CB1B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本基金与其他基金的合并应当按照法律法规规定的程序进行。</w:t>
      </w:r>
    </w:p>
    <w:p w14:paraId="187AF4AD">
      <w:pPr>
        <w:ind w:firstLine="200"/>
        <w:rPr>
          <w:rFonts w:ascii="宋体" w:hAnsi="宋体" w:eastAsia="宋体" w:cs="宋体"/>
        </w:rPr>
        <w:sectPr>
          <w:footerReference r:id="rId25" w:type="default"/>
          <w:pgSz w:w="11906" w:h="16838"/>
          <w:pgMar w:top="1440" w:right="1800" w:bottom="1440" w:left="1800" w:header="851" w:footer="992" w:gutter="0"/>
          <w:pgNumType w:start="1"/>
          <w:cols w:space="425" w:num="1"/>
          <w:docGrid w:type="lines" w:linePitch="312" w:charSpace="0"/>
        </w:sectPr>
      </w:pPr>
    </w:p>
    <w:p w14:paraId="2F2ABF79">
      <w:pPr>
        <w:pStyle w:val="3"/>
        <w:spacing w:before="0" w:after="0" w:line="360" w:lineRule="auto"/>
        <w:ind w:firstLine="602" w:firstLineChars="200"/>
        <w:jc w:val="center"/>
        <w:rPr>
          <w:rFonts w:ascii="宋体" w:hAnsi="宋体" w:eastAsia="宋体" w:cs="宋体"/>
          <w:kern w:val="0"/>
          <w:sz w:val="30"/>
          <w:lang w:val="zh-CN"/>
        </w:rPr>
      </w:pPr>
      <w:bookmarkStart w:id="49" w:name="_Toc111811358"/>
      <w:r>
        <w:rPr>
          <w:rFonts w:hint="eastAsia" w:ascii="宋体" w:hAnsi="宋体" w:eastAsia="宋体" w:cs="宋体"/>
          <w:kern w:val="0"/>
          <w:sz w:val="30"/>
          <w:lang w:val="zh-CN"/>
        </w:rPr>
        <w:t>第二十部分 违约责任</w:t>
      </w:r>
      <w:bookmarkEnd w:id="49"/>
    </w:p>
    <w:p w14:paraId="3016ACB0">
      <w:pPr>
        <w:autoSpaceDE w:val="0"/>
        <w:autoSpaceDN w:val="0"/>
        <w:adjustRightInd w:val="0"/>
        <w:spacing w:line="360" w:lineRule="auto"/>
        <w:ind w:firstLine="480" w:firstLineChars="200"/>
        <w:jc w:val="left"/>
        <w:rPr>
          <w:rFonts w:ascii="宋体" w:hAnsi="宋体" w:eastAsia="宋体" w:cs="宋体"/>
          <w:kern w:val="0"/>
          <w:sz w:val="24"/>
          <w:szCs w:val="24"/>
        </w:rPr>
      </w:pPr>
    </w:p>
    <w:p w14:paraId="0702A3A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2E2A418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但是发生下列情况的，当事人免责：</w:t>
      </w:r>
    </w:p>
    <w:p w14:paraId="1326EF7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1、不可抗力；</w:t>
      </w:r>
    </w:p>
    <w:p w14:paraId="174EE55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2、基金管理人和/或基金托管人按照当时有效的法律法规、规章或中国证监会的规定作为或不作为而造成的损失等；</w:t>
      </w:r>
    </w:p>
    <w:p w14:paraId="43EB54A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3、基金管理人由于按照基金合同规定的投资原则行使或不行使其投资权而造成的损失等。</w:t>
      </w:r>
    </w:p>
    <w:p w14:paraId="570DCC2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43F6A66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7AC0EB35">
      <w:pPr>
        <w:autoSpaceDE w:val="0"/>
        <w:autoSpaceDN w:val="0"/>
        <w:adjustRightInd w:val="0"/>
        <w:spacing w:line="360" w:lineRule="auto"/>
        <w:ind w:firstLine="480" w:firstLineChars="200"/>
        <w:jc w:val="left"/>
        <w:rPr>
          <w:rFonts w:ascii="宋体" w:hAnsi="宋体" w:eastAsia="宋体" w:cs="宋体"/>
          <w:kern w:val="0"/>
          <w:sz w:val="24"/>
          <w:szCs w:val="24"/>
        </w:rPr>
      </w:pPr>
    </w:p>
    <w:p w14:paraId="2E3A564D">
      <w:pPr>
        <w:autoSpaceDE w:val="0"/>
        <w:autoSpaceDN w:val="0"/>
        <w:adjustRightInd w:val="0"/>
        <w:spacing w:line="360" w:lineRule="auto"/>
        <w:ind w:firstLine="200"/>
        <w:jc w:val="left"/>
        <w:rPr>
          <w:rFonts w:ascii="宋体" w:hAnsi="宋体" w:eastAsia="宋体" w:cs="宋体"/>
          <w:kern w:val="0"/>
          <w:sz w:val="24"/>
          <w:szCs w:val="24"/>
        </w:rPr>
        <w:sectPr>
          <w:footerReference r:id="rId26" w:type="default"/>
          <w:pgSz w:w="11906" w:h="16838"/>
          <w:pgMar w:top="1440" w:right="1800" w:bottom="1440" w:left="1800" w:header="851" w:footer="992" w:gutter="0"/>
          <w:pgNumType w:start="1"/>
          <w:cols w:space="425" w:num="1"/>
          <w:docGrid w:type="lines" w:linePitch="312" w:charSpace="0"/>
        </w:sectPr>
      </w:pPr>
    </w:p>
    <w:p w14:paraId="73A91548">
      <w:pPr>
        <w:pStyle w:val="3"/>
        <w:spacing w:before="0" w:after="0" w:line="360" w:lineRule="auto"/>
        <w:ind w:firstLine="602" w:firstLineChars="200"/>
        <w:jc w:val="center"/>
        <w:rPr>
          <w:rFonts w:ascii="宋体" w:hAnsi="宋体" w:eastAsia="宋体" w:cs="宋体"/>
          <w:kern w:val="0"/>
          <w:sz w:val="30"/>
          <w:lang w:val="zh-CN"/>
        </w:rPr>
      </w:pPr>
      <w:bookmarkStart w:id="50" w:name="_Toc111811359"/>
      <w:r>
        <w:rPr>
          <w:rFonts w:hint="eastAsia" w:ascii="宋体" w:hAnsi="宋体" w:eastAsia="宋体" w:cs="宋体"/>
          <w:kern w:val="0"/>
          <w:sz w:val="30"/>
          <w:lang w:val="zh-CN"/>
        </w:rPr>
        <w:t>第二十一部分 争议的处理和适用的法律</w:t>
      </w:r>
      <w:bookmarkEnd w:id="50"/>
    </w:p>
    <w:p w14:paraId="21A61970">
      <w:pPr>
        <w:autoSpaceDE w:val="0"/>
        <w:autoSpaceDN w:val="0"/>
        <w:adjustRightInd w:val="0"/>
        <w:spacing w:line="360" w:lineRule="auto"/>
        <w:ind w:firstLine="482" w:firstLineChars="200"/>
        <w:jc w:val="left"/>
        <w:rPr>
          <w:rFonts w:ascii="宋体" w:hAnsi="宋体" w:eastAsia="宋体" w:cs="宋体"/>
          <w:b/>
          <w:i/>
          <w:kern w:val="0"/>
          <w:sz w:val="24"/>
          <w:szCs w:val="24"/>
        </w:rPr>
      </w:pPr>
    </w:p>
    <w:p w14:paraId="079844BD">
      <w:pPr>
        <w:autoSpaceDE w:val="0"/>
        <w:autoSpaceDN w:val="0"/>
        <w:adjustRightInd w:val="0"/>
        <w:spacing w:line="360" w:lineRule="auto"/>
        <w:ind w:firstLine="482" w:firstLineChars="200"/>
        <w:jc w:val="left"/>
        <w:rPr>
          <w:rFonts w:ascii="宋体" w:hAnsi="宋体" w:eastAsia="宋体" w:cs="宋体"/>
          <w:b/>
          <w:bCs/>
          <w:i/>
          <w:iCs/>
          <w:kern w:val="0"/>
          <w:sz w:val="24"/>
          <w:szCs w:val="24"/>
        </w:rPr>
      </w:pPr>
      <w:r>
        <w:rPr>
          <w:rFonts w:hint="eastAsia" w:ascii="宋体" w:hAnsi="宋体" w:eastAsia="宋体" w:cs="宋体"/>
          <w:b/>
          <w:bCs/>
          <w:i/>
          <w:iCs/>
          <w:kern w:val="0"/>
          <w:sz w:val="24"/>
          <w:szCs w:val="24"/>
        </w:rPr>
        <w:t>各方当事人同意，因《基金合同》而产生的或与《基金合同》有关的一切争议，如不愿或者不能通过协商、调解解决的，应将争议提交中国国际经济贸易仲裁委员会，按照中国国际经济贸易仲裁委员会届时有效的仲裁规则进行仲裁。仲裁地点为北京市。仲裁裁决是终局的，对各方当事人均有约束力。</w:t>
      </w:r>
      <w:bookmarkStart w:id="51" w:name="_Hlk174538220"/>
      <w:r>
        <w:rPr>
          <w:rFonts w:hint="eastAsia" w:ascii="宋体" w:hAnsi="宋体" w:eastAsia="宋体" w:cs="宋体"/>
          <w:b/>
          <w:bCs/>
          <w:i/>
          <w:iCs/>
          <w:kern w:val="0"/>
          <w:sz w:val="24"/>
          <w:szCs w:val="24"/>
        </w:rPr>
        <w:t>除非仲裁裁决另有规定，</w:t>
      </w:r>
      <w:bookmarkEnd w:id="51"/>
      <w:r>
        <w:rPr>
          <w:rFonts w:hint="eastAsia" w:ascii="宋体" w:hAnsi="宋体" w:eastAsia="宋体" w:cs="宋体"/>
          <w:b/>
          <w:bCs/>
          <w:i/>
          <w:iCs/>
          <w:kern w:val="0"/>
          <w:sz w:val="24"/>
          <w:szCs w:val="24"/>
        </w:rPr>
        <w:t>仲裁费用、合理的律师费用由败诉方承担。</w:t>
      </w:r>
    </w:p>
    <w:p w14:paraId="2B7EE569">
      <w:pPr>
        <w:autoSpaceDE w:val="0"/>
        <w:autoSpaceDN w:val="0"/>
        <w:adjustRightInd w:val="0"/>
        <w:spacing w:line="360" w:lineRule="auto"/>
        <w:ind w:firstLine="482" w:firstLineChars="200"/>
        <w:jc w:val="left"/>
        <w:rPr>
          <w:rFonts w:ascii="宋体" w:hAnsi="宋体" w:eastAsia="宋体" w:cs="宋体"/>
          <w:b/>
          <w:bCs/>
          <w:i/>
          <w:iCs/>
          <w:kern w:val="0"/>
          <w:sz w:val="24"/>
          <w:szCs w:val="24"/>
        </w:rPr>
      </w:pPr>
      <w:r>
        <w:rPr>
          <w:rFonts w:hint="eastAsia" w:ascii="宋体" w:hAnsi="宋体" w:eastAsia="宋体" w:cs="宋体"/>
          <w:b/>
          <w:bCs/>
          <w:i/>
          <w:iCs/>
          <w:kern w:val="0"/>
          <w:sz w:val="24"/>
          <w:szCs w:val="24"/>
        </w:rPr>
        <w:t>争议处理期间，基金管理人、基金托管人应恪守基金管理人和基金托管人职责，各自继续忠实、勤勉、尽责地履行基金合同和托管协议规定的义务，维护基金份额持有人的合法权益。</w:t>
      </w:r>
    </w:p>
    <w:p w14:paraId="4564F241">
      <w:pPr>
        <w:autoSpaceDE w:val="0"/>
        <w:autoSpaceDN w:val="0"/>
        <w:adjustRightInd w:val="0"/>
        <w:spacing w:line="360" w:lineRule="auto"/>
        <w:ind w:firstLine="482" w:firstLineChars="200"/>
        <w:jc w:val="left"/>
        <w:rPr>
          <w:rFonts w:ascii="宋体" w:hAnsi="宋体" w:eastAsia="宋体" w:cs="宋体"/>
          <w:b/>
          <w:bCs/>
          <w:i/>
          <w:iCs/>
          <w:color w:val="333333"/>
        </w:rPr>
      </w:pPr>
      <w:r>
        <w:rPr>
          <w:rFonts w:hint="eastAsia" w:ascii="宋体" w:hAnsi="宋体" w:eastAsia="宋体" w:cs="宋体"/>
          <w:b/>
          <w:bCs/>
          <w:i/>
          <w:iCs/>
          <w:kern w:val="0"/>
          <w:sz w:val="24"/>
          <w:szCs w:val="24"/>
        </w:rPr>
        <w:t>《基金合同》受中国法律（为本基金合同之目的，在此不包括香港、澳门特别行政区和台湾地区法律）管辖并从其解释。</w:t>
      </w:r>
    </w:p>
    <w:p w14:paraId="4463FAED">
      <w:pPr>
        <w:autoSpaceDE w:val="0"/>
        <w:autoSpaceDN w:val="0"/>
        <w:adjustRightInd w:val="0"/>
        <w:spacing w:line="360" w:lineRule="auto"/>
        <w:jc w:val="left"/>
        <w:rPr>
          <w:rFonts w:ascii="宋体" w:hAnsi="宋体" w:eastAsia="宋体" w:cs="宋体"/>
          <w:kern w:val="0"/>
          <w:sz w:val="24"/>
          <w:szCs w:val="24"/>
        </w:rPr>
        <w:sectPr>
          <w:footerReference r:id="rId27" w:type="default"/>
          <w:pgSz w:w="11906" w:h="16838"/>
          <w:pgMar w:top="1440" w:right="1800" w:bottom="1440" w:left="1800" w:header="851" w:footer="992" w:gutter="0"/>
          <w:pgNumType w:start="1"/>
          <w:cols w:space="425" w:num="1"/>
          <w:docGrid w:type="lines" w:linePitch="312" w:charSpace="0"/>
        </w:sectPr>
      </w:pPr>
    </w:p>
    <w:p w14:paraId="18BC7888">
      <w:pPr>
        <w:pStyle w:val="3"/>
        <w:spacing w:before="0" w:after="0" w:line="360" w:lineRule="auto"/>
        <w:ind w:firstLine="602" w:firstLineChars="200"/>
        <w:jc w:val="center"/>
        <w:rPr>
          <w:rFonts w:ascii="宋体" w:hAnsi="宋体" w:eastAsia="宋体" w:cs="宋体"/>
          <w:kern w:val="0"/>
          <w:sz w:val="30"/>
        </w:rPr>
      </w:pPr>
      <w:bookmarkStart w:id="52" w:name="_Toc111811360"/>
      <w:r>
        <w:rPr>
          <w:rFonts w:hint="eastAsia" w:ascii="宋体" w:hAnsi="宋体" w:eastAsia="宋体" w:cs="宋体"/>
          <w:kern w:val="0"/>
          <w:sz w:val="30"/>
          <w:lang w:val="zh-CN"/>
        </w:rPr>
        <w:t>第二十二部分</w:t>
      </w:r>
      <w:r>
        <w:rPr>
          <w:rFonts w:hint="eastAsia" w:ascii="宋体" w:hAnsi="宋体" w:eastAsia="宋体" w:cs="宋体"/>
          <w:kern w:val="0"/>
          <w:sz w:val="30"/>
        </w:rPr>
        <w:t xml:space="preserve"> </w:t>
      </w:r>
      <w:r>
        <w:rPr>
          <w:rFonts w:hint="eastAsia" w:ascii="宋体" w:hAnsi="宋体" w:eastAsia="宋体" w:cs="宋体"/>
          <w:kern w:val="0"/>
          <w:sz w:val="30"/>
          <w:lang w:val="zh-CN"/>
        </w:rPr>
        <w:t>基金合同的效力</w:t>
      </w:r>
      <w:bookmarkEnd w:id="52"/>
    </w:p>
    <w:p w14:paraId="52C475ED">
      <w:pPr>
        <w:autoSpaceDE w:val="0"/>
        <w:autoSpaceDN w:val="0"/>
        <w:adjustRightInd w:val="0"/>
        <w:spacing w:line="360" w:lineRule="auto"/>
        <w:ind w:firstLine="480" w:firstLineChars="200"/>
        <w:jc w:val="left"/>
        <w:rPr>
          <w:rFonts w:ascii="宋体" w:hAnsi="宋体" w:eastAsia="宋体" w:cs="宋体"/>
          <w:kern w:val="0"/>
          <w:sz w:val="24"/>
          <w:szCs w:val="24"/>
        </w:rPr>
      </w:pPr>
    </w:p>
    <w:p w14:paraId="45C666A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《基金合同》是约定基金合同当事人之间权利义务关系的法律文件。</w:t>
      </w:r>
    </w:p>
    <w:p w14:paraId="51816BF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基金合同》经基金管理人、基金托管人双方加盖公章（或合同专用章）以及双方法定代表人或授权代表签字（或盖章）并在募集结束后经基金管理人向中国证监会办理基金备案手续，并经中国证监会书面确认后生效。</w:t>
      </w:r>
    </w:p>
    <w:p w14:paraId="32CB09A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2、《基金合同》的有效期自其生效之日起至基金财产清算结果报中国证监会备案并公告之日止。</w:t>
      </w:r>
    </w:p>
    <w:p w14:paraId="6BD4075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3、《基金合同》自生效之日起对包括基金管理人、基金托管人和基金份额持有人在内的《基金合同》各方当事人具有同等的法律约束力。</w:t>
      </w:r>
    </w:p>
    <w:p w14:paraId="6234055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4、《基金合同》正本一式三份，除上报有关监管机构一式一份外，基金管理人、基金托管人各持有一份，每份具有同等的法律效力。</w:t>
      </w:r>
    </w:p>
    <w:p w14:paraId="7A55154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5、《基金合同》可印制成册，供投资者在基金管理人、基金托管人、销售机构的办公场所和营业场所查阅。</w:t>
      </w:r>
    </w:p>
    <w:p w14:paraId="1D8774BE">
      <w:pPr>
        <w:ind w:firstLine="200"/>
        <w:rPr>
          <w:rFonts w:ascii="宋体" w:hAnsi="宋体" w:eastAsia="宋体" w:cs="宋体"/>
        </w:rPr>
      </w:pPr>
    </w:p>
    <w:p w14:paraId="18288366">
      <w:pPr>
        <w:widowControl/>
        <w:ind w:firstLine="200"/>
        <w:jc w:val="left"/>
        <w:rPr>
          <w:rFonts w:ascii="宋体" w:hAnsi="宋体" w:eastAsia="宋体" w:cs="宋体"/>
          <w:b/>
          <w:kern w:val="0"/>
          <w:sz w:val="30"/>
          <w:szCs w:val="30"/>
          <w:lang w:val="zh-CN"/>
        </w:rPr>
        <w:sectPr>
          <w:footerReference r:id="rId28" w:type="default"/>
          <w:pgSz w:w="11906" w:h="16838"/>
          <w:pgMar w:top="1440" w:right="1800" w:bottom="1440" w:left="1800" w:header="851" w:footer="992" w:gutter="0"/>
          <w:pgNumType w:start="1"/>
          <w:cols w:space="425" w:num="1"/>
          <w:docGrid w:type="lines" w:linePitch="312" w:charSpace="0"/>
        </w:sectPr>
      </w:pPr>
    </w:p>
    <w:p w14:paraId="39704106">
      <w:pPr>
        <w:pStyle w:val="3"/>
        <w:spacing w:before="0" w:after="0" w:line="360" w:lineRule="auto"/>
        <w:ind w:firstLine="602" w:firstLineChars="200"/>
        <w:jc w:val="center"/>
        <w:rPr>
          <w:rFonts w:ascii="宋体" w:hAnsi="宋体" w:eastAsia="宋体" w:cs="宋体"/>
          <w:kern w:val="0"/>
          <w:sz w:val="30"/>
          <w:lang w:val="zh-CN"/>
        </w:rPr>
      </w:pPr>
      <w:bookmarkStart w:id="53" w:name="_Toc111811361"/>
      <w:r>
        <w:rPr>
          <w:rFonts w:hint="eastAsia" w:ascii="宋体" w:hAnsi="宋体" w:eastAsia="宋体" w:cs="宋体"/>
          <w:kern w:val="0"/>
          <w:sz w:val="30"/>
          <w:lang w:val="zh-CN"/>
        </w:rPr>
        <w:t>第二十三部分 其他事项</w:t>
      </w:r>
      <w:bookmarkEnd w:id="53"/>
    </w:p>
    <w:p w14:paraId="15A217AC">
      <w:pPr>
        <w:autoSpaceDE w:val="0"/>
        <w:autoSpaceDN w:val="0"/>
        <w:adjustRightInd w:val="0"/>
        <w:spacing w:line="360" w:lineRule="auto"/>
        <w:ind w:firstLine="480" w:firstLineChars="200"/>
        <w:jc w:val="left"/>
        <w:rPr>
          <w:rFonts w:ascii="宋体" w:hAnsi="宋体" w:eastAsia="宋体" w:cs="宋体"/>
          <w:kern w:val="0"/>
          <w:sz w:val="24"/>
          <w:szCs w:val="24"/>
        </w:rPr>
      </w:pPr>
    </w:p>
    <w:p w14:paraId="4E4D499D">
      <w:pPr>
        <w:autoSpaceDE w:val="0"/>
        <w:autoSpaceDN w:val="0"/>
        <w:adjustRightInd w:val="0"/>
        <w:spacing w:line="360" w:lineRule="auto"/>
        <w:ind w:firstLine="480" w:firstLineChars="200"/>
        <w:jc w:val="left"/>
        <w:rPr>
          <w:rFonts w:ascii="宋体" w:hAnsi="宋体" w:eastAsia="宋体" w:cs="宋体"/>
          <w:kern w:val="0"/>
          <w:sz w:val="24"/>
          <w:szCs w:val="24"/>
        </w:rPr>
        <w:sectPr>
          <w:footerReference r:id="rId29"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kern w:val="0"/>
          <w:sz w:val="24"/>
          <w:szCs w:val="24"/>
        </w:rPr>
        <w:t>《基金合同》如有未尽事宜，由《基金合同》当事人各方按有关法律法规协商解决。</w:t>
      </w:r>
    </w:p>
    <w:p w14:paraId="672AEB31">
      <w:pPr>
        <w:pStyle w:val="3"/>
        <w:spacing w:before="0" w:after="0" w:line="360" w:lineRule="auto"/>
        <w:ind w:firstLine="602" w:firstLineChars="200"/>
        <w:jc w:val="center"/>
        <w:rPr>
          <w:rFonts w:ascii="宋体" w:hAnsi="宋体" w:eastAsia="宋体" w:cs="宋体"/>
          <w:kern w:val="0"/>
          <w:sz w:val="30"/>
          <w:lang w:val="zh-CN"/>
        </w:rPr>
      </w:pPr>
      <w:bookmarkStart w:id="54" w:name="_Toc111811362"/>
      <w:r>
        <w:rPr>
          <w:rFonts w:hint="eastAsia" w:ascii="宋体" w:hAnsi="宋体" w:eastAsia="宋体" w:cs="宋体"/>
          <w:kern w:val="0"/>
          <w:sz w:val="30"/>
          <w:lang w:val="zh-CN"/>
        </w:rPr>
        <w:t>第二十四部分 基金合同的内容摘要</w:t>
      </w:r>
      <w:bookmarkEnd w:id="54"/>
    </w:p>
    <w:p w14:paraId="503319B5">
      <w:pPr>
        <w:widowControl/>
        <w:ind w:firstLine="200"/>
        <w:jc w:val="left"/>
        <w:rPr>
          <w:rFonts w:ascii="宋体" w:hAnsi="宋体" w:eastAsia="宋体" w:cs="宋体"/>
          <w:kern w:val="0"/>
          <w:sz w:val="24"/>
          <w:szCs w:val="24"/>
        </w:rPr>
      </w:pPr>
    </w:p>
    <w:p w14:paraId="0932007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一、基金份额持有人、基金管理人和基金托管人的权利、义务</w:t>
      </w:r>
    </w:p>
    <w:p w14:paraId="07D2BBD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（一）基金管理人的权利与义务</w:t>
      </w:r>
    </w:p>
    <w:p w14:paraId="460B278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1、根据《基金法》、《运作办法》及其他有关规定，基金管理人的权利包括但不限于：</w:t>
      </w:r>
    </w:p>
    <w:p w14:paraId="4C792B7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（1）依法募集资金；</w:t>
      </w:r>
    </w:p>
    <w:p w14:paraId="1FC278A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（2）自《基金合同》生效之日起，根据法律法规和《基金合同》独立运用并管理基金财产；</w:t>
      </w:r>
    </w:p>
    <w:p w14:paraId="63B2DFC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（3）依照《基金合同》收取基金管理费以及法律法规规定或中国证监会批准的其他费用；</w:t>
      </w:r>
    </w:p>
    <w:p w14:paraId="18B0E45E">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（4）销售基金份额；</w:t>
      </w:r>
    </w:p>
    <w:p w14:paraId="25BE646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（5）按照规定召集基金份额持有人大会；</w:t>
      </w:r>
    </w:p>
    <w:p w14:paraId="2276CA9C">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54F8CEE1">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（7）在基金托管人更换时，提名新的基金托管人；</w:t>
      </w:r>
    </w:p>
    <w:p w14:paraId="2E7FBDA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（8）选择、更换基金销售机构，对基金销售机构的相关行为进行监督和处理； </w:t>
      </w:r>
    </w:p>
    <w:p w14:paraId="7316CED1">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（9）担任或委托其他符合条件的机构担任基金登记机构办理基金登记业务并获得《基金合同》规定的费用； </w:t>
      </w:r>
    </w:p>
    <w:p w14:paraId="0AF65FF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（10）依据《基金合同》及有关法律规定决定基金收益的分配方案；</w:t>
      </w:r>
      <w:r>
        <w:rPr>
          <w:rFonts w:hint="eastAsia" w:ascii="宋体" w:hAnsi="宋体" w:eastAsia="宋体" w:cs="宋体"/>
          <w:kern w:val="0"/>
          <w:sz w:val="24"/>
          <w:szCs w:val="24"/>
        </w:rPr>
        <w:tab/>
      </w:r>
    </w:p>
    <w:p w14:paraId="064303BC">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（11）在《基金合同》约定的范围内，拒绝或暂停受理申购、赎回与转换申请； </w:t>
      </w:r>
    </w:p>
    <w:p w14:paraId="7F468FC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（12）依照法律法规为基金的利益对被投资公司行使股东权利，为基金的利益行使因基金财产投资于证券所产生的权利；</w:t>
      </w:r>
    </w:p>
    <w:p w14:paraId="133B239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（13）在法律法规允许的前提下，为基金的利益依法为基金进行融资及转融通证券出借业务；</w:t>
      </w:r>
    </w:p>
    <w:p w14:paraId="2CE9A15E">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（14）以基金管理人的名义，代表基金份额持有人的利益行使诉讼权利或者实施其他法律行为；</w:t>
      </w:r>
    </w:p>
    <w:p w14:paraId="57CDA22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（15）选择、更换律师事务所、会计师事务所、证券、期货经纪商或其他为基金提供服务的外部机构；</w:t>
      </w:r>
    </w:p>
    <w:p w14:paraId="77C2763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（16）在符合有关法律、法规的前提下，制订和调整有关基金认购、申购、赎回、转换、定期定额投资和非交易过户等业务规则；</w:t>
      </w:r>
    </w:p>
    <w:p w14:paraId="0258F47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（17）法律法规及中国证监会规定的和《基金合同》约定的其他权利。</w:t>
      </w:r>
    </w:p>
    <w:p w14:paraId="6BC7FB61">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2、根据《基金法》、《运作办法》及其他有关规定，基金管理人的义务包括但不限于：</w:t>
      </w:r>
    </w:p>
    <w:p w14:paraId="6520DAA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（1）依法募集资金，办理或者委托经中国证监会认定的其他机构代为办理基金份额的发售、申购、赎回和登记事宜；</w:t>
      </w:r>
    </w:p>
    <w:p w14:paraId="7AC778E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（2）办理基金备案手续；</w:t>
      </w:r>
    </w:p>
    <w:p w14:paraId="05085D7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（3）自《基金合同》生效之日起，以诚实信用、谨慎勤勉的原则管理和运用基金财产；</w:t>
      </w:r>
    </w:p>
    <w:p w14:paraId="55D63D0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（4）配备足够的具有专业资格的人员进行基金投资分析、决策，以专业化的经营方式管理和运作基金财产；</w:t>
      </w:r>
    </w:p>
    <w:p w14:paraId="2B108F0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（5）建立健全内部风险控制、监察与稽核、财务管理及人事管理等制度，保证所管理的基金财产和基金管理人的财产相互独立，对所管理的不同基金分别管理，分别记账，进行证券投资；</w:t>
      </w:r>
    </w:p>
    <w:p w14:paraId="6199D9A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（6）除依据《基金法》、《基金合同》及其他有关规定外，不得利用基金财产为自己及任何第三人谋取利益，不得委托第三人运作基金财产；</w:t>
      </w:r>
    </w:p>
    <w:p w14:paraId="3D2EACB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（7）依法接受基金托管人的监督；</w:t>
      </w:r>
    </w:p>
    <w:p w14:paraId="1D67E36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（8）采取适当合理的措施使计算基金份额认购、申购、赎回和注销价格的方法符合《基金合同》等法律文件的规定，按有关规定计算并公告基金净值信息，确定基金份额申购、赎回的价格；</w:t>
      </w:r>
    </w:p>
    <w:p w14:paraId="62B4B1D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（9）进行基金会计核算并编制基金财务会计报告；</w:t>
      </w:r>
    </w:p>
    <w:p w14:paraId="63B286B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（10）编制季度报告、中期报告和年度报告；</w:t>
      </w:r>
    </w:p>
    <w:p w14:paraId="0C419AA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（11）严格按照《基金法》、《基金合同》及其他有关规定，履行信息披露及报告义务；</w:t>
      </w:r>
    </w:p>
    <w:p w14:paraId="17843D8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保守基金商业秘密，不泄露基金投资计划、投资意向等。除《基金法》、《基金合同》及其他有关规定另有规定外，在基金信息公开披露前应予保密，不向他人泄露，但因监管机构、司法机关等有权机关要求，或因审计、法律等外部专业顾问提供服务需要提供的情况除外；</w:t>
      </w:r>
    </w:p>
    <w:p w14:paraId="68A59A9E">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（13）按《基金合同》的约定确定基金收益分配方案，及时向基金份额持有人分配基金收益；</w:t>
      </w:r>
    </w:p>
    <w:p w14:paraId="61BD17C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（14）按规定受理申购与赎回申请，及时、足额支付赎回款项；</w:t>
      </w:r>
    </w:p>
    <w:p w14:paraId="264BBB2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（15）依据《基金法》、《基金合同》及其他有关规定召集基金份额持有人大会或配合基金托管人、基金份额持有人依法召集基金份额持有人大会；</w:t>
      </w:r>
    </w:p>
    <w:p w14:paraId="704F3C91">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（16）按规定保存基金财产管理业务活动的会计账册、报表、记录和其他相关资料，保存期限不低于法律法规规定的最低期限；</w:t>
      </w:r>
    </w:p>
    <w:p w14:paraId="1EF7F6A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C72400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（18）组织并参加基金财产清算小组，参与基金财产的保管、清理、估价、变现和分配；</w:t>
      </w:r>
    </w:p>
    <w:p w14:paraId="1307AA3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（19）面临解散、依法被撤销或者被依法宣告破产时，及时报告中国证监会并通知基金托管人；</w:t>
      </w:r>
    </w:p>
    <w:p w14:paraId="2E2B9B8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（20）因违反《基金合同》导致基金财产的损失或损害基金份额持有人合法权益时，应当承担赔偿责任，其赔偿责任不因其退任而免除；</w:t>
      </w:r>
    </w:p>
    <w:p w14:paraId="4C0D937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（21）监督基金托管人按法律法规和《基金合同》规定履行自己的义务，基金托管人违反《基金合同》造成基金财产损失时，基金管理人应为基金份额持有人利益向基金托管人追偿；</w:t>
      </w:r>
    </w:p>
    <w:p w14:paraId="65DAD58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（22）当基金管理人将其义务委托第三方处理时，应当对第三方处理有关基金事务的行为承担责任；</w:t>
      </w:r>
    </w:p>
    <w:p w14:paraId="68BC0B3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（23）以基金管理人名义，代表基金份额持有人利益行使诉讼权利或实施其他法律行为；</w:t>
      </w:r>
      <w:r>
        <w:rPr>
          <w:rFonts w:hint="eastAsia" w:ascii="宋体" w:hAnsi="宋体" w:eastAsia="宋体" w:cs="宋体"/>
          <w:kern w:val="0"/>
          <w:sz w:val="24"/>
          <w:szCs w:val="24"/>
        </w:rPr>
        <w:tab/>
      </w:r>
    </w:p>
    <w:p w14:paraId="03441BF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（24）基金在募集期间未能达到基金的备案条件，《基金合同》不能生效，基金管理人承担全部募集费用，将已募集资金并加计银行同期活期存款利息在基金募集期结束后30日内退还基金认购人；</w:t>
      </w:r>
    </w:p>
    <w:p w14:paraId="0883F8B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（25）执行生效的基金份额持有人大会的决议；</w:t>
      </w:r>
    </w:p>
    <w:p w14:paraId="177A54E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（26）建立并保存基金份额持有人名册；</w:t>
      </w:r>
    </w:p>
    <w:p w14:paraId="353A343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（27）法律法规及中国证监会规定的和《基金合同》约定的其他义务。</w:t>
      </w:r>
    </w:p>
    <w:p w14:paraId="2C1EEB7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（二）基金托管人的权利与义务</w:t>
      </w:r>
    </w:p>
    <w:p w14:paraId="19DDA6C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1、根据《基金法》、《运作办法》及其他有关规定，基金托管人的权利包括但不限于：</w:t>
      </w:r>
    </w:p>
    <w:p w14:paraId="0507BE7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（1）自《基金合同》生效之日起，依法律法规和《基金合同》的规定安全保管基金财产；</w:t>
      </w:r>
    </w:p>
    <w:p w14:paraId="4F090D3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（2）依《基金合同》约定获得基金托管费以及法律法规规定或监管部门批准的其他费用；</w:t>
      </w:r>
    </w:p>
    <w:p w14:paraId="35F967D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1D6351">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（4）根据相关市场规则，为基金开设资金账户、证券账户等投资所需账户，为基金办理证券、期货交易资金清算；</w:t>
      </w:r>
    </w:p>
    <w:p w14:paraId="1CF245C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（5）提议召开或召集基金份额持有人大会；</w:t>
      </w:r>
    </w:p>
    <w:p w14:paraId="0B6633F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（6）在基金管理人更换时，提名新的基金管理人；</w:t>
      </w:r>
    </w:p>
    <w:p w14:paraId="57F9B7D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（7）法律法规及中国证监会规定的和《基金合同》约定的其他权利。</w:t>
      </w:r>
    </w:p>
    <w:p w14:paraId="4B2528A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2、根据《基金法》、《运作办法》及其他有关规定，基金托管人的义务包括但不限于：</w:t>
      </w:r>
    </w:p>
    <w:p w14:paraId="23596AE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（1）以诚实信用、勤勉尽责的原则持有并安全保管基金财产；</w:t>
      </w:r>
    </w:p>
    <w:p w14:paraId="5B2658E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（2）设立专门的基金托管部门，具有符合要求的营业场所，配备足够的、合格的熟悉基金托管业务的专职人员，负责基金财产托管事宜；</w:t>
      </w:r>
    </w:p>
    <w:p w14:paraId="36B9C096">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FD9A7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（4）除依据《基金法》、《基金合同》及其他有关规定外，不得利用基金财产为自己及任何第三人谋取利益，不得委托第三人托管基金财产；</w:t>
      </w:r>
    </w:p>
    <w:p w14:paraId="325B99B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（5）保管由基金管理人代表基金签订的与基金有关的重大合同及有关凭证；</w:t>
      </w:r>
    </w:p>
    <w:p w14:paraId="4D8EA60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（6）按规定开设基金财产的资金账户和证券账户等投资所需账户，按照《基金合同》的约定，根据基金管理人的投资指令，及时办理清算、交割事宜；</w:t>
      </w:r>
    </w:p>
    <w:p w14:paraId="20F45313">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保守基金商业秘密，除《基金法》、《基金合同》及其他有关规定另有规定外，在基金信息公开披露前予以保密，不得向他人泄露，但因监管机构、司法机关等有权机关要求，或因审计、法律等外部专业顾问提供服务需要提供的情况除外；</w:t>
      </w:r>
    </w:p>
    <w:p w14:paraId="3E212D1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（8）复核、审查基金管理人计算的基金资产净值、基金份额净值、基金份额申购、赎回价格；</w:t>
      </w:r>
    </w:p>
    <w:p w14:paraId="2B86934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（9）办理与基金托管业务活动有关的信息披露事项；</w:t>
      </w:r>
    </w:p>
    <w:p w14:paraId="5B57939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718E649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（11）保存基金托管业务活动的记录、账册、报表和其他相关资料，保存期限不低于法律法规规定的最低期限；</w:t>
      </w:r>
    </w:p>
    <w:p w14:paraId="2E5A750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（12）保存基金份额持有人名册；</w:t>
      </w:r>
    </w:p>
    <w:p w14:paraId="554FA54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（13）按规定制作相关账册并与基金管理人核对；</w:t>
      </w:r>
    </w:p>
    <w:p w14:paraId="1081C22C">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（14）依据基金管理人的指令或有关规定向基金份额持有人支付基金收益和赎回款项；</w:t>
      </w:r>
    </w:p>
    <w:p w14:paraId="5A31B41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（15）依据《基金法》、《基金合同》及其他有关规定，召集基金份额持有人大会或配合基金管理人、基金份额持有人依法召集基金份额持有人大会；</w:t>
      </w:r>
    </w:p>
    <w:p w14:paraId="72DC0C33">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（16）按照法律法规和《基金合同》的规定监督基金管理人的投资运作；</w:t>
      </w:r>
    </w:p>
    <w:p w14:paraId="4D12E31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（17）参加基金财产清算小组，参与基金财产的保管、清理、估价、变现和分配；</w:t>
      </w:r>
    </w:p>
    <w:p w14:paraId="7D644E9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（18）面临解散、依法被撤销或者被依法宣告破产时，及时报告中国证监会和银行业监督管理机构，并通知基金管理人；</w:t>
      </w:r>
    </w:p>
    <w:p w14:paraId="6E4A420E">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（19）因违反《基金合同》导致基金财产损失时，应承担赔偿责任，其赔偿责任不因其退任而免除；</w:t>
      </w:r>
    </w:p>
    <w:p w14:paraId="3358976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（20）按规定监督基金管理人按法律法规和《基金合同》规定履行自己的义务，基金管理人因违反《基金合同》造成基金财产损失时，应为基金份额持有人利益向基金管理人追偿；</w:t>
      </w:r>
    </w:p>
    <w:p w14:paraId="12D161F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（21）执行生效的基金份额持有人大会的决议；</w:t>
      </w:r>
    </w:p>
    <w:p w14:paraId="500F1AD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（22）法律法规及中国证监会规定的和《基金合同》约定的其他义务。</w:t>
      </w:r>
    </w:p>
    <w:p w14:paraId="384A92E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（三）基金份额持有人</w:t>
      </w:r>
    </w:p>
    <w:p w14:paraId="6B947EA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投资者持有本基金基金份额的行为即视为对《基金合同》的承认和接受，基金投资者自依据《基金合同》取得基金份额，即成为本基金的基金份额持有人和《基金合同》的当事人，直至其不再持有本基金的基金份额。基金份额持有人作为《基金合同》当事人并不以在《基金合同》上书面签章或签字为必要条件。</w:t>
      </w:r>
    </w:p>
    <w:p w14:paraId="6683187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除法律法规另有规定或本基金合同另有约定外，同一类别每份基金份额具有同等的合法权益。</w:t>
      </w:r>
    </w:p>
    <w:p w14:paraId="1FDE1213">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1、根据《基金法》、《运作办法》及其他有关规定，基金份额持有人的权利包括但不限于：</w:t>
      </w:r>
    </w:p>
    <w:p w14:paraId="40058B1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（1）分享基金财产收益；</w:t>
      </w:r>
    </w:p>
    <w:p w14:paraId="0E58F0FC">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（2）参与分配清算后的剩余基金财产；</w:t>
      </w:r>
    </w:p>
    <w:p w14:paraId="58AF7573">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（3）依法转让或者申请赎回其持有的基金份额；</w:t>
      </w:r>
    </w:p>
    <w:p w14:paraId="5FB8EE0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（4）按照规定要求召开基金份额持有人大会或者召集基金份额持有人大会；</w:t>
      </w:r>
    </w:p>
    <w:p w14:paraId="15F0AA4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（5）出席或者委派代表出席基金份额持有人大会，对基金份额持有人大会审议事项行使表决权；</w:t>
      </w:r>
    </w:p>
    <w:p w14:paraId="37403FC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（6）查阅或者复制公开披露的基金信息资料；</w:t>
      </w:r>
    </w:p>
    <w:p w14:paraId="1CA8CCF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（7）监督基金管理人的投资运作；</w:t>
      </w:r>
    </w:p>
    <w:p w14:paraId="46BECA36">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（8）对基金管理人、基金托管人、基金服务机构损害其合法权益的行为依法提起诉讼或仲裁；</w:t>
      </w:r>
    </w:p>
    <w:p w14:paraId="1436F4D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（9）法律法规及中国证监会规定的和《基金合同》约定的其他权利。</w:t>
      </w:r>
    </w:p>
    <w:p w14:paraId="75B64A5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2、根据《基金法》、《运作办法》及其他有关规定，基金份额持有人的义务包括但不限于：</w:t>
      </w:r>
    </w:p>
    <w:p w14:paraId="56490AFE">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（1）认真阅读并遵守《基金合同》、招募说明书及基金产品资料概要等信息披露文件；</w:t>
      </w:r>
    </w:p>
    <w:p w14:paraId="4DC36A4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（2）了解所投资基金产品，了解自身风险承受能力，自主判断基金的投资价值，自主做出投资决策，自行承担投资风险；</w:t>
      </w:r>
    </w:p>
    <w:p w14:paraId="50297391">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（3）关注基金信息披露，及时行使权利和履行义务；</w:t>
      </w:r>
    </w:p>
    <w:p w14:paraId="05CB31B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（4）交纳基金认购、申购款项及法律法规和《基金合同》所规定的费用；</w:t>
      </w:r>
    </w:p>
    <w:p w14:paraId="0E8EDD3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（5）在其持有的基金份额范围内，承担基金亏损或者《基金合同》终止的有限责任；</w:t>
      </w:r>
    </w:p>
    <w:p w14:paraId="075A870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（6）不从事任何有损基金及其他《基金合同》当事人合法权益的活动；</w:t>
      </w:r>
    </w:p>
    <w:p w14:paraId="14AB922C">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（7）执行生效的基金份额持有人大会的决议；</w:t>
      </w:r>
    </w:p>
    <w:p w14:paraId="055A3FE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（8）返还在基金交易过程中因任何原因获得的不当得利；</w:t>
      </w:r>
    </w:p>
    <w:p w14:paraId="2FFD5CE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（9）法律法规及中国证监会规定的和《基金合同》约定的其他义务。</w:t>
      </w:r>
    </w:p>
    <w:p w14:paraId="2021041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二、基金份额持有人大会召集、议事及表决的程序和规则</w:t>
      </w:r>
    </w:p>
    <w:p w14:paraId="13D19C3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14:paraId="29C2B52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本基金基金份额持有人大会不设日常机构。</w:t>
      </w:r>
    </w:p>
    <w:p w14:paraId="0635D77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w:t>
      </w:r>
      <w:bookmarkStart w:id="55" w:name="OLE_LINK1"/>
      <w:r>
        <w:rPr>
          <w:rFonts w:hint="eastAsia" w:ascii="宋体" w:hAnsi="宋体" w:eastAsia="宋体" w:cs="宋体"/>
          <w:kern w:val="0"/>
          <w:sz w:val="24"/>
          <w:szCs w:val="24"/>
        </w:rPr>
        <w:t>召开事由</w:t>
      </w:r>
      <w:bookmarkEnd w:id="55"/>
    </w:p>
    <w:p w14:paraId="3AE3744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1、除法律法规和中国证监会另有规定或《基金合同》另有约定外，当出现或需要决定下列事由之一的，应当召开基金份额持有人大会：</w:t>
      </w:r>
    </w:p>
    <w:p w14:paraId="128BB51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（1）终止《基金合同》；</w:t>
      </w:r>
    </w:p>
    <w:p w14:paraId="5143AD2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（2）更换基金管理人；</w:t>
      </w:r>
    </w:p>
    <w:p w14:paraId="252D3E5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（3）更换基金托管人；</w:t>
      </w:r>
    </w:p>
    <w:p w14:paraId="58C7D19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（4）转换基金运作方式；</w:t>
      </w:r>
    </w:p>
    <w:p w14:paraId="1484356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（5）调整基金管理人、基金托管人的报酬标准或提高销售服务费率；</w:t>
      </w:r>
    </w:p>
    <w:p w14:paraId="7A30F5B6">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（6）变更基金类别；</w:t>
      </w:r>
    </w:p>
    <w:p w14:paraId="1E739AE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（7）本基金与其他基金的合并；</w:t>
      </w:r>
    </w:p>
    <w:p w14:paraId="7E45571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（8）变更基金投资目标、范围或策略；</w:t>
      </w:r>
    </w:p>
    <w:p w14:paraId="1EBAED96">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（9）变更基金份额持有人大会程序；</w:t>
      </w:r>
    </w:p>
    <w:p w14:paraId="18C8B54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（10）基金管理人或基金托管人要求召开基金份额持有人大会；</w:t>
      </w:r>
    </w:p>
    <w:p w14:paraId="2475384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（11）单独或合计持有本基金总份额10%以上（含10%）基金份额的基金份额持有人（以基金管理人收到提议当日的基金份额计算，下同）就同一事项书面要求召开基金份额持有人大会；</w:t>
      </w:r>
    </w:p>
    <w:p w14:paraId="5BE12CA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（12）对基金合同当事人权利和义务产生重大影响的其他事项；</w:t>
      </w:r>
    </w:p>
    <w:p w14:paraId="564A8ED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（13）法律法规、《基金合同》或中国证监会规定的其他应当召开基金份额持有人大会的事项。</w:t>
      </w:r>
    </w:p>
    <w:p w14:paraId="35F5C8E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175DF40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（1）法律法规要求增加的基金费用的收取；</w:t>
      </w:r>
    </w:p>
    <w:p w14:paraId="24A8A27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（2）调整本基金的申购费率、调低赎回费率、调低销售服务费率或变更收费方式，调整基金份额类别设置、对基金份额分类办法及规则进行调整；</w:t>
      </w:r>
    </w:p>
    <w:p w14:paraId="57D122C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（3）因相应的法律法规发生变动而应当对《基金合同》进行修改；</w:t>
      </w:r>
    </w:p>
    <w:p w14:paraId="34734B3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（4）对《基金合同》的修改对基金份额持有人利益无实质性不利影响或修改不涉及《基金合同》当事人权利义务关系发生重大变化；</w:t>
      </w:r>
    </w:p>
    <w:p w14:paraId="57226FA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（5）基金管理人、登记机构、基金销售机构调整有关申购、赎回、转换、基金交易、非交易过户、转托管等业务规则；</w:t>
      </w:r>
    </w:p>
    <w:p w14:paraId="45C34DB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（6）履行相关程序后，基金推出新业务或服务；</w:t>
      </w:r>
    </w:p>
    <w:p w14:paraId="006179B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（7）按照法律法规和《基金合同》规定不需召开基金份额持有人大会的其他情形。</w:t>
      </w:r>
    </w:p>
    <w:p w14:paraId="4C31D9A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（二）会议召集人及召集方式</w:t>
      </w:r>
    </w:p>
    <w:p w14:paraId="2C23D50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1、除法律法规规定或《基金合同》另有约定外，基金份额持有人大会由基金管理人召集。</w:t>
      </w:r>
    </w:p>
    <w:p w14:paraId="06E8CE9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2、基金管理人未按规定召集或不能召集时，由基金托管人召集。</w:t>
      </w:r>
    </w:p>
    <w:p w14:paraId="523DF70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54C42B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53D431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33EE6C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6、基金份额持有人会议的召集人负责选择确定开会时间、地点、方式和权益登记日。</w:t>
      </w:r>
    </w:p>
    <w:p w14:paraId="3A49F3C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（三）召开基金份额持有人大会的通知时间、通知内容、通知方式</w:t>
      </w:r>
    </w:p>
    <w:p w14:paraId="25E67F66">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1、召开基金份额持有人大会，召集人应于会议召开前30日，在规定媒介公告。基金份额持有人大会通知应至少载明以下内容：</w:t>
      </w:r>
    </w:p>
    <w:p w14:paraId="4E22536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（1）会议召开的时间、地点和会议形式；</w:t>
      </w:r>
    </w:p>
    <w:p w14:paraId="3AB2658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（2）会议拟审议的事项、议事程序和表决方式；</w:t>
      </w:r>
    </w:p>
    <w:p w14:paraId="568B5E6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（3）有权出席基金份额持有人大会的基金份额持有人的权益登记日；</w:t>
      </w:r>
    </w:p>
    <w:p w14:paraId="65328C5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（4）授权委托证明的内容要求（包括但不限于代理人身份，代理权限和代理有效期限等）、送达时间和地点；</w:t>
      </w:r>
    </w:p>
    <w:p w14:paraId="670DDBC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（5）会务常设联系人姓名及联系电话；</w:t>
      </w:r>
    </w:p>
    <w:p w14:paraId="7412915E">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（6）出席会议者必须准备的文件和必须履行的手续；</w:t>
      </w:r>
    </w:p>
    <w:p w14:paraId="30CCA8D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（7）召集人需要通知的其他事项。</w:t>
      </w:r>
    </w:p>
    <w:p w14:paraId="78CA91B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013E08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7C2F7F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（四）基金份额持有人出席会议的方式</w:t>
      </w:r>
    </w:p>
    <w:p w14:paraId="07CE249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基金份额持有人大会可通过现场开会方式、通讯开会方式或法律法规、监管机构允许的其他方式召开，会议的召开方式由会议召集人确定。</w:t>
      </w:r>
    </w:p>
    <w:p w14:paraId="2072CE2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F0220E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391F8D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E6E24A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0E8CB8E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在同时符合以下条件时，通讯开会的方式视为有效：</w:t>
      </w:r>
    </w:p>
    <w:p w14:paraId="6494D09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（1）会议召集人按《基金合同》约定公布会议通知后，在2个工作日内连续公布相关提示性公告；</w:t>
      </w:r>
    </w:p>
    <w:p w14:paraId="5E92B513">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334D603">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0181915E">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360B64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在不违反法律法规和监管机关规定的情况下，本基金的基金份额持有人亦可采用其他非书面方式授权其代理人出席基金份额持有人大会，授权方式可以采用书面、网络、电话、短信或其他方式，具体方式由会议召集人确定并在会议通知中列明。</w:t>
      </w:r>
    </w:p>
    <w:p w14:paraId="4196496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AA8C96C">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（五）议事内容与程序</w:t>
      </w:r>
    </w:p>
    <w:p w14:paraId="19F9858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1、议事内容及提案权</w:t>
      </w:r>
    </w:p>
    <w:p w14:paraId="62D2F32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7EB7E3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基金份额持有人大会的召集人发出召集会议的通知后，对原有提案的修改应当在基金份额持有人大会召开前及时公告。</w:t>
      </w:r>
    </w:p>
    <w:p w14:paraId="216601C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基金份额持有人大会不得对未事先公告的议事内容进行表决。</w:t>
      </w:r>
    </w:p>
    <w:p w14:paraId="06AF5F4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2、议事程序</w:t>
      </w:r>
    </w:p>
    <w:p w14:paraId="0946FB1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（1）现场开会</w:t>
      </w:r>
    </w:p>
    <w:p w14:paraId="2D6BEEB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E33BF6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1B2B682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（2）通讯开会</w:t>
      </w:r>
    </w:p>
    <w:p w14:paraId="0E703806">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在通讯开会的情况下，首先由召集人提前30日公布提案，在所通知的表决截止日期后2个工作日内在公证机关监督下由召集人统计全部有效表决，在公证机关监督下形成决议。</w:t>
      </w:r>
    </w:p>
    <w:p w14:paraId="6908BF7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（六）表决</w:t>
      </w:r>
    </w:p>
    <w:p w14:paraId="5C759D7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基金份额持有人所持每份基金份额有一票表决权。</w:t>
      </w:r>
    </w:p>
    <w:p w14:paraId="6034959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基金份额持有人大会决议分为一般决议和特别决议：</w:t>
      </w:r>
    </w:p>
    <w:p w14:paraId="76F4347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2BAB276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658DD69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基金份额持有人大会采取记名方式进行投票表决。</w:t>
      </w:r>
    </w:p>
    <w:p w14:paraId="3D9398E8">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E495966">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基金份额持有人大会的各项提案或同一项提案内并列的各项议题应当分开审议、逐项表决。</w:t>
      </w:r>
    </w:p>
    <w:p w14:paraId="392E18F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在上述规则的前提下，具体规则以召集人发布的基金份额持有人大会通知为准。</w:t>
      </w:r>
    </w:p>
    <w:p w14:paraId="70659C7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（七）计票</w:t>
      </w:r>
    </w:p>
    <w:p w14:paraId="5E79C7B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1、现场开会</w:t>
      </w:r>
    </w:p>
    <w:p w14:paraId="0B42D57E">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2E613E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（2）监票人应当在基金份额持有人表决后立即进行清点并由大会主持人当场公布计票结果。</w:t>
      </w:r>
    </w:p>
    <w:p w14:paraId="1530F61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59546E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（4）计票过程应由公证机关予以公证，基金管理人或基金托管人拒不出席大会的，不影响计票的效力。</w:t>
      </w:r>
    </w:p>
    <w:p w14:paraId="2EEFDB7C">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2、通讯开会</w:t>
      </w:r>
    </w:p>
    <w:p w14:paraId="2F4705D7">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96DF41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（八）生效与公告</w:t>
      </w:r>
    </w:p>
    <w:p w14:paraId="24221565">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基金份额持有人大会的决议，召集人应当自通过之日起5日内报中国证监会备案。</w:t>
      </w:r>
    </w:p>
    <w:p w14:paraId="3798FC8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基金份额持有人大会的决议自表决通过之日起生效。</w:t>
      </w:r>
    </w:p>
    <w:p w14:paraId="211D400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基金份额持有人大会决议自生效之日起按规定在规定媒介上公告。如果采用通讯方式进行表决，在公告基金份额持有人大会决议时，必须将公证书全文、公证机构、公证员姓名等一同公告。</w:t>
      </w:r>
    </w:p>
    <w:p w14:paraId="0594692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846D27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（九）实施侧袋机制期间基金份额持有人大会的特殊约定</w:t>
      </w:r>
    </w:p>
    <w:p w14:paraId="0D8164B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9F2A4B6">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1、基金份额持有人行使提议权、召集权、提名权所需单独或合计代表相关基金份额10%以上（含10%）；</w:t>
      </w:r>
    </w:p>
    <w:p w14:paraId="11406C4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2、现场开会的到会者在权益登记日代表的基金份额不少于本基金在权益登记日相关基金份额的二分之一（含二分之一）；</w:t>
      </w:r>
    </w:p>
    <w:p w14:paraId="501BD6A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3、通讯开会的直接出具表决意见或授权他人代表出具表决意见的基金份额持有人所持有的基金份额不小于在权益登记日相关基金份额的二分之一（含二分之一）；</w:t>
      </w:r>
    </w:p>
    <w:p w14:paraId="454893D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1462444">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5、现场开会由出席大会的基金份额持有人和代理人所持表决权的50%以上（含50%）选举产生一名基金份额持有人作为该次基金份额持有人大会的主持人；</w:t>
      </w:r>
    </w:p>
    <w:p w14:paraId="3010F40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6、一般决议须经参加大会的基金份额持有人或其代理人所持表决权的二分之一以上（含二分之一）通过；</w:t>
      </w:r>
    </w:p>
    <w:p w14:paraId="70D8E8B1">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7、特别决议应当经参加大会的基金份额持有人或其代理人所持表决权的三分之二以上（含三分之二）通过。</w:t>
      </w:r>
    </w:p>
    <w:p w14:paraId="4255C05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2445E54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侧袋机制实施期间，关于基金份额持有人大会的相关规定以本节特殊约定内容为准，本节没有规定的适用上文相关约定。</w:t>
      </w:r>
    </w:p>
    <w:p w14:paraId="2420D98A">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1B74C2FC">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三、基金收益分配原则</w:t>
      </w:r>
    </w:p>
    <w:p w14:paraId="082DB3D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14:paraId="612E1CB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2、基金管理人可每季度对基金相对业绩比较基准的超额收益率以及基金的可供分配利润进行评价，在符合收益分配相关规定的前提下，基金管理人可进行收益分配，具体分配方案以届时的公告为准；</w:t>
      </w:r>
    </w:p>
    <w:p w14:paraId="628FA55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3、在符合上述基金分红条件的前提下，本基金管理人可以安排本基金每季度进行1次收益分配；</w:t>
      </w:r>
    </w:p>
    <w:p w14:paraId="5592BB0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4、由于本基金A类基金份额不收取销售服务费，C类基金份额收取销售服务费，各基金份额类别对应的可分配收益将有所不同。本基金同一类别每一基金份额享有同等分配权；</w:t>
      </w:r>
    </w:p>
    <w:p w14:paraId="4D74AF00">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5、法律法规或监管机关另有规定的，从其规定。</w:t>
      </w:r>
    </w:p>
    <w:p w14:paraId="45FF4CC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在不违反法律法规且对基金份额持有人利益无实质性不利影响的前提下，基金管理人在履行适当程序后，可对基金收益分配的有关业务规则进行调整，并及时公告。</w:t>
      </w:r>
    </w:p>
    <w:p w14:paraId="3ED9486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四、基金财产管理、有关费用的提取、支付方式与比例</w:t>
      </w:r>
    </w:p>
    <w:p w14:paraId="3AB3CAB2">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1、基金管理人的管理费 </w:t>
      </w:r>
    </w:p>
    <w:p w14:paraId="73D9F4E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本基金的管理费按前一日基金资产净值的0.80%年费率计提。管理费的计算方法如下：</w:t>
      </w:r>
    </w:p>
    <w:p w14:paraId="3BD254B6">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H＝E×0.80%÷当年天数</w:t>
      </w:r>
    </w:p>
    <w:p w14:paraId="09E1AE6F">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H为每日应计提的基金管理费</w:t>
      </w:r>
    </w:p>
    <w:p w14:paraId="71C4F78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E为前一日的基金资产净值</w:t>
      </w:r>
    </w:p>
    <w:p w14:paraId="473D1D6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管理费每日计提，逐日累计至每月月末，按月支付，经基金管理人与基金托管人双方核对无误后，基金托管人按照与基金管理人协商一致的方式于次月月初5个工作日内从基金财产中一次性支付给基金管理人。若遇法定节假日、公休假或不可抗力等，支付日期顺延。</w:t>
      </w:r>
    </w:p>
    <w:p w14:paraId="77844681">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2、基金托管人的托管费</w:t>
      </w:r>
    </w:p>
    <w:p w14:paraId="408BD10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本基金的托管费按前一日基金资产净值的0.10%年费率计提。托管费的计算方法如下：</w:t>
      </w:r>
    </w:p>
    <w:p w14:paraId="44660C70">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H＝E×0.10%÷当年天数</w:t>
      </w:r>
    </w:p>
    <w:p w14:paraId="187928F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H为每日应计提的基金托管费</w:t>
      </w:r>
    </w:p>
    <w:p w14:paraId="3EE01AF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E为前一日的基金资产净值</w:t>
      </w:r>
    </w:p>
    <w:p w14:paraId="339E40FD">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基金托管费每日计提，逐日累计至每月月末，按月支付，经基金管理人与基金托管人双方核对无误后，基金托管人按照与基金管理人协商一致的方式于次月月初5个工作日内从基金财产中一次性支取。若遇法定节假日、公休假或不可抗力等，支付日期顺延。</w:t>
      </w:r>
    </w:p>
    <w:p w14:paraId="771F8B5B">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3、C类基金份额的销售服务费</w:t>
      </w:r>
    </w:p>
    <w:p w14:paraId="0A11793E">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本基金A类基金份额不收取销售服务费，C类基金份额的销售服务费年费率为0.30%。</w:t>
      </w:r>
    </w:p>
    <w:p w14:paraId="251D21B9">
      <w:pPr>
        <w:spacing w:line="360" w:lineRule="auto"/>
        <w:ind w:firstLine="480" w:firstLineChars="200"/>
        <w:rPr>
          <w:rFonts w:ascii="宋体" w:hAnsi="宋体" w:eastAsia="宋体" w:cs="宋体"/>
          <w:bCs/>
          <w:sz w:val="24"/>
          <w:szCs w:val="20"/>
        </w:rPr>
      </w:pPr>
      <w:r>
        <w:rPr>
          <w:rFonts w:hint="eastAsia" w:ascii="宋体" w:hAnsi="宋体" w:eastAsia="宋体" w:cs="宋体"/>
          <w:bCs/>
          <w:sz w:val="24"/>
          <w:szCs w:val="20"/>
        </w:rPr>
        <w:t xml:space="preserve">本基金销售服务费按前一日C类基金份额基金资产净值的0.30%年费率计提。计算方法如下： </w:t>
      </w:r>
    </w:p>
    <w:p w14:paraId="5EFBFFC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bCs/>
          <w:sz w:val="24"/>
          <w:szCs w:val="20"/>
        </w:rPr>
        <w:t>H＝E×0.30</w:t>
      </w:r>
      <w:r>
        <w:rPr>
          <w:rFonts w:hint="eastAsia" w:ascii="宋体" w:hAnsi="宋体"/>
          <w:sz w:val="24"/>
        </w:rPr>
        <w:t>%</w:t>
      </w:r>
      <w:r>
        <w:rPr>
          <w:rFonts w:hint="eastAsia" w:ascii="宋体" w:hAnsi="宋体" w:eastAsia="宋体" w:cs="宋体"/>
          <w:bCs/>
          <w:sz w:val="24"/>
          <w:szCs w:val="20"/>
        </w:rPr>
        <w:t>÷当年天数</w:t>
      </w:r>
      <w:r>
        <w:rPr>
          <w:rFonts w:hint="eastAsia" w:ascii="宋体" w:hAnsi="宋体" w:eastAsia="宋体" w:cs="宋体"/>
          <w:kern w:val="0"/>
          <w:sz w:val="24"/>
          <w:szCs w:val="24"/>
        </w:rPr>
        <w:t xml:space="preserve"> </w:t>
      </w:r>
    </w:p>
    <w:p w14:paraId="1FF65D71">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H为C类基金份额每日应计提的销售服务费</w:t>
      </w:r>
    </w:p>
    <w:p w14:paraId="6A5A12A9">
      <w:pPr>
        <w:widowControl/>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E为C类基金份额前一日的基金资产净值</w:t>
      </w:r>
    </w:p>
    <w:p w14:paraId="4A9D8A8C">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销售服务费每日计提，逐日累计至每月月末，按月支付。经基金管理人与基金托管人双方核对无误后，基金托管人按照与基金管理人协商一致的方式于次月月初5个工作日内从基金财产中一次性支付。若遇法定节假日、公休假或不可抗力等，支付日期顺延。</w:t>
      </w:r>
    </w:p>
    <w:p w14:paraId="6F8D3963">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五、基金财产的投资方向和投资限制</w:t>
      </w:r>
    </w:p>
    <w:p w14:paraId="5571468A">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（一）投资范围</w:t>
      </w:r>
    </w:p>
    <w:p w14:paraId="67FF682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本基金主要投资于标的指数成份股和备选成份股（含存托凭证）。</w:t>
      </w:r>
    </w:p>
    <w:p w14:paraId="29867AB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更好地实现基金的投资目标，本基金可能会部分投资于依法发行上市的非成份股（包括创业板及其他经中国证监会核准或注册上市的股票、存托凭证）、港股通标的股票、债券（包括国债、金融债、地方政府债、政府支持机构债券、企业债、公司债、可转换债券（含分离交易可转债）、可交换债券、央行票据、短期融资券、超短期融资券、中期票据等）、资产支持证券、股指期货、国债期货、股票期权、债券回购、货币市场工具（包括银行存款、同业存单等）以及法律法规或中国证监会允许基金投资的其他金融工具（但须符合中国证监会的相关规定）。</w:t>
      </w:r>
    </w:p>
    <w:p w14:paraId="1F19D85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本基金可根据法律法规的规定参与融资及转融通证券出借业务。</w:t>
      </w:r>
    </w:p>
    <w:p w14:paraId="23B33A4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如法律法规或监管机构以后允许基金投资其他品种，基金管理人在履行适当程序后，可以将其纳入投资范围。</w:t>
      </w:r>
    </w:p>
    <w:p w14:paraId="3A449E3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基金的投资组合比例为：股票资产占基金资产的比例不低于80%，其中投资标的指数成份股及其备选成份股的比例不低于非现金基金资产的80%；投资于港股通标的股票的比例占股票资产的0%-50%；每个交易日日终在扣除股指期货、股票期权和国债期货合约需缴纳的交易保证金后，保持不低于基金资产净值5%的现金或者到期日在一年以内的政府债券，其中现金不包括结算备付金、存出保证金和应收申购款等；股指期货、股票期权、国债期货及其他金融工具的投资比例依照法律法规或监管机构的规定执行。</w:t>
      </w:r>
    </w:p>
    <w:p w14:paraId="70869FC7">
      <w:pPr>
        <w:widowControl/>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若法律法规的相关规定发生变更或监管机构允许，本基金管理人在履行适当程序后，可对上述资产配置比例进行调整。</w:t>
      </w:r>
    </w:p>
    <w:p w14:paraId="3D4D7AD7">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（二）投资限制</w:t>
      </w:r>
    </w:p>
    <w:p w14:paraId="77D2D85D">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1、组合限制</w:t>
      </w:r>
    </w:p>
    <w:p w14:paraId="7F51AF40">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基金的投资组合应遵循以下限制：</w:t>
      </w:r>
    </w:p>
    <w:p w14:paraId="54893540">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（1）股票资产占基金资产的比例不低于80%，其中投资标的指数成份股及其备选成份股的比例不低于非现金基金资产的80%；投资于港股通标的股票的比例占股票资产的0%-50%；</w:t>
      </w:r>
    </w:p>
    <w:p w14:paraId="3AFBE6E4">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2）每个交易日日终在扣除股指期货、国债期货、股票期权合约需缴纳的交易保证金后，保持不低于基金资产净值5%的现金或到期日在一年以内的政府债券，其中现金不包括结算备付金、存出保证金、应收申购款等；</w:t>
      </w:r>
    </w:p>
    <w:p w14:paraId="0F6F55CD">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（3）本基金持有一家公司发行的证券，其市值（若同时持有一家公司发行的A股和H股，则为A股与H股合计市值）不超过基金资产净值的10%，但完全按照有关指数的构成比例进行证券投资的基金品种不受此限制；</w:t>
      </w:r>
    </w:p>
    <w:p w14:paraId="52B0CF2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4）本基金管理人管理的全部基金持有一家公司发行的证券，不超过该证券（若同时持有一家公司发行的A股和H股，则为A股与H股合计市值）的10%，但完全按照有关指数的构成比例进行证券投资的基金品种不受此限制；</w:t>
      </w:r>
    </w:p>
    <w:p w14:paraId="2E8F659B">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（5）本基金资产总值不得超过基金资产净值的140%；</w:t>
      </w:r>
    </w:p>
    <w:p w14:paraId="3DD9F78F">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（6）本基金投资于同一原始权益人的各类资产支持证券的比例，不得超过基金资产净值的10%；</w:t>
      </w:r>
    </w:p>
    <w:p w14:paraId="2765567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（7）本基金持有的全部资产支持证券，其市值不得超过基金资产净值的20%；</w:t>
      </w:r>
    </w:p>
    <w:p w14:paraId="696B4B3C">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（8）本基金持有的同一(指同一信用级别)资产支持证券的比例，不得超过该资产支持证券规模的10%；</w:t>
      </w:r>
    </w:p>
    <w:p w14:paraId="58CD9B0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（9）本基金管理人管理的全部基金投资于同一原始权益人的各类资产支持证券，不得超过其各类资产支持证券合计规模的10%；</w:t>
      </w:r>
    </w:p>
    <w:p w14:paraId="602B8862">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（10）本基金应投资于信用级别评级为BBB以上(含BBB)的资产支持证券。基金持有资产支持证券期间，如果其信用等级下降、不再符合投资标准，应在评级报告发布之日起3个月内予以全部卖出；</w:t>
      </w:r>
    </w:p>
    <w:p w14:paraId="2917BA5B">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（11）基金财产参与股票发行申购，本基金所申报的金额不超过本基金的总资产，本基金所申报的股票数量不超过拟发行股票公司本次发行股票的总量；</w:t>
      </w:r>
    </w:p>
    <w:p w14:paraId="46F3C6BD">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（12）本基金参与融资的，在任何交易日日终，本基金持有的融资买入股票与其他有价证券市值之和，不得超过基金资产净值的95%；</w:t>
      </w:r>
    </w:p>
    <w:p w14:paraId="352E7D56">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（13）本基金参与股指期货和国债期货交易的，还应遵循如下投资组合限制：</w:t>
      </w:r>
    </w:p>
    <w:p w14:paraId="71FED94C">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1）在任何交易日日终，本基金持有的买入股指期货合约价值不超过基金资产净值的10%；在任何交易日日终，持有的买入国债期货合约价值，不得超过基金资产净值15%；</w:t>
      </w:r>
    </w:p>
    <w:p w14:paraId="3A44BF2F">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2）在任何交易日日终，持有的卖出股指期货合约价值不超过基金持有的股票总市值的20%；在任何交易日日终，持有的卖出国债期货合约价值不得超过基金持有的债券总市值的30%；</w:t>
      </w:r>
    </w:p>
    <w:p w14:paraId="64C50472">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3）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1AE5B023">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4）本基金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0F1D1E05">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5）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1D0B2051">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（14）本基金投资于股票期权，还应遵循如下投资组合限制：</w:t>
      </w:r>
    </w:p>
    <w:p w14:paraId="5619AE12">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1）因未平仓的期权合约支付和收取的权利金总额不得超过基金资产净值的10%；</w:t>
      </w:r>
    </w:p>
    <w:p w14:paraId="6DDC321B">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2）开仓卖出认购期权的，应持有足额标的证券；开仓卖出认沽期权的，应持有合约行权所需的全额现金或交易所规则认可的可冲抵期权保证金的现金等价物；</w:t>
      </w:r>
    </w:p>
    <w:p w14:paraId="31407D4F">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3）未平仓的期权合约面值不得超过基金资产净值的20%。其中，合约面值按照行权价乘以合约乘数计算；</w:t>
      </w:r>
    </w:p>
    <w:p w14:paraId="0C8A6463">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（15）本基金参与转融通证券出借业务，需遵守下列投资限制：</w:t>
      </w:r>
    </w:p>
    <w:p w14:paraId="562895E8">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1）出借证券资产不得超过基金资产净值的30%，出借期限在10 个交易日以上的出借证券应纳入《流动性风险管理规定》所述流动性受限证券的范围；</w:t>
      </w:r>
    </w:p>
    <w:p w14:paraId="62A6116D">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2）参与出借业务的单只证券不得超过本基金持有该证券总量的50%；</w:t>
      </w:r>
    </w:p>
    <w:p w14:paraId="49C3DA0D">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3）最近6个月内日均基金资产净值不得低于2亿元；</w:t>
      </w:r>
    </w:p>
    <w:p w14:paraId="22B1046F">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4）证券出借的平均剩余期限不得超过30天，平均剩余期限按照市值加权平均计算；</w:t>
      </w:r>
    </w:p>
    <w:p w14:paraId="50F3D85A">
      <w:pPr>
        <w:adjustRightInd w:val="0"/>
        <w:snapToGrid w:val="0"/>
        <w:spacing w:line="360" w:lineRule="auto"/>
        <w:ind w:firstLine="480" w:firstLineChars="20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因证券/期货市场波动、上市公司合并、基金规模变动等基金管理人之外的因素致使基金投资不符合上述规定的，基金管理人不得新增出借业务；</w:t>
      </w:r>
    </w:p>
    <w:p w14:paraId="0A2AAAE8">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16）本基金管理人管理的全部开放式基金持有一家上市公司发行的可流通股票，不得超过该上市公司可流通股票的15%，完全按照有关指数的构成比例进行证券投资的开放式基金以及中国证监会认定的特殊投资组合可不受前述比例限制；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6F3F8C5">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（17）本基金主动投资于流动性受限资产的市值合计不得超过本基金资产净值的15%；</w:t>
      </w:r>
    </w:p>
    <w:p w14:paraId="155E5834">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因证券/期货市场波动、上市公司股票停牌、基金规模变动等基金管理人之外的因素致使基金不符合该比例限制的，基金管理人不得主动新增流动性受限资产的投资；</w:t>
      </w:r>
    </w:p>
    <w:p w14:paraId="2D78C8D3">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（18）本基金与私募类证券资管产品及中国证监会认定的其他主体为交易对手开展逆回购交易的，可接受质押品的资质要求应当与基金合同约定的投资范围保持一致；</w:t>
      </w:r>
    </w:p>
    <w:p w14:paraId="471E4133">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（19）本基金投资存托凭证的比例限制依照境内上市交易的股票执行，与境内上市交易的股票合并计算；</w:t>
      </w:r>
    </w:p>
    <w:p w14:paraId="66C906B9">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（20）相关法律法规以及监管部门规定的和基金合同约定的其它投资比例限制。</w:t>
      </w:r>
    </w:p>
    <w:p w14:paraId="7688763A">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除上述第（2）、（10）、（15）、（17）、（18）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p>
    <w:p w14:paraId="1A380C14">
      <w:pPr>
        <w:adjustRightInd w:val="0"/>
        <w:snapToGrid w:val="0"/>
        <w:spacing w:line="360" w:lineRule="auto"/>
        <w:ind w:firstLine="422" w:firstLineChars="176"/>
        <w:rPr>
          <w:rFonts w:ascii="宋体" w:hAnsi="宋体" w:eastAsia="宋体" w:cs="宋体"/>
          <w:kern w:val="0"/>
          <w:sz w:val="24"/>
          <w:szCs w:val="24"/>
        </w:rPr>
      </w:pPr>
      <w:r>
        <w:rPr>
          <w:rFonts w:hint="eastAsia" w:ascii="宋体" w:hAnsi="宋体" w:eastAsia="宋体" w:cs="宋体"/>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11D90DF3">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法律法规或监管部门取消或变更上述限制，如适用于本基金，基金管理人在履行适当程序后，则本基金投资不再受相关限制，或以变更后的规定为准。</w:t>
      </w:r>
    </w:p>
    <w:p w14:paraId="488C0E8D">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2、禁止行为</w:t>
      </w:r>
    </w:p>
    <w:p w14:paraId="44D85797">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为维护基金份额持有人的合法权益，基金财产不得用于下列投资或者活动：</w:t>
      </w:r>
    </w:p>
    <w:p w14:paraId="068B72E9">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（1）承销证券；</w:t>
      </w:r>
    </w:p>
    <w:p w14:paraId="045BA7FC">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（2）违反规定向他人贷款或者提供担保；</w:t>
      </w:r>
    </w:p>
    <w:p w14:paraId="5C5FC0A3">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（3）从事承担无限责任的投资；</w:t>
      </w:r>
    </w:p>
    <w:p w14:paraId="29AEE121">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（4）买卖其他基金份额，但是中国证监会另有规定的除外；</w:t>
      </w:r>
    </w:p>
    <w:p w14:paraId="1AB1D0A0">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（5）向其基金管理人、基金托管人出资；</w:t>
      </w:r>
    </w:p>
    <w:p w14:paraId="1A4A8B34">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（6）从事内幕交易、操纵证券交易价格及其他不正当的证券交易活动；</w:t>
      </w:r>
    </w:p>
    <w:p w14:paraId="1390A8FC">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（7）法律、行政法规和中国证监会规定禁止的其他活动。</w:t>
      </w:r>
    </w:p>
    <w:p w14:paraId="4DCA8C60">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EE5005">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法律、行政法规或监管部门变更或取消上述规定，在履行适当程序后，本基金可按变更后的规定执行或不受上述规定的限制。</w:t>
      </w:r>
    </w:p>
    <w:p w14:paraId="0616CFB7">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六、基金净值信息的计算方法和公告方式</w:t>
      </w:r>
    </w:p>
    <w:p w14:paraId="3909DC70">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（一）估值对象</w:t>
      </w:r>
    </w:p>
    <w:p w14:paraId="196B41CB">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基金所拥有的股票（含存托凭证）、股指期货合约、国债期货合约、股票期权合约、债券和银行存款本息、应收款项、资产支持证券、其它投资等资产及负债。</w:t>
      </w:r>
    </w:p>
    <w:p w14:paraId="443120F4">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（二）估值方法</w:t>
      </w:r>
    </w:p>
    <w:p w14:paraId="3064893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交易所上市或挂牌转让的有价证券（包括股票等，本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65162A7">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2、对于已上市或已挂牌转让的不含权固定收益品种，选取估值日第三方估值基准服务机构提供的相应品种当日的估值全价进行估值。</w:t>
      </w:r>
    </w:p>
    <w:p w14:paraId="6FC656C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3、对于已上市或已挂牌转让的含权固定收益品种，选取估值日第三方估值基准服务机构提供的相应品种当日的唯一估值全价或推荐估值全价进行估值；</w:t>
      </w:r>
    </w:p>
    <w:p w14:paraId="425A5ED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37E75618">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B79AB9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5、对于未上市或未挂牌转让且不存在活跃市场的固定收益品种，应采用在当前情况下适用并且有足够可利用数据和其他信息支持的估值技术确定其公允价值。</w:t>
      </w:r>
    </w:p>
    <w:p w14:paraId="63AEFE2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6、处于未上市期间的有价证券应区分如下情况处理：</w:t>
      </w:r>
    </w:p>
    <w:p w14:paraId="24143EDC">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（1）送股、转增股、配股和公开增发的新股，按估值日在证券交易所挂牌的同一股票的估值方法估值；该日无交易的，以最近一日的市价（收盘价）估值；</w:t>
      </w:r>
    </w:p>
    <w:p w14:paraId="69C69AF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（2）首次公开发行未上市的股票，采用估值技术确定公允价值，在估值技术难以可靠计量公允价值的情况下，按成本估值；</w:t>
      </w:r>
    </w:p>
    <w:p w14:paraId="02971A1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1EAEF9F">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7、本基金投资存托凭证的估值核算，依照境内上市交易的股票执行。</w:t>
      </w:r>
    </w:p>
    <w:p w14:paraId="3B87400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8、同一证券同时在两个或两个以上市场交易的，按证券所处的市场分别估值。</w:t>
      </w:r>
    </w:p>
    <w:p w14:paraId="617E5AD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9、本基金参与股指期货合约、国债期货合约交易，一般以估值当日结算价进行估值，估值当日无结算价的，且最近交易日后经济环境未发生重大变化的，采用最近交易日结算价估值。</w:t>
      </w:r>
    </w:p>
    <w:p w14:paraId="5015A0A2">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10、本基金投资股票期权，根据相关法律法规以及监管部门的规定估值。</w:t>
      </w:r>
    </w:p>
    <w:p w14:paraId="728EDDE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11、本基金参与融资或转融通证券出借业务的，应参照行业协会的相关规定进行估值，确保估值的公允性。</w:t>
      </w:r>
    </w:p>
    <w:p w14:paraId="753DDBBD">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12、汇率</w:t>
      </w:r>
    </w:p>
    <w:p w14:paraId="455B388D">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本基金外币资产价值计算中，涉及主要货币对人民币汇率的，应当以基金估值日中国人民银行或其授权机构公布的人民币汇率中间价为准。</w:t>
      </w:r>
    </w:p>
    <w:p w14:paraId="50608F3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、如有确凿证据表明按上述方法进行估值不能客观反映其公允价值的，基金管理人可根据具体情况与基金托管人商定后，按最能反映公允价值的价格估值。</w:t>
      </w:r>
    </w:p>
    <w:p w14:paraId="567E9C9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、当发生大额申购或赎回情形时，基金管理人可以采用摆动定价机制，以确保基金估值的公平性。具体处理原则与操作规范遵循相关法律法规以及监管部门、自律规则的规定。</w:t>
      </w:r>
    </w:p>
    <w:p w14:paraId="42A19DBA">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r>
        <w:rPr>
          <w:rFonts w:hint="eastAsia" w:ascii="宋体" w:hAnsi="宋体" w:eastAsia="宋体" w:cs="宋体"/>
          <w:kern w:val="0"/>
          <w:sz w:val="24"/>
          <w:szCs w:val="24"/>
        </w:rPr>
        <w:t>、相关法律法规以及监管部门有强制规定的，从其规定。如有新增事项，按国家最新规定估值。</w:t>
      </w:r>
    </w:p>
    <w:p w14:paraId="3F345083">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69EFE80">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17F30503">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（三）基金净值信息</w:t>
      </w:r>
    </w:p>
    <w:p w14:paraId="15192F26">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《基金合同》生效后，在开始办理基金份额申购或者赎回前，基金管理人应当至少每周在规定网站公告一次各类基金份额净值和各类基金份额累计净值。</w:t>
      </w:r>
    </w:p>
    <w:p w14:paraId="08AFB866">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在开始办理基金份额申购或者赎回后，基金管理人应当在不晚于每个开放日的次日，通过规定网站、基金销售机构网站或者营业网点披露开放日的各类基金份额净值和各类基金份额累计净值。</w:t>
      </w:r>
    </w:p>
    <w:p w14:paraId="567FDA4D">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基金管理人应当在不晚于半年度和年度最后一日的次日，在规定网站公告半年度和年度最后一日各类基金份额净值和各类基金份额累计净值。</w:t>
      </w:r>
    </w:p>
    <w:p w14:paraId="260833B4">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七、基金合同的变更、终止与基金财产的清算</w:t>
      </w:r>
    </w:p>
    <w:p w14:paraId="59F7E048">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（一）《基金合同》的变更</w:t>
      </w:r>
    </w:p>
    <w:p w14:paraId="278E621C">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w:t>
      </w:r>
    </w:p>
    <w:p w14:paraId="056BA3C1">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2、关于《基金合同》变更的基金份额持有人大会决议自生效后方可执行，自决议生效后按规定在规定媒介公告。</w:t>
      </w:r>
    </w:p>
    <w:p w14:paraId="5D508CEC">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（二）《基金合同》的终止事由</w:t>
      </w:r>
    </w:p>
    <w:p w14:paraId="34EF63C4">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有下列情形之一的，经履行相关程序后，《基金合同》应当终止：</w:t>
      </w:r>
    </w:p>
    <w:p w14:paraId="475946BF">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1、基金份额持有人大会决定终止的；</w:t>
      </w:r>
    </w:p>
    <w:p w14:paraId="40A6A6DD">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2、基金管理人、基金托管人职责终止，在6个月内没有新基金管理人、新基金托管人承接的；</w:t>
      </w:r>
    </w:p>
    <w:p w14:paraId="61B848C9">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出现标的指数不符合要求（因成份股价格波动等指数编制方法变动之外的因素致使标的指数不符合要求以及法律法规、监管机构另有规定的情形除外）、指数编制机构退出等情形，基金管理人召集基金份额持有人大会对解决方案进行表决，基金份额持有人大会未成功召开或就上述事项表决未通过的；</w:t>
      </w:r>
    </w:p>
    <w:p w14:paraId="546FE872">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4、《基金合同》约定的其他情形；</w:t>
      </w:r>
    </w:p>
    <w:p w14:paraId="02F0172C">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5、相关法律法规和中国证监会规定的其他情况。</w:t>
      </w:r>
    </w:p>
    <w:p w14:paraId="052F4133">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（三）基金财产的清算</w:t>
      </w:r>
    </w:p>
    <w:p w14:paraId="0149824A">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1、基金财产清算小组：自出现《基金合同》终止事由之日起30个工作日内成立基金财产清算小组，基金管理人组织基金财产清算小组并在中国证监会的监督下进行基金清算。</w:t>
      </w:r>
    </w:p>
    <w:p w14:paraId="47DC4AE1">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2、在基金财产清算小组接管基金财产之前，基金管理人和基金托管人应按照《基金合同》和托管协议的规定继续履行保护基金财产安全的职责。</w:t>
      </w:r>
    </w:p>
    <w:p w14:paraId="057693DB">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5ED79BD">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4、基金财产清算小组职责：基金财产清算小组负责基金财产的保管、清理、估价、变现和分配。基金财产清算小组可以依法进行必要的民事活动。</w:t>
      </w:r>
    </w:p>
    <w:p w14:paraId="4A2E5C69">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5、在基金财产清算过程中，基金管理人和基金托管人应各自履行职责，继续忠实、勤勉、尽责地履行基金合同和托管协议规定的义务，维护基金份额持有人的合法权益。</w:t>
      </w:r>
    </w:p>
    <w:p w14:paraId="05A6EB02">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6、基金财产清算程序：</w:t>
      </w:r>
    </w:p>
    <w:p w14:paraId="79E739DC">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（1）《基金合同》终止情形出现时，由基金财产清算小组统一接管基金财产；</w:t>
      </w:r>
    </w:p>
    <w:p w14:paraId="6F1CC0FD">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（2）对基金财产和债权债务进行清理和确认；</w:t>
      </w:r>
    </w:p>
    <w:p w14:paraId="5D9638AC">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（3）对基金财产进行估值和变现；</w:t>
      </w:r>
    </w:p>
    <w:p w14:paraId="406F5F98">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（4）制作清算报告；</w:t>
      </w:r>
    </w:p>
    <w:p w14:paraId="71410901">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（5）聘请符合《中华人民共和国证券法》规定的会计师事务所对清算报告进行外部审计，聘请律师事务所对清算报告出具法律意见书；</w:t>
      </w:r>
    </w:p>
    <w:p w14:paraId="297B3229">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（6）将清算报告报中国证监会备案并公告；</w:t>
      </w:r>
    </w:p>
    <w:p w14:paraId="3D9E5DCD">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（7）对基金剩余财产进行分配。</w:t>
      </w:r>
    </w:p>
    <w:p w14:paraId="00A1DB4C">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7、基金财产清算的期限为6个月，但因本基金所持证券的流动性受到限制而不能及时变现的，清算期限可相应顺延。</w:t>
      </w:r>
    </w:p>
    <w:p w14:paraId="1469BE14">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（四）清算费用</w:t>
      </w:r>
    </w:p>
    <w:p w14:paraId="5E2D55D5">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清算费用是指基金财产清算小组在进行基金清算过程中发生的所有合理费用，清算费用由基金财产清算小组优先从基金剩余财产中支付。</w:t>
      </w:r>
    </w:p>
    <w:p w14:paraId="53ACF4DA">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（五）基金财产清算剩余资产的分配</w:t>
      </w:r>
    </w:p>
    <w:p w14:paraId="5705C625">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45124C04">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（六）基金财产清算的公告</w:t>
      </w:r>
    </w:p>
    <w:p w14:paraId="2019F2D5">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DF8EC0B">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（七）基金财产清算账册及文件的保存</w:t>
      </w:r>
    </w:p>
    <w:p w14:paraId="15833935">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基金财产清算账册及有关文件由基金托管人保存，保存期限不低于法律法规规定的最低期限。</w:t>
      </w:r>
    </w:p>
    <w:p w14:paraId="38D97138">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（八）基金合并</w:t>
      </w:r>
    </w:p>
    <w:p w14:paraId="4D7E2E39">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本基金与其他基金的合并应当按照法律法规规定的程序进行。</w:t>
      </w:r>
    </w:p>
    <w:p w14:paraId="4D2FC2AC">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八、争议的处理</w:t>
      </w:r>
    </w:p>
    <w:p w14:paraId="3D478286">
      <w:pPr>
        <w:autoSpaceDE w:val="0"/>
        <w:autoSpaceDN w:val="0"/>
        <w:adjustRightInd w:val="0"/>
        <w:spacing w:line="360" w:lineRule="auto"/>
        <w:ind w:firstLine="482" w:firstLineChars="200"/>
        <w:jc w:val="left"/>
        <w:rPr>
          <w:rFonts w:ascii="宋体" w:hAnsi="宋体" w:eastAsia="宋体" w:cs="宋体"/>
          <w:b/>
          <w:bCs/>
          <w:i/>
          <w:iCs/>
          <w:kern w:val="0"/>
          <w:sz w:val="24"/>
          <w:szCs w:val="24"/>
        </w:rPr>
      </w:pPr>
      <w:r>
        <w:rPr>
          <w:rFonts w:hint="eastAsia" w:ascii="宋体" w:hAnsi="宋体" w:eastAsia="宋体" w:cs="宋体"/>
          <w:b/>
          <w:bCs/>
          <w:i/>
          <w:iCs/>
          <w:kern w:val="0"/>
          <w:sz w:val="24"/>
          <w:szCs w:val="24"/>
        </w:rPr>
        <w:t>各方当事人同意，因《基金合同》而产生的或与《基金合同》有关的一切争议，如不愿或者不能通过协商、调解解决的，应将争议提交中国国际经济贸易仲裁委员会，按照中国国际经济贸易仲裁委员会届时有效的仲裁规则进行仲裁。仲裁地点为北京市。仲裁裁决是终局的，对各方当事人均有约束力。除非仲裁裁决另有规定，仲裁费用、合理的律师费用由败诉方承担。</w:t>
      </w:r>
    </w:p>
    <w:p w14:paraId="7A0DD9CD">
      <w:pPr>
        <w:autoSpaceDE w:val="0"/>
        <w:autoSpaceDN w:val="0"/>
        <w:adjustRightInd w:val="0"/>
        <w:spacing w:line="360" w:lineRule="auto"/>
        <w:ind w:firstLine="482" w:firstLineChars="200"/>
        <w:jc w:val="left"/>
        <w:rPr>
          <w:rFonts w:ascii="宋体" w:hAnsi="宋体" w:eastAsia="宋体" w:cs="宋体"/>
          <w:b/>
          <w:bCs/>
          <w:i/>
          <w:iCs/>
          <w:kern w:val="0"/>
          <w:sz w:val="24"/>
          <w:szCs w:val="24"/>
        </w:rPr>
      </w:pPr>
      <w:r>
        <w:rPr>
          <w:rFonts w:hint="eastAsia" w:ascii="宋体" w:hAnsi="宋体" w:eastAsia="宋体" w:cs="宋体"/>
          <w:b/>
          <w:bCs/>
          <w:i/>
          <w:iCs/>
          <w:kern w:val="0"/>
          <w:sz w:val="24"/>
          <w:szCs w:val="24"/>
        </w:rPr>
        <w:t>争议处理期间，基金管理人、基金托管人应恪守基金管理人和基金托管人职责，各自继续忠实、勤勉、尽责地履行基金合同和托管协议规定的义务，维护基金份额持有人的合法权益。</w:t>
      </w:r>
    </w:p>
    <w:p w14:paraId="61B54606">
      <w:pPr>
        <w:widowControl/>
        <w:autoSpaceDE w:val="0"/>
        <w:autoSpaceDN w:val="0"/>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i/>
          <w:iCs/>
          <w:kern w:val="0"/>
          <w:sz w:val="24"/>
          <w:szCs w:val="24"/>
        </w:rPr>
        <w:t>《基金合同》受中国法律（为本基金合同之目的，在此不包括香港、澳门特别行政区和台湾地区法律）管辖并从其解释。</w:t>
      </w:r>
    </w:p>
    <w:p w14:paraId="1DDCFE26">
      <w:pPr>
        <w:widowControl/>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九、基金合同存放地和投资者取得合同的方式</w:t>
      </w:r>
    </w:p>
    <w:p w14:paraId="1E7F089C">
      <w:pPr>
        <w:widowControl/>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《基金合同》可印制成册，供投资者在基金管理人、基金托管人、销售机构的办公场所和营业场所查阅。</w:t>
      </w:r>
    </w:p>
    <w:p w14:paraId="61F8AEB3">
      <w:pPr>
        <w:tabs>
          <w:tab w:val="left" w:pos="812"/>
        </w:tabs>
        <w:jc w:val="left"/>
        <w:rPr>
          <w:rFonts w:hint="eastAsia" w:asciiTheme="minorHAnsi" w:hAnsiTheme="minorHAnsi" w:eastAsiaTheme="minorEastAsia" w:cstheme="minorBidi"/>
          <w:kern w:val="2"/>
          <w:sz w:val="21"/>
          <w:szCs w:val="22"/>
          <w:lang w:val="en-US" w:eastAsia="zh-CN" w:bidi="ar-SA"/>
        </w:rPr>
      </w:pPr>
      <w:bookmarkStart w:id="56" w:name="_GoBack"/>
      <w:bookmarkEnd w:id="56"/>
    </w:p>
    <w:sectPr>
      <w:footerReference r:id="rId3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B9C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515B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D515B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1564">
    <w:pPr>
      <w:pStyle w:val="9"/>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8744177"/>
                          </w:sdtPr>
                          <w:sdtContent>
                            <w:p w14:paraId="59CC7D30">
                              <w:pPr>
                                <w:pStyle w:val="9"/>
                                <w:jc w:val="center"/>
                              </w:pPr>
                              <w:r>
                                <w:rPr>
                                  <w:rFonts w:hint="eastAsia"/>
                                </w:rPr>
                                <w:t>8-</w:t>
                              </w:r>
                              <w:r>
                                <w:fldChar w:fldCharType="begin"/>
                              </w:r>
                              <w:r>
                                <w:instrText xml:space="preserve">PAGE   \* MERGEFORMAT</w:instrText>
                              </w:r>
                              <w:r>
                                <w:fldChar w:fldCharType="separate"/>
                              </w:r>
                              <w:r>
                                <w:rPr>
                                  <w:lang w:val="zh-CN"/>
                                </w:rPr>
                                <w:t>9</w:t>
                              </w:r>
                              <w:r>
                                <w:fldChar w:fldCharType="end"/>
                              </w:r>
                            </w:p>
                          </w:sdtContent>
                        </w:sdt>
                        <w:p w14:paraId="0BCB3B9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sdt>
                    <w:sdtPr>
                      <w:id w:val="-468744177"/>
                    </w:sdtPr>
                    <w:sdtContent>
                      <w:p w14:paraId="59CC7D30">
                        <w:pPr>
                          <w:pStyle w:val="9"/>
                          <w:jc w:val="center"/>
                        </w:pPr>
                        <w:r>
                          <w:rPr>
                            <w:rFonts w:hint="eastAsia"/>
                          </w:rPr>
                          <w:t>8-</w:t>
                        </w:r>
                        <w:r>
                          <w:fldChar w:fldCharType="begin"/>
                        </w:r>
                        <w:r>
                          <w:instrText xml:space="preserve">PAGE   \* MERGEFORMAT</w:instrText>
                        </w:r>
                        <w:r>
                          <w:fldChar w:fldCharType="separate"/>
                        </w:r>
                        <w:r>
                          <w:rPr>
                            <w:lang w:val="zh-CN"/>
                          </w:rPr>
                          <w:t>9</w:t>
                        </w:r>
                        <w:r>
                          <w:fldChar w:fldCharType="end"/>
                        </w:r>
                      </w:p>
                    </w:sdtContent>
                  </w:sdt>
                  <w:p w14:paraId="0BCB3B90"/>
                </w:txbxContent>
              </v:textbox>
            </v:shape>
          </w:pict>
        </mc:Fallback>
      </mc:AlternateContent>
    </w:r>
  </w:p>
  <w:p w14:paraId="1B45983C">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678A">
    <w:pPr>
      <w:pStyle w:val="9"/>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781271"/>
                          </w:sdtPr>
                          <w:sdtContent>
                            <w:p w14:paraId="0896E8F7">
                              <w:pPr>
                                <w:pStyle w:val="9"/>
                                <w:jc w:val="center"/>
                              </w:pPr>
                              <w:r>
                                <w:rPr>
                                  <w:rFonts w:hint="eastAsia"/>
                                </w:rPr>
                                <w:t>9-</w:t>
                              </w:r>
                              <w:r>
                                <w:fldChar w:fldCharType="begin"/>
                              </w:r>
                              <w:r>
                                <w:instrText xml:space="preserve">PAGE   \* MERGEFORMAT</w:instrText>
                              </w:r>
                              <w:r>
                                <w:fldChar w:fldCharType="separate"/>
                              </w:r>
                              <w:r>
                                <w:rPr>
                                  <w:lang w:val="zh-CN"/>
                                </w:rPr>
                                <w:t>1</w:t>
                              </w:r>
                              <w:r>
                                <w:fldChar w:fldCharType="end"/>
                              </w:r>
                            </w:p>
                          </w:sdtContent>
                        </w:sdt>
                        <w:p w14:paraId="15EE7A4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216781271"/>
                    </w:sdtPr>
                    <w:sdtContent>
                      <w:p w14:paraId="0896E8F7">
                        <w:pPr>
                          <w:pStyle w:val="9"/>
                          <w:jc w:val="center"/>
                        </w:pPr>
                        <w:r>
                          <w:rPr>
                            <w:rFonts w:hint="eastAsia"/>
                          </w:rPr>
                          <w:t>9-</w:t>
                        </w:r>
                        <w:r>
                          <w:fldChar w:fldCharType="begin"/>
                        </w:r>
                        <w:r>
                          <w:instrText xml:space="preserve">PAGE   \* MERGEFORMAT</w:instrText>
                        </w:r>
                        <w:r>
                          <w:fldChar w:fldCharType="separate"/>
                        </w:r>
                        <w:r>
                          <w:rPr>
                            <w:lang w:val="zh-CN"/>
                          </w:rPr>
                          <w:t>1</w:t>
                        </w:r>
                        <w:r>
                          <w:fldChar w:fldCharType="end"/>
                        </w:r>
                      </w:p>
                    </w:sdtContent>
                  </w:sdt>
                  <w:p w14:paraId="15EE7A4A"/>
                </w:txbxContent>
              </v:textbox>
            </v:shape>
          </w:pict>
        </mc:Fallback>
      </mc:AlternateContent>
    </w:r>
  </w:p>
  <w:p w14:paraId="4D93624A">
    <w:pPr>
      <w:pStyle w:val="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C316">
    <w:pPr>
      <w:pStyle w:val="9"/>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28733510"/>
                          </w:sdtPr>
                          <w:sdtContent>
                            <w:p w14:paraId="3330AB2B">
                              <w:pPr>
                                <w:pStyle w:val="9"/>
                                <w:jc w:val="center"/>
                              </w:pPr>
                              <w:r>
                                <w:rPr>
                                  <w:rFonts w:hint="eastAsia"/>
                                </w:rPr>
                                <w:t>10-</w:t>
                              </w:r>
                              <w:r>
                                <w:fldChar w:fldCharType="begin"/>
                              </w:r>
                              <w:r>
                                <w:instrText xml:space="preserve">PAGE   \* MERGEFORMAT</w:instrText>
                              </w:r>
                              <w:r>
                                <w:fldChar w:fldCharType="separate"/>
                              </w:r>
                              <w:r>
                                <w:rPr>
                                  <w:lang w:val="zh-CN"/>
                                </w:rPr>
                                <w:t>1</w:t>
                              </w:r>
                              <w:r>
                                <w:fldChar w:fldCharType="end"/>
                              </w:r>
                            </w:p>
                          </w:sdtContent>
                        </w:sdt>
                        <w:p w14:paraId="096DFD0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sdt>
                    <w:sdtPr>
                      <w:id w:val="2128733510"/>
                    </w:sdtPr>
                    <w:sdtContent>
                      <w:p w14:paraId="3330AB2B">
                        <w:pPr>
                          <w:pStyle w:val="9"/>
                          <w:jc w:val="center"/>
                        </w:pPr>
                        <w:r>
                          <w:rPr>
                            <w:rFonts w:hint="eastAsia"/>
                          </w:rPr>
                          <w:t>10-</w:t>
                        </w:r>
                        <w:r>
                          <w:fldChar w:fldCharType="begin"/>
                        </w:r>
                        <w:r>
                          <w:instrText xml:space="preserve">PAGE   \* MERGEFORMAT</w:instrText>
                        </w:r>
                        <w:r>
                          <w:fldChar w:fldCharType="separate"/>
                        </w:r>
                        <w:r>
                          <w:rPr>
                            <w:lang w:val="zh-CN"/>
                          </w:rPr>
                          <w:t>1</w:t>
                        </w:r>
                        <w:r>
                          <w:fldChar w:fldCharType="end"/>
                        </w:r>
                      </w:p>
                    </w:sdtContent>
                  </w:sdt>
                  <w:p w14:paraId="096DFD03"/>
                </w:txbxContent>
              </v:textbox>
            </v:shape>
          </w:pict>
        </mc:Fallback>
      </mc:AlternateContent>
    </w:r>
  </w:p>
  <w:p w14:paraId="4E389FAD">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96ABA">
    <w:pPr>
      <w:pStyle w:val="9"/>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9396193"/>
                          </w:sdtPr>
                          <w:sdtContent>
                            <w:p w14:paraId="34664DC6">
                              <w:pPr>
                                <w:pStyle w:val="9"/>
                                <w:jc w:val="center"/>
                              </w:pPr>
                              <w:r>
                                <w:rPr>
                                  <w:rFonts w:hint="eastAsia"/>
                                </w:rPr>
                                <w:t>11-</w:t>
                              </w:r>
                              <w:r>
                                <w:fldChar w:fldCharType="begin"/>
                              </w:r>
                              <w:r>
                                <w:instrText xml:space="preserve">PAGE   \* MERGEFORMAT</w:instrText>
                              </w:r>
                              <w:r>
                                <w:fldChar w:fldCharType="separate"/>
                              </w:r>
                              <w:r>
                                <w:rPr>
                                  <w:lang w:val="zh-CN"/>
                                </w:rPr>
                                <w:t>2</w:t>
                              </w:r>
                              <w:r>
                                <w:fldChar w:fldCharType="end"/>
                              </w:r>
                            </w:p>
                          </w:sdtContent>
                        </w:sdt>
                        <w:p w14:paraId="0C2C44E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sdt>
                    <w:sdtPr>
                      <w:id w:val="319396193"/>
                    </w:sdtPr>
                    <w:sdtContent>
                      <w:p w14:paraId="34664DC6">
                        <w:pPr>
                          <w:pStyle w:val="9"/>
                          <w:jc w:val="center"/>
                        </w:pPr>
                        <w:r>
                          <w:rPr>
                            <w:rFonts w:hint="eastAsia"/>
                          </w:rPr>
                          <w:t>11-</w:t>
                        </w:r>
                        <w:r>
                          <w:fldChar w:fldCharType="begin"/>
                        </w:r>
                        <w:r>
                          <w:instrText xml:space="preserve">PAGE   \* MERGEFORMAT</w:instrText>
                        </w:r>
                        <w:r>
                          <w:fldChar w:fldCharType="separate"/>
                        </w:r>
                        <w:r>
                          <w:rPr>
                            <w:lang w:val="zh-CN"/>
                          </w:rPr>
                          <w:t>2</w:t>
                        </w:r>
                        <w:r>
                          <w:fldChar w:fldCharType="end"/>
                        </w:r>
                      </w:p>
                    </w:sdtContent>
                  </w:sdt>
                  <w:p w14:paraId="0C2C44EA"/>
                </w:txbxContent>
              </v:textbox>
            </v:shape>
          </w:pict>
        </mc:Fallback>
      </mc:AlternateContent>
    </w:r>
  </w:p>
  <w:p w14:paraId="70216E37">
    <w:pPr>
      <w:pStyle w:val="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EB24E">
    <w:pPr>
      <w:pStyle w:val="9"/>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22523916"/>
                          </w:sdtPr>
                          <w:sdtContent>
                            <w:p w14:paraId="3202E8A2">
                              <w:pPr>
                                <w:pStyle w:val="9"/>
                                <w:jc w:val="center"/>
                              </w:pPr>
                              <w:r>
                                <w:rPr>
                                  <w:rFonts w:hint="eastAsia"/>
                                </w:rPr>
                                <w:t>12-</w:t>
                              </w:r>
                              <w:r>
                                <w:fldChar w:fldCharType="begin"/>
                              </w:r>
                              <w:r>
                                <w:instrText xml:space="preserve">PAGE   \* MERGEFORMAT</w:instrText>
                              </w:r>
                              <w:r>
                                <w:fldChar w:fldCharType="separate"/>
                              </w:r>
                              <w:r>
                                <w:rPr>
                                  <w:lang w:val="zh-CN"/>
                                </w:rPr>
                                <w:t>1</w:t>
                              </w:r>
                              <w:r>
                                <w:fldChar w:fldCharType="end"/>
                              </w:r>
                            </w:p>
                          </w:sdtContent>
                        </w:sdt>
                        <w:p w14:paraId="6DEAC3B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sdt>
                    <w:sdtPr>
                      <w:id w:val="-2122523916"/>
                    </w:sdtPr>
                    <w:sdtContent>
                      <w:p w14:paraId="3202E8A2">
                        <w:pPr>
                          <w:pStyle w:val="9"/>
                          <w:jc w:val="center"/>
                        </w:pPr>
                        <w:r>
                          <w:rPr>
                            <w:rFonts w:hint="eastAsia"/>
                          </w:rPr>
                          <w:t>12-</w:t>
                        </w:r>
                        <w:r>
                          <w:fldChar w:fldCharType="begin"/>
                        </w:r>
                        <w:r>
                          <w:instrText xml:space="preserve">PAGE   \* MERGEFORMAT</w:instrText>
                        </w:r>
                        <w:r>
                          <w:fldChar w:fldCharType="separate"/>
                        </w:r>
                        <w:r>
                          <w:rPr>
                            <w:lang w:val="zh-CN"/>
                          </w:rPr>
                          <w:t>1</w:t>
                        </w:r>
                        <w:r>
                          <w:fldChar w:fldCharType="end"/>
                        </w:r>
                      </w:p>
                    </w:sdtContent>
                  </w:sdt>
                  <w:p w14:paraId="6DEAC3B5"/>
                </w:txbxContent>
              </v:textbox>
            </v:shape>
          </w:pict>
        </mc:Fallback>
      </mc:AlternateContent>
    </w:r>
  </w:p>
  <w:p w14:paraId="0FCCD277">
    <w:pPr>
      <w:pStyle w:val="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B4697">
    <w:pPr>
      <w:pStyle w:val="9"/>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54790979"/>
                          </w:sdtPr>
                          <w:sdtContent>
                            <w:p w14:paraId="56A1F08E">
                              <w:pPr>
                                <w:pStyle w:val="9"/>
                                <w:jc w:val="center"/>
                              </w:pPr>
                              <w:r>
                                <w:rPr>
                                  <w:rFonts w:hint="eastAsia"/>
                                </w:rPr>
                                <w:t>13-</w:t>
                              </w:r>
                              <w:r>
                                <w:fldChar w:fldCharType="begin"/>
                              </w:r>
                              <w:r>
                                <w:instrText xml:space="preserve">PAGE   \* MERGEFORMAT</w:instrText>
                              </w:r>
                              <w:r>
                                <w:fldChar w:fldCharType="separate"/>
                              </w:r>
                              <w:r>
                                <w:rPr>
                                  <w:lang w:val="zh-CN"/>
                                </w:rPr>
                                <w:t>1</w:t>
                              </w:r>
                              <w:r>
                                <w:fldChar w:fldCharType="end"/>
                              </w:r>
                            </w:p>
                          </w:sdtContent>
                        </w:sdt>
                        <w:p w14:paraId="328553A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sdt>
                    <w:sdtPr>
                      <w:id w:val="754790979"/>
                    </w:sdtPr>
                    <w:sdtContent>
                      <w:p w14:paraId="56A1F08E">
                        <w:pPr>
                          <w:pStyle w:val="9"/>
                          <w:jc w:val="center"/>
                        </w:pPr>
                        <w:r>
                          <w:rPr>
                            <w:rFonts w:hint="eastAsia"/>
                          </w:rPr>
                          <w:t>13-</w:t>
                        </w:r>
                        <w:r>
                          <w:fldChar w:fldCharType="begin"/>
                        </w:r>
                        <w:r>
                          <w:instrText xml:space="preserve">PAGE   \* MERGEFORMAT</w:instrText>
                        </w:r>
                        <w:r>
                          <w:fldChar w:fldCharType="separate"/>
                        </w:r>
                        <w:r>
                          <w:rPr>
                            <w:lang w:val="zh-CN"/>
                          </w:rPr>
                          <w:t>1</w:t>
                        </w:r>
                        <w:r>
                          <w:fldChar w:fldCharType="end"/>
                        </w:r>
                      </w:p>
                    </w:sdtContent>
                  </w:sdt>
                  <w:p w14:paraId="328553A2"/>
                </w:txbxContent>
              </v:textbox>
            </v:shape>
          </w:pict>
        </mc:Fallback>
      </mc:AlternateContent>
    </w:r>
  </w:p>
  <w:p w14:paraId="1F886DEB">
    <w:pPr>
      <w:pStyle w:val="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049B7">
    <w:pPr>
      <w:pStyle w:val="9"/>
      <w:jc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70703056"/>
                          </w:sdtPr>
                          <w:sdtContent>
                            <w:p w14:paraId="03923452">
                              <w:pPr>
                                <w:pStyle w:val="9"/>
                                <w:jc w:val="center"/>
                              </w:pPr>
                              <w:r>
                                <w:rPr>
                                  <w:rFonts w:hint="eastAsia"/>
                                </w:rPr>
                                <w:t>14-</w:t>
                              </w:r>
                              <w:r>
                                <w:fldChar w:fldCharType="begin"/>
                              </w:r>
                              <w:r>
                                <w:instrText xml:space="preserve">PAGE   \* MERGEFORMAT</w:instrText>
                              </w:r>
                              <w:r>
                                <w:fldChar w:fldCharType="separate"/>
                              </w:r>
                              <w:r>
                                <w:rPr>
                                  <w:lang w:val="zh-CN"/>
                                </w:rPr>
                                <w:t>5</w:t>
                              </w:r>
                              <w:r>
                                <w:fldChar w:fldCharType="end"/>
                              </w:r>
                            </w:p>
                          </w:sdtContent>
                        </w:sdt>
                        <w:p w14:paraId="7A3BA10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sdt>
                    <w:sdtPr>
                      <w:id w:val="1970703056"/>
                    </w:sdtPr>
                    <w:sdtContent>
                      <w:p w14:paraId="03923452">
                        <w:pPr>
                          <w:pStyle w:val="9"/>
                          <w:jc w:val="center"/>
                        </w:pPr>
                        <w:r>
                          <w:rPr>
                            <w:rFonts w:hint="eastAsia"/>
                          </w:rPr>
                          <w:t>14-</w:t>
                        </w:r>
                        <w:r>
                          <w:fldChar w:fldCharType="begin"/>
                        </w:r>
                        <w:r>
                          <w:instrText xml:space="preserve">PAGE   \* MERGEFORMAT</w:instrText>
                        </w:r>
                        <w:r>
                          <w:fldChar w:fldCharType="separate"/>
                        </w:r>
                        <w:r>
                          <w:rPr>
                            <w:lang w:val="zh-CN"/>
                          </w:rPr>
                          <w:t>5</w:t>
                        </w:r>
                        <w:r>
                          <w:fldChar w:fldCharType="end"/>
                        </w:r>
                      </w:p>
                    </w:sdtContent>
                  </w:sdt>
                  <w:p w14:paraId="7A3BA10B"/>
                </w:txbxContent>
              </v:textbox>
            </v:shape>
          </w:pict>
        </mc:Fallback>
      </mc:AlternateContent>
    </w:r>
  </w:p>
  <w:p w14:paraId="2A847724">
    <w:pPr>
      <w:pStyle w:val="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C737">
    <w:pPr>
      <w:pStyle w:val="9"/>
      <w:jc w:val="cente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8902033"/>
                          </w:sdtPr>
                          <w:sdtContent>
                            <w:p w14:paraId="1F428911">
                              <w:pPr>
                                <w:pStyle w:val="9"/>
                                <w:jc w:val="center"/>
                              </w:pPr>
                              <w:r>
                                <w:rPr>
                                  <w:rFonts w:hint="eastAsia"/>
                                </w:rPr>
                                <w:t>15-</w:t>
                              </w:r>
                              <w:r>
                                <w:fldChar w:fldCharType="begin"/>
                              </w:r>
                              <w:r>
                                <w:instrText xml:space="preserve">PAGE   \* MERGEFORMAT</w:instrText>
                              </w:r>
                              <w:r>
                                <w:fldChar w:fldCharType="separate"/>
                              </w:r>
                              <w:r>
                                <w:rPr>
                                  <w:lang w:val="zh-CN"/>
                                </w:rPr>
                                <w:t>2</w:t>
                              </w:r>
                              <w:r>
                                <w:fldChar w:fldCharType="end"/>
                              </w:r>
                            </w:p>
                          </w:sdtContent>
                        </w:sdt>
                        <w:p w14:paraId="2613AA6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sdt>
                    <w:sdtPr>
                      <w:id w:val="-1258902033"/>
                    </w:sdtPr>
                    <w:sdtContent>
                      <w:p w14:paraId="1F428911">
                        <w:pPr>
                          <w:pStyle w:val="9"/>
                          <w:jc w:val="center"/>
                        </w:pPr>
                        <w:r>
                          <w:rPr>
                            <w:rFonts w:hint="eastAsia"/>
                          </w:rPr>
                          <w:t>15-</w:t>
                        </w:r>
                        <w:r>
                          <w:fldChar w:fldCharType="begin"/>
                        </w:r>
                        <w:r>
                          <w:instrText xml:space="preserve">PAGE   \* MERGEFORMAT</w:instrText>
                        </w:r>
                        <w:r>
                          <w:fldChar w:fldCharType="separate"/>
                        </w:r>
                        <w:r>
                          <w:rPr>
                            <w:lang w:val="zh-CN"/>
                          </w:rPr>
                          <w:t>2</w:t>
                        </w:r>
                        <w:r>
                          <w:fldChar w:fldCharType="end"/>
                        </w:r>
                      </w:p>
                    </w:sdtContent>
                  </w:sdt>
                  <w:p w14:paraId="2613AA6C"/>
                </w:txbxContent>
              </v:textbox>
            </v:shape>
          </w:pict>
        </mc:Fallback>
      </mc:AlternateContent>
    </w:r>
  </w:p>
  <w:p w14:paraId="45D3717C">
    <w:pPr>
      <w:pStyle w:val="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BF910">
    <w:pPr>
      <w:pStyle w:val="9"/>
      <w:jc w:val="cente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572539"/>
                          </w:sdtPr>
                          <w:sdtContent>
                            <w:p w14:paraId="6E1726DF">
                              <w:pPr>
                                <w:pStyle w:val="9"/>
                                <w:jc w:val="center"/>
                              </w:pPr>
                              <w:r>
                                <w:rPr>
                                  <w:rFonts w:hint="eastAsia"/>
                                </w:rPr>
                                <w:t>16-</w:t>
                              </w:r>
                              <w:r>
                                <w:fldChar w:fldCharType="begin"/>
                              </w:r>
                              <w:r>
                                <w:instrText xml:space="preserve">PAGE   \* MERGEFORMAT</w:instrText>
                              </w:r>
                              <w:r>
                                <w:fldChar w:fldCharType="separate"/>
                              </w:r>
                              <w:r>
                                <w:rPr>
                                  <w:lang w:val="zh-CN"/>
                                </w:rPr>
                                <w:t>2</w:t>
                              </w:r>
                              <w:r>
                                <w:fldChar w:fldCharType="end"/>
                              </w:r>
                            </w:p>
                          </w:sdtContent>
                        </w:sdt>
                        <w:p w14:paraId="2792CBA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sdt>
                    <w:sdtPr>
                      <w:id w:val="82572539"/>
                    </w:sdtPr>
                    <w:sdtContent>
                      <w:p w14:paraId="6E1726DF">
                        <w:pPr>
                          <w:pStyle w:val="9"/>
                          <w:jc w:val="center"/>
                        </w:pPr>
                        <w:r>
                          <w:rPr>
                            <w:rFonts w:hint="eastAsia"/>
                          </w:rPr>
                          <w:t>16-</w:t>
                        </w:r>
                        <w:r>
                          <w:fldChar w:fldCharType="begin"/>
                        </w:r>
                        <w:r>
                          <w:instrText xml:space="preserve">PAGE   \* MERGEFORMAT</w:instrText>
                        </w:r>
                        <w:r>
                          <w:fldChar w:fldCharType="separate"/>
                        </w:r>
                        <w:r>
                          <w:rPr>
                            <w:lang w:val="zh-CN"/>
                          </w:rPr>
                          <w:t>2</w:t>
                        </w:r>
                        <w:r>
                          <w:fldChar w:fldCharType="end"/>
                        </w:r>
                      </w:p>
                    </w:sdtContent>
                  </w:sdt>
                  <w:p w14:paraId="2792CBA4"/>
                </w:txbxContent>
              </v:textbox>
            </v:shape>
          </w:pict>
        </mc:Fallback>
      </mc:AlternateContent>
    </w:r>
  </w:p>
  <w:p w14:paraId="3046F796">
    <w:pPr>
      <w:pStyle w:val="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5A56">
    <w:pPr>
      <w:pStyle w:val="9"/>
      <w:jc w:val="cente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619440"/>
                          </w:sdtPr>
                          <w:sdtContent>
                            <w:p w14:paraId="5D209F82">
                              <w:pPr>
                                <w:pStyle w:val="9"/>
                                <w:jc w:val="center"/>
                              </w:pPr>
                              <w:r>
                                <w:rPr>
                                  <w:rFonts w:hint="eastAsia"/>
                                </w:rPr>
                                <w:t>17-</w:t>
                              </w:r>
                              <w:r>
                                <w:fldChar w:fldCharType="begin"/>
                              </w:r>
                              <w:r>
                                <w:instrText xml:space="preserve">PAGE   \* MERGEFORMAT</w:instrText>
                              </w:r>
                              <w:r>
                                <w:fldChar w:fldCharType="separate"/>
                              </w:r>
                              <w:r>
                                <w:rPr>
                                  <w:lang w:val="zh-CN"/>
                                </w:rPr>
                                <w:t>1</w:t>
                              </w:r>
                              <w:r>
                                <w:fldChar w:fldCharType="end"/>
                              </w:r>
                            </w:p>
                          </w:sdtContent>
                        </w:sdt>
                        <w:p w14:paraId="064B42B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sdt>
                    <w:sdtPr>
                      <w:id w:val="-1056619440"/>
                    </w:sdtPr>
                    <w:sdtContent>
                      <w:p w14:paraId="5D209F82">
                        <w:pPr>
                          <w:pStyle w:val="9"/>
                          <w:jc w:val="center"/>
                        </w:pPr>
                        <w:r>
                          <w:rPr>
                            <w:rFonts w:hint="eastAsia"/>
                          </w:rPr>
                          <w:t>17-</w:t>
                        </w:r>
                        <w:r>
                          <w:fldChar w:fldCharType="begin"/>
                        </w:r>
                        <w:r>
                          <w:instrText xml:space="preserve">PAGE   \* MERGEFORMAT</w:instrText>
                        </w:r>
                        <w:r>
                          <w:fldChar w:fldCharType="separate"/>
                        </w:r>
                        <w:r>
                          <w:rPr>
                            <w:lang w:val="zh-CN"/>
                          </w:rPr>
                          <w:t>1</w:t>
                        </w:r>
                        <w:r>
                          <w:fldChar w:fldCharType="end"/>
                        </w:r>
                      </w:p>
                    </w:sdtContent>
                  </w:sdt>
                  <w:p w14:paraId="064B42BA"/>
                </w:txbxContent>
              </v:textbox>
            </v:shape>
          </w:pict>
        </mc:Fallback>
      </mc:AlternateContent>
    </w:r>
  </w:p>
  <w:p w14:paraId="4FB2F73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CEA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086E1">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87086E1">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0F73B">
    <w:pPr>
      <w:pStyle w:val="9"/>
      <w:jc w:val="both"/>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5964162"/>
                          </w:sdtPr>
                          <w:sdtContent>
                            <w:p w14:paraId="30B9965C">
                              <w:pPr>
                                <w:pStyle w:val="9"/>
                                <w:jc w:val="center"/>
                              </w:pPr>
                              <w:r>
                                <w:rPr>
                                  <w:rFonts w:hint="eastAsia"/>
                                </w:rPr>
                                <w:t>18-</w:t>
                              </w:r>
                              <w:r>
                                <w:fldChar w:fldCharType="begin"/>
                              </w:r>
                              <w:r>
                                <w:instrText xml:space="preserve">PAGE   \* MERGEFORMAT</w:instrText>
                              </w:r>
                              <w:r>
                                <w:fldChar w:fldCharType="separate"/>
                              </w:r>
                              <w:r>
                                <w:rPr>
                                  <w:lang w:val="zh-CN"/>
                                </w:rPr>
                                <w:t>8</w:t>
                              </w:r>
                              <w:r>
                                <w:fldChar w:fldCharType="end"/>
                              </w:r>
                            </w:p>
                          </w:sdtContent>
                        </w:sdt>
                        <w:p w14:paraId="457C1DA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sdt>
                    <w:sdtPr>
                      <w:id w:val="-65964162"/>
                    </w:sdtPr>
                    <w:sdtContent>
                      <w:p w14:paraId="30B9965C">
                        <w:pPr>
                          <w:pStyle w:val="9"/>
                          <w:jc w:val="center"/>
                        </w:pPr>
                        <w:r>
                          <w:rPr>
                            <w:rFonts w:hint="eastAsia"/>
                          </w:rPr>
                          <w:t>18-</w:t>
                        </w:r>
                        <w:r>
                          <w:fldChar w:fldCharType="begin"/>
                        </w:r>
                        <w:r>
                          <w:instrText xml:space="preserve">PAGE   \* MERGEFORMAT</w:instrText>
                        </w:r>
                        <w:r>
                          <w:fldChar w:fldCharType="separate"/>
                        </w:r>
                        <w:r>
                          <w:rPr>
                            <w:lang w:val="zh-CN"/>
                          </w:rPr>
                          <w:t>8</w:t>
                        </w:r>
                        <w:r>
                          <w:fldChar w:fldCharType="end"/>
                        </w:r>
                      </w:p>
                    </w:sdtContent>
                  </w:sdt>
                  <w:p w14:paraId="457C1DA3"/>
                </w:txbxContent>
              </v:textbox>
            </v:shape>
          </w:pict>
        </mc:Fallback>
      </mc:AlternateContent>
    </w:r>
  </w:p>
  <w:p w14:paraId="5BBF69F8">
    <w:pPr>
      <w:pStyle w:val="9"/>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0822D">
    <w:pPr>
      <w:pStyle w:val="9"/>
      <w:jc w:val="both"/>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1608"/>
                          </w:sdtPr>
                          <w:sdtContent>
                            <w:p w14:paraId="375B3439">
                              <w:pPr>
                                <w:pStyle w:val="9"/>
                                <w:jc w:val="center"/>
                              </w:pPr>
                              <w:r>
                                <w:rPr>
                                  <w:rFonts w:hint="eastAsia"/>
                                </w:rPr>
                                <w:t>19-</w:t>
                              </w:r>
                              <w:r>
                                <w:fldChar w:fldCharType="begin"/>
                              </w:r>
                              <w:r>
                                <w:instrText xml:space="preserve">PAGE   \* MERGEFORMAT</w:instrText>
                              </w:r>
                              <w:r>
                                <w:fldChar w:fldCharType="separate"/>
                              </w:r>
                              <w:r>
                                <w:rPr>
                                  <w:lang w:val="zh-CN"/>
                                </w:rPr>
                                <w:t>3</w:t>
                              </w:r>
                              <w:r>
                                <w:fldChar w:fldCharType="end"/>
                              </w:r>
                            </w:p>
                          </w:sdtContent>
                        </w:sdt>
                        <w:p w14:paraId="19DE7D9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sdt>
                    <w:sdtPr>
                      <w:id w:val="147451608"/>
                    </w:sdtPr>
                    <w:sdtContent>
                      <w:p w14:paraId="375B3439">
                        <w:pPr>
                          <w:pStyle w:val="9"/>
                          <w:jc w:val="center"/>
                        </w:pPr>
                        <w:r>
                          <w:rPr>
                            <w:rFonts w:hint="eastAsia"/>
                          </w:rPr>
                          <w:t>19-</w:t>
                        </w:r>
                        <w:r>
                          <w:fldChar w:fldCharType="begin"/>
                        </w:r>
                        <w:r>
                          <w:instrText xml:space="preserve">PAGE   \* MERGEFORMAT</w:instrText>
                        </w:r>
                        <w:r>
                          <w:fldChar w:fldCharType="separate"/>
                        </w:r>
                        <w:r>
                          <w:rPr>
                            <w:lang w:val="zh-CN"/>
                          </w:rPr>
                          <w:t>3</w:t>
                        </w:r>
                        <w:r>
                          <w:fldChar w:fldCharType="end"/>
                        </w:r>
                      </w:p>
                    </w:sdtContent>
                  </w:sdt>
                  <w:p w14:paraId="19DE7D90"/>
                </w:txbxContent>
              </v:textbox>
            </v:shape>
          </w:pict>
        </mc:Fallback>
      </mc:AlternateContent>
    </w:r>
  </w:p>
  <w:p w14:paraId="4ACE563D">
    <w:pPr>
      <w:pStyle w:val="9"/>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671FF">
    <w:pPr>
      <w:pStyle w:val="9"/>
      <w:jc w:val="cente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93985813"/>
                          </w:sdtPr>
                          <w:sdtContent>
                            <w:p w14:paraId="67DADEDB">
                              <w:pPr>
                                <w:pStyle w:val="9"/>
                                <w:jc w:val="center"/>
                              </w:pPr>
                              <w:r>
                                <w:rPr>
                                  <w:rFonts w:hint="eastAsia"/>
                                </w:rPr>
                                <w:t>20-</w:t>
                              </w:r>
                              <w:r>
                                <w:fldChar w:fldCharType="begin"/>
                              </w:r>
                              <w:r>
                                <w:instrText xml:space="preserve">PAGE   \* MERGEFORMAT</w:instrText>
                              </w:r>
                              <w:r>
                                <w:fldChar w:fldCharType="separate"/>
                              </w:r>
                              <w:r>
                                <w:rPr>
                                  <w:lang w:val="zh-CN"/>
                                </w:rPr>
                                <w:t>1</w:t>
                              </w:r>
                              <w:r>
                                <w:fldChar w:fldCharType="end"/>
                              </w:r>
                            </w:p>
                          </w:sdtContent>
                        </w:sdt>
                        <w:p w14:paraId="774632B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sdt>
                    <w:sdtPr>
                      <w:id w:val="-293985813"/>
                    </w:sdtPr>
                    <w:sdtContent>
                      <w:p w14:paraId="67DADEDB">
                        <w:pPr>
                          <w:pStyle w:val="9"/>
                          <w:jc w:val="center"/>
                        </w:pPr>
                        <w:r>
                          <w:rPr>
                            <w:rFonts w:hint="eastAsia"/>
                          </w:rPr>
                          <w:t>20-</w:t>
                        </w:r>
                        <w:r>
                          <w:fldChar w:fldCharType="begin"/>
                        </w:r>
                        <w:r>
                          <w:instrText xml:space="preserve">PAGE   \* MERGEFORMAT</w:instrText>
                        </w:r>
                        <w:r>
                          <w:fldChar w:fldCharType="separate"/>
                        </w:r>
                        <w:r>
                          <w:rPr>
                            <w:lang w:val="zh-CN"/>
                          </w:rPr>
                          <w:t>1</w:t>
                        </w:r>
                        <w:r>
                          <w:fldChar w:fldCharType="end"/>
                        </w:r>
                      </w:p>
                    </w:sdtContent>
                  </w:sdt>
                  <w:p w14:paraId="774632BB"/>
                </w:txbxContent>
              </v:textbox>
            </v:shape>
          </w:pict>
        </mc:Fallback>
      </mc:AlternateContent>
    </w:r>
  </w:p>
  <w:p w14:paraId="72C27911">
    <w:pPr>
      <w:pStyle w:val="9"/>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5A9D">
    <w:pPr>
      <w:pStyle w:val="9"/>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8052798"/>
                          </w:sdtPr>
                          <w:sdtContent>
                            <w:p w14:paraId="1399D912">
                              <w:pPr>
                                <w:pStyle w:val="9"/>
                                <w:jc w:val="center"/>
                              </w:pPr>
                              <w:r>
                                <w:rPr>
                                  <w:rFonts w:hint="eastAsia"/>
                                </w:rPr>
                                <w:t>21-</w:t>
                              </w:r>
                              <w:r>
                                <w:fldChar w:fldCharType="begin"/>
                              </w:r>
                              <w:r>
                                <w:instrText xml:space="preserve">PAGE   \* MERGEFORMAT</w:instrText>
                              </w:r>
                              <w:r>
                                <w:fldChar w:fldCharType="separate"/>
                              </w:r>
                              <w:r>
                                <w:rPr>
                                  <w:lang w:val="zh-CN"/>
                                </w:rPr>
                                <w:t>1</w:t>
                              </w:r>
                              <w:r>
                                <w:fldChar w:fldCharType="end"/>
                              </w:r>
                            </w:p>
                          </w:sdtContent>
                        </w:sdt>
                        <w:p w14:paraId="5FCCF90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sdt>
                    <w:sdtPr>
                      <w:id w:val="268052798"/>
                    </w:sdtPr>
                    <w:sdtContent>
                      <w:p w14:paraId="1399D912">
                        <w:pPr>
                          <w:pStyle w:val="9"/>
                          <w:jc w:val="center"/>
                        </w:pPr>
                        <w:r>
                          <w:rPr>
                            <w:rFonts w:hint="eastAsia"/>
                          </w:rPr>
                          <w:t>21-</w:t>
                        </w:r>
                        <w:r>
                          <w:fldChar w:fldCharType="begin"/>
                        </w:r>
                        <w:r>
                          <w:instrText xml:space="preserve">PAGE   \* MERGEFORMAT</w:instrText>
                        </w:r>
                        <w:r>
                          <w:fldChar w:fldCharType="separate"/>
                        </w:r>
                        <w:r>
                          <w:rPr>
                            <w:lang w:val="zh-CN"/>
                          </w:rPr>
                          <w:t>1</w:t>
                        </w:r>
                        <w:r>
                          <w:fldChar w:fldCharType="end"/>
                        </w:r>
                      </w:p>
                    </w:sdtContent>
                  </w:sdt>
                  <w:p w14:paraId="5FCCF907"/>
                </w:txbxContent>
              </v:textbox>
            </v:shape>
          </w:pict>
        </mc:Fallback>
      </mc:AlternateContent>
    </w:r>
  </w:p>
  <w:p w14:paraId="2D8D2311">
    <w:pPr>
      <w:pStyle w:val="9"/>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F22E">
    <w:pPr>
      <w:pStyle w:val="9"/>
      <w:jc w:val="cente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65269233"/>
                          </w:sdtPr>
                          <w:sdtContent>
                            <w:p w14:paraId="03A431B3">
                              <w:pPr>
                                <w:pStyle w:val="9"/>
                                <w:jc w:val="center"/>
                              </w:pPr>
                              <w:r>
                                <w:rPr>
                                  <w:rFonts w:hint="eastAsia"/>
                                </w:rPr>
                                <w:t>22-</w:t>
                              </w:r>
                              <w:r>
                                <w:fldChar w:fldCharType="begin"/>
                              </w:r>
                              <w:r>
                                <w:instrText xml:space="preserve">PAGE   \* MERGEFORMAT</w:instrText>
                              </w:r>
                              <w:r>
                                <w:fldChar w:fldCharType="separate"/>
                              </w:r>
                              <w:r>
                                <w:rPr>
                                  <w:lang w:val="zh-CN"/>
                                </w:rPr>
                                <w:t>1</w:t>
                              </w:r>
                              <w:r>
                                <w:fldChar w:fldCharType="end"/>
                              </w:r>
                            </w:p>
                          </w:sdtContent>
                        </w:sdt>
                        <w:p w14:paraId="53A31C0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sdt>
                    <w:sdtPr>
                      <w:id w:val="1265269233"/>
                    </w:sdtPr>
                    <w:sdtContent>
                      <w:p w14:paraId="03A431B3">
                        <w:pPr>
                          <w:pStyle w:val="9"/>
                          <w:jc w:val="center"/>
                        </w:pPr>
                        <w:r>
                          <w:rPr>
                            <w:rFonts w:hint="eastAsia"/>
                          </w:rPr>
                          <w:t>22-</w:t>
                        </w:r>
                        <w:r>
                          <w:fldChar w:fldCharType="begin"/>
                        </w:r>
                        <w:r>
                          <w:instrText xml:space="preserve">PAGE   \* MERGEFORMAT</w:instrText>
                        </w:r>
                        <w:r>
                          <w:fldChar w:fldCharType="separate"/>
                        </w:r>
                        <w:r>
                          <w:rPr>
                            <w:lang w:val="zh-CN"/>
                          </w:rPr>
                          <w:t>1</w:t>
                        </w:r>
                        <w:r>
                          <w:fldChar w:fldCharType="end"/>
                        </w:r>
                      </w:p>
                    </w:sdtContent>
                  </w:sdt>
                  <w:p w14:paraId="53A31C06"/>
                </w:txbxContent>
              </v:textbox>
            </v:shape>
          </w:pict>
        </mc:Fallback>
      </mc:AlternateContent>
    </w:r>
  </w:p>
  <w:p w14:paraId="65507B89">
    <w:pPr>
      <w:pStyle w:val="9"/>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BB17E">
    <w:pPr>
      <w:pStyle w:val="9"/>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621951"/>
                          </w:sdtPr>
                          <w:sdtContent>
                            <w:p w14:paraId="057FE504">
                              <w:pPr>
                                <w:pStyle w:val="9"/>
                                <w:jc w:val="center"/>
                              </w:pPr>
                              <w:r>
                                <w:rPr>
                                  <w:rFonts w:hint="eastAsia"/>
                                </w:rPr>
                                <w:t>23-</w:t>
                              </w:r>
                              <w:r>
                                <w:fldChar w:fldCharType="begin"/>
                              </w:r>
                              <w:r>
                                <w:instrText xml:space="preserve">PAGE   \* MERGEFORMAT</w:instrText>
                              </w:r>
                              <w:r>
                                <w:fldChar w:fldCharType="separate"/>
                              </w:r>
                              <w:r>
                                <w:rPr>
                                  <w:lang w:val="zh-CN"/>
                                </w:rPr>
                                <w:t>1</w:t>
                              </w:r>
                              <w:r>
                                <w:fldChar w:fldCharType="end"/>
                              </w:r>
                            </w:p>
                          </w:sdtContent>
                        </w:sdt>
                        <w:p w14:paraId="4659666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sdt>
                    <w:sdtPr>
                      <w:id w:val="209621951"/>
                    </w:sdtPr>
                    <w:sdtContent>
                      <w:p w14:paraId="057FE504">
                        <w:pPr>
                          <w:pStyle w:val="9"/>
                          <w:jc w:val="center"/>
                        </w:pPr>
                        <w:r>
                          <w:rPr>
                            <w:rFonts w:hint="eastAsia"/>
                          </w:rPr>
                          <w:t>23-</w:t>
                        </w:r>
                        <w:r>
                          <w:fldChar w:fldCharType="begin"/>
                        </w:r>
                        <w:r>
                          <w:instrText xml:space="preserve">PAGE   \* MERGEFORMAT</w:instrText>
                        </w:r>
                        <w:r>
                          <w:fldChar w:fldCharType="separate"/>
                        </w:r>
                        <w:r>
                          <w:rPr>
                            <w:lang w:val="zh-CN"/>
                          </w:rPr>
                          <w:t>1</w:t>
                        </w:r>
                        <w:r>
                          <w:fldChar w:fldCharType="end"/>
                        </w:r>
                      </w:p>
                    </w:sdtContent>
                  </w:sdt>
                  <w:p w14:paraId="46596660"/>
                </w:txbxContent>
              </v:textbox>
            </v:shape>
          </w:pict>
        </mc:Fallback>
      </mc:AlternateContent>
    </w:r>
  </w:p>
  <w:p w14:paraId="52D56C2B">
    <w:pPr>
      <w:pStyle w:val="9"/>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E0E4">
    <w:pPr>
      <w:pStyle w:val="9"/>
      <w:jc w:val="center"/>
    </w:pPr>
  </w:p>
  <w:p w14:paraId="651E937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2AA32">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8680659"/>
                          </w:sdtPr>
                          <w:sdtContent>
                            <w:p w14:paraId="7436555B">
                              <w:pPr>
                                <w:pStyle w:val="9"/>
                                <w:jc w:val="center"/>
                              </w:pPr>
                              <w:r>
                                <w:rPr>
                                  <w:rFonts w:hint="eastAsia"/>
                                </w:rPr>
                                <w:t>1-</w:t>
                              </w:r>
                              <w:r>
                                <w:fldChar w:fldCharType="begin"/>
                              </w:r>
                              <w:r>
                                <w:instrText xml:space="preserve">PAGE   \* MERGEFORMAT</w:instrText>
                              </w:r>
                              <w:r>
                                <w:fldChar w:fldCharType="separate"/>
                              </w:r>
                              <w:r>
                                <w:rPr>
                                  <w:lang w:val="zh-CN"/>
                                </w:rPr>
                                <w:t>3</w:t>
                              </w:r>
                              <w:r>
                                <w:fldChar w:fldCharType="end"/>
                              </w:r>
                            </w:p>
                          </w:sdtContent>
                        </w:sdt>
                        <w:p w14:paraId="13E18E7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348680659"/>
                    </w:sdtPr>
                    <w:sdtContent>
                      <w:p w14:paraId="7436555B">
                        <w:pPr>
                          <w:pStyle w:val="9"/>
                          <w:jc w:val="center"/>
                        </w:pPr>
                        <w:r>
                          <w:rPr>
                            <w:rFonts w:hint="eastAsia"/>
                          </w:rPr>
                          <w:t>1-</w:t>
                        </w:r>
                        <w:r>
                          <w:fldChar w:fldCharType="begin"/>
                        </w:r>
                        <w:r>
                          <w:instrText xml:space="preserve">PAGE   \* MERGEFORMAT</w:instrText>
                        </w:r>
                        <w:r>
                          <w:fldChar w:fldCharType="separate"/>
                        </w:r>
                        <w:r>
                          <w:rPr>
                            <w:lang w:val="zh-CN"/>
                          </w:rPr>
                          <w:t>3</w:t>
                        </w:r>
                        <w:r>
                          <w:fldChar w:fldCharType="end"/>
                        </w:r>
                      </w:p>
                    </w:sdtContent>
                  </w:sdt>
                  <w:p w14:paraId="13E18E7F"/>
                </w:txbxContent>
              </v:textbox>
            </v:shape>
          </w:pict>
        </mc:Fallback>
      </mc:AlternateContent>
    </w:r>
  </w:p>
  <w:p w14:paraId="732F6D3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E10A6">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62290991"/>
                          </w:sdtPr>
                          <w:sdtContent>
                            <w:p w14:paraId="54FB6FE1">
                              <w:pPr>
                                <w:pStyle w:val="9"/>
                                <w:jc w:val="center"/>
                              </w:pPr>
                              <w:r>
                                <w:rPr>
                                  <w:rFonts w:hint="eastAsia"/>
                                </w:rPr>
                                <w:t>2-</w:t>
                              </w:r>
                              <w:r>
                                <w:fldChar w:fldCharType="begin"/>
                              </w:r>
                              <w:r>
                                <w:instrText xml:space="preserve">PAGE   \* MERGEFORMAT</w:instrText>
                              </w:r>
                              <w:r>
                                <w:fldChar w:fldCharType="separate"/>
                              </w:r>
                              <w:r>
                                <w:rPr>
                                  <w:lang w:val="zh-CN"/>
                                </w:rPr>
                                <w:t>1</w:t>
                              </w:r>
                              <w:r>
                                <w:fldChar w:fldCharType="end"/>
                              </w:r>
                            </w:p>
                          </w:sdtContent>
                        </w:sdt>
                        <w:p w14:paraId="511AD4D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062290991"/>
                    </w:sdtPr>
                    <w:sdtContent>
                      <w:p w14:paraId="54FB6FE1">
                        <w:pPr>
                          <w:pStyle w:val="9"/>
                          <w:jc w:val="center"/>
                        </w:pPr>
                        <w:r>
                          <w:rPr>
                            <w:rFonts w:hint="eastAsia"/>
                          </w:rPr>
                          <w:t>2-</w:t>
                        </w:r>
                        <w:r>
                          <w:fldChar w:fldCharType="begin"/>
                        </w:r>
                        <w:r>
                          <w:instrText xml:space="preserve">PAGE   \* MERGEFORMAT</w:instrText>
                        </w:r>
                        <w:r>
                          <w:fldChar w:fldCharType="separate"/>
                        </w:r>
                        <w:r>
                          <w:rPr>
                            <w:lang w:val="zh-CN"/>
                          </w:rPr>
                          <w:t>1</w:t>
                        </w:r>
                        <w:r>
                          <w:fldChar w:fldCharType="end"/>
                        </w:r>
                      </w:p>
                    </w:sdtContent>
                  </w:sdt>
                  <w:p w14:paraId="511AD4DF"/>
                </w:txbxContent>
              </v:textbox>
            </v:shape>
          </w:pict>
        </mc:Fallback>
      </mc:AlternateContent>
    </w:r>
  </w:p>
  <w:p w14:paraId="05108A5A">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085B6">
    <w:pPr>
      <w:pStyle w:val="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1111656"/>
                          </w:sdtPr>
                          <w:sdtContent>
                            <w:p w14:paraId="3AE742EA">
                              <w:pPr>
                                <w:pStyle w:val="9"/>
                                <w:jc w:val="center"/>
                              </w:pPr>
                              <w:r>
                                <w:rPr>
                                  <w:rFonts w:hint="eastAsia"/>
                                </w:rPr>
                                <w:t>3-</w:t>
                              </w:r>
                              <w:r>
                                <w:fldChar w:fldCharType="begin"/>
                              </w:r>
                              <w:r>
                                <w:instrText xml:space="preserve">PAGE   \* MERGEFORMAT</w:instrText>
                              </w:r>
                              <w:r>
                                <w:fldChar w:fldCharType="separate"/>
                              </w:r>
                              <w:r>
                                <w:rPr>
                                  <w:lang w:val="zh-CN"/>
                                </w:rPr>
                                <w:t>2</w:t>
                              </w:r>
                              <w:r>
                                <w:fldChar w:fldCharType="end"/>
                              </w:r>
                            </w:p>
                          </w:sdtContent>
                        </w:sdt>
                        <w:p w14:paraId="5A18EA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281111656"/>
                    </w:sdtPr>
                    <w:sdtContent>
                      <w:p w14:paraId="3AE742EA">
                        <w:pPr>
                          <w:pStyle w:val="9"/>
                          <w:jc w:val="center"/>
                        </w:pPr>
                        <w:r>
                          <w:rPr>
                            <w:rFonts w:hint="eastAsia"/>
                          </w:rPr>
                          <w:t>3-</w:t>
                        </w:r>
                        <w:r>
                          <w:fldChar w:fldCharType="begin"/>
                        </w:r>
                        <w:r>
                          <w:instrText xml:space="preserve">PAGE   \* MERGEFORMAT</w:instrText>
                        </w:r>
                        <w:r>
                          <w:fldChar w:fldCharType="separate"/>
                        </w:r>
                        <w:r>
                          <w:rPr>
                            <w:lang w:val="zh-CN"/>
                          </w:rPr>
                          <w:t>2</w:t>
                        </w:r>
                        <w:r>
                          <w:fldChar w:fldCharType="end"/>
                        </w:r>
                      </w:p>
                    </w:sdtContent>
                  </w:sdt>
                  <w:p w14:paraId="5A18EA37"/>
                </w:txbxContent>
              </v:textbox>
            </v:shape>
          </w:pict>
        </mc:Fallback>
      </mc:AlternateContent>
    </w:r>
  </w:p>
  <w:p w14:paraId="30A6EAA0">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3932">
    <w:pPr>
      <w:pStyle w:val="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99702625"/>
                          </w:sdtPr>
                          <w:sdtContent>
                            <w:p w14:paraId="0BFE32DC">
                              <w:pPr>
                                <w:pStyle w:val="9"/>
                                <w:jc w:val="center"/>
                              </w:pPr>
                              <w:r>
                                <w:rPr>
                                  <w:rFonts w:hint="eastAsia"/>
                                </w:rPr>
                                <w:t>4-</w:t>
                              </w:r>
                              <w:r>
                                <w:fldChar w:fldCharType="begin"/>
                              </w:r>
                              <w:r>
                                <w:instrText xml:space="preserve">PAGE   \* MERGEFORMAT</w:instrText>
                              </w:r>
                              <w:r>
                                <w:fldChar w:fldCharType="separate"/>
                              </w:r>
                              <w:r>
                                <w:rPr>
                                  <w:lang w:val="zh-CN"/>
                                </w:rPr>
                                <w:t>2</w:t>
                              </w:r>
                              <w:r>
                                <w:fldChar w:fldCharType="end"/>
                              </w:r>
                            </w:p>
                          </w:sdtContent>
                        </w:sdt>
                        <w:p w14:paraId="2A822FF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999702625"/>
                    </w:sdtPr>
                    <w:sdtContent>
                      <w:p w14:paraId="0BFE32DC">
                        <w:pPr>
                          <w:pStyle w:val="9"/>
                          <w:jc w:val="center"/>
                        </w:pPr>
                        <w:r>
                          <w:rPr>
                            <w:rFonts w:hint="eastAsia"/>
                          </w:rPr>
                          <w:t>4-</w:t>
                        </w:r>
                        <w:r>
                          <w:fldChar w:fldCharType="begin"/>
                        </w:r>
                        <w:r>
                          <w:instrText xml:space="preserve">PAGE   \* MERGEFORMAT</w:instrText>
                        </w:r>
                        <w:r>
                          <w:fldChar w:fldCharType="separate"/>
                        </w:r>
                        <w:r>
                          <w:rPr>
                            <w:lang w:val="zh-CN"/>
                          </w:rPr>
                          <w:t>2</w:t>
                        </w:r>
                        <w:r>
                          <w:fldChar w:fldCharType="end"/>
                        </w:r>
                      </w:p>
                    </w:sdtContent>
                  </w:sdt>
                  <w:p w14:paraId="2A822FF9"/>
                </w:txbxContent>
              </v:textbox>
            </v:shape>
          </w:pict>
        </mc:Fallback>
      </mc:AlternateContent>
    </w:r>
  </w:p>
  <w:p w14:paraId="2562A0BF">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96D1C">
    <w:pPr>
      <w:pStyle w:val="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5048962"/>
                          </w:sdtPr>
                          <w:sdtContent>
                            <w:p w14:paraId="25786679">
                              <w:pPr>
                                <w:pStyle w:val="9"/>
                                <w:jc w:val="center"/>
                              </w:pPr>
                              <w:r>
                                <w:rPr>
                                  <w:rFonts w:hint="eastAsia"/>
                                </w:rPr>
                                <w:t>5-</w:t>
                              </w:r>
                              <w:r>
                                <w:fldChar w:fldCharType="begin"/>
                              </w:r>
                              <w:r>
                                <w:instrText xml:space="preserve">PAGE   \* MERGEFORMAT</w:instrText>
                              </w:r>
                              <w:r>
                                <w:fldChar w:fldCharType="separate"/>
                              </w:r>
                              <w:r>
                                <w:rPr>
                                  <w:lang w:val="zh-CN"/>
                                </w:rPr>
                                <w:t>1</w:t>
                              </w:r>
                              <w:r>
                                <w:fldChar w:fldCharType="end"/>
                              </w:r>
                            </w:p>
                          </w:sdtContent>
                        </w:sdt>
                        <w:p w14:paraId="0A8776A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sdt>
                    <w:sdtPr>
                      <w:id w:val="735048962"/>
                    </w:sdtPr>
                    <w:sdtContent>
                      <w:p w14:paraId="25786679">
                        <w:pPr>
                          <w:pStyle w:val="9"/>
                          <w:jc w:val="center"/>
                        </w:pPr>
                        <w:r>
                          <w:rPr>
                            <w:rFonts w:hint="eastAsia"/>
                          </w:rPr>
                          <w:t>5-</w:t>
                        </w:r>
                        <w:r>
                          <w:fldChar w:fldCharType="begin"/>
                        </w:r>
                        <w:r>
                          <w:instrText xml:space="preserve">PAGE   \* MERGEFORMAT</w:instrText>
                        </w:r>
                        <w:r>
                          <w:fldChar w:fldCharType="separate"/>
                        </w:r>
                        <w:r>
                          <w:rPr>
                            <w:lang w:val="zh-CN"/>
                          </w:rPr>
                          <w:t>1</w:t>
                        </w:r>
                        <w:r>
                          <w:fldChar w:fldCharType="end"/>
                        </w:r>
                      </w:p>
                    </w:sdtContent>
                  </w:sdt>
                  <w:p w14:paraId="0A8776A7"/>
                </w:txbxContent>
              </v:textbox>
            </v:shape>
          </w:pict>
        </mc:Fallback>
      </mc:AlternateContent>
    </w:r>
  </w:p>
  <w:p w14:paraId="2B5B228B">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0075">
    <w:pPr>
      <w:pStyle w:val="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0886225"/>
                          </w:sdtPr>
                          <w:sdtContent>
                            <w:p w14:paraId="454CEBBA">
                              <w:pPr>
                                <w:pStyle w:val="9"/>
                                <w:jc w:val="center"/>
                              </w:pPr>
                              <w:r>
                                <w:rPr>
                                  <w:rFonts w:hint="eastAsia"/>
                                </w:rPr>
                                <w:t>6-</w:t>
                              </w:r>
                              <w:r>
                                <w:fldChar w:fldCharType="begin"/>
                              </w:r>
                              <w:r>
                                <w:instrText xml:space="preserve">PAGE   \* MERGEFORMAT</w:instrText>
                              </w:r>
                              <w:r>
                                <w:fldChar w:fldCharType="separate"/>
                              </w:r>
                              <w:r>
                                <w:rPr>
                                  <w:lang w:val="zh-CN"/>
                                </w:rPr>
                                <w:t>9</w:t>
                              </w:r>
                              <w:r>
                                <w:fldChar w:fldCharType="end"/>
                              </w:r>
                            </w:p>
                          </w:sdtContent>
                        </w:sdt>
                        <w:p w14:paraId="3DC76DF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1250886225"/>
                    </w:sdtPr>
                    <w:sdtContent>
                      <w:p w14:paraId="454CEBBA">
                        <w:pPr>
                          <w:pStyle w:val="9"/>
                          <w:jc w:val="center"/>
                        </w:pPr>
                        <w:r>
                          <w:rPr>
                            <w:rFonts w:hint="eastAsia"/>
                          </w:rPr>
                          <w:t>6-</w:t>
                        </w:r>
                        <w:r>
                          <w:fldChar w:fldCharType="begin"/>
                        </w:r>
                        <w:r>
                          <w:instrText xml:space="preserve">PAGE   \* MERGEFORMAT</w:instrText>
                        </w:r>
                        <w:r>
                          <w:fldChar w:fldCharType="separate"/>
                        </w:r>
                        <w:r>
                          <w:rPr>
                            <w:lang w:val="zh-CN"/>
                          </w:rPr>
                          <w:t>9</w:t>
                        </w:r>
                        <w:r>
                          <w:fldChar w:fldCharType="end"/>
                        </w:r>
                      </w:p>
                    </w:sdtContent>
                  </w:sdt>
                  <w:p w14:paraId="3DC76DFA"/>
                </w:txbxContent>
              </v:textbox>
            </v:shape>
          </w:pict>
        </mc:Fallback>
      </mc:AlternateContent>
    </w:r>
  </w:p>
  <w:p w14:paraId="5A33DB01">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B3C9">
    <w:pPr>
      <w:pStyle w:val="9"/>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48197518"/>
                          </w:sdtPr>
                          <w:sdtContent>
                            <w:p w14:paraId="02BBDE43">
                              <w:pPr>
                                <w:pStyle w:val="9"/>
                                <w:jc w:val="center"/>
                              </w:pPr>
                              <w:r>
                                <w:rPr>
                                  <w:rFonts w:hint="eastAsia"/>
                                </w:rPr>
                                <w:t>7-</w:t>
                              </w:r>
                              <w:r>
                                <w:fldChar w:fldCharType="begin"/>
                              </w:r>
                              <w:r>
                                <w:instrText xml:space="preserve">PAGE   \* MERGEFORMAT</w:instrText>
                              </w:r>
                              <w:r>
                                <w:fldChar w:fldCharType="separate"/>
                              </w:r>
                              <w:r>
                                <w:rPr>
                                  <w:lang w:val="zh-CN"/>
                                </w:rPr>
                                <w:t>8</w:t>
                              </w:r>
                              <w:r>
                                <w:fldChar w:fldCharType="end"/>
                              </w:r>
                            </w:p>
                          </w:sdtContent>
                        </w:sdt>
                        <w:p w14:paraId="6A33E8F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1648197518"/>
                    </w:sdtPr>
                    <w:sdtContent>
                      <w:p w14:paraId="02BBDE43">
                        <w:pPr>
                          <w:pStyle w:val="9"/>
                          <w:jc w:val="center"/>
                        </w:pPr>
                        <w:r>
                          <w:rPr>
                            <w:rFonts w:hint="eastAsia"/>
                          </w:rPr>
                          <w:t>7-</w:t>
                        </w:r>
                        <w:r>
                          <w:fldChar w:fldCharType="begin"/>
                        </w:r>
                        <w:r>
                          <w:instrText xml:space="preserve">PAGE   \* MERGEFORMAT</w:instrText>
                        </w:r>
                        <w:r>
                          <w:fldChar w:fldCharType="separate"/>
                        </w:r>
                        <w:r>
                          <w:rPr>
                            <w:lang w:val="zh-CN"/>
                          </w:rPr>
                          <w:t>8</w:t>
                        </w:r>
                        <w:r>
                          <w:fldChar w:fldCharType="end"/>
                        </w:r>
                      </w:p>
                    </w:sdtContent>
                  </w:sdt>
                  <w:p w14:paraId="6A33E8F6"/>
                </w:txbxContent>
              </v:textbox>
            </v:shape>
          </w:pict>
        </mc:Fallback>
      </mc:AlternateContent>
    </w:r>
  </w:p>
  <w:p w14:paraId="7DD1FE4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63CF">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3A7C">
    <w:pPr>
      <w:pStyle w:val="10"/>
      <w:jc w:val="right"/>
    </w:pPr>
    <w:r>
      <w:rPr>
        <w:rFonts w:hint="eastAsia" w:cs="宋体" w:asciiTheme="minorEastAsia" w:hAnsiTheme="minorEastAsia"/>
        <w:kern w:val="0"/>
      </w:rPr>
      <w:t>博时中证800指数增强型证券投资基金基金合同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hideSpelling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5N2NlYzNkOGFiZDg2ZDQyNDgyMjAyMTRlZjJjYzQifQ=="/>
  </w:docVars>
  <w:rsids>
    <w:rsidRoot w:val="00E175E5"/>
    <w:rsid w:val="00021CC5"/>
    <w:rsid w:val="00072A26"/>
    <w:rsid w:val="00096538"/>
    <w:rsid w:val="00097907"/>
    <w:rsid w:val="000E551B"/>
    <w:rsid w:val="00111388"/>
    <w:rsid w:val="0011318F"/>
    <w:rsid w:val="00155EC3"/>
    <w:rsid w:val="001D5981"/>
    <w:rsid w:val="002B45B4"/>
    <w:rsid w:val="00342914"/>
    <w:rsid w:val="003C77EF"/>
    <w:rsid w:val="00455956"/>
    <w:rsid w:val="0047029F"/>
    <w:rsid w:val="004E14E6"/>
    <w:rsid w:val="005A7CFA"/>
    <w:rsid w:val="005C3D4B"/>
    <w:rsid w:val="005D615F"/>
    <w:rsid w:val="0078662F"/>
    <w:rsid w:val="00943464"/>
    <w:rsid w:val="00946123"/>
    <w:rsid w:val="0096648F"/>
    <w:rsid w:val="00A40745"/>
    <w:rsid w:val="00B02F02"/>
    <w:rsid w:val="00B03A80"/>
    <w:rsid w:val="00B2664B"/>
    <w:rsid w:val="00BB050C"/>
    <w:rsid w:val="00C00722"/>
    <w:rsid w:val="00C65580"/>
    <w:rsid w:val="00C8414D"/>
    <w:rsid w:val="00CC25BA"/>
    <w:rsid w:val="00D104CE"/>
    <w:rsid w:val="00D37469"/>
    <w:rsid w:val="00DA7839"/>
    <w:rsid w:val="00DE0B6D"/>
    <w:rsid w:val="00E011B3"/>
    <w:rsid w:val="00E175E5"/>
    <w:rsid w:val="00E4426F"/>
    <w:rsid w:val="00E91841"/>
    <w:rsid w:val="00EA2AD9"/>
    <w:rsid w:val="00EF4B37"/>
    <w:rsid w:val="01014AA2"/>
    <w:rsid w:val="033B18DC"/>
    <w:rsid w:val="03A40465"/>
    <w:rsid w:val="062E0CE1"/>
    <w:rsid w:val="07D00B1B"/>
    <w:rsid w:val="08AF2413"/>
    <w:rsid w:val="09057F6C"/>
    <w:rsid w:val="0B5140F2"/>
    <w:rsid w:val="0C47425D"/>
    <w:rsid w:val="0E596EDD"/>
    <w:rsid w:val="0FDF45DB"/>
    <w:rsid w:val="10D75980"/>
    <w:rsid w:val="125B1F82"/>
    <w:rsid w:val="12A8588C"/>
    <w:rsid w:val="130A2AC1"/>
    <w:rsid w:val="137C61AD"/>
    <w:rsid w:val="14D77BD1"/>
    <w:rsid w:val="1DD34C1D"/>
    <w:rsid w:val="1E110C91"/>
    <w:rsid w:val="1F34266A"/>
    <w:rsid w:val="1F7C2AD2"/>
    <w:rsid w:val="1FB734DA"/>
    <w:rsid w:val="207C7C19"/>
    <w:rsid w:val="24540AFB"/>
    <w:rsid w:val="25561A13"/>
    <w:rsid w:val="25A53D7A"/>
    <w:rsid w:val="26287BAD"/>
    <w:rsid w:val="26C43E3D"/>
    <w:rsid w:val="286043E4"/>
    <w:rsid w:val="2918720C"/>
    <w:rsid w:val="2C413262"/>
    <w:rsid w:val="2C685617"/>
    <w:rsid w:val="2C821E58"/>
    <w:rsid w:val="2C9141B9"/>
    <w:rsid w:val="2E136981"/>
    <w:rsid w:val="30F05C45"/>
    <w:rsid w:val="31C80341"/>
    <w:rsid w:val="32D92128"/>
    <w:rsid w:val="32D92185"/>
    <w:rsid w:val="34340AA7"/>
    <w:rsid w:val="36815A88"/>
    <w:rsid w:val="38F235F3"/>
    <w:rsid w:val="393B212A"/>
    <w:rsid w:val="3BBF49C6"/>
    <w:rsid w:val="3F1D4B6C"/>
    <w:rsid w:val="3F2A618B"/>
    <w:rsid w:val="40807FDE"/>
    <w:rsid w:val="42822520"/>
    <w:rsid w:val="4336313B"/>
    <w:rsid w:val="47171477"/>
    <w:rsid w:val="476E67D3"/>
    <w:rsid w:val="47A80AF8"/>
    <w:rsid w:val="4A121587"/>
    <w:rsid w:val="4D0433B2"/>
    <w:rsid w:val="4D3B571C"/>
    <w:rsid w:val="4F5A66F8"/>
    <w:rsid w:val="50D81CE1"/>
    <w:rsid w:val="532B4602"/>
    <w:rsid w:val="53735786"/>
    <w:rsid w:val="53C7500B"/>
    <w:rsid w:val="59524F51"/>
    <w:rsid w:val="599A318C"/>
    <w:rsid w:val="5ABD587C"/>
    <w:rsid w:val="5B5F40CD"/>
    <w:rsid w:val="5BF67B1B"/>
    <w:rsid w:val="5D6C02F9"/>
    <w:rsid w:val="6008381F"/>
    <w:rsid w:val="610F48D4"/>
    <w:rsid w:val="616B31D6"/>
    <w:rsid w:val="61734B2B"/>
    <w:rsid w:val="62222BB6"/>
    <w:rsid w:val="62C257A5"/>
    <w:rsid w:val="62E32C51"/>
    <w:rsid w:val="643318C6"/>
    <w:rsid w:val="6636097E"/>
    <w:rsid w:val="66D35516"/>
    <w:rsid w:val="67347247"/>
    <w:rsid w:val="694666F7"/>
    <w:rsid w:val="6A29743F"/>
    <w:rsid w:val="70003F42"/>
    <w:rsid w:val="70535674"/>
    <w:rsid w:val="74AA57CB"/>
    <w:rsid w:val="767E51EC"/>
    <w:rsid w:val="76FD05B7"/>
    <w:rsid w:val="770E3954"/>
    <w:rsid w:val="79697CEA"/>
    <w:rsid w:val="7D001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6"/>
    <w:unhideWhenUsed/>
    <w:qFormat/>
    <w:uiPriority w:val="99"/>
    <w:rPr>
      <w:sz w:val="18"/>
      <w:szCs w:val="18"/>
    </w:rPr>
  </w:style>
  <w:style w:type="paragraph" w:styleId="6">
    <w:name w:val="annotation text"/>
    <w:basedOn w:val="1"/>
    <w:link w:val="28"/>
    <w:unhideWhenUsed/>
    <w:qFormat/>
    <w:uiPriority w:val="0"/>
    <w:pPr>
      <w:jc w:val="left"/>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Date"/>
    <w:basedOn w:val="1"/>
    <w:next w:val="1"/>
    <w:link w:val="37"/>
    <w:semiHidden/>
    <w:unhideWhenUsed/>
    <w:qFormat/>
    <w:uiPriority w:val="99"/>
    <w:pPr>
      <w:ind w:left="100" w:leftChars="2500"/>
    </w:p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jc w:val="left"/>
    </w:pPr>
    <w:rPr>
      <w:rFonts w:ascii="Times New Roman" w:hAnsi="Times New Roman" w:eastAsia="宋体" w:cs="Times New Roman"/>
      <w:kern w:val="0"/>
      <w:sz w:val="22"/>
      <w:lang w:val="zh-CN"/>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29"/>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semiHidden/>
    <w:unhideWhenUsed/>
    <w:qFormat/>
    <w:uiPriority w:val="99"/>
    <w:rPr>
      <w:color w:val="800080" w:themeColor="followedHyperlink"/>
      <w:u w:val="single"/>
      <w14:textFill>
        <w14:solidFill>
          <w14:schemeClr w14:val="folHlink"/>
        </w14:solidFill>
      </w14:textFill>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unhideWhenUsed/>
    <w:qFormat/>
    <w:uiPriority w:val="0"/>
    <w:rPr>
      <w:sz w:val="21"/>
      <w:szCs w:val="21"/>
    </w:rPr>
  </w:style>
  <w:style w:type="character" w:customStyle="1" w:styleId="21">
    <w:name w:val="标题 1 Char"/>
    <w:basedOn w:val="17"/>
    <w:link w:val="3"/>
    <w:qFormat/>
    <w:uiPriority w:val="0"/>
    <w:rPr>
      <w:b/>
      <w:bCs/>
      <w:kern w:val="44"/>
      <w:sz w:val="44"/>
      <w:szCs w:val="44"/>
    </w:rPr>
  </w:style>
  <w:style w:type="character" w:customStyle="1" w:styleId="22">
    <w:name w:val="标题 2 Char"/>
    <w:basedOn w:val="17"/>
    <w:link w:val="4"/>
    <w:qFormat/>
    <w:uiPriority w:val="9"/>
    <w:rPr>
      <w:rFonts w:asciiTheme="majorHAnsi" w:hAnsiTheme="majorHAnsi" w:eastAsiaTheme="majorEastAsia" w:cstheme="majorBidi"/>
      <w:b/>
      <w:bCs/>
      <w:sz w:val="32"/>
      <w:szCs w:val="32"/>
    </w:rPr>
  </w:style>
  <w:style w:type="character" w:customStyle="1" w:styleId="23">
    <w:name w:val="标题 3 Char"/>
    <w:basedOn w:val="17"/>
    <w:link w:val="5"/>
    <w:qFormat/>
    <w:uiPriority w:val="9"/>
    <w:rPr>
      <w:b/>
      <w:bCs/>
      <w:sz w:val="32"/>
      <w:szCs w:val="32"/>
    </w:rPr>
  </w:style>
  <w:style w:type="character" w:customStyle="1" w:styleId="24">
    <w:name w:val="页眉 Char"/>
    <w:basedOn w:val="17"/>
    <w:link w:val="10"/>
    <w:qFormat/>
    <w:uiPriority w:val="99"/>
    <w:rPr>
      <w:sz w:val="18"/>
      <w:szCs w:val="18"/>
    </w:rPr>
  </w:style>
  <w:style w:type="character" w:customStyle="1" w:styleId="25">
    <w:name w:val="页脚 Char"/>
    <w:basedOn w:val="17"/>
    <w:link w:val="9"/>
    <w:qFormat/>
    <w:uiPriority w:val="99"/>
    <w:rPr>
      <w:sz w:val="18"/>
      <w:szCs w:val="18"/>
    </w:rPr>
  </w:style>
  <w:style w:type="character" w:customStyle="1" w:styleId="26">
    <w:name w:val="批注框文本 Char"/>
    <w:basedOn w:val="17"/>
    <w:link w:val="2"/>
    <w:semiHidden/>
    <w:qFormat/>
    <w:uiPriority w:val="99"/>
    <w:rPr>
      <w:sz w:val="18"/>
      <w:szCs w:val="18"/>
    </w:r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Char"/>
    <w:basedOn w:val="17"/>
    <w:link w:val="6"/>
    <w:qFormat/>
    <w:uiPriority w:val="99"/>
  </w:style>
  <w:style w:type="character" w:customStyle="1" w:styleId="29">
    <w:name w:val="批注主题 Char"/>
    <w:basedOn w:val="28"/>
    <w:link w:val="14"/>
    <w:semiHidden/>
    <w:qFormat/>
    <w:uiPriority w:val="99"/>
    <w:rPr>
      <w:b/>
      <w:bCs/>
    </w:rPr>
  </w:style>
  <w:style w:type="paragraph" w:customStyle="1" w:styleId="30">
    <w:name w:val="列出段落1"/>
    <w:basedOn w:val="1"/>
    <w:qFormat/>
    <w:uiPriority w:val="34"/>
    <w:pPr>
      <w:ind w:firstLine="420" w:firstLineChars="200"/>
    </w:p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修订1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TOC 标题1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Char Char"/>
    <w:basedOn w:val="1"/>
    <w:qFormat/>
    <w:uiPriority w:val="0"/>
    <w:pPr>
      <w:spacing w:line="360" w:lineRule="auto"/>
      <w:ind w:firstLine="200" w:firstLineChars="200"/>
    </w:pPr>
    <w:rPr>
      <w:rFonts w:ascii="Times New Roman" w:hAnsi="Times New Roman" w:eastAsia="楷体_GB2312" w:cs="Times New Roman"/>
      <w:sz w:val="24"/>
      <w:szCs w:val="20"/>
    </w:rPr>
  </w:style>
  <w:style w:type="paragraph" w:customStyle="1" w:styleId="3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styleId="36">
    <w:name w:val="List Paragraph"/>
    <w:basedOn w:val="1"/>
    <w:qFormat/>
    <w:uiPriority w:val="99"/>
    <w:pPr>
      <w:ind w:firstLine="420" w:firstLineChars="200"/>
    </w:pPr>
  </w:style>
  <w:style w:type="character" w:customStyle="1" w:styleId="37">
    <w:name w:val="日期 Char"/>
    <w:basedOn w:val="17"/>
    <w:link w:val="8"/>
    <w:semiHidden/>
    <w:qFormat/>
    <w:uiPriority w:val="99"/>
    <w:rPr>
      <w:rFonts w:asciiTheme="minorHAnsi" w:hAnsiTheme="minorHAnsi" w:eastAsiaTheme="minorEastAsia" w:cstheme="minorBidi"/>
      <w:kern w:val="2"/>
      <w:sz w:val="21"/>
      <w:szCs w:val="22"/>
    </w:rPr>
  </w:style>
  <w:style w:type="paragraph" w:customStyle="1" w:styleId="3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2">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
    <w:name w:val="Char Char5"/>
    <w:basedOn w:val="1"/>
    <w:qFormat/>
    <w:uiPriority w:val="0"/>
    <w:rPr>
      <w:rFonts w:ascii="Times New Roman" w:hAnsi="Times New Roman" w:eastAsia="宋体" w:cs="Times New Roman"/>
      <w:szCs w:val="20"/>
    </w:rPr>
  </w:style>
  <w:style w:type="paragraph" w:customStyle="1" w:styleId="44">
    <w:name w:val="修订6"/>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8BB0C-DCC2-47BE-90CB-06F6264CCE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113</Pages>
  <Words>11479</Words>
  <Characters>65431</Characters>
  <Lines>545</Lines>
  <Paragraphs>153</Paragraphs>
  <TotalTime>1</TotalTime>
  <ScaleCrop>false</ScaleCrop>
  <LinksUpToDate>false</LinksUpToDate>
  <CharactersWithSpaces>76757</CharactersWithSpaces>
  <Application>WPS Office_12.8.2.19795_F1E327BC-269C-435d-A152-05C5408002CA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2024-08-13T03:18:00Z</dcterms:created>
  <dc:creator>汤玲</dc:creator>
  <cp:lastModifiedBy>fuxj</cp:lastModifiedBy>
  <cp:lastPrinted>2025-03-14T07:45:00Z</cp:lastPrinted>
  <dcterms:modified xsi:type="dcterms:W3CDTF">2025-08-05T05:49:36Z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2052-12.8.2.19795</vt:lpwstr>
  </property>
  <property fmtid="{D5CDD505-2E9C-101B-9397-08002B2CF9AE}" pid="3" name="ICV">
    <vt:lpwstr>5433ACE5D85D4C419492AFB1A79C1EC4</vt:lpwstr>
  </property>
  <property fmtid="{D5CDD505-2E9C-101B-9397-08002B2CF9AE}" pid="4" name="KSOTemplateDocerSaveRecord">
    <vt:lpwstr>eyJoZGlkIjoiNjg0YjM5YjFkMzk3YzA2YjQ2YTBkNjU5MWY2ZDg2MGEiLCJ1c2VySWQiOiIyNTg0NzY1NjcifQ==</vt:lpwstr>
  </property>
</Properties>
</file>