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
        <w:tag w:val=""/>
        <w:id w:val="254071010"/>
        <w:placeholder>
          <w:docPart w:val="8402324f28854f51b1b7dfe7afd5c361"/>
        </w:placeholder>
      </w:sdtPr>
      <w:sdtContent>
        <w:p w14:paraId="2BA5686E" w14:textId="77777777" w:rsidR="00A7580B" w:rsidRDefault="00A7580B">
          <w:pPr>
            <w:rPr>
              <w:rFonts w:ascii="宋体" w:hAnsi="宋体" w:hint="eastAsia"/>
              <w:sz w:val="24"/>
            </w:rPr>
          </w:pPr>
        </w:p>
        <w:p w14:paraId="03A3FE69" w14:textId="77777777" w:rsidR="00A7580B" w:rsidRDefault="00750D62">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7099FFA1" wp14:editId="5EF0BC92">
                    <wp:simplePos x="0" y="0"/>
                    <wp:positionH relativeFrom="column">
                      <wp:posOffset>2691765</wp:posOffset>
                    </wp:positionH>
                    <wp:positionV relativeFrom="paragraph">
                      <wp:posOffset>198120</wp:posOffset>
                    </wp:positionV>
                    <wp:extent cx="1256665" cy="494665"/>
                    <wp:effectExtent l="0" t="0" r="0" b="63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4" cy="494665"/>
                            </a:xfrm>
                            <a:prstGeom prst="rect">
                              <a:avLst/>
                            </a:prstGeom>
                            <a:noFill/>
                            <a:ln>
                              <a:noFill/>
                            </a:ln>
                          </wps:spPr>
                          <wps:txbx>
                            <w:txbxContent>
                              <w:p w14:paraId="03BB04D7" w14:textId="77777777" w:rsidR="00E32E84" w:rsidRDefault="00E32E84">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FFA1" id="文本框 5" o:spid="_x0000_s1026"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" filled="f" stroked="f">
                    <v:textbox>
                      <w:txbxContent>
                        <w:p w14:paraId="03BB04D7" w14:textId="77777777" w:rsidR="00E32E84" w:rsidRDefault="00E32E84">
                          <w:pPr>
                            <w:rPr>
                              <w:b/>
                              <w:sz w:val="28"/>
                              <w:szCs w:val="28"/>
                            </w:rPr>
                          </w:pPr>
                          <w:r>
                            <w:rPr>
                              <w:rFonts w:hint="eastAsia"/>
                              <w:b/>
                              <w:sz w:val="28"/>
                              <w:szCs w:val="28"/>
                            </w:rPr>
                            <w:t>编号：</w:t>
                          </w:r>
                        </w:p>
                      </w:txbxContent>
                    </v:textbox>
                  </v:rect>
                </w:pict>
              </mc:Fallback>
            </mc:AlternateContent>
          </w:r>
        </w:p>
        <w:p w14:paraId="4563A955" w14:textId="77777777" w:rsidR="00A7580B" w:rsidRDefault="00A7580B">
          <w:pPr>
            <w:rPr>
              <w:rFonts w:eastAsia="黑体"/>
              <w:sz w:val="52"/>
              <w:szCs w:val="52"/>
            </w:rPr>
          </w:pPr>
        </w:p>
        <w:p w14:paraId="1B63FBA5" w14:textId="77777777" w:rsidR="00A7580B" w:rsidRDefault="00A7580B">
          <w:pPr>
            <w:tabs>
              <w:tab w:val="left" w:pos="3495"/>
            </w:tabs>
            <w:rPr>
              <w:rFonts w:eastAsia="黑体"/>
              <w:sz w:val="52"/>
              <w:szCs w:val="52"/>
            </w:rPr>
          </w:pPr>
        </w:p>
        <w:p w14:paraId="65B9B3A5" w14:textId="77777777" w:rsidR="00A7580B" w:rsidRDefault="00A7580B">
          <w:pPr>
            <w:tabs>
              <w:tab w:val="center" w:pos="4164"/>
              <w:tab w:val="left" w:pos="5455"/>
            </w:tabs>
            <w:ind w:rightChars="-8" w:right="-17"/>
            <w:jc w:val="center"/>
            <w:rPr>
              <w:rFonts w:eastAsia="黑体"/>
              <w:sz w:val="52"/>
              <w:szCs w:val="52"/>
            </w:rPr>
          </w:pPr>
        </w:p>
        <w:p w14:paraId="202D9E74" w14:textId="77777777" w:rsidR="00A7580B" w:rsidRDefault="00A7580B">
          <w:pPr>
            <w:tabs>
              <w:tab w:val="center" w:pos="4164"/>
              <w:tab w:val="left" w:pos="5455"/>
            </w:tabs>
            <w:ind w:rightChars="-8" w:right="-17"/>
            <w:jc w:val="center"/>
            <w:rPr>
              <w:rFonts w:eastAsia="黑体"/>
              <w:sz w:val="52"/>
              <w:szCs w:val="52"/>
            </w:rPr>
          </w:pPr>
        </w:p>
        <w:p w14:paraId="112495FF" w14:textId="77777777" w:rsidR="00A7580B" w:rsidRDefault="00A7580B">
          <w:pPr>
            <w:jc w:val="center"/>
            <w:rPr>
              <w:rFonts w:ascii="宋体" w:hAnsi="宋体" w:hint="eastAsia"/>
              <w:sz w:val="24"/>
            </w:rPr>
          </w:pPr>
        </w:p>
        <w:p w14:paraId="439B008C" w14:textId="77777777" w:rsidR="00A7580B" w:rsidRDefault="00A7580B">
          <w:pPr>
            <w:jc w:val="center"/>
            <w:rPr>
              <w:b/>
              <w:sz w:val="52"/>
              <w:szCs w:val="52"/>
            </w:rPr>
          </w:pPr>
        </w:p>
        <w:p w14:paraId="2C70DB72" w14:textId="77777777" w:rsidR="00A7580B" w:rsidRDefault="00A7580B">
          <w:pPr>
            <w:jc w:val="center"/>
            <w:rPr>
              <w:rFonts w:ascii="仿宋_GB2312" w:eastAsia="仿宋_GB2312"/>
              <w:b/>
              <w:sz w:val="32"/>
              <w:szCs w:val="32"/>
            </w:rPr>
          </w:pPr>
        </w:p>
        <w:p w14:paraId="009F5D10" w14:textId="4C86DACB" w:rsidR="00A7580B" w:rsidRDefault="00750D62">
          <w:pPr>
            <w:jc w:val="center"/>
            <w:rPr>
              <w:b/>
              <w:sz w:val="48"/>
            </w:rPr>
          </w:pPr>
          <w:r>
            <w:rPr>
              <w:rFonts w:hint="eastAsia"/>
              <w:b/>
              <w:sz w:val="48"/>
            </w:rPr>
            <w:t>天弘</w:t>
          </w:r>
          <w:r w:rsidR="00154D7C">
            <w:rPr>
              <w:rFonts w:hint="eastAsia"/>
              <w:b/>
              <w:sz w:val="48"/>
            </w:rPr>
            <w:t>创业板指数量化增强型</w:t>
          </w:r>
          <w:r>
            <w:rPr>
              <w:rFonts w:hint="eastAsia"/>
              <w:b/>
              <w:sz w:val="48"/>
            </w:rPr>
            <w:t>证券投资基金托管协议</w:t>
          </w:r>
        </w:p>
        <w:p w14:paraId="7CC1EE93" w14:textId="77777777" w:rsidR="00A7580B" w:rsidRDefault="00A7580B">
          <w:pPr>
            <w:jc w:val="center"/>
            <w:rPr>
              <w:rFonts w:ascii="宋体" w:hAnsi="宋体" w:hint="eastAsia"/>
              <w:sz w:val="44"/>
              <w:szCs w:val="44"/>
            </w:rPr>
          </w:pPr>
        </w:p>
        <w:p w14:paraId="36EA6D59" w14:textId="77777777" w:rsidR="00A7580B" w:rsidRDefault="00A7580B">
          <w:pPr>
            <w:jc w:val="center"/>
            <w:rPr>
              <w:rFonts w:ascii="宋体" w:hAnsi="宋体" w:hint="eastAsia"/>
              <w:sz w:val="44"/>
              <w:szCs w:val="44"/>
            </w:rPr>
          </w:pPr>
        </w:p>
        <w:p w14:paraId="5A71BC95" w14:textId="77777777" w:rsidR="00A7580B" w:rsidRDefault="00A7580B">
          <w:pPr>
            <w:jc w:val="center"/>
            <w:rPr>
              <w:rFonts w:ascii="宋体" w:hAnsi="宋体" w:hint="eastAsia"/>
              <w:sz w:val="44"/>
              <w:szCs w:val="44"/>
            </w:rPr>
          </w:pPr>
        </w:p>
        <w:p w14:paraId="585C8462" w14:textId="77777777" w:rsidR="00A7580B" w:rsidRDefault="00A7580B">
          <w:pPr>
            <w:rPr>
              <w:rFonts w:ascii="宋体"/>
              <w:sz w:val="30"/>
            </w:rPr>
          </w:pPr>
        </w:p>
        <w:p w14:paraId="704F7EC9" w14:textId="77777777" w:rsidR="00A7580B" w:rsidRDefault="00750D62">
          <w:pPr>
            <w:ind w:leftChars="540" w:left="1135" w:hanging="1"/>
            <w:jc w:val="left"/>
            <w:rPr>
              <w:sz w:val="32"/>
              <w:szCs w:val="32"/>
              <w:u w:val="single"/>
            </w:rPr>
          </w:pPr>
          <w:bookmarkStart w:id="0" w:name="_Toc382818591"/>
          <w:bookmarkStart w:id="1" w:name="_Toc382819065"/>
          <w:r>
            <w:rPr>
              <w:rFonts w:hint="eastAsia"/>
              <w:sz w:val="32"/>
              <w:szCs w:val="32"/>
            </w:rPr>
            <w:t>基金管理人：</w:t>
          </w:r>
          <w:bookmarkEnd w:id="0"/>
          <w:bookmarkEnd w:id="1"/>
          <w:r>
            <w:rPr>
              <w:rFonts w:hint="eastAsia"/>
              <w:sz w:val="32"/>
              <w:szCs w:val="32"/>
            </w:rPr>
            <w:t>天弘基金管理有限公司</w:t>
          </w:r>
        </w:p>
        <w:p w14:paraId="34BFE765" w14:textId="77777777" w:rsidR="00A7580B" w:rsidRDefault="00750D62">
          <w:pPr>
            <w:ind w:leftChars="540" w:left="1135" w:hanging="1"/>
            <w:jc w:val="left"/>
            <w:rPr>
              <w:sz w:val="32"/>
              <w:szCs w:val="32"/>
            </w:rPr>
          </w:pPr>
          <w:bookmarkStart w:id="2" w:name="_Toc382818592"/>
          <w:bookmarkStart w:id="3" w:name="_Toc382819066"/>
          <w:r>
            <w:rPr>
              <w:rFonts w:hint="eastAsia"/>
              <w:sz w:val="32"/>
              <w:szCs w:val="32"/>
            </w:rPr>
            <w:t>基金托管人：上海浦东发展银行股份有限公司</w:t>
          </w:r>
          <w:bookmarkEnd w:id="2"/>
          <w:bookmarkEnd w:id="3"/>
        </w:p>
        <w:p w14:paraId="411CE9A1" w14:textId="77777777" w:rsidR="00A7580B" w:rsidRDefault="00750D62">
          <w:pPr>
            <w:spacing w:line="500" w:lineRule="atLeast"/>
            <w:jc w:val="center"/>
            <w:outlineLvl w:val="0"/>
            <w:rPr>
              <w:rFonts w:ascii="黑体" w:eastAsia="黑体" w:hAnsi="宋体" w:hint="eastAsia"/>
              <w:b/>
              <w:sz w:val="28"/>
              <w:szCs w:val="28"/>
            </w:rPr>
          </w:pPr>
          <w:r>
            <w:rPr>
              <w:rFonts w:ascii="黑体" w:eastAsia="黑体" w:hAnsi="宋体" w:hint="eastAsia"/>
              <w:b/>
              <w:sz w:val="28"/>
              <w:szCs w:val="28"/>
            </w:rPr>
            <w:br w:type="page"/>
          </w:r>
          <w:bookmarkStart w:id="4" w:name="_Toc382818593"/>
          <w:bookmarkStart w:id="5" w:name="_Toc382819067"/>
        </w:p>
        <w:p w14:paraId="0D3B9A76" w14:textId="77777777" w:rsidR="00A7580B" w:rsidRDefault="00750D62">
          <w:pPr>
            <w:spacing w:line="500" w:lineRule="atLeast"/>
            <w:jc w:val="center"/>
            <w:outlineLvl w:val="0"/>
            <w:rPr>
              <w:rFonts w:ascii="宋体" w:hAnsi="宋体" w:hint="eastAsia"/>
              <w:b/>
              <w:sz w:val="36"/>
              <w:szCs w:val="28"/>
            </w:rPr>
          </w:pPr>
          <w:r>
            <w:rPr>
              <w:rFonts w:ascii="宋体" w:hAnsi="宋体" w:hint="eastAsia"/>
              <w:b/>
              <w:sz w:val="32"/>
              <w:szCs w:val="28"/>
            </w:rPr>
            <w:lastRenderedPageBreak/>
            <w:t>目 录</w:t>
          </w:r>
          <w:bookmarkEnd w:id="4"/>
          <w:bookmarkEnd w:id="5"/>
        </w:p>
        <w:p w14:paraId="42A15398" w14:textId="77777777" w:rsidR="00A7580B" w:rsidRDefault="00750D62">
          <w:pPr>
            <w:pStyle w:val="TOC1"/>
            <w:tabs>
              <w:tab w:val="left" w:pos="440"/>
              <w:tab w:val="right" w:leader="dot" w:pos="8296"/>
            </w:tabs>
            <w:spacing w:line="360" w:lineRule="auto"/>
            <w:rPr>
              <w:rFonts w:ascii="Calibri" w:hAnsi="Calibri"/>
              <w:noProof/>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4210C6EF" w14:textId="30C1A909" w:rsidR="00A7580B" w:rsidRDefault="00A7580B">
          <w:pPr>
            <w:pStyle w:val="TOC1"/>
            <w:tabs>
              <w:tab w:val="right" w:leader="dot" w:pos="8296"/>
            </w:tabs>
            <w:spacing w:line="360" w:lineRule="auto"/>
            <w:rPr>
              <w:rFonts w:ascii="Calibri" w:hAnsi="Calibri"/>
              <w:noProof/>
              <w:szCs w:val="21"/>
            </w:rPr>
          </w:pPr>
          <w:hyperlink w:anchor="_Toc382819071" w:tooltip="Current Document" w:history="1">
            <w:r>
              <w:rPr>
                <w:rStyle w:val="afb"/>
                <w:rFonts w:ascii="宋体" w:hAnsi="宋体" w:cs="Arial" w:hint="eastAsia"/>
                <w:noProof/>
                <w:szCs w:val="21"/>
              </w:rPr>
              <w:t>一、</w:t>
            </w:r>
            <w:r>
              <w:rPr>
                <w:rStyle w:val="afb"/>
                <w:rFonts w:ascii="宋体" w:hAnsi="宋体" w:cs="Arial"/>
                <w:noProof/>
                <w:szCs w:val="21"/>
              </w:rPr>
              <w:t xml:space="preserve"> </w:t>
            </w:r>
            <w:r>
              <w:rPr>
                <w:rStyle w:val="afb"/>
                <w:rFonts w:ascii="宋体" w:hAnsi="宋体" w:cs="Arial" w:hint="eastAsia"/>
                <w:noProof/>
                <w:szCs w:val="21"/>
              </w:rPr>
              <w:t>基金托管协议的依据、目的、原则和解释</w:t>
            </w:r>
            <w:r>
              <w:rPr>
                <w:noProof/>
                <w:szCs w:val="21"/>
              </w:rPr>
              <w:tab/>
            </w:r>
            <w:r>
              <w:rPr>
                <w:noProof/>
                <w:szCs w:val="21"/>
              </w:rPr>
              <w:fldChar w:fldCharType="begin"/>
            </w:r>
            <w:r>
              <w:rPr>
                <w:noProof/>
                <w:szCs w:val="21"/>
              </w:rPr>
              <w:instrText xml:space="preserve"> PAGEREF _Toc382819071 \h </w:instrText>
            </w:r>
            <w:r>
              <w:rPr>
                <w:noProof/>
                <w:szCs w:val="21"/>
              </w:rPr>
            </w:r>
            <w:r>
              <w:rPr>
                <w:noProof/>
                <w:szCs w:val="21"/>
              </w:rPr>
              <w:fldChar w:fldCharType="separate"/>
            </w:r>
            <w:r w:rsidR="00FA1AE8">
              <w:rPr>
                <w:noProof/>
                <w:szCs w:val="21"/>
              </w:rPr>
              <w:t>2</w:t>
            </w:r>
            <w:r>
              <w:rPr>
                <w:noProof/>
                <w:szCs w:val="21"/>
              </w:rPr>
              <w:fldChar w:fldCharType="end"/>
            </w:r>
          </w:hyperlink>
        </w:p>
        <w:p w14:paraId="18AC9B10" w14:textId="4031061D" w:rsidR="00A7580B" w:rsidRDefault="00A7580B">
          <w:pPr>
            <w:pStyle w:val="TOC1"/>
            <w:tabs>
              <w:tab w:val="right" w:leader="dot" w:pos="8296"/>
            </w:tabs>
            <w:spacing w:line="360" w:lineRule="auto"/>
            <w:rPr>
              <w:rFonts w:ascii="Calibri" w:hAnsi="Calibri"/>
              <w:noProof/>
              <w:szCs w:val="21"/>
            </w:rPr>
          </w:pPr>
          <w:hyperlink w:anchor="_Toc382819072" w:tooltip="Current Document" w:history="1">
            <w:r>
              <w:rPr>
                <w:rStyle w:val="afb"/>
                <w:rFonts w:ascii="宋体" w:hAnsi="宋体" w:cs="Arial" w:hint="eastAsia"/>
                <w:noProof/>
                <w:szCs w:val="21"/>
              </w:rPr>
              <w:t>二、</w:t>
            </w:r>
            <w:r>
              <w:rPr>
                <w:rStyle w:val="afb"/>
                <w:rFonts w:ascii="宋体" w:hAnsi="宋体" w:cs="Arial"/>
                <w:noProof/>
                <w:szCs w:val="21"/>
              </w:rPr>
              <w:t xml:space="preserve"> </w:t>
            </w:r>
            <w:r>
              <w:rPr>
                <w:rStyle w:val="afb"/>
                <w:rFonts w:ascii="宋体" w:hAnsi="宋体" w:cs="Arial" w:hint="eastAsia"/>
                <w:noProof/>
                <w:szCs w:val="21"/>
              </w:rPr>
              <w:t>基金托管人对基金管理人的业务监督和核查</w:t>
            </w:r>
            <w:r>
              <w:rPr>
                <w:noProof/>
                <w:szCs w:val="21"/>
              </w:rPr>
              <w:tab/>
            </w:r>
            <w:r>
              <w:rPr>
                <w:noProof/>
                <w:szCs w:val="21"/>
              </w:rPr>
              <w:fldChar w:fldCharType="begin"/>
            </w:r>
            <w:r>
              <w:rPr>
                <w:noProof/>
                <w:szCs w:val="21"/>
              </w:rPr>
              <w:instrText xml:space="preserve"> PAGEREF _Toc382819072 \h </w:instrText>
            </w:r>
            <w:r>
              <w:rPr>
                <w:noProof/>
                <w:szCs w:val="21"/>
              </w:rPr>
            </w:r>
            <w:r>
              <w:rPr>
                <w:noProof/>
                <w:szCs w:val="21"/>
              </w:rPr>
              <w:fldChar w:fldCharType="separate"/>
            </w:r>
            <w:r w:rsidR="00FA1AE8">
              <w:rPr>
                <w:noProof/>
                <w:szCs w:val="21"/>
              </w:rPr>
              <w:t>3</w:t>
            </w:r>
            <w:r>
              <w:rPr>
                <w:noProof/>
                <w:szCs w:val="21"/>
              </w:rPr>
              <w:fldChar w:fldCharType="end"/>
            </w:r>
          </w:hyperlink>
        </w:p>
        <w:p w14:paraId="30C57F4B" w14:textId="0D760E49" w:rsidR="00A7580B" w:rsidRDefault="00A7580B">
          <w:pPr>
            <w:pStyle w:val="TOC1"/>
            <w:tabs>
              <w:tab w:val="right" w:leader="dot" w:pos="8296"/>
            </w:tabs>
            <w:spacing w:line="360" w:lineRule="auto"/>
            <w:rPr>
              <w:rFonts w:ascii="Calibri" w:hAnsi="Calibri"/>
              <w:noProof/>
              <w:szCs w:val="21"/>
            </w:rPr>
          </w:pPr>
          <w:hyperlink w:anchor="_Toc382819076" w:tooltip="Current Document" w:history="1">
            <w:r>
              <w:rPr>
                <w:rStyle w:val="afb"/>
                <w:rFonts w:ascii="宋体" w:hAnsi="宋体" w:cs="Arial" w:hint="eastAsia"/>
                <w:noProof/>
                <w:szCs w:val="21"/>
              </w:rPr>
              <w:t>三、</w:t>
            </w:r>
            <w:r>
              <w:rPr>
                <w:rStyle w:val="afb"/>
                <w:rFonts w:ascii="宋体" w:hAnsi="宋体" w:cs="Arial"/>
                <w:noProof/>
                <w:szCs w:val="21"/>
              </w:rPr>
              <w:t xml:space="preserve"> </w:t>
            </w:r>
            <w:r>
              <w:rPr>
                <w:rStyle w:val="afb"/>
                <w:rFonts w:ascii="宋体" w:hAnsi="宋体" w:cs="Arial" w:hint="eastAsia"/>
                <w:noProof/>
                <w:szCs w:val="21"/>
              </w:rPr>
              <w:t>基金管理人对基金托管人的业务核查</w:t>
            </w:r>
            <w:r>
              <w:rPr>
                <w:noProof/>
                <w:szCs w:val="21"/>
              </w:rPr>
              <w:tab/>
            </w:r>
            <w:r>
              <w:rPr>
                <w:noProof/>
                <w:szCs w:val="21"/>
              </w:rPr>
              <w:fldChar w:fldCharType="begin"/>
            </w:r>
            <w:r>
              <w:rPr>
                <w:noProof/>
                <w:szCs w:val="21"/>
              </w:rPr>
              <w:instrText xml:space="preserve"> PAGEREF _Toc382819076 \h </w:instrText>
            </w:r>
            <w:r>
              <w:rPr>
                <w:noProof/>
                <w:szCs w:val="21"/>
              </w:rPr>
            </w:r>
            <w:r>
              <w:rPr>
                <w:noProof/>
                <w:szCs w:val="21"/>
              </w:rPr>
              <w:fldChar w:fldCharType="separate"/>
            </w:r>
            <w:r w:rsidR="00FA1AE8">
              <w:rPr>
                <w:noProof/>
                <w:szCs w:val="21"/>
              </w:rPr>
              <w:t>10</w:t>
            </w:r>
            <w:r>
              <w:rPr>
                <w:noProof/>
                <w:szCs w:val="21"/>
              </w:rPr>
              <w:fldChar w:fldCharType="end"/>
            </w:r>
          </w:hyperlink>
        </w:p>
        <w:p w14:paraId="23B128DB" w14:textId="231BC520" w:rsidR="00A7580B" w:rsidRDefault="00A7580B">
          <w:pPr>
            <w:pStyle w:val="TOC1"/>
            <w:tabs>
              <w:tab w:val="right" w:leader="dot" w:pos="8296"/>
            </w:tabs>
            <w:spacing w:line="360" w:lineRule="auto"/>
            <w:rPr>
              <w:rFonts w:ascii="Calibri" w:hAnsi="Calibri"/>
              <w:noProof/>
              <w:szCs w:val="21"/>
            </w:rPr>
          </w:pPr>
          <w:hyperlink w:anchor="_Toc382819078" w:tooltip="Current Document" w:history="1">
            <w:r>
              <w:rPr>
                <w:rStyle w:val="afb"/>
                <w:rFonts w:ascii="宋体" w:hAnsi="宋体" w:cs="Arial" w:hint="eastAsia"/>
                <w:noProof/>
                <w:szCs w:val="21"/>
              </w:rPr>
              <w:t>四、</w:t>
            </w:r>
            <w:r>
              <w:rPr>
                <w:rStyle w:val="afb"/>
                <w:rFonts w:ascii="宋体" w:hAnsi="宋体" w:cs="Arial"/>
                <w:noProof/>
                <w:szCs w:val="21"/>
              </w:rPr>
              <w:t xml:space="preserve"> </w:t>
            </w:r>
            <w:r>
              <w:rPr>
                <w:rStyle w:val="afb"/>
                <w:rFonts w:ascii="宋体" w:hAnsi="宋体" w:cs="Arial" w:hint="eastAsia"/>
                <w:noProof/>
                <w:szCs w:val="21"/>
              </w:rPr>
              <w:t>基金财产保管</w:t>
            </w:r>
            <w:r>
              <w:rPr>
                <w:noProof/>
                <w:szCs w:val="21"/>
              </w:rPr>
              <w:tab/>
            </w:r>
            <w:r>
              <w:rPr>
                <w:noProof/>
                <w:szCs w:val="21"/>
              </w:rPr>
              <w:fldChar w:fldCharType="begin"/>
            </w:r>
            <w:r>
              <w:rPr>
                <w:noProof/>
                <w:szCs w:val="21"/>
              </w:rPr>
              <w:instrText xml:space="preserve"> PAGEREF _Toc382819078 \h </w:instrText>
            </w:r>
            <w:r>
              <w:rPr>
                <w:noProof/>
                <w:szCs w:val="21"/>
              </w:rPr>
            </w:r>
            <w:r>
              <w:rPr>
                <w:noProof/>
                <w:szCs w:val="21"/>
              </w:rPr>
              <w:fldChar w:fldCharType="separate"/>
            </w:r>
            <w:r w:rsidR="00FA1AE8">
              <w:rPr>
                <w:noProof/>
                <w:szCs w:val="21"/>
              </w:rPr>
              <w:t>11</w:t>
            </w:r>
            <w:r>
              <w:rPr>
                <w:noProof/>
                <w:szCs w:val="21"/>
              </w:rPr>
              <w:fldChar w:fldCharType="end"/>
            </w:r>
          </w:hyperlink>
        </w:p>
        <w:p w14:paraId="5E790D68" w14:textId="1AB1AB80" w:rsidR="00A7580B" w:rsidRDefault="00A7580B">
          <w:pPr>
            <w:pStyle w:val="TOC1"/>
            <w:tabs>
              <w:tab w:val="right" w:leader="dot" w:pos="8296"/>
            </w:tabs>
            <w:spacing w:line="360" w:lineRule="auto"/>
            <w:rPr>
              <w:rFonts w:ascii="Calibri" w:hAnsi="Calibri"/>
              <w:noProof/>
              <w:szCs w:val="21"/>
            </w:rPr>
          </w:pPr>
          <w:hyperlink w:anchor="_Toc382819088" w:tooltip="Current Document" w:history="1">
            <w:r>
              <w:rPr>
                <w:rStyle w:val="afb"/>
                <w:rFonts w:ascii="宋体" w:hAnsi="宋体" w:cs="Arial" w:hint="eastAsia"/>
                <w:noProof/>
                <w:szCs w:val="21"/>
              </w:rPr>
              <w:t>五、</w:t>
            </w:r>
            <w:r>
              <w:rPr>
                <w:rStyle w:val="afb"/>
                <w:rFonts w:ascii="宋体" w:hAnsi="宋体" w:cs="Arial"/>
                <w:noProof/>
                <w:szCs w:val="21"/>
              </w:rPr>
              <w:t xml:space="preserve"> </w:t>
            </w:r>
            <w:r>
              <w:rPr>
                <w:rStyle w:val="afb"/>
                <w:rFonts w:ascii="宋体" w:hAnsi="宋体" w:cs="Arial" w:hint="eastAsia"/>
                <w:noProof/>
                <w:szCs w:val="21"/>
              </w:rPr>
              <w:t>指令的发送、确认和执行</w:t>
            </w:r>
            <w:r>
              <w:rPr>
                <w:noProof/>
                <w:szCs w:val="21"/>
              </w:rPr>
              <w:tab/>
            </w:r>
            <w:r>
              <w:rPr>
                <w:noProof/>
                <w:szCs w:val="21"/>
              </w:rPr>
              <w:fldChar w:fldCharType="begin"/>
            </w:r>
            <w:r>
              <w:rPr>
                <w:noProof/>
                <w:szCs w:val="21"/>
              </w:rPr>
              <w:instrText xml:space="preserve"> PAGEREF _Toc382819088 \h </w:instrText>
            </w:r>
            <w:r>
              <w:rPr>
                <w:noProof/>
                <w:szCs w:val="21"/>
              </w:rPr>
            </w:r>
            <w:r>
              <w:rPr>
                <w:noProof/>
                <w:szCs w:val="21"/>
              </w:rPr>
              <w:fldChar w:fldCharType="separate"/>
            </w:r>
            <w:r w:rsidR="00FA1AE8">
              <w:rPr>
                <w:noProof/>
                <w:szCs w:val="21"/>
              </w:rPr>
              <w:t>14</w:t>
            </w:r>
            <w:r>
              <w:rPr>
                <w:noProof/>
                <w:szCs w:val="21"/>
              </w:rPr>
              <w:fldChar w:fldCharType="end"/>
            </w:r>
          </w:hyperlink>
        </w:p>
        <w:p w14:paraId="6504434B" w14:textId="699D2974" w:rsidR="00A7580B" w:rsidRDefault="00A7580B">
          <w:pPr>
            <w:pStyle w:val="TOC1"/>
            <w:tabs>
              <w:tab w:val="right" w:leader="dot" w:pos="8296"/>
            </w:tabs>
            <w:spacing w:line="360" w:lineRule="auto"/>
            <w:rPr>
              <w:rFonts w:ascii="Calibri" w:hAnsi="Calibri"/>
              <w:noProof/>
              <w:szCs w:val="21"/>
            </w:rPr>
          </w:pPr>
          <w:hyperlink w:anchor="_Toc382819097" w:tooltip="Current Document" w:history="1">
            <w:r>
              <w:rPr>
                <w:rStyle w:val="afb"/>
                <w:rFonts w:ascii="宋体" w:hAnsi="宋体" w:cs="Arial" w:hint="eastAsia"/>
                <w:noProof/>
                <w:szCs w:val="21"/>
              </w:rPr>
              <w:t>六、</w:t>
            </w:r>
            <w:r>
              <w:rPr>
                <w:rStyle w:val="afb"/>
                <w:rFonts w:ascii="宋体" w:hAnsi="宋体" w:cs="Arial"/>
                <w:noProof/>
                <w:szCs w:val="21"/>
              </w:rPr>
              <w:t xml:space="preserve"> </w:t>
            </w:r>
            <w:r>
              <w:rPr>
                <w:rStyle w:val="afb"/>
                <w:rFonts w:ascii="宋体" w:hAnsi="宋体" w:cs="Arial" w:hint="eastAsia"/>
                <w:noProof/>
                <w:szCs w:val="21"/>
              </w:rPr>
              <w:t>交易及清算交收安排</w:t>
            </w:r>
            <w:r>
              <w:rPr>
                <w:noProof/>
                <w:szCs w:val="21"/>
              </w:rPr>
              <w:tab/>
            </w:r>
            <w:r>
              <w:rPr>
                <w:noProof/>
                <w:szCs w:val="21"/>
              </w:rPr>
              <w:fldChar w:fldCharType="begin"/>
            </w:r>
            <w:r>
              <w:rPr>
                <w:noProof/>
                <w:szCs w:val="21"/>
              </w:rPr>
              <w:instrText xml:space="preserve"> PAGEREF _Toc382819097 \h </w:instrText>
            </w:r>
            <w:r>
              <w:rPr>
                <w:noProof/>
                <w:szCs w:val="21"/>
              </w:rPr>
            </w:r>
            <w:r>
              <w:rPr>
                <w:noProof/>
                <w:szCs w:val="21"/>
              </w:rPr>
              <w:fldChar w:fldCharType="separate"/>
            </w:r>
            <w:r w:rsidR="00FA1AE8">
              <w:rPr>
                <w:noProof/>
                <w:szCs w:val="21"/>
              </w:rPr>
              <w:t>17</w:t>
            </w:r>
            <w:r>
              <w:rPr>
                <w:noProof/>
                <w:szCs w:val="21"/>
              </w:rPr>
              <w:fldChar w:fldCharType="end"/>
            </w:r>
          </w:hyperlink>
        </w:p>
        <w:p w14:paraId="6F967F64" w14:textId="7DCAC125" w:rsidR="00A7580B" w:rsidRDefault="00A7580B">
          <w:pPr>
            <w:pStyle w:val="TOC1"/>
            <w:tabs>
              <w:tab w:val="right" w:leader="dot" w:pos="8296"/>
            </w:tabs>
            <w:spacing w:line="360" w:lineRule="auto"/>
            <w:rPr>
              <w:rFonts w:ascii="Calibri" w:hAnsi="Calibri"/>
              <w:noProof/>
              <w:szCs w:val="21"/>
            </w:rPr>
          </w:pPr>
          <w:hyperlink w:anchor="_Toc382819103" w:tooltip="Current Document" w:history="1">
            <w:r>
              <w:rPr>
                <w:rStyle w:val="afb"/>
                <w:rFonts w:ascii="宋体" w:hAnsi="宋体" w:cs="Arial" w:hint="eastAsia"/>
                <w:noProof/>
                <w:szCs w:val="21"/>
              </w:rPr>
              <w:t>七、</w:t>
            </w:r>
            <w:r>
              <w:rPr>
                <w:rStyle w:val="afb"/>
                <w:rFonts w:ascii="宋体" w:hAnsi="宋体" w:cs="Arial"/>
                <w:noProof/>
                <w:szCs w:val="21"/>
              </w:rPr>
              <w:t xml:space="preserve"> </w:t>
            </w:r>
            <w:r>
              <w:rPr>
                <w:rStyle w:val="afb"/>
                <w:rFonts w:ascii="宋体" w:hAnsi="宋体" w:cs="Arial" w:hint="eastAsia"/>
                <w:noProof/>
                <w:szCs w:val="21"/>
              </w:rPr>
              <w:t>基金资产净值计算和会计核算</w:t>
            </w:r>
            <w:r>
              <w:rPr>
                <w:noProof/>
                <w:szCs w:val="21"/>
              </w:rPr>
              <w:tab/>
            </w:r>
            <w:r>
              <w:rPr>
                <w:noProof/>
                <w:szCs w:val="21"/>
              </w:rPr>
              <w:fldChar w:fldCharType="begin"/>
            </w:r>
            <w:r>
              <w:rPr>
                <w:noProof/>
                <w:szCs w:val="21"/>
              </w:rPr>
              <w:instrText xml:space="preserve"> PAGEREF _Toc382819103 \h </w:instrText>
            </w:r>
            <w:r>
              <w:rPr>
                <w:noProof/>
                <w:szCs w:val="21"/>
              </w:rPr>
            </w:r>
            <w:r>
              <w:rPr>
                <w:noProof/>
                <w:szCs w:val="21"/>
              </w:rPr>
              <w:fldChar w:fldCharType="separate"/>
            </w:r>
            <w:r w:rsidR="00FA1AE8">
              <w:rPr>
                <w:noProof/>
                <w:szCs w:val="21"/>
              </w:rPr>
              <w:t>22</w:t>
            </w:r>
            <w:r>
              <w:rPr>
                <w:noProof/>
                <w:szCs w:val="21"/>
              </w:rPr>
              <w:fldChar w:fldCharType="end"/>
            </w:r>
          </w:hyperlink>
        </w:p>
        <w:p w14:paraId="7BA215C9" w14:textId="22E82E13" w:rsidR="00A7580B" w:rsidRDefault="00A7580B">
          <w:pPr>
            <w:pStyle w:val="TOC1"/>
            <w:tabs>
              <w:tab w:val="right" w:leader="dot" w:pos="8296"/>
            </w:tabs>
            <w:spacing w:line="360" w:lineRule="auto"/>
            <w:rPr>
              <w:rFonts w:ascii="Calibri" w:hAnsi="Calibri"/>
              <w:noProof/>
              <w:szCs w:val="21"/>
            </w:rPr>
          </w:pPr>
          <w:hyperlink w:anchor="_Toc382819118" w:tooltip="Current Document" w:history="1">
            <w:r>
              <w:rPr>
                <w:rStyle w:val="afb"/>
                <w:rFonts w:ascii="宋体" w:hAnsi="宋体" w:cs="Arial" w:hint="eastAsia"/>
                <w:noProof/>
                <w:szCs w:val="21"/>
              </w:rPr>
              <w:t>八、</w:t>
            </w:r>
            <w:r>
              <w:rPr>
                <w:rStyle w:val="afb"/>
                <w:rFonts w:ascii="宋体" w:hAnsi="宋体" w:cs="Arial"/>
                <w:noProof/>
                <w:szCs w:val="21"/>
              </w:rPr>
              <w:t xml:space="preserve"> </w:t>
            </w:r>
            <w:r>
              <w:rPr>
                <w:rStyle w:val="afb"/>
                <w:rFonts w:ascii="宋体" w:hAnsi="宋体" w:cs="Arial" w:hint="eastAsia"/>
                <w:noProof/>
                <w:szCs w:val="21"/>
              </w:rPr>
              <w:t>基金收益分配</w:t>
            </w:r>
            <w:r>
              <w:rPr>
                <w:noProof/>
                <w:szCs w:val="21"/>
              </w:rPr>
              <w:tab/>
            </w:r>
            <w:r>
              <w:rPr>
                <w:noProof/>
                <w:szCs w:val="21"/>
              </w:rPr>
              <w:fldChar w:fldCharType="begin"/>
            </w:r>
            <w:r>
              <w:rPr>
                <w:noProof/>
                <w:szCs w:val="21"/>
              </w:rPr>
              <w:instrText xml:space="preserve"> PAGEREF _Toc382819118 \h </w:instrText>
            </w:r>
            <w:r>
              <w:rPr>
                <w:noProof/>
                <w:szCs w:val="21"/>
              </w:rPr>
            </w:r>
            <w:r>
              <w:rPr>
                <w:noProof/>
                <w:szCs w:val="21"/>
              </w:rPr>
              <w:fldChar w:fldCharType="separate"/>
            </w:r>
            <w:r w:rsidR="00FA1AE8">
              <w:rPr>
                <w:noProof/>
                <w:szCs w:val="21"/>
              </w:rPr>
              <w:t>25</w:t>
            </w:r>
            <w:r>
              <w:rPr>
                <w:noProof/>
                <w:szCs w:val="21"/>
              </w:rPr>
              <w:fldChar w:fldCharType="end"/>
            </w:r>
          </w:hyperlink>
        </w:p>
        <w:p w14:paraId="142AC6F8" w14:textId="6346EF59" w:rsidR="00A7580B" w:rsidRDefault="00A7580B">
          <w:pPr>
            <w:pStyle w:val="TOC1"/>
            <w:tabs>
              <w:tab w:val="right" w:leader="dot" w:pos="8296"/>
            </w:tabs>
            <w:spacing w:line="360" w:lineRule="auto"/>
            <w:rPr>
              <w:rFonts w:ascii="Calibri" w:hAnsi="Calibri"/>
              <w:noProof/>
              <w:szCs w:val="21"/>
            </w:rPr>
          </w:pPr>
          <w:hyperlink w:anchor="_Toc382819121" w:tooltip="Current Document" w:history="1">
            <w:r>
              <w:rPr>
                <w:rStyle w:val="afb"/>
                <w:rFonts w:ascii="宋体" w:hAnsi="宋体" w:cs="Arial" w:hint="eastAsia"/>
                <w:noProof/>
                <w:szCs w:val="21"/>
              </w:rPr>
              <w:t>九、</w:t>
            </w:r>
            <w:r>
              <w:rPr>
                <w:rStyle w:val="afb"/>
                <w:rFonts w:ascii="宋体" w:hAnsi="宋体" w:cs="Arial"/>
                <w:noProof/>
                <w:szCs w:val="21"/>
              </w:rPr>
              <w:t xml:space="preserve"> </w:t>
            </w:r>
            <w:r>
              <w:rPr>
                <w:rStyle w:val="afb"/>
                <w:rFonts w:ascii="宋体" w:hAnsi="宋体" w:cs="Arial" w:hint="eastAsia"/>
                <w:noProof/>
                <w:szCs w:val="21"/>
              </w:rPr>
              <w:t>信息披露</w:t>
            </w:r>
            <w:r>
              <w:rPr>
                <w:noProof/>
                <w:szCs w:val="21"/>
              </w:rPr>
              <w:tab/>
            </w:r>
            <w:r>
              <w:rPr>
                <w:noProof/>
                <w:szCs w:val="21"/>
              </w:rPr>
              <w:fldChar w:fldCharType="begin"/>
            </w:r>
            <w:r>
              <w:rPr>
                <w:noProof/>
                <w:szCs w:val="21"/>
              </w:rPr>
              <w:instrText xml:space="preserve"> PAGEREF _Toc382819121 \h </w:instrText>
            </w:r>
            <w:r>
              <w:rPr>
                <w:noProof/>
                <w:szCs w:val="21"/>
              </w:rPr>
            </w:r>
            <w:r>
              <w:rPr>
                <w:noProof/>
                <w:szCs w:val="21"/>
              </w:rPr>
              <w:fldChar w:fldCharType="separate"/>
            </w:r>
            <w:r w:rsidR="00FA1AE8">
              <w:rPr>
                <w:noProof/>
                <w:szCs w:val="21"/>
              </w:rPr>
              <w:t>26</w:t>
            </w:r>
            <w:r>
              <w:rPr>
                <w:noProof/>
                <w:szCs w:val="21"/>
              </w:rPr>
              <w:fldChar w:fldCharType="end"/>
            </w:r>
          </w:hyperlink>
        </w:p>
        <w:p w14:paraId="481FD0D0" w14:textId="7AFAC836" w:rsidR="00A7580B" w:rsidRDefault="00A7580B">
          <w:pPr>
            <w:pStyle w:val="TOC1"/>
            <w:tabs>
              <w:tab w:val="right" w:leader="dot" w:pos="8296"/>
            </w:tabs>
            <w:spacing w:line="360" w:lineRule="auto"/>
            <w:rPr>
              <w:rFonts w:ascii="Calibri" w:hAnsi="Calibri"/>
              <w:noProof/>
              <w:szCs w:val="21"/>
            </w:rPr>
          </w:pPr>
          <w:hyperlink w:anchor="_Toc382819125" w:tooltip="Current Document" w:history="1">
            <w:r>
              <w:rPr>
                <w:rStyle w:val="afb"/>
                <w:rFonts w:ascii="宋体" w:hAnsi="宋体" w:cs="Arial" w:hint="eastAsia"/>
                <w:noProof/>
                <w:szCs w:val="21"/>
              </w:rPr>
              <w:t>十、</w:t>
            </w:r>
            <w:r>
              <w:rPr>
                <w:rStyle w:val="afb"/>
                <w:rFonts w:ascii="宋体" w:hAnsi="宋体" w:cs="Arial"/>
                <w:noProof/>
                <w:szCs w:val="21"/>
              </w:rPr>
              <w:t xml:space="preserve"> </w:t>
            </w:r>
            <w:r>
              <w:rPr>
                <w:rStyle w:val="afb"/>
                <w:rFonts w:ascii="宋体" w:hAnsi="宋体" w:cs="Arial" w:hint="eastAsia"/>
                <w:noProof/>
                <w:szCs w:val="21"/>
              </w:rPr>
              <w:t>托管费用</w:t>
            </w:r>
            <w:r>
              <w:rPr>
                <w:noProof/>
                <w:szCs w:val="21"/>
              </w:rPr>
              <w:tab/>
            </w:r>
            <w:r>
              <w:rPr>
                <w:noProof/>
                <w:szCs w:val="21"/>
              </w:rPr>
              <w:fldChar w:fldCharType="begin"/>
            </w:r>
            <w:r>
              <w:rPr>
                <w:noProof/>
                <w:szCs w:val="21"/>
              </w:rPr>
              <w:instrText xml:space="preserve"> PAGEREF _Toc382819125 \h </w:instrText>
            </w:r>
            <w:r>
              <w:rPr>
                <w:noProof/>
                <w:szCs w:val="21"/>
              </w:rPr>
            </w:r>
            <w:r>
              <w:rPr>
                <w:noProof/>
                <w:szCs w:val="21"/>
              </w:rPr>
              <w:fldChar w:fldCharType="separate"/>
            </w:r>
            <w:r w:rsidR="00FA1AE8">
              <w:rPr>
                <w:noProof/>
                <w:szCs w:val="21"/>
              </w:rPr>
              <w:t>28</w:t>
            </w:r>
            <w:r>
              <w:rPr>
                <w:noProof/>
                <w:szCs w:val="21"/>
              </w:rPr>
              <w:fldChar w:fldCharType="end"/>
            </w:r>
          </w:hyperlink>
        </w:p>
        <w:p w14:paraId="079AA8A9" w14:textId="7DFFE1EE" w:rsidR="00A7580B" w:rsidRDefault="00A7580B">
          <w:pPr>
            <w:pStyle w:val="TOC1"/>
            <w:tabs>
              <w:tab w:val="right" w:leader="dot" w:pos="8296"/>
            </w:tabs>
            <w:spacing w:line="360" w:lineRule="auto"/>
            <w:rPr>
              <w:rFonts w:ascii="Calibri" w:hAnsi="Calibri"/>
              <w:noProof/>
              <w:szCs w:val="21"/>
            </w:rPr>
          </w:pPr>
          <w:hyperlink w:anchor="_Toc382819126" w:tooltip="Current Document" w:history="1">
            <w:r>
              <w:rPr>
                <w:rStyle w:val="afb"/>
                <w:rFonts w:ascii="宋体" w:hAnsi="宋体" w:cs="Arial" w:hint="eastAsia"/>
                <w:noProof/>
                <w:szCs w:val="21"/>
              </w:rPr>
              <w:t>十一、</w:t>
            </w:r>
            <w:r>
              <w:rPr>
                <w:rStyle w:val="afb"/>
                <w:rFonts w:ascii="宋体" w:hAnsi="宋体" w:cs="Arial"/>
                <w:noProof/>
                <w:szCs w:val="21"/>
              </w:rPr>
              <w:t xml:space="preserve"> </w:t>
            </w:r>
            <w:r>
              <w:rPr>
                <w:rStyle w:val="afb"/>
                <w:rFonts w:ascii="宋体" w:hAnsi="宋体" w:cs="Arial" w:hint="eastAsia"/>
                <w:noProof/>
                <w:szCs w:val="21"/>
              </w:rPr>
              <w:t>基金份额持有人名册的保管</w:t>
            </w:r>
            <w:r>
              <w:rPr>
                <w:noProof/>
                <w:szCs w:val="21"/>
              </w:rPr>
              <w:tab/>
            </w:r>
            <w:r>
              <w:rPr>
                <w:noProof/>
                <w:szCs w:val="21"/>
              </w:rPr>
              <w:fldChar w:fldCharType="begin"/>
            </w:r>
            <w:r>
              <w:rPr>
                <w:noProof/>
                <w:szCs w:val="21"/>
              </w:rPr>
              <w:instrText xml:space="preserve"> PAGEREF _Toc382819126 \h </w:instrText>
            </w:r>
            <w:r>
              <w:rPr>
                <w:noProof/>
                <w:szCs w:val="21"/>
              </w:rPr>
            </w:r>
            <w:r>
              <w:rPr>
                <w:noProof/>
                <w:szCs w:val="21"/>
              </w:rPr>
              <w:fldChar w:fldCharType="separate"/>
            </w:r>
            <w:r w:rsidR="00FA1AE8">
              <w:rPr>
                <w:noProof/>
                <w:szCs w:val="21"/>
              </w:rPr>
              <w:t>28</w:t>
            </w:r>
            <w:r>
              <w:rPr>
                <w:noProof/>
                <w:szCs w:val="21"/>
              </w:rPr>
              <w:fldChar w:fldCharType="end"/>
            </w:r>
          </w:hyperlink>
        </w:p>
        <w:p w14:paraId="534520DA" w14:textId="690C84EA" w:rsidR="00A7580B" w:rsidRDefault="00A7580B">
          <w:pPr>
            <w:pStyle w:val="TOC1"/>
            <w:tabs>
              <w:tab w:val="right" w:leader="dot" w:pos="8296"/>
            </w:tabs>
            <w:spacing w:line="360" w:lineRule="auto"/>
            <w:rPr>
              <w:rFonts w:ascii="Calibri" w:hAnsi="Calibri"/>
              <w:noProof/>
              <w:szCs w:val="21"/>
            </w:rPr>
          </w:pPr>
          <w:hyperlink w:anchor="_Toc382819127" w:tooltip="Current Document" w:history="1">
            <w:r>
              <w:rPr>
                <w:rStyle w:val="afb"/>
                <w:rFonts w:ascii="宋体" w:hAnsi="宋体" w:cs="Arial" w:hint="eastAsia"/>
                <w:noProof/>
                <w:szCs w:val="21"/>
              </w:rPr>
              <w:t>十二、</w:t>
            </w:r>
            <w:r>
              <w:rPr>
                <w:rStyle w:val="afb"/>
                <w:rFonts w:ascii="宋体" w:hAnsi="宋体" w:cs="Arial"/>
                <w:noProof/>
                <w:szCs w:val="21"/>
              </w:rPr>
              <w:t xml:space="preserve"> </w:t>
            </w:r>
            <w:r>
              <w:rPr>
                <w:rStyle w:val="afb"/>
                <w:rFonts w:ascii="宋体" w:hAnsi="宋体" w:cs="Arial" w:hint="eastAsia"/>
                <w:noProof/>
                <w:szCs w:val="21"/>
              </w:rPr>
              <w:t>基金有关文件和档案的保存</w:t>
            </w:r>
            <w:r>
              <w:rPr>
                <w:noProof/>
                <w:szCs w:val="21"/>
              </w:rPr>
              <w:tab/>
            </w:r>
            <w:r>
              <w:rPr>
                <w:noProof/>
                <w:szCs w:val="21"/>
              </w:rPr>
              <w:fldChar w:fldCharType="begin"/>
            </w:r>
            <w:r>
              <w:rPr>
                <w:noProof/>
                <w:szCs w:val="21"/>
              </w:rPr>
              <w:instrText xml:space="preserve"> PAGEREF _Toc382819127 \h </w:instrText>
            </w:r>
            <w:r>
              <w:rPr>
                <w:noProof/>
                <w:szCs w:val="21"/>
              </w:rPr>
            </w:r>
            <w:r>
              <w:rPr>
                <w:noProof/>
                <w:szCs w:val="21"/>
              </w:rPr>
              <w:fldChar w:fldCharType="separate"/>
            </w:r>
            <w:r w:rsidR="00FA1AE8">
              <w:rPr>
                <w:noProof/>
                <w:szCs w:val="21"/>
              </w:rPr>
              <w:t>29</w:t>
            </w:r>
            <w:r>
              <w:rPr>
                <w:noProof/>
                <w:szCs w:val="21"/>
              </w:rPr>
              <w:fldChar w:fldCharType="end"/>
            </w:r>
          </w:hyperlink>
        </w:p>
        <w:p w14:paraId="1E0A33A6" w14:textId="4EC3C38B" w:rsidR="00A7580B" w:rsidRDefault="00A7580B">
          <w:pPr>
            <w:pStyle w:val="TOC1"/>
            <w:tabs>
              <w:tab w:val="right" w:leader="dot" w:pos="8296"/>
            </w:tabs>
            <w:spacing w:line="360" w:lineRule="auto"/>
            <w:rPr>
              <w:rFonts w:ascii="Calibri" w:hAnsi="Calibri"/>
              <w:noProof/>
              <w:szCs w:val="21"/>
            </w:rPr>
          </w:pPr>
          <w:hyperlink w:anchor="_Toc382819128" w:tooltip="Current Document" w:history="1">
            <w:r>
              <w:rPr>
                <w:rStyle w:val="afb"/>
                <w:rFonts w:ascii="宋体" w:hAnsi="宋体" w:cs="Arial" w:hint="eastAsia"/>
                <w:noProof/>
                <w:szCs w:val="21"/>
              </w:rPr>
              <w:t>十三、</w:t>
            </w:r>
            <w:r>
              <w:rPr>
                <w:rStyle w:val="afb"/>
                <w:rFonts w:ascii="宋体" w:hAnsi="宋体" w:cs="Arial"/>
                <w:noProof/>
                <w:szCs w:val="21"/>
              </w:rPr>
              <w:t xml:space="preserve"> </w:t>
            </w:r>
            <w:r>
              <w:rPr>
                <w:rStyle w:val="afb"/>
                <w:rFonts w:ascii="宋体" w:hAnsi="宋体" w:cs="Arial" w:hint="eastAsia"/>
                <w:noProof/>
                <w:szCs w:val="21"/>
              </w:rPr>
              <w:t>基金管理人和基金托管人的更换</w:t>
            </w:r>
            <w:r>
              <w:rPr>
                <w:noProof/>
                <w:szCs w:val="21"/>
              </w:rPr>
              <w:tab/>
            </w:r>
            <w:r>
              <w:rPr>
                <w:noProof/>
                <w:szCs w:val="21"/>
              </w:rPr>
              <w:fldChar w:fldCharType="begin"/>
            </w:r>
            <w:r>
              <w:rPr>
                <w:noProof/>
                <w:szCs w:val="21"/>
              </w:rPr>
              <w:instrText xml:space="preserve"> PAGEREF _Toc382819128 \h </w:instrText>
            </w:r>
            <w:r>
              <w:rPr>
                <w:noProof/>
                <w:szCs w:val="21"/>
              </w:rPr>
            </w:r>
            <w:r>
              <w:rPr>
                <w:noProof/>
                <w:szCs w:val="21"/>
              </w:rPr>
              <w:fldChar w:fldCharType="separate"/>
            </w:r>
            <w:r w:rsidR="00FA1AE8">
              <w:rPr>
                <w:noProof/>
                <w:szCs w:val="21"/>
              </w:rPr>
              <w:t>30</w:t>
            </w:r>
            <w:r>
              <w:rPr>
                <w:noProof/>
                <w:szCs w:val="21"/>
              </w:rPr>
              <w:fldChar w:fldCharType="end"/>
            </w:r>
          </w:hyperlink>
        </w:p>
        <w:p w14:paraId="086C22BA" w14:textId="534D94F9" w:rsidR="00A7580B" w:rsidRDefault="00A7580B">
          <w:pPr>
            <w:pStyle w:val="TOC1"/>
            <w:tabs>
              <w:tab w:val="right" w:leader="dot" w:pos="8296"/>
            </w:tabs>
            <w:spacing w:line="360" w:lineRule="auto"/>
            <w:rPr>
              <w:rFonts w:ascii="Calibri" w:hAnsi="Calibri"/>
              <w:noProof/>
              <w:szCs w:val="21"/>
            </w:rPr>
          </w:pPr>
          <w:hyperlink w:anchor="_Toc382819131" w:tooltip="Current Document" w:history="1">
            <w:r>
              <w:rPr>
                <w:rStyle w:val="afb"/>
                <w:rFonts w:ascii="宋体" w:hAnsi="宋体" w:cs="Arial" w:hint="eastAsia"/>
                <w:noProof/>
                <w:szCs w:val="21"/>
              </w:rPr>
              <w:t>十四、</w:t>
            </w:r>
            <w:r>
              <w:rPr>
                <w:rStyle w:val="afb"/>
                <w:rFonts w:ascii="宋体" w:hAnsi="宋体" w:cs="Arial"/>
                <w:noProof/>
                <w:szCs w:val="21"/>
              </w:rPr>
              <w:t xml:space="preserve"> </w:t>
            </w:r>
            <w:r>
              <w:rPr>
                <w:rStyle w:val="afb"/>
                <w:rFonts w:ascii="宋体" w:hAnsi="宋体" w:cs="Arial" w:hint="eastAsia"/>
                <w:noProof/>
                <w:szCs w:val="21"/>
              </w:rPr>
              <w:t>禁止行为</w:t>
            </w:r>
            <w:r>
              <w:rPr>
                <w:noProof/>
                <w:szCs w:val="21"/>
              </w:rPr>
              <w:tab/>
            </w:r>
            <w:r>
              <w:rPr>
                <w:noProof/>
                <w:szCs w:val="21"/>
              </w:rPr>
              <w:fldChar w:fldCharType="begin"/>
            </w:r>
            <w:r>
              <w:rPr>
                <w:noProof/>
                <w:szCs w:val="21"/>
              </w:rPr>
              <w:instrText xml:space="preserve"> PAGEREF _Toc382819131 \h </w:instrText>
            </w:r>
            <w:r>
              <w:rPr>
                <w:noProof/>
                <w:szCs w:val="21"/>
              </w:rPr>
            </w:r>
            <w:r>
              <w:rPr>
                <w:noProof/>
                <w:szCs w:val="21"/>
              </w:rPr>
              <w:fldChar w:fldCharType="separate"/>
            </w:r>
            <w:r w:rsidR="00FA1AE8">
              <w:rPr>
                <w:noProof/>
                <w:szCs w:val="21"/>
              </w:rPr>
              <w:t>32</w:t>
            </w:r>
            <w:r>
              <w:rPr>
                <w:noProof/>
                <w:szCs w:val="21"/>
              </w:rPr>
              <w:fldChar w:fldCharType="end"/>
            </w:r>
          </w:hyperlink>
        </w:p>
        <w:p w14:paraId="377CEE9F" w14:textId="083F10D9" w:rsidR="00A7580B" w:rsidRDefault="00A7580B">
          <w:pPr>
            <w:pStyle w:val="TOC1"/>
            <w:tabs>
              <w:tab w:val="right" w:leader="dot" w:pos="8296"/>
            </w:tabs>
            <w:spacing w:line="360" w:lineRule="auto"/>
            <w:rPr>
              <w:rFonts w:ascii="Calibri" w:hAnsi="Calibri"/>
              <w:noProof/>
              <w:szCs w:val="21"/>
            </w:rPr>
          </w:pPr>
          <w:hyperlink w:anchor="_Toc382819132" w:tooltip="Current Document" w:history="1">
            <w:r>
              <w:rPr>
                <w:rStyle w:val="afb"/>
                <w:rFonts w:ascii="宋体" w:hAnsi="宋体" w:cs="Arial" w:hint="eastAsia"/>
                <w:noProof/>
                <w:szCs w:val="21"/>
              </w:rPr>
              <w:t>十五、</w:t>
            </w:r>
            <w:r>
              <w:rPr>
                <w:rStyle w:val="afb"/>
                <w:rFonts w:ascii="宋体" w:hAnsi="宋体" w:cs="Arial"/>
                <w:noProof/>
                <w:szCs w:val="21"/>
              </w:rPr>
              <w:t xml:space="preserve"> </w:t>
            </w:r>
            <w:r>
              <w:rPr>
                <w:rStyle w:val="afb"/>
                <w:rFonts w:ascii="宋体" w:hAnsi="宋体" w:cs="Arial" w:hint="eastAsia"/>
                <w:noProof/>
                <w:szCs w:val="21"/>
              </w:rPr>
              <w:t>基金托管协议的变更、终止与基金财产的清算</w:t>
            </w:r>
            <w:r>
              <w:rPr>
                <w:noProof/>
                <w:szCs w:val="21"/>
              </w:rPr>
              <w:tab/>
            </w:r>
            <w:r>
              <w:rPr>
                <w:noProof/>
                <w:szCs w:val="21"/>
              </w:rPr>
              <w:fldChar w:fldCharType="begin"/>
            </w:r>
            <w:r>
              <w:rPr>
                <w:noProof/>
                <w:szCs w:val="21"/>
              </w:rPr>
              <w:instrText xml:space="preserve"> PAGEREF _Toc382819132 \h </w:instrText>
            </w:r>
            <w:r>
              <w:rPr>
                <w:noProof/>
                <w:szCs w:val="21"/>
              </w:rPr>
            </w:r>
            <w:r>
              <w:rPr>
                <w:noProof/>
                <w:szCs w:val="21"/>
              </w:rPr>
              <w:fldChar w:fldCharType="separate"/>
            </w:r>
            <w:r w:rsidR="00FA1AE8">
              <w:rPr>
                <w:noProof/>
                <w:szCs w:val="21"/>
              </w:rPr>
              <w:t>33</w:t>
            </w:r>
            <w:r>
              <w:rPr>
                <w:noProof/>
                <w:szCs w:val="21"/>
              </w:rPr>
              <w:fldChar w:fldCharType="end"/>
            </w:r>
          </w:hyperlink>
        </w:p>
        <w:p w14:paraId="4EDB1451" w14:textId="26E7CA5E" w:rsidR="00A7580B" w:rsidRDefault="00A7580B">
          <w:pPr>
            <w:pStyle w:val="TOC1"/>
            <w:tabs>
              <w:tab w:val="right" w:leader="dot" w:pos="8296"/>
            </w:tabs>
            <w:spacing w:line="360" w:lineRule="auto"/>
            <w:rPr>
              <w:rFonts w:ascii="Calibri" w:hAnsi="Calibri"/>
              <w:noProof/>
              <w:szCs w:val="21"/>
            </w:rPr>
          </w:pPr>
          <w:hyperlink w:anchor="_Toc382819133" w:tooltip="Current Document" w:history="1">
            <w:r>
              <w:rPr>
                <w:rStyle w:val="afb"/>
                <w:rFonts w:ascii="宋体" w:hAnsi="宋体" w:cs="Arial" w:hint="eastAsia"/>
                <w:noProof/>
                <w:szCs w:val="21"/>
              </w:rPr>
              <w:t>十六、</w:t>
            </w:r>
            <w:r>
              <w:rPr>
                <w:rStyle w:val="afb"/>
                <w:rFonts w:ascii="宋体" w:hAnsi="宋体" w:cs="Arial"/>
                <w:noProof/>
                <w:szCs w:val="21"/>
              </w:rPr>
              <w:t xml:space="preserve"> </w:t>
            </w:r>
            <w:r>
              <w:rPr>
                <w:rStyle w:val="afb"/>
                <w:rFonts w:ascii="宋体" w:hAnsi="宋体" w:cs="Arial" w:hint="eastAsia"/>
                <w:noProof/>
                <w:szCs w:val="21"/>
              </w:rPr>
              <w:t>违约责任</w:t>
            </w:r>
            <w:r>
              <w:rPr>
                <w:noProof/>
                <w:szCs w:val="21"/>
              </w:rPr>
              <w:tab/>
            </w:r>
            <w:r>
              <w:rPr>
                <w:noProof/>
                <w:szCs w:val="21"/>
              </w:rPr>
              <w:fldChar w:fldCharType="begin"/>
            </w:r>
            <w:r>
              <w:rPr>
                <w:noProof/>
                <w:szCs w:val="21"/>
              </w:rPr>
              <w:instrText xml:space="preserve"> PAGEREF _Toc382819133 \h </w:instrText>
            </w:r>
            <w:r>
              <w:rPr>
                <w:noProof/>
                <w:szCs w:val="21"/>
              </w:rPr>
            </w:r>
            <w:r>
              <w:rPr>
                <w:noProof/>
                <w:szCs w:val="21"/>
              </w:rPr>
              <w:fldChar w:fldCharType="separate"/>
            </w:r>
            <w:r w:rsidR="00FA1AE8">
              <w:rPr>
                <w:noProof/>
                <w:szCs w:val="21"/>
              </w:rPr>
              <w:t>34</w:t>
            </w:r>
            <w:r>
              <w:rPr>
                <w:noProof/>
                <w:szCs w:val="21"/>
              </w:rPr>
              <w:fldChar w:fldCharType="end"/>
            </w:r>
          </w:hyperlink>
        </w:p>
        <w:p w14:paraId="45A73700" w14:textId="532E0442" w:rsidR="00A7580B" w:rsidRDefault="00A7580B">
          <w:pPr>
            <w:pStyle w:val="TOC1"/>
            <w:tabs>
              <w:tab w:val="right" w:leader="dot" w:pos="8296"/>
            </w:tabs>
            <w:spacing w:line="360" w:lineRule="auto"/>
            <w:rPr>
              <w:rFonts w:ascii="Calibri" w:hAnsi="Calibri"/>
              <w:noProof/>
              <w:szCs w:val="21"/>
            </w:rPr>
          </w:pPr>
          <w:hyperlink w:anchor="_Toc382819134" w:tooltip="Current Document" w:history="1">
            <w:r>
              <w:rPr>
                <w:rStyle w:val="afb"/>
                <w:rFonts w:ascii="宋体" w:hAnsi="宋体" w:cs="Arial" w:hint="eastAsia"/>
                <w:noProof/>
                <w:szCs w:val="21"/>
              </w:rPr>
              <w:t>十七、</w:t>
            </w:r>
            <w:r>
              <w:rPr>
                <w:rStyle w:val="afb"/>
                <w:rFonts w:ascii="宋体" w:hAnsi="宋体" w:cs="Arial"/>
                <w:noProof/>
                <w:szCs w:val="21"/>
              </w:rPr>
              <w:t xml:space="preserve"> </w:t>
            </w:r>
            <w:r>
              <w:rPr>
                <w:rStyle w:val="afb"/>
                <w:rFonts w:ascii="宋体" w:hAnsi="宋体" w:cs="Arial" w:hint="eastAsia"/>
                <w:noProof/>
                <w:szCs w:val="21"/>
              </w:rPr>
              <w:t>适用法律及争议解决方式</w:t>
            </w:r>
            <w:r>
              <w:rPr>
                <w:noProof/>
                <w:szCs w:val="21"/>
              </w:rPr>
              <w:tab/>
            </w:r>
            <w:r>
              <w:rPr>
                <w:noProof/>
                <w:szCs w:val="21"/>
              </w:rPr>
              <w:fldChar w:fldCharType="begin"/>
            </w:r>
            <w:r>
              <w:rPr>
                <w:noProof/>
                <w:szCs w:val="21"/>
              </w:rPr>
              <w:instrText xml:space="preserve"> PAGEREF _Toc382819134 \h </w:instrText>
            </w:r>
            <w:r>
              <w:rPr>
                <w:noProof/>
                <w:szCs w:val="21"/>
              </w:rPr>
            </w:r>
            <w:r>
              <w:rPr>
                <w:noProof/>
                <w:szCs w:val="21"/>
              </w:rPr>
              <w:fldChar w:fldCharType="separate"/>
            </w:r>
            <w:r w:rsidR="00FA1AE8">
              <w:rPr>
                <w:noProof/>
                <w:szCs w:val="21"/>
              </w:rPr>
              <w:t>35</w:t>
            </w:r>
            <w:r>
              <w:rPr>
                <w:noProof/>
                <w:szCs w:val="21"/>
              </w:rPr>
              <w:fldChar w:fldCharType="end"/>
            </w:r>
          </w:hyperlink>
        </w:p>
        <w:p w14:paraId="3AF5D118" w14:textId="166F7227" w:rsidR="00A7580B" w:rsidRDefault="00A7580B">
          <w:pPr>
            <w:pStyle w:val="TOC1"/>
            <w:tabs>
              <w:tab w:val="right" w:leader="dot" w:pos="8296"/>
            </w:tabs>
            <w:spacing w:line="360" w:lineRule="auto"/>
            <w:rPr>
              <w:rFonts w:ascii="Calibri" w:hAnsi="Calibri"/>
              <w:noProof/>
              <w:szCs w:val="21"/>
            </w:rPr>
          </w:pPr>
          <w:hyperlink w:anchor="_Toc382819135" w:tooltip="Current Document" w:history="1">
            <w:r>
              <w:rPr>
                <w:rStyle w:val="afb"/>
                <w:rFonts w:ascii="宋体" w:hAnsi="宋体" w:cs="Arial" w:hint="eastAsia"/>
                <w:noProof/>
                <w:szCs w:val="21"/>
              </w:rPr>
              <w:t>十八、</w:t>
            </w:r>
            <w:r>
              <w:rPr>
                <w:rStyle w:val="afb"/>
                <w:rFonts w:ascii="宋体" w:hAnsi="宋体" w:cs="Arial"/>
                <w:noProof/>
                <w:szCs w:val="21"/>
              </w:rPr>
              <w:t xml:space="preserve"> </w:t>
            </w:r>
            <w:r>
              <w:rPr>
                <w:rStyle w:val="afb"/>
                <w:rFonts w:ascii="宋体" w:hAnsi="宋体" w:cs="Arial" w:hint="eastAsia"/>
                <w:noProof/>
                <w:szCs w:val="21"/>
              </w:rPr>
              <w:t>基金托管协议的效力和文本</w:t>
            </w:r>
            <w:r>
              <w:rPr>
                <w:noProof/>
                <w:szCs w:val="21"/>
              </w:rPr>
              <w:tab/>
            </w:r>
            <w:r>
              <w:rPr>
                <w:noProof/>
                <w:szCs w:val="21"/>
              </w:rPr>
              <w:fldChar w:fldCharType="begin"/>
            </w:r>
            <w:r>
              <w:rPr>
                <w:noProof/>
                <w:szCs w:val="21"/>
              </w:rPr>
              <w:instrText xml:space="preserve"> PAGEREF _Toc382819135 \h </w:instrText>
            </w:r>
            <w:r>
              <w:rPr>
                <w:noProof/>
                <w:szCs w:val="21"/>
              </w:rPr>
            </w:r>
            <w:r>
              <w:rPr>
                <w:noProof/>
                <w:szCs w:val="21"/>
              </w:rPr>
              <w:fldChar w:fldCharType="separate"/>
            </w:r>
            <w:r w:rsidR="00FA1AE8">
              <w:rPr>
                <w:noProof/>
                <w:szCs w:val="21"/>
              </w:rPr>
              <w:t>35</w:t>
            </w:r>
            <w:r>
              <w:rPr>
                <w:noProof/>
                <w:szCs w:val="21"/>
              </w:rPr>
              <w:fldChar w:fldCharType="end"/>
            </w:r>
          </w:hyperlink>
        </w:p>
        <w:p w14:paraId="0363543F" w14:textId="25C6BA40" w:rsidR="00A7580B" w:rsidRDefault="00A7580B">
          <w:pPr>
            <w:pStyle w:val="TOC1"/>
            <w:tabs>
              <w:tab w:val="right" w:leader="dot" w:pos="8296"/>
            </w:tabs>
            <w:spacing w:line="360" w:lineRule="auto"/>
            <w:rPr>
              <w:rFonts w:ascii="Calibri" w:hAnsi="Calibri"/>
              <w:noProof/>
              <w:szCs w:val="21"/>
            </w:rPr>
          </w:pPr>
          <w:hyperlink w:anchor="_Toc382819136" w:tooltip="Current Document" w:history="1">
            <w:r>
              <w:rPr>
                <w:rStyle w:val="afb"/>
                <w:rFonts w:ascii="宋体" w:hAnsi="宋体" w:hint="eastAsia"/>
                <w:noProof/>
                <w:szCs w:val="21"/>
              </w:rPr>
              <w:t>十九、</w:t>
            </w:r>
            <w:r>
              <w:rPr>
                <w:rStyle w:val="afb"/>
                <w:rFonts w:ascii="宋体" w:hAnsi="宋体" w:cs="Arial"/>
                <w:noProof/>
                <w:szCs w:val="21"/>
              </w:rPr>
              <w:t xml:space="preserve"> 其他事项</w:t>
            </w:r>
            <w:r>
              <w:rPr>
                <w:noProof/>
                <w:szCs w:val="21"/>
              </w:rPr>
              <w:tab/>
            </w:r>
            <w:r>
              <w:rPr>
                <w:noProof/>
                <w:szCs w:val="21"/>
              </w:rPr>
              <w:fldChar w:fldCharType="begin"/>
            </w:r>
            <w:r>
              <w:rPr>
                <w:noProof/>
                <w:szCs w:val="21"/>
              </w:rPr>
              <w:instrText xml:space="preserve"> PAGEREF _Toc382819136 \h </w:instrText>
            </w:r>
            <w:r>
              <w:rPr>
                <w:noProof/>
                <w:szCs w:val="21"/>
              </w:rPr>
            </w:r>
            <w:r>
              <w:rPr>
                <w:noProof/>
                <w:szCs w:val="21"/>
              </w:rPr>
              <w:fldChar w:fldCharType="separate"/>
            </w:r>
            <w:r w:rsidR="00FA1AE8">
              <w:rPr>
                <w:noProof/>
                <w:szCs w:val="21"/>
              </w:rPr>
              <w:t>36</w:t>
            </w:r>
            <w:r>
              <w:rPr>
                <w:noProof/>
                <w:szCs w:val="21"/>
              </w:rPr>
              <w:fldChar w:fldCharType="end"/>
            </w:r>
          </w:hyperlink>
        </w:p>
        <w:p w14:paraId="14A3B627" w14:textId="77777777" w:rsidR="00A7580B" w:rsidRDefault="00750D62">
          <w:pPr>
            <w:spacing w:line="360" w:lineRule="auto"/>
            <w:rPr>
              <w:rFonts w:ascii="仿宋_GB2312" w:eastAsia="仿宋_GB2312"/>
              <w:szCs w:val="21"/>
            </w:rPr>
          </w:pPr>
          <w:r>
            <w:rPr>
              <w:rFonts w:ascii="宋体" w:hAnsi="宋体"/>
              <w:szCs w:val="21"/>
            </w:rPr>
            <w:fldChar w:fldCharType="end"/>
          </w:r>
        </w:p>
        <w:p w14:paraId="678FB1A9" w14:textId="77777777" w:rsidR="00A7580B" w:rsidRDefault="00A7580B">
          <w:pPr>
            <w:widowControl/>
            <w:jc w:val="left"/>
            <w:rPr>
              <w:rFonts w:ascii="仿宋_GB2312" w:eastAsia="仿宋_GB2312"/>
              <w:sz w:val="24"/>
            </w:rPr>
            <w:sectPr w:rsidR="00A7580B">
              <w:pgSz w:w="11906" w:h="16838"/>
              <w:pgMar w:top="1440" w:right="1800" w:bottom="1440" w:left="1800" w:header="851" w:footer="992" w:gutter="0"/>
              <w:pgNumType w:start="1"/>
              <w:cols w:space="720"/>
              <w:docGrid w:type="lines" w:linePitch="312"/>
            </w:sectPr>
          </w:pPr>
        </w:p>
        <w:p w14:paraId="0E9F82C7" w14:textId="322DFA2B" w:rsidR="00A7580B" w:rsidRDefault="00750D62">
          <w:pPr>
            <w:jc w:val="center"/>
            <w:rPr>
              <w:rFonts w:ascii="黑体" w:eastAsia="黑体" w:hAnsi="黑体" w:hint="eastAsia"/>
              <w:b/>
              <w:sz w:val="32"/>
              <w:szCs w:val="32"/>
            </w:rPr>
          </w:pPr>
          <w:bookmarkStart w:id="6" w:name="_Toc382818594"/>
          <w:bookmarkStart w:id="7" w:name="_Toc382819068"/>
          <w:r w:rsidRPr="00750D62">
            <w:rPr>
              <w:rFonts w:ascii="黑体" w:eastAsia="黑体" w:hAnsi="黑体" w:hint="eastAsia"/>
              <w:sz w:val="32"/>
              <w:szCs w:val="32"/>
            </w:rPr>
            <w:lastRenderedPageBreak/>
            <w:t>天弘创业板指数量化增强型</w:t>
          </w:r>
          <w:r>
            <w:rPr>
              <w:rFonts w:ascii="黑体" w:eastAsia="黑体" w:hAnsi="黑体" w:hint="eastAsia"/>
              <w:sz w:val="32"/>
              <w:szCs w:val="32"/>
            </w:rPr>
            <w:t>证券投资基金托管协议</w:t>
          </w:r>
          <w:bookmarkEnd w:id="6"/>
          <w:bookmarkEnd w:id="7"/>
        </w:p>
        <w:p w14:paraId="1868D2BA" w14:textId="77777777" w:rsidR="00A7580B" w:rsidRDefault="00A7580B"/>
        <w:p w14:paraId="0868F986" w14:textId="77777777" w:rsidR="00A7580B" w:rsidRDefault="00A7580B"/>
        <w:p w14:paraId="3E3935E3" w14:textId="77777777" w:rsidR="00A7580B" w:rsidRDefault="00750D62">
          <w:pPr>
            <w:spacing w:line="360" w:lineRule="auto"/>
            <w:ind w:firstLineChars="200" w:firstLine="422"/>
            <w:rPr>
              <w:rFonts w:ascii="宋体" w:hAnsi="宋体" w:hint="eastAsia"/>
              <w:szCs w:val="21"/>
            </w:rPr>
          </w:pPr>
          <w:bookmarkStart w:id="8" w:name="_Toc382819069"/>
          <w:r>
            <w:rPr>
              <w:rFonts w:ascii="宋体" w:hAnsi="宋体" w:hint="eastAsia"/>
              <w:b/>
              <w:szCs w:val="21"/>
            </w:rPr>
            <w:t>基金管理人：</w:t>
          </w:r>
          <w:bookmarkEnd w:id="8"/>
          <w:r>
            <w:rPr>
              <w:rFonts w:ascii="宋体" w:hAnsi="宋体" w:hint="eastAsia"/>
              <w:b/>
              <w:szCs w:val="21"/>
            </w:rPr>
            <w:t>天弘基金管理有限公司（或简称“管理人”）</w:t>
          </w:r>
        </w:p>
        <w:p w14:paraId="33D525C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住所：天津自贸试验区（中心商务区）新华路3678号宝风大厦23层</w:t>
          </w:r>
        </w:p>
        <w:p w14:paraId="1315F9E4" w14:textId="235B7E68" w:rsidR="00A7580B" w:rsidRDefault="00750D62">
          <w:pPr>
            <w:spacing w:line="360" w:lineRule="auto"/>
            <w:ind w:firstLineChars="200" w:firstLine="420"/>
            <w:rPr>
              <w:rFonts w:ascii="宋体" w:hAnsi="宋体" w:hint="eastAsia"/>
              <w:szCs w:val="21"/>
            </w:rPr>
          </w:pPr>
          <w:r>
            <w:rPr>
              <w:rFonts w:ascii="宋体" w:hAnsi="宋体" w:hint="eastAsia"/>
              <w:szCs w:val="21"/>
            </w:rPr>
            <w:t xml:space="preserve">法定代表人: </w:t>
          </w:r>
          <w:r w:rsidR="00124F13">
            <w:rPr>
              <w:rFonts w:ascii="宋体" w:hAnsi="宋体" w:hint="eastAsia"/>
              <w:szCs w:val="21"/>
            </w:rPr>
            <w:t>黄辰立</w:t>
          </w:r>
        </w:p>
        <w:p w14:paraId="4D2049B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成立时间：2004年11月8日</w:t>
          </w:r>
        </w:p>
        <w:p w14:paraId="6AB8B98F"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批准设立机关：中国证监会</w:t>
          </w:r>
        </w:p>
        <w:p w14:paraId="4BB3991C"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批准设立文号：证监基金字[2004]164号</w:t>
          </w:r>
        </w:p>
        <w:p w14:paraId="4405B22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组织形式：有限责任公司</w:t>
          </w:r>
        </w:p>
        <w:p w14:paraId="2991042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注册资本：5.143亿元人民币</w:t>
          </w:r>
        </w:p>
        <w:p w14:paraId="3B58E83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经营范围：发起设立基金、基金管理及中国证监会批准的其他业务</w:t>
          </w:r>
        </w:p>
        <w:p w14:paraId="5CD0771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存续期间：持续经营</w:t>
          </w:r>
        </w:p>
        <w:p w14:paraId="44759EA6" w14:textId="77777777" w:rsidR="00A7580B" w:rsidRDefault="00A7580B">
          <w:pPr>
            <w:spacing w:line="360" w:lineRule="auto"/>
            <w:ind w:firstLineChars="200" w:firstLine="420"/>
            <w:rPr>
              <w:rFonts w:ascii="宋体" w:hAnsi="宋体" w:hint="eastAsia"/>
              <w:szCs w:val="21"/>
            </w:rPr>
          </w:pPr>
        </w:p>
        <w:p w14:paraId="6F54125B" w14:textId="77777777" w:rsidR="00A7580B" w:rsidRDefault="00A7580B">
          <w:pPr>
            <w:spacing w:line="360" w:lineRule="auto"/>
            <w:rPr>
              <w:rFonts w:ascii="宋体" w:hAnsi="宋体" w:hint="eastAsia"/>
              <w:szCs w:val="21"/>
            </w:rPr>
          </w:pPr>
        </w:p>
        <w:p w14:paraId="075114EA" w14:textId="77777777" w:rsidR="00A7580B" w:rsidRDefault="00750D62">
          <w:pPr>
            <w:spacing w:line="360" w:lineRule="auto"/>
            <w:ind w:firstLineChars="200" w:firstLine="422"/>
            <w:rPr>
              <w:rFonts w:ascii="宋体" w:hAnsi="宋体" w:hint="eastAsia"/>
              <w:b/>
              <w:szCs w:val="21"/>
            </w:rPr>
          </w:pPr>
          <w:bookmarkStart w:id="9" w:name="_Toc382819070"/>
          <w:r>
            <w:rPr>
              <w:rFonts w:ascii="宋体" w:hAnsi="宋体" w:hint="eastAsia"/>
              <w:b/>
              <w:szCs w:val="21"/>
            </w:rPr>
            <w:t>基金托管人：上海浦东发展银行股份有限公司</w:t>
          </w:r>
          <w:bookmarkEnd w:id="9"/>
          <w:r>
            <w:rPr>
              <w:rFonts w:ascii="宋体" w:hAnsi="宋体" w:hint="eastAsia"/>
              <w:b/>
              <w:szCs w:val="21"/>
            </w:rPr>
            <w:t>（或简称“托管人”）</w:t>
          </w:r>
        </w:p>
        <w:p w14:paraId="4C9BFF3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住所：上海市黄浦区中山东一路 12 号</w:t>
          </w:r>
        </w:p>
        <w:p w14:paraId="1799DEC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法定代表人：张为忠</w:t>
          </w:r>
        </w:p>
        <w:p w14:paraId="050377C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成立日期：1992年10月19日</w:t>
          </w:r>
        </w:p>
        <w:p w14:paraId="71176CE0" w14:textId="77777777" w:rsidR="00A7580B" w:rsidRDefault="00750D62">
          <w:pPr>
            <w:spacing w:line="360" w:lineRule="auto"/>
            <w:ind w:firstLineChars="200" w:firstLine="420"/>
            <w:rPr>
              <w:rFonts w:ascii="宋体" w:hAnsi="宋体" w:hint="eastAsia"/>
              <w:szCs w:val="21"/>
            </w:rPr>
          </w:pPr>
          <w:bookmarkStart w:id="10" w:name="_Hlk159249079"/>
          <w:r>
            <w:rPr>
              <w:rFonts w:ascii="宋体" w:hAnsi="宋体" w:hint="eastAsia"/>
              <w:szCs w:val="21"/>
            </w:rPr>
            <w:t>基金托管业务资格批准机关：中国证监会</w:t>
          </w:r>
          <w:bookmarkEnd w:id="10"/>
        </w:p>
        <w:p w14:paraId="2AB8CE2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基金托管业务资格文号：证监基金字[2003]105号</w:t>
          </w:r>
        </w:p>
        <w:p w14:paraId="0ECA777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组织形式：股份有限公司（上市）</w:t>
          </w:r>
        </w:p>
        <w:p w14:paraId="0856691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注册资本： 293.52 亿元</w:t>
          </w:r>
        </w:p>
        <w:p w14:paraId="7609CB0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经营期限：永久存续</w:t>
          </w:r>
        </w:p>
        <w:p w14:paraId="70BDBBA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联系地址：上海市黄浦区中山东一路 12 号</w:t>
          </w:r>
        </w:p>
        <w:p w14:paraId="39D5E5A4" w14:textId="77777777" w:rsidR="00A7580B" w:rsidRDefault="00750D62">
          <w:pPr>
            <w:spacing w:line="360" w:lineRule="auto"/>
            <w:ind w:firstLineChars="200" w:firstLine="420"/>
            <w:rPr>
              <w:rFonts w:ascii="宋体" w:hAnsi="宋体" w:hint="eastAsia"/>
              <w:sz w:val="24"/>
            </w:rPr>
          </w:pPr>
          <w:r>
            <w:rPr>
              <w:rFonts w:ascii="宋体" w:hAnsi="宋体" w:hint="eastAsia"/>
              <w:szCs w:val="21"/>
            </w:rPr>
            <w:t>联系电话：021-31888888</w:t>
          </w:r>
        </w:p>
        <w:p w14:paraId="5DD79FEA" w14:textId="77777777" w:rsidR="00A7580B" w:rsidRDefault="00A7580B">
          <w:pPr>
            <w:spacing w:line="360" w:lineRule="auto"/>
            <w:ind w:firstLineChars="200" w:firstLine="480"/>
            <w:rPr>
              <w:rFonts w:ascii="宋体" w:hAnsi="宋体" w:hint="eastAsia"/>
              <w:sz w:val="24"/>
            </w:rPr>
          </w:pPr>
        </w:p>
        <w:p w14:paraId="341EBDF5" w14:textId="77777777" w:rsidR="00A7580B" w:rsidRDefault="00A7580B">
          <w:pPr>
            <w:spacing w:line="360" w:lineRule="auto"/>
            <w:ind w:firstLineChars="200" w:firstLine="480"/>
            <w:rPr>
              <w:rFonts w:ascii="宋体" w:hAnsi="宋体" w:hint="eastAsia"/>
              <w:sz w:val="24"/>
            </w:rPr>
          </w:pPr>
        </w:p>
        <w:p w14:paraId="1A6A33B4" w14:textId="77777777" w:rsidR="00A7580B" w:rsidRDefault="00750D62">
          <w:pPr>
            <w:spacing w:beforeLines="100" w:before="312" w:afterLines="100" w:after="312" w:line="240" w:lineRule="atLeast"/>
            <w:jc w:val="center"/>
            <w:outlineLvl w:val="0"/>
            <w:rPr>
              <w:rFonts w:ascii="宋体" w:hAnsi="宋体" w:hint="eastAsia"/>
            </w:rPr>
          </w:pPr>
          <w:r>
            <w:rPr>
              <w:rFonts w:ascii="宋体" w:hAnsi="宋体"/>
              <w:sz w:val="24"/>
            </w:rPr>
            <w:br w:type="page"/>
          </w:r>
          <w:bookmarkStart w:id="11" w:name="_Toc382819071"/>
          <w:r>
            <w:rPr>
              <w:rFonts w:ascii="宋体" w:hAnsi="宋体" w:hint="eastAsia"/>
              <w:b/>
              <w:sz w:val="24"/>
            </w:rPr>
            <w:lastRenderedPageBreak/>
            <w:t>一、基金托管协议的依据、目的、原则和解释</w:t>
          </w:r>
          <w:bookmarkEnd w:id="11"/>
        </w:p>
        <w:p w14:paraId="774E2FBE" w14:textId="77777777" w:rsidR="00A7580B" w:rsidRDefault="00750D62">
          <w:pPr>
            <w:pStyle w:val="2"/>
            <w:keepNext w:val="0"/>
            <w:keepLines w:val="0"/>
            <w:autoSpaceDE w:val="0"/>
            <w:autoSpaceDN w:val="0"/>
            <w:spacing w:before="0" w:after="0" w:line="360" w:lineRule="auto"/>
            <w:ind w:firstLineChars="150" w:firstLine="315"/>
            <w:rPr>
              <w:rFonts w:ascii="宋体" w:hAnsi="宋体" w:hint="eastAsia"/>
              <w:szCs w:val="21"/>
            </w:rPr>
          </w:pPr>
          <w:r>
            <w:rPr>
              <w:rFonts w:ascii="宋体" w:eastAsia="宋体" w:hAnsi="宋体" w:hint="eastAsia"/>
              <w:b w:val="0"/>
              <w:bCs w:val="0"/>
              <w:sz w:val="21"/>
              <w:szCs w:val="21"/>
            </w:rPr>
            <w:t>（一）依据</w:t>
          </w:r>
        </w:p>
        <w:p w14:paraId="0D8A8470" w14:textId="2D522C80" w:rsidR="00A7580B" w:rsidRDefault="00750D62">
          <w:pPr>
            <w:spacing w:line="360" w:lineRule="auto"/>
            <w:ind w:firstLineChars="200" w:firstLine="420"/>
            <w:rPr>
              <w:rFonts w:ascii="宋体" w:hAnsi="宋体" w:hint="eastAsia"/>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公开募集证券投资基金运作指引第3号——指数基金指引》、《天弘</w:t>
          </w:r>
          <w:r w:rsidR="00154D7C">
            <w:rPr>
              <w:rFonts w:ascii="宋体" w:hAnsi="宋体" w:hint="eastAsia"/>
              <w:szCs w:val="21"/>
            </w:rPr>
            <w:t>创业板指数量化增强型</w:t>
          </w:r>
          <w:r>
            <w:rPr>
              <w:rFonts w:ascii="宋体" w:hAnsi="宋体" w:hint="eastAsia"/>
              <w:szCs w:val="21"/>
            </w:rPr>
            <w:t>证券投资基金基金合同》（以下简称《基金合同》或基金合同）及其他有关法律、法规制定。</w:t>
          </w:r>
        </w:p>
        <w:p w14:paraId="16076C45" w14:textId="77777777" w:rsidR="00A7580B" w:rsidRDefault="00750D62">
          <w:pPr>
            <w:pStyle w:val="2"/>
            <w:keepNext w:val="0"/>
            <w:keepLines w:val="0"/>
            <w:autoSpaceDE w:val="0"/>
            <w:autoSpaceDN w:val="0"/>
            <w:spacing w:before="0" w:after="0" w:line="360" w:lineRule="auto"/>
            <w:ind w:firstLineChars="150" w:firstLine="315"/>
            <w:rPr>
              <w:rFonts w:ascii="宋体" w:hAnsi="宋体" w:hint="eastAsia"/>
              <w:szCs w:val="21"/>
            </w:rPr>
          </w:pPr>
          <w:r>
            <w:rPr>
              <w:rFonts w:ascii="宋体" w:eastAsia="宋体" w:hAnsi="宋体" w:hint="eastAsia"/>
              <w:b w:val="0"/>
              <w:bCs w:val="0"/>
              <w:sz w:val="21"/>
              <w:szCs w:val="21"/>
            </w:rPr>
            <w:t>（二）目的</w:t>
          </w:r>
        </w:p>
        <w:p w14:paraId="35D153A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A831D89" w14:textId="77777777" w:rsidR="00A7580B" w:rsidRDefault="00750D62">
          <w:pPr>
            <w:pStyle w:val="2"/>
            <w:keepNext w:val="0"/>
            <w:keepLines w:val="0"/>
            <w:autoSpaceDE w:val="0"/>
            <w:autoSpaceDN w:val="0"/>
            <w:spacing w:before="0" w:after="0" w:line="360" w:lineRule="auto"/>
            <w:ind w:firstLineChars="150" w:firstLine="315"/>
            <w:rPr>
              <w:rFonts w:ascii="宋体" w:hAnsi="宋体" w:hint="eastAsia"/>
              <w:szCs w:val="21"/>
            </w:rPr>
          </w:pPr>
          <w:r>
            <w:rPr>
              <w:rFonts w:ascii="宋体" w:eastAsia="宋体" w:hAnsi="宋体" w:hint="eastAsia"/>
              <w:b w:val="0"/>
              <w:bCs w:val="0"/>
              <w:sz w:val="21"/>
              <w:szCs w:val="21"/>
            </w:rPr>
            <w:t>（三）原则</w:t>
          </w:r>
        </w:p>
        <w:p w14:paraId="5310F1E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基金管理人和基金托管人本着平等自愿、诚实信用、充分保护基金份额持有人合法权益的原则，经协商一致，签订本协议。</w:t>
          </w:r>
        </w:p>
        <w:p w14:paraId="4C1C07CC" w14:textId="77777777" w:rsidR="00A7580B" w:rsidRDefault="00750D62">
          <w:pPr>
            <w:pStyle w:val="2"/>
            <w:keepNext w:val="0"/>
            <w:keepLines w:val="0"/>
            <w:autoSpaceDE w:val="0"/>
            <w:autoSpaceDN w:val="0"/>
            <w:spacing w:before="0" w:after="0" w:line="360" w:lineRule="auto"/>
            <w:ind w:firstLineChars="150" w:firstLine="315"/>
            <w:rPr>
              <w:rFonts w:ascii="宋体" w:hAnsi="宋体" w:hint="eastAsia"/>
              <w:szCs w:val="21"/>
            </w:rPr>
          </w:pPr>
          <w:r>
            <w:rPr>
              <w:rFonts w:ascii="宋体" w:eastAsia="宋体" w:hAnsi="宋体" w:hint="eastAsia"/>
              <w:b w:val="0"/>
              <w:bCs w:val="0"/>
              <w:sz w:val="21"/>
              <w:szCs w:val="21"/>
            </w:rPr>
            <w:t>（四）解释</w:t>
          </w:r>
        </w:p>
        <w:p w14:paraId="6A640CC0"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除非本协议另有约定，本协议所有术语与《基金合同》的相应术语具有相同含义。</w:t>
          </w:r>
        </w:p>
        <w:p w14:paraId="1B4A1451" w14:textId="77777777" w:rsidR="00A7580B" w:rsidRDefault="00750D62">
          <w:pPr>
            <w:pStyle w:val="2"/>
            <w:keepNext w:val="0"/>
            <w:keepLines w:val="0"/>
            <w:autoSpaceDE w:val="0"/>
            <w:autoSpaceDN w:val="0"/>
            <w:spacing w:before="0" w:after="0" w:line="360" w:lineRule="auto"/>
            <w:ind w:firstLineChars="150" w:firstLine="315"/>
            <w:rPr>
              <w:rFonts w:ascii="宋体" w:eastAsia="宋体" w:hAnsi="宋体" w:hint="eastAsia"/>
              <w:b w:val="0"/>
              <w:bCs w:val="0"/>
              <w:sz w:val="21"/>
              <w:szCs w:val="21"/>
            </w:rPr>
          </w:pPr>
          <w:r>
            <w:rPr>
              <w:rFonts w:ascii="宋体" w:eastAsia="宋体" w:hAnsi="宋体" w:hint="eastAsia"/>
              <w:b w:val="0"/>
              <w:bCs w:val="0"/>
              <w:sz w:val="21"/>
              <w:szCs w:val="21"/>
            </w:rPr>
            <w:t>（五）若本基金实施侧袋机制的，侧袋机制实施期间的相关安排见基金合同和招募说明书的规定。</w:t>
          </w:r>
        </w:p>
        <w:p w14:paraId="03FA36DB" w14:textId="77777777" w:rsidR="00A7580B" w:rsidRDefault="00750D62">
          <w:pPr>
            <w:widowControl/>
            <w:jc w:val="left"/>
            <w:rPr>
              <w:rFonts w:ascii="宋体" w:hAnsi="宋体" w:hint="eastAsia"/>
              <w:szCs w:val="21"/>
            </w:rPr>
          </w:pPr>
          <w:r>
            <w:rPr>
              <w:rFonts w:ascii="宋体" w:hAnsi="宋体"/>
              <w:b/>
              <w:bCs/>
              <w:szCs w:val="21"/>
            </w:rPr>
            <w:br w:type="page"/>
          </w:r>
        </w:p>
        <w:p w14:paraId="3117115A" w14:textId="77777777" w:rsidR="00A7580B" w:rsidRDefault="00750D62">
          <w:pPr>
            <w:spacing w:beforeLines="100" w:before="312" w:afterLines="100" w:after="312" w:line="240" w:lineRule="atLeast"/>
            <w:jc w:val="center"/>
            <w:outlineLvl w:val="0"/>
            <w:rPr>
              <w:rFonts w:ascii="宋体" w:hAnsi="宋体" w:hint="eastAsia"/>
            </w:rPr>
          </w:pPr>
          <w:bookmarkStart w:id="12" w:name="_Toc382819072"/>
          <w:r>
            <w:rPr>
              <w:rFonts w:ascii="宋体" w:hAnsi="宋体" w:hint="eastAsia"/>
              <w:b/>
              <w:sz w:val="24"/>
            </w:rPr>
            <w:lastRenderedPageBreak/>
            <w:t>二、基金托管人对基金管理人的业务监督和核查</w:t>
          </w:r>
          <w:bookmarkEnd w:id="12"/>
        </w:p>
        <w:p w14:paraId="5D018076" w14:textId="77777777" w:rsidR="00A7580B" w:rsidRDefault="00750D62">
          <w:pPr>
            <w:spacing w:after="120" w:line="360" w:lineRule="auto"/>
            <w:ind w:firstLineChars="200" w:firstLine="420"/>
            <w:rPr>
              <w:rFonts w:ascii="宋体" w:hAnsi="宋体" w:hint="eastAsia"/>
              <w:szCs w:val="21"/>
            </w:rPr>
          </w:pPr>
          <w:bookmarkStart w:id="13" w:name="_Toc382819073"/>
          <w:r>
            <w:rPr>
              <w:rFonts w:ascii="宋体" w:hAnsi="宋体" w:hint="eastAsia"/>
              <w:szCs w:val="21"/>
            </w:rPr>
            <w:t>（一）基金托管人对基金管理人的投资行为行使监督权</w:t>
          </w:r>
          <w:bookmarkEnd w:id="13"/>
        </w:p>
        <w:p w14:paraId="1DAA15BF" w14:textId="77777777" w:rsidR="00A7580B" w:rsidRDefault="00750D62">
          <w:pPr>
            <w:widowControl/>
            <w:spacing w:line="360" w:lineRule="auto"/>
            <w:ind w:firstLineChars="200" w:firstLine="420"/>
            <w:jc w:val="left"/>
            <w:rPr>
              <w:rFonts w:ascii="宋体" w:hAnsi="宋体" w:hint="eastAsia"/>
              <w:szCs w:val="21"/>
            </w:rPr>
          </w:pPr>
          <w:r>
            <w:rPr>
              <w:rFonts w:ascii="宋体" w:hAnsi="宋体" w:hint="eastAsia"/>
              <w:szCs w:val="21"/>
            </w:rPr>
            <w:t>1.基金托管人根据有关法律法规的规定和《基金合同》的约定，对下述基金投资范围、投资对象进行监督。</w:t>
          </w:r>
        </w:p>
        <w:p w14:paraId="211102ED" w14:textId="77777777" w:rsidR="00A7580B" w:rsidRDefault="00750D62">
          <w:pPr>
            <w:widowControl/>
            <w:spacing w:line="324" w:lineRule="auto"/>
            <w:ind w:firstLineChars="200" w:firstLine="420"/>
            <w:jc w:val="left"/>
            <w:rPr>
              <w:rFonts w:ascii="宋体" w:hAnsi="宋体" w:cs="宋体" w:hint="eastAsia"/>
              <w:szCs w:val="21"/>
            </w:rPr>
          </w:pPr>
          <w:r>
            <w:rPr>
              <w:rFonts w:ascii="宋体" w:hAnsi="宋体" w:hint="eastAsia"/>
              <w:szCs w:val="21"/>
            </w:rPr>
            <w:t>本</w:t>
          </w:r>
          <w:r>
            <w:rPr>
              <w:rFonts w:ascii="宋体" w:hAnsi="宋体" w:cs="宋体" w:hint="eastAsia"/>
              <w:szCs w:val="21"/>
            </w:rPr>
            <w:t>基金将投资于以下金融工具：</w:t>
          </w:r>
        </w:p>
        <w:p w14:paraId="24A9FCF7" w14:textId="5FD3556E" w:rsidR="00A7580B" w:rsidRDefault="00750D62">
          <w:pPr>
            <w:spacing w:line="360" w:lineRule="auto"/>
            <w:ind w:firstLine="420"/>
            <w:rPr>
              <w:rFonts w:ascii="宋体" w:hAnsi="宋体" w:hint="eastAsia"/>
              <w:b/>
              <w:szCs w:val="21"/>
              <w:u w:val="single"/>
            </w:rPr>
          </w:pPr>
          <w:r>
            <w:rPr>
              <w:rFonts w:ascii="宋体" w:hAnsi="宋体" w:hint="eastAsia"/>
              <w:b/>
              <w:szCs w:val="21"/>
              <w:u w:val="single"/>
            </w:rPr>
            <w:t>本基金的投资范围为具有良好流动性的金融工具，包括国内依法发行上市的股票（包括</w:t>
          </w:r>
          <w:r w:rsidR="00736A8F">
            <w:rPr>
              <w:rFonts w:ascii="宋体" w:hAnsi="宋体" w:hint="eastAsia"/>
              <w:b/>
              <w:szCs w:val="21"/>
              <w:u w:val="single"/>
            </w:rPr>
            <w:t>科创板、</w:t>
          </w:r>
          <w:r>
            <w:rPr>
              <w:rFonts w:ascii="宋体" w:hAnsi="宋体" w:hint="eastAsia"/>
              <w:b/>
              <w:szCs w:val="21"/>
              <w:u w:val="single"/>
            </w:rPr>
            <w:t>创业板及其他经中国证监会允许上市的股票、存托凭证）、</w:t>
          </w:r>
          <w:r w:rsidR="00736A8F" w:rsidRPr="00736A8F">
            <w:rPr>
              <w:rFonts w:ascii="宋体" w:hAnsi="宋体" w:hint="eastAsia"/>
              <w:b/>
              <w:szCs w:val="21"/>
              <w:u w:val="single"/>
            </w:rPr>
            <w:t>港股通标的股票、</w:t>
          </w:r>
          <w:r>
            <w:rPr>
              <w:rFonts w:ascii="宋体" w:hAnsi="宋体" w:hint="eastAsia"/>
              <w:b/>
              <w:szCs w:val="21"/>
              <w:u w:val="single"/>
            </w:rPr>
            <w:t>债券（包括国债、金融债、地方政府债、企业债、公司债、次级债、可转换债券（含可分离交易可转债）、可交换债券、央行票据、中期票据、短期融资券、超短期融资券）、货币市场工具、同业存单、银行存款、债券回购、</w:t>
          </w:r>
          <w:r w:rsidR="00736A8F" w:rsidRPr="00736A8F">
            <w:rPr>
              <w:rFonts w:ascii="宋体" w:hAnsi="宋体" w:hint="eastAsia"/>
              <w:b/>
              <w:szCs w:val="21"/>
              <w:u w:val="single"/>
            </w:rPr>
            <w:t>金融衍生工具（包括国债期货、股指期货、股票期权等）</w:t>
          </w:r>
          <w:r>
            <w:rPr>
              <w:rFonts w:ascii="宋体" w:hAnsi="宋体" w:hint="eastAsia"/>
              <w:b/>
              <w:szCs w:val="21"/>
              <w:u w:val="single"/>
            </w:rPr>
            <w:t>、资产支持证券以及法律法规或中国证监会允许基金投资的其他金融工具（但须符合中国证监会相关规定）。本基金可以根据相关法律法规的规定参与融资和转融通证券出借业务。</w:t>
          </w:r>
        </w:p>
        <w:p w14:paraId="285A526B" w14:textId="77777777" w:rsidR="00A7580B" w:rsidRDefault="00750D62">
          <w:pPr>
            <w:spacing w:line="360" w:lineRule="auto"/>
            <w:ind w:firstLine="420"/>
            <w:rPr>
              <w:rFonts w:ascii="宋体" w:hAnsi="宋体" w:hint="eastAsia"/>
              <w:szCs w:val="21"/>
            </w:rPr>
          </w:pPr>
          <w:r>
            <w:rPr>
              <w:rFonts w:ascii="宋体" w:hAnsi="宋体" w:hint="eastAsia"/>
              <w:b/>
              <w:szCs w:val="21"/>
              <w:u w:val="single"/>
            </w:rPr>
            <w:t>如法律法规或监管机构以后允许基金投资其他品种，基金管理人在履行适当程序后，可以将其纳入投资范围。</w:t>
          </w:r>
          <w:r>
            <w:rPr>
              <w:rFonts w:ascii="宋体" w:hAnsi="宋体" w:hint="eastAsia"/>
              <w:szCs w:val="21"/>
            </w:rPr>
            <w:t xml:space="preserve">                                                 </w:t>
          </w:r>
        </w:p>
        <w:p w14:paraId="2C189FAD" w14:textId="77777777" w:rsidR="00A7580B" w:rsidRDefault="00750D62">
          <w:pPr>
            <w:widowControl/>
            <w:spacing w:line="324" w:lineRule="auto"/>
            <w:ind w:firstLineChars="200" w:firstLine="420"/>
            <w:jc w:val="left"/>
            <w:rPr>
              <w:rFonts w:ascii="宋体" w:hAnsi="宋体" w:hint="eastAsia"/>
              <w:szCs w:val="21"/>
            </w:rPr>
          </w:pPr>
          <w:r>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47B26A4B" w14:textId="77777777" w:rsidR="00A7580B" w:rsidRDefault="00750D62">
          <w:pPr>
            <w:widowControl/>
            <w:spacing w:line="324" w:lineRule="auto"/>
            <w:ind w:firstLineChars="200" w:firstLine="420"/>
            <w:jc w:val="left"/>
            <w:rPr>
              <w:rFonts w:ascii="宋体" w:hAnsi="宋体" w:hint="eastAsia"/>
              <w:szCs w:val="21"/>
            </w:rPr>
          </w:pPr>
          <w:r>
            <w:rPr>
              <w:rFonts w:ascii="宋体" w:hAnsi="宋体" w:hint="eastAsia"/>
              <w:szCs w:val="21"/>
            </w:rPr>
            <w:t>本基金不得投资于相关法律、法规、部门规章及《基金合同》禁止投资的投资工具。</w:t>
          </w:r>
        </w:p>
        <w:p w14:paraId="22A48CCD" w14:textId="77777777" w:rsidR="00A7580B" w:rsidRDefault="00750D62">
          <w:pPr>
            <w:spacing w:after="120" w:line="324" w:lineRule="auto"/>
            <w:ind w:firstLineChars="200" w:firstLine="420"/>
            <w:rPr>
              <w:rFonts w:ascii="宋体" w:hAnsi="宋体" w:hint="eastAsia"/>
              <w:szCs w:val="21"/>
            </w:rPr>
          </w:pPr>
          <w:r>
            <w:rPr>
              <w:rFonts w:ascii="宋体" w:hAnsi="宋体" w:hint="eastAsia"/>
              <w:szCs w:val="21"/>
            </w:rPr>
            <w:t>2.基金托管人根据有关法律法规的规定及《基金合同》的约定对下述基金投融资比例进行监督：</w:t>
          </w:r>
        </w:p>
        <w:p w14:paraId="1DBA47E0" w14:textId="77777777" w:rsidR="00A7580B" w:rsidRDefault="00750D62">
          <w:pPr>
            <w:spacing w:line="324" w:lineRule="auto"/>
            <w:ind w:firstLine="480"/>
            <w:rPr>
              <w:rFonts w:ascii="宋体" w:hAnsi="宋体" w:hint="eastAsia"/>
              <w:szCs w:val="21"/>
            </w:rPr>
          </w:pPr>
          <w:r>
            <w:rPr>
              <w:rFonts w:ascii="宋体" w:hAnsi="宋体" w:hint="eastAsia"/>
              <w:szCs w:val="21"/>
            </w:rPr>
            <w:t>（1）按法律法规的规定及《基金合同》的约定，本基金的投资资产配置比例为：</w:t>
          </w:r>
        </w:p>
        <w:p w14:paraId="0E642715" w14:textId="7E707903" w:rsidR="00A7580B" w:rsidRDefault="00750D62">
          <w:pPr>
            <w:spacing w:line="324" w:lineRule="auto"/>
            <w:ind w:firstLine="480"/>
            <w:rPr>
              <w:rFonts w:ascii="宋体" w:hAnsi="宋体" w:hint="eastAsia"/>
              <w:b/>
              <w:szCs w:val="21"/>
              <w:u w:val="single"/>
            </w:rPr>
          </w:pPr>
          <w:r>
            <w:rPr>
              <w:rFonts w:ascii="宋体" w:hAnsi="宋体" w:hint="eastAsia"/>
              <w:b/>
              <w:szCs w:val="21"/>
              <w:u w:val="single"/>
            </w:rPr>
            <w:t>本基金的投资组合比例为：本基金投资于股票的资产不低于基金资产的</w:t>
          </w:r>
          <w:r w:rsidR="00694C15">
            <w:rPr>
              <w:rFonts w:ascii="宋体" w:hAnsi="宋体" w:hint="eastAsia"/>
              <w:b/>
              <w:szCs w:val="21"/>
              <w:u w:val="single"/>
            </w:rPr>
            <w:t>8</w:t>
          </w:r>
          <w:r>
            <w:rPr>
              <w:rFonts w:ascii="宋体" w:hAnsi="宋体" w:hint="eastAsia"/>
              <w:b/>
              <w:szCs w:val="21"/>
              <w:u w:val="single"/>
            </w:rPr>
            <w:t>0%，</w:t>
          </w:r>
          <w:r w:rsidR="00906526" w:rsidRPr="00906526">
            <w:rPr>
              <w:rFonts w:ascii="宋体" w:hAnsi="宋体" w:hint="eastAsia"/>
              <w:b/>
              <w:szCs w:val="21"/>
              <w:u w:val="single"/>
            </w:rPr>
            <w:t>其中投资于港股通标的股票比例占股票资产的0%-50%，</w:t>
          </w:r>
          <w:r>
            <w:rPr>
              <w:rFonts w:ascii="宋体" w:hAnsi="宋体" w:hint="eastAsia"/>
              <w:b/>
              <w:szCs w:val="21"/>
              <w:u w:val="single"/>
            </w:rPr>
            <w:t>投资于标的指数成份股、备选成份股的资产的比例不低于非现金基金资产的80%；每个交易日日终在扣除</w:t>
          </w:r>
          <w:r w:rsidR="00F27AD8" w:rsidRPr="008E305F">
            <w:rPr>
              <w:rFonts w:ascii="宋体" w:hAnsi="宋体" w:hint="eastAsia"/>
              <w:b/>
              <w:szCs w:val="21"/>
              <w:u w:val="single"/>
            </w:rPr>
            <w:t>国债期货、股指期货和股票期权</w:t>
          </w:r>
          <w:r>
            <w:rPr>
              <w:rFonts w:ascii="宋体" w:hAnsi="宋体" w:hint="eastAsia"/>
              <w:b/>
              <w:szCs w:val="21"/>
              <w:u w:val="single"/>
            </w:rPr>
            <w:t xml:space="preserve">合约需缴纳的交易保证金后，现金或到期日在一年以内的政府债券不低于基金资产净值的5%，其中，现金不包括结算备付金、存出保证金、应收申购款等。如法律法规或中国证监会变更投资品种的投资比例限制，基金管理人在履行适当程序后，可以调整上述投资品种的投资比例。 </w:t>
          </w:r>
        </w:p>
        <w:p w14:paraId="333C07C7" w14:textId="77777777" w:rsidR="00A7580B" w:rsidRDefault="00750D62">
          <w:pPr>
            <w:spacing w:line="360" w:lineRule="auto"/>
            <w:ind w:firstLine="420"/>
            <w:rPr>
              <w:rFonts w:ascii="宋体" w:hAnsi="宋体" w:hint="eastAsia"/>
              <w:szCs w:val="21"/>
            </w:rPr>
          </w:pPr>
          <w:r>
            <w:rPr>
              <w:rFonts w:ascii="宋体" w:hAnsi="宋体" w:hint="eastAsia"/>
              <w:szCs w:val="21"/>
            </w:rPr>
            <w:t>因基金规模或市场变化等因素导致投资组合不符合上述规定的，基金管理人应在合理的</w:t>
          </w:r>
          <w:r>
            <w:rPr>
              <w:rFonts w:ascii="宋体" w:hAnsi="宋体" w:hint="eastAsia"/>
              <w:szCs w:val="21"/>
            </w:rPr>
            <w:lastRenderedPageBreak/>
            <w:t>期限内调整基金的投资组合，以符合上述比例限定。法律法规另有规定时，从其规定。</w:t>
          </w:r>
        </w:p>
        <w:p w14:paraId="21032B25" w14:textId="77777777" w:rsidR="00A7580B" w:rsidRDefault="00750D62">
          <w:pPr>
            <w:spacing w:line="360" w:lineRule="auto"/>
            <w:ind w:firstLine="420"/>
            <w:rPr>
              <w:rFonts w:ascii="宋体" w:hAnsi="宋体" w:hint="eastAsia"/>
              <w:szCs w:val="21"/>
            </w:rPr>
          </w:pPr>
          <w:r>
            <w:rPr>
              <w:rFonts w:ascii="宋体" w:hAnsi="宋体" w:hint="eastAsia"/>
              <w:szCs w:val="21"/>
            </w:rPr>
            <w:t>如法律法规或监管机构以后允许本基金投资其他品种，基金管理人在履行法律法规或监管部门规定的适当程序并取得基金托管人同意后，可以将其纳入投资范围，并可依据届时有效的法律法规适时合理地调整投资范围。</w:t>
          </w:r>
        </w:p>
        <w:p w14:paraId="119AF9B8" w14:textId="77777777" w:rsidR="00A7580B" w:rsidRDefault="00750D62">
          <w:pPr>
            <w:spacing w:line="324" w:lineRule="auto"/>
            <w:ind w:firstLine="480"/>
            <w:rPr>
              <w:rFonts w:ascii="宋体" w:hAnsi="宋体" w:hint="eastAsia"/>
              <w:szCs w:val="21"/>
            </w:rPr>
          </w:pPr>
          <w:r>
            <w:rPr>
              <w:rFonts w:ascii="宋体" w:hAnsi="宋体" w:hint="eastAsia"/>
              <w:szCs w:val="21"/>
            </w:rPr>
            <w:t xml:space="preserve">（2）根据法律法规的规定及《基金合同》的约定，本基金投资组合遵循以下投资限制： </w:t>
          </w:r>
        </w:p>
        <w:p w14:paraId="016AC211" w14:textId="3BDF520A"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1）本基金投资于股票的资产不低于基金资产的</w:t>
          </w:r>
          <w:r w:rsidR="00906526">
            <w:rPr>
              <w:rFonts w:ascii="宋体" w:hAnsi="宋体" w:hint="eastAsia"/>
              <w:b/>
              <w:szCs w:val="21"/>
              <w:u w:val="single"/>
            </w:rPr>
            <w:t>8</w:t>
          </w:r>
          <w:r>
            <w:rPr>
              <w:rFonts w:ascii="宋体" w:hAnsi="宋体" w:hint="eastAsia"/>
              <w:b/>
              <w:szCs w:val="21"/>
              <w:u w:val="single"/>
            </w:rPr>
            <w:t>0%，</w:t>
          </w:r>
          <w:r w:rsidR="00906526" w:rsidRPr="00906526">
            <w:rPr>
              <w:rFonts w:ascii="宋体" w:hAnsi="宋体" w:hint="eastAsia"/>
              <w:b/>
              <w:szCs w:val="21"/>
              <w:u w:val="single"/>
            </w:rPr>
            <w:t>其中投资于港股通标的股票比例占股票资产的0%-50%，</w:t>
          </w:r>
          <w:r>
            <w:rPr>
              <w:rFonts w:ascii="宋体" w:hAnsi="宋体" w:hint="eastAsia"/>
              <w:b/>
              <w:szCs w:val="21"/>
              <w:u w:val="single"/>
            </w:rPr>
            <w:t>投资于标的指数成份股和备选成份股的资产比例不低于非现金基金资产的80%；</w:t>
          </w:r>
        </w:p>
        <w:p w14:paraId="77A3BED2" w14:textId="015B1D7B"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2）每个交易日日终在扣除</w:t>
          </w:r>
          <w:r w:rsidR="00F27AD8" w:rsidRPr="00F27AD8">
            <w:rPr>
              <w:rFonts w:ascii="宋体" w:hAnsi="宋体" w:hint="eastAsia"/>
              <w:b/>
              <w:szCs w:val="21"/>
              <w:u w:val="single"/>
            </w:rPr>
            <w:t>国债期货、股指期货和股票期权</w:t>
          </w:r>
          <w:r>
            <w:rPr>
              <w:rFonts w:ascii="宋体" w:hAnsi="宋体" w:hint="eastAsia"/>
              <w:b/>
              <w:szCs w:val="21"/>
              <w:u w:val="single"/>
            </w:rPr>
            <w:t>合约需缴纳的交易保证金后，保持不低于基金资产净值5％的现金或者到期日在一年以内的政府债券，其中现金不包括结算备付金、存出保证金和应收申购款等；</w:t>
          </w:r>
        </w:p>
        <w:p w14:paraId="5FDC646A" w14:textId="7F8EDA4E"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3）本基金持有一家公司发行的证券</w:t>
          </w:r>
          <w:r w:rsidR="00F27AD8" w:rsidRPr="00F27AD8">
            <w:rPr>
              <w:rFonts w:ascii="宋体" w:hAnsi="宋体" w:hint="eastAsia"/>
              <w:b/>
              <w:szCs w:val="21"/>
              <w:u w:val="single"/>
            </w:rPr>
            <w:t>（同一家公司在内地和香港同时上市的A+H股合并计算）</w:t>
          </w:r>
          <w:r>
            <w:rPr>
              <w:rFonts w:ascii="宋体" w:hAnsi="宋体" w:hint="eastAsia"/>
              <w:b/>
              <w:szCs w:val="21"/>
              <w:u w:val="single"/>
            </w:rPr>
            <w:t>，其市值不超过基金资产净值的10％，完全按照有关指数的构成比例进行证券投资的部分不受此限制；</w:t>
          </w:r>
        </w:p>
        <w:p w14:paraId="25053211" w14:textId="48F5041D"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4）本基金管理人管理的全部基金持有一家公司发行的证券</w:t>
          </w:r>
          <w:r w:rsidR="00F27AD8" w:rsidRPr="00F27AD8">
            <w:rPr>
              <w:rFonts w:ascii="宋体" w:hAnsi="宋体" w:hint="eastAsia"/>
              <w:b/>
              <w:szCs w:val="21"/>
              <w:u w:val="single"/>
            </w:rPr>
            <w:t>（同一家公司在内地和香港同时上市的A+H股合并计算）</w:t>
          </w:r>
          <w:r>
            <w:rPr>
              <w:rFonts w:ascii="宋体" w:hAnsi="宋体" w:hint="eastAsia"/>
              <w:b/>
              <w:szCs w:val="21"/>
              <w:u w:val="single"/>
            </w:rPr>
            <w:t>，不超过该证券的10％，完全按照有关指数的构成比例进行证券投资的部分不受此限制；</w:t>
          </w:r>
        </w:p>
        <w:p w14:paraId="535E7DCE"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5）本基金投资于同一原始权益人的各类资产支持证券的比例，不得超过基金资产净值的10％；</w:t>
          </w:r>
        </w:p>
        <w:p w14:paraId="6B0D3A8D"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6）本基金持有的全部资产支持证券，其市值不得超过基金资产净值的20％；</w:t>
          </w:r>
        </w:p>
        <w:p w14:paraId="758C1095"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7）本基金持有的同一(指同一信用级别)资产支持证券的比例，不得超过该资产支持证券规模的10％；</w:t>
          </w:r>
        </w:p>
        <w:p w14:paraId="19650A8F"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8）本基金管理人管理的全部基金投资于同一原始权益人的各类资产支持证券，不得超过其各类资产支持证券合计规模的10％；</w:t>
          </w:r>
        </w:p>
        <w:p w14:paraId="5452CF1D"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9）本基金应投资于信用级别评级为BBB以上(含BBB)的资产支持证券。基金持有资产支持证券期间，如果其信用等级下降、不再符合投资标准，应在评级报告发布之日起3个月内予以全部卖出；</w:t>
          </w:r>
        </w:p>
        <w:p w14:paraId="07E06A19"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10）基金财产参与股票发行申购，本基金所申报的金额不超过本基金的总资产，本基金所申报的股票数量不超过拟发行股票公司本次发行股票的总量；</w:t>
          </w:r>
        </w:p>
        <w:p w14:paraId="4752FD66" w14:textId="1F86B4FA"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lastRenderedPageBreak/>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r w:rsidR="00F27AD8" w:rsidRPr="00F27AD8">
            <w:rPr>
              <w:rFonts w:ascii="宋体" w:hAnsi="宋体" w:hint="eastAsia"/>
              <w:b/>
              <w:szCs w:val="21"/>
              <w:u w:val="single"/>
            </w:rPr>
            <w:t>完全按照有关指数的构成比例进行证券投资的部分不受此限制</w:t>
          </w:r>
          <w:r>
            <w:rPr>
              <w:rFonts w:ascii="宋体" w:hAnsi="宋体" w:hint="eastAsia"/>
              <w:b/>
              <w:szCs w:val="21"/>
              <w:u w:val="single"/>
            </w:rPr>
            <w:t>；</w:t>
          </w:r>
        </w:p>
        <w:p w14:paraId="55D0145C"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AA9F340"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13）本基金与私募类证券资管产品及中国证监会认定的其他主体为交易对手开展逆回购交易的，可接受质押品的资质要求应当与基金合同约定的投资范围保持一致；</w:t>
          </w:r>
        </w:p>
        <w:p w14:paraId="54E5B252" w14:textId="0F2F9274"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14）本基金资产总值不超过基金资产净值的140%；</w:t>
          </w:r>
        </w:p>
        <w:p w14:paraId="1D63D138" w14:textId="774874EA" w:rsidR="00F27AD8" w:rsidRPr="00F27AD8" w:rsidRDefault="00F27AD8" w:rsidP="00F27AD8">
          <w:pPr>
            <w:spacing w:after="120" w:line="440" w:lineRule="exact"/>
            <w:ind w:firstLineChars="200" w:firstLine="422"/>
            <w:rPr>
              <w:rFonts w:ascii="宋体" w:hAnsi="宋体" w:hint="eastAsia"/>
              <w:b/>
              <w:szCs w:val="21"/>
              <w:u w:val="single"/>
            </w:rPr>
          </w:pPr>
          <w:r w:rsidRPr="00F27AD8">
            <w:rPr>
              <w:rFonts w:ascii="宋体" w:hAnsi="宋体" w:hint="eastAsia"/>
              <w:b/>
              <w:szCs w:val="21"/>
              <w:u w:val="single"/>
            </w:rPr>
            <w:t>15）本基金参与股指期货、国债期货交易，需遵循下述投资比例限制：</w:t>
          </w:r>
        </w:p>
        <w:p w14:paraId="195E03A0" w14:textId="77777777" w:rsidR="00F27AD8" w:rsidRPr="00F27AD8" w:rsidRDefault="00F27AD8" w:rsidP="00F27AD8">
          <w:pPr>
            <w:spacing w:after="120" w:line="440" w:lineRule="exact"/>
            <w:ind w:firstLineChars="200" w:firstLine="422"/>
            <w:rPr>
              <w:rFonts w:ascii="宋体" w:hAnsi="宋体" w:hint="eastAsia"/>
              <w:b/>
              <w:szCs w:val="21"/>
              <w:u w:val="single"/>
            </w:rPr>
          </w:pPr>
          <w:r w:rsidRPr="00F27AD8">
            <w:rPr>
              <w:rFonts w:ascii="宋体" w:hAnsi="宋体" w:hint="eastAsia"/>
              <w:b/>
              <w:szCs w:val="21"/>
              <w:u w:val="single"/>
            </w:rPr>
            <w:t>在任何交易日日终，持有的买入股指期货合约价值，不得超过基金资产净值的10%；在任何交易日日终，持有的买入股指期货及国债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46BDC008" w14:textId="2F8BA1E8" w:rsidR="00F27AD8" w:rsidRPr="00F27AD8" w:rsidRDefault="00F27AD8" w:rsidP="00F27AD8">
          <w:pPr>
            <w:spacing w:after="120" w:line="440" w:lineRule="exact"/>
            <w:ind w:firstLineChars="200" w:firstLine="422"/>
            <w:rPr>
              <w:rFonts w:ascii="宋体" w:hAnsi="宋体" w:hint="eastAsia"/>
              <w:b/>
              <w:szCs w:val="21"/>
              <w:u w:val="single"/>
            </w:rPr>
          </w:pPr>
          <w:r w:rsidRPr="00F27AD8">
            <w:rPr>
              <w:rFonts w:ascii="宋体" w:hAnsi="宋体" w:hint="eastAsia"/>
              <w:b/>
              <w:szCs w:val="21"/>
              <w:u w:val="single"/>
            </w:rPr>
            <w:t xml:space="preserve">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 </w:t>
          </w:r>
        </w:p>
        <w:p w14:paraId="2F1221F1" w14:textId="28005362" w:rsidR="00F27AD8" w:rsidRDefault="00F27AD8" w:rsidP="00F27AD8">
          <w:pPr>
            <w:spacing w:after="120" w:line="440" w:lineRule="exact"/>
            <w:ind w:firstLineChars="200" w:firstLine="422"/>
            <w:rPr>
              <w:rFonts w:ascii="宋体" w:hAnsi="宋体" w:hint="eastAsia"/>
              <w:b/>
              <w:szCs w:val="21"/>
              <w:u w:val="single"/>
            </w:rPr>
          </w:pPr>
          <w:r>
            <w:rPr>
              <w:rFonts w:ascii="宋体" w:hAnsi="宋体"/>
              <w:b/>
              <w:szCs w:val="21"/>
              <w:u w:val="single"/>
            </w:rPr>
            <w:t>1</w:t>
          </w:r>
          <w:r w:rsidRPr="00F27AD8">
            <w:rPr>
              <w:rFonts w:ascii="宋体" w:hAnsi="宋体" w:hint="eastAsia"/>
              <w:b/>
              <w:szCs w:val="21"/>
              <w:u w:val="single"/>
            </w:rPr>
            <w:t>6）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w:t>
          </w:r>
          <w:r w:rsidRPr="00F27AD8">
            <w:rPr>
              <w:rFonts w:ascii="宋体" w:hAnsi="宋体" w:hint="eastAsia"/>
              <w:b/>
              <w:szCs w:val="21"/>
              <w:u w:val="single"/>
            </w:rPr>
            <w:lastRenderedPageBreak/>
            <w:t>按照行权价乘以合约乘数计算；</w:t>
          </w:r>
        </w:p>
        <w:p w14:paraId="0E89E69A" w14:textId="1777B4FA" w:rsidR="00A7580B" w:rsidRDefault="00F27AD8">
          <w:pPr>
            <w:spacing w:after="120" w:line="440" w:lineRule="exact"/>
            <w:ind w:firstLineChars="200" w:firstLine="422"/>
            <w:rPr>
              <w:rFonts w:ascii="宋体" w:hAnsi="宋体" w:hint="eastAsia"/>
              <w:b/>
              <w:szCs w:val="21"/>
              <w:u w:val="single"/>
            </w:rPr>
          </w:pPr>
          <w:r>
            <w:rPr>
              <w:rFonts w:ascii="宋体" w:hAnsi="宋体"/>
              <w:b/>
              <w:szCs w:val="21"/>
              <w:u w:val="single"/>
            </w:rPr>
            <w:t>17</w:t>
          </w:r>
          <w:r w:rsidR="00C77C8F">
            <w:rPr>
              <w:rFonts w:ascii="宋体" w:hAnsi="宋体" w:hint="eastAsia"/>
              <w:b/>
              <w:szCs w:val="21"/>
              <w:u w:val="single"/>
            </w:rPr>
            <w:t>）</w:t>
          </w:r>
          <w:r w:rsidR="00750D62">
            <w:rPr>
              <w:rFonts w:ascii="宋体" w:hAnsi="宋体" w:hint="eastAsia"/>
              <w:b/>
              <w:szCs w:val="21"/>
              <w:u w:val="single"/>
            </w:rPr>
            <w:t>本基金参与融资业务后，在任何交易日日终，持有的融资买入股票与其他有价证券市值之和，不得超过基金资产净值的 95%；</w:t>
          </w:r>
        </w:p>
        <w:p w14:paraId="5B605D36" w14:textId="66668980" w:rsidR="00A7580B" w:rsidRDefault="00F27AD8">
          <w:pPr>
            <w:spacing w:after="120" w:line="440" w:lineRule="exact"/>
            <w:ind w:firstLineChars="200" w:firstLine="422"/>
            <w:rPr>
              <w:rFonts w:ascii="宋体" w:hAnsi="宋体" w:hint="eastAsia"/>
              <w:b/>
              <w:szCs w:val="21"/>
              <w:u w:val="single"/>
            </w:rPr>
          </w:pPr>
          <w:r>
            <w:rPr>
              <w:rFonts w:ascii="宋体" w:hAnsi="宋体"/>
              <w:b/>
              <w:szCs w:val="21"/>
              <w:u w:val="single"/>
            </w:rPr>
            <w:t>18</w:t>
          </w:r>
          <w:r w:rsidR="00750D62">
            <w:rPr>
              <w:rFonts w:ascii="宋体" w:hAnsi="宋体" w:hint="eastAsia"/>
              <w:b/>
              <w:szCs w:val="21"/>
              <w:u w:val="single"/>
            </w:rPr>
            <w:t>）本基金参与转融通证券出借业务的，应当符合下列要求：最近6个月内日均基金资产净值不低于2亿元；参与转融通证券出借业务的资产不得超过基金资产净值的30%，出借期限在10个交易日以上的出借证券归为流动性受限资产；同时，本基金参与出借业务的单只证券不得超过本基金持有该证券总量的50%，证券出借的平均剩余期限不得超过30天，平均剩余期限按照市值加权平均计算；</w:t>
          </w:r>
        </w:p>
        <w:p w14:paraId="1AE4D475" w14:textId="06B5D390" w:rsidR="00A7580B" w:rsidRDefault="00F27AD8">
          <w:pPr>
            <w:spacing w:after="120" w:line="440" w:lineRule="exact"/>
            <w:ind w:firstLineChars="200" w:firstLine="422"/>
            <w:rPr>
              <w:rFonts w:ascii="宋体" w:hAnsi="宋体" w:hint="eastAsia"/>
              <w:b/>
              <w:szCs w:val="21"/>
              <w:u w:val="single"/>
            </w:rPr>
          </w:pPr>
          <w:r>
            <w:rPr>
              <w:rFonts w:ascii="宋体" w:hAnsi="宋体"/>
              <w:b/>
              <w:szCs w:val="21"/>
              <w:u w:val="single"/>
            </w:rPr>
            <w:t>19</w:t>
          </w:r>
          <w:bookmarkStart w:id="14" w:name="OLE_LINK1"/>
          <w:bookmarkStart w:id="15" w:name="OLE_LINK2"/>
          <w:r w:rsidR="00750D62">
            <w:rPr>
              <w:rFonts w:ascii="宋体" w:hAnsi="宋体" w:hint="eastAsia"/>
              <w:b/>
              <w:szCs w:val="21"/>
              <w:u w:val="single"/>
            </w:rPr>
            <w:t>）</w:t>
          </w:r>
          <w:bookmarkEnd w:id="14"/>
          <w:bookmarkEnd w:id="15"/>
          <w:r w:rsidR="00750D62">
            <w:rPr>
              <w:rFonts w:ascii="宋体" w:hAnsi="宋体" w:hint="eastAsia"/>
              <w:b/>
              <w:szCs w:val="21"/>
              <w:u w:val="single"/>
            </w:rPr>
            <w:t>本基金投资存托凭证的比例限制依照境内上市交易的股票执行，与境内上市交易的股票合并计算，法律法规或监管机构另有规定从其规定；</w:t>
          </w:r>
        </w:p>
        <w:p w14:paraId="57B75F4C" w14:textId="0881E98C"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2</w:t>
          </w:r>
          <w:r w:rsidR="00F27AD8">
            <w:rPr>
              <w:rFonts w:ascii="宋体" w:hAnsi="宋体"/>
              <w:b/>
              <w:szCs w:val="21"/>
              <w:u w:val="single"/>
            </w:rPr>
            <w:t>0</w:t>
          </w:r>
          <w:r>
            <w:rPr>
              <w:rFonts w:ascii="宋体" w:hAnsi="宋体" w:hint="eastAsia"/>
              <w:b/>
              <w:szCs w:val="21"/>
              <w:u w:val="single"/>
            </w:rPr>
            <w:t>）法律法规及中国证监会规定的和《基金合同》约定的其他投资限制。</w:t>
          </w:r>
        </w:p>
        <w:p w14:paraId="30CFDBCC" w14:textId="64E4C76D"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除上述2）、9）、12）、13）、</w:t>
          </w:r>
          <w:r w:rsidR="00F27AD8">
            <w:rPr>
              <w:rFonts w:ascii="宋体" w:hAnsi="宋体"/>
              <w:b/>
              <w:szCs w:val="21"/>
              <w:u w:val="single"/>
            </w:rPr>
            <w:t>18</w:t>
          </w:r>
          <w:r>
            <w:rPr>
              <w:rFonts w:ascii="宋体" w:hAnsi="宋体" w:hint="eastAsia"/>
              <w:b/>
              <w:szCs w:val="21"/>
              <w:u w:val="single"/>
            </w:rPr>
            <w:t>）</w:t>
          </w:r>
          <w:r w:rsidR="00C77C8F">
            <w:rPr>
              <w:rFonts w:ascii="宋体" w:hAnsi="宋体" w:hint="eastAsia"/>
              <w:b/>
              <w:szCs w:val="21"/>
              <w:u w:val="single"/>
            </w:rPr>
            <w:t>项</w:t>
          </w:r>
          <w:r>
            <w:rPr>
              <w:rFonts w:ascii="宋体" w:hAnsi="宋体" w:hint="eastAsia"/>
              <w:b/>
              <w:szCs w:val="21"/>
              <w:u w:val="single"/>
            </w:rPr>
            <w:t>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市场波动、证券发行人合并、基金规模变动等基金管理人之外的因素致使基金投资不符合</w:t>
          </w:r>
          <w:r w:rsidR="002E1EE8">
            <w:rPr>
              <w:rFonts w:ascii="宋体" w:hAnsi="宋体" w:hint="eastAsia"/>
              <w:b/>
              <w:szCs w:val="21"/>
              <w:u w:val="single"/>
            </w:rPr>
            <w:t>第</w:t>
          </w:r>
          <w:r w:rsidR="002E1EE8">
            <w:rPr>
              <w:rFonts w:ascii="宋体" w:hAnsi="宋体"/>
              <w:b/>
              <w:szCs w:val="21"/>
              <w:u w:val="single"/>
            </w:rPr>
            <w:t>18</w:t>
          </w:r>
          <w:r>
            <w:rPr>
              <w:rFonts w:ascii="宋体" w:hAnsi="宋体" w:hint="eastAsia"/>
              <w:b/>
              <w:szCs w:val="21"/>
              <w:u w:val="single"/>
            </w:rPr>
            <w:t>）项规定的，基金管理人不得新增出借业务。法律法规或监管机构另有规定的，从其规定。</w:t>
          </w:r>
        </w:p>
        <w:p w14:paraId="312FFE3F"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9398843" w14:textId="77777777" w:rsidR="00A7580B" w:rsidRDefault="00750D62">
          <w:pPr>
            <w:spacing w:after="120" w:line="440" w:lineRule="exact"/>
            <w:ind w:firstLineChars="200" w:firstLine="422"/>
            <w:rPr>
              <w:rFonts w:ascii="宋体" w:hAnsi="宋体" w:hint="eastAsia"/>
              <w:b/>
              <w:szCs w:val="21"/>
              <w:u w:val="single"/>
            </w:rPr>
          </w:pPr>
          <w:r>
            <w:rPr>
              <w:rFonts w:ascii="宋体" w:hAnsi="宋体" w:hint="eastAsia"/>
              <w:b/>
              <w:szCs w:val="21"/>
              <w:u w:val="single"/>
            </w:rPr>
            <w:t>如果法律法规或监管部门对上述投资组合比例限制进行变更的，以变更后的规定为准。法律法规或监管部门取消上述限制，如适用于本基金，基金管理人在履行适当程序后，则本基金投资不再受相关限制，但须提前公告。</w:t>
          </w:r>
        </w:p>
        <w:p w14:paraId="4F2D2FDB" w14:textId="77777777" w:rsidR="00A7580B" w:rsidRDefault="00750D62">
          <w:pPr>
            <w:spacing w:after="120" w:line="440" w:lineRule="exact"/>
            <w:ind w:firstLineChars="200" w:firstLine="420"/>
            <w:rPr>
              <w:rFonts w:ascii="宋体" w:hAnsi="宋体" w:hint="eastAsia"/>
              <w:szCs w:val="21"/>
            </w:rPr>
          </w:pPr>
          <w:r>
            <w:rPr>
              <w:rFonts w:ascii="宋体" w:hAnsi="宋体" w:hint="eastAsia"/>
              <w:szCs w:val="21"/>
            </w:rPr>
            <w:t xml:space="preserve">3.基金托管人根据有关法律法规的规定及《基金合同》的约定对下述基金投资禁止行为进行监督： </w:t>
          </w:r>
        </w:p>
        <w:p w14:paraId="1391C345"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（1）承销证券；</w:t>
          </w:r>
        </w:p>
        <w:p w14:paraId="59FCF852"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（2）违反规定向他人贷款或者提供担保；</w:t>
          </w:r>
        </w:p>
        <w:p w14:paraId="58CF3BDA"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（3）从事承担无限责任的投资；</w:t>
          </w:r>
        </w:p>
        <w:p w14:paraId="213800C6"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（4）买卖其他基金份额，但是法律法规或中国证监会另有规定的除外；</w:t>
          </w:r>
        </w:p>
        <w:p w14:paraId="7C8278F4"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lastRenderedPageBreak/>
            <w:t>（5）向其基金管理人、基金托管人出资；</w:t>
          </w:r>
        </w:p>
        <w:p w14:paraId="34671E5B"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（6）从事内幕交易、操纵证券交易价格及其他不正当的证券交易活动；</w:t>
          </w:r>
        </w:p>
        <w:p w14:paraId="73044A51"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（7）法律、行政法规和中国证监会规定禁止的其他活动。</w:t>
          </w:r>
        </w:p>
        <w:p w14:paraId="06A40DA6" w14:textId="77777777" w:rsidR="00A7580B" w:rsidRDefault="00750D62">
          <w:pPr>
            <w:spacing w:line="360" w:lineRule="auto"/>
            <w:ind w:left="1" w:firstLineChars="225" w:firstLine="473"/>
            <w:rPr>
              <w:rFonts w:ascii="宋体" w:hAnsi="宋体" w:hint="eastAsia"/>
              <w:szCs w:val="21"/>
            </w:rPr>
          </w:pPr>
          <w:r>
            <w:rPr>
              <w:rFonts w:ascii="宋体" w:hAnsi="宋体" w:hint="eastAsia"/>
              <w:szCs w:val="21"/>
            </w:rPr>
            <w:t>法律法规或监管部门对上述禁止行为作出强制性调整的，本基金应当按照法律法规或监管部门的规定执行；如法律法规或监管部门修改或调整涉及本基金的禁止行为，且该等调整或修改属于非强制性的，则基金管理人与基金托管人协商一致后，可按照法律法规或监管部门调整或修改后的规定执行，但基金管理人在执行法律法规或监管部门调整或修改后的规定前，应在履行适当程序后向投资者履行信息披露义务。</w:t>
          </w:r>
        </w:p>
        <w:p w14:paraId="5EAC5578" w14:textId="77777777" w:rsidR="00A7580B" w:rsidRDefault="00750D62">
          <w:pPr>
            <w:spacing w:line="440" w:lineRule="exact"/>
            <w:ind w:firstLine="397"/>
            <w:rPr>
              <w:rFonts w:ascii="宋体" w:hAnsi="宋体" w:hint="eastAsia"/>
              <w:szCs w:val="21"/>
            </w:rPr>
          </w:pPr>
          <w:r>
            <w:rPr>
              <w:rFonts w:ascii="宋体" w:hAnsi="宋体" w:cs="宋体" w:hint="eastAsia"/>
              <w:szCs w:val="21"/>
            </w:rPr>
            <w:t>4.基金托管人依据有关法律法规的规定和《基金合同》的约定对于基金关联投资限制进行监督。</w:t>
          </w:r>
        </w:p>
        <w:p w14:paraId="1457D754"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EC793A"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5.基金托管人</w:t>
          </w:r>
          <w:r>
            <w:rPr>
              <w:rFonts w:ascii="宋体" w:hAnsi="宋体" w:cs="宋体" w:hint="eastAsia"/>
              <w:szCs w:val="21"/>
            </w:rPr>
            <w:t>依据有关法律法规的规定和《基金合同》的约定</w:t>
          </w:r>
          <w:r>
            <w:rPr>
              <w:rFonts w:ascii="宋体" w:hAnsi="宋体" w:hint="eastAsia"/>
              <w:szCs w:val="21"/>
            </w:rPr>
            <w:t>对基金管理人参与银行间债券市场进行监督。</w:t>
          </w:r>
        </w:p>
        <w:p w14:paraId="72F35306"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7BC50CC7"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基金管理人有责任控制交易对手的资信风险，由于交易对手的资信风险引起的损失，基金管理人应当负责向相关责任人追偿。基金托管人不承担由此引发的责任及损失，但应当予以必要的协助。</w:t>
          </w:r>
        </w:p>
        <w:p w14:paraId="51883B62"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6. 基金托管人依据有关法律法规的规定和《基金合同》的约定，对基金投资银行存款业务进行监督。</w:t>
          </w:r>
        </w:p>
        <w:p w14:paraId="725AF9A3" w14:textId="77777777" w:rsidR="00A7580B" w:rsidRDefault="00750D62">
          <w:pPr>
            <w:spacing w:line="440" w:lineRule="exact"/>
            <w:ind w:firstLineChars="215" w:firstLine="451"/>
            <w:rPr>
              <w:rFonts w:ascii="宋体" w:hAnsi="宋体" w:hint="eastAsia"/>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基金管理人应当加强对基金投资银行存款风险的评估与研究，严格测算与控制投资银行存款的风险敞口，针对不同类型存款银行建立相关投资限制制度。对于基金投资的银行存</w:t>
          </w:r>
          <w:r>
            <w:rPr>
              <w:rFonts w:ascii="宋体" w:hAnsi="宋体" w:hint="eastAsia"/>
              <w:szCs w:val="21"/>
            </w:rPr>
            <w:lastRenderedPageBreak/>
            <w:t>款，由于存款银行发生信用风险事件而造成损失时，应先由基金管理人负责赔偿，之后有权向相关责任人进行追偿。如果基金托管人在运作过程中遵循</w:t>
          </w:r>
          <w:r>
            <w:rPr>
              <w:rFonts w:ascii="宋体" w:hAnsi="宋体" w:cs="宋体" w:hint="eastAsia"/>
              <w:szCs w:val="21"/>
            </w:rPr>
            <w:t>有关法律法规的规定和《基金合同》的约定</w:t>
          </w:r>
          <w:r>
            <w:rPr>
              <w:rFonts w:ascii="宋体" w:hAnsi="宋体" w:hint="eastAsia"/>
              <w:szCs w:val="21"/>
            </w:rPr>
            <w:t>监督流程，则对于由于存款银行信用风险引起的损失，不承担赔偿责任。</w:t>
          </w:r>
        </w:p>
        <w:p w14:paraId="2727D6A8" w14:textId="77777777" w:rsidR="00A7580B" w:rsidRDefault="00750D62">
          <w:pPr>
            <w:spacing w:line="440" w:lineRule="exact"/>
            <w:ind w:firstLineChars="215" w:firstLine="451"/>
            <w:rPr>
              <w:rFonts w:ascii="宋体" w:hAnsi="宋体" w:hint="eastAsia"/>
              <w:szCs w:val="21"/>
            </w:rPr>
          </w:pPr>
          <w:r>
            <w:rPr>
              <w:rFonts w:ascii="宋体" w:hAnsi="宋体" w:hint="eastAsia"/>
              <w:szCs w:val="21"/>
            </w:rPr>
            <w:t>7.基金托管人对基金投资流通受限证券的监督</w:t>
          </w:r>
        </w:p>
        <w:p w14:paraId="3E62A8FF" w14:textId="77777777" w:rsidR="00A7580B" w:rsidRDefault="00750D62">
          <w:pPr>
            <w:spacing w:line="440" w:lineRule="exact"/>
            <w:ind w:firstLineChars="215" w:firstLine="451"/>
            <w:rPr>
              <w:rFonts w:ascii="宋体" w:hAnsi="宋体" w:hint="eastAsia"/>
              <w:szCs w:val="21"/>
            </w:rPr>
          </w:pPr>
          <w:r>
            <w:rPr>
              <w:rFonts w:ascii="宋体" w:hAnsi="宋体" w:hint="eastAsia"/>
              <w:szCs w:val="21"/>
            </w:rPr>
            <w:t>如下所指“流通受限证券”与本协议以及基金合同所指“流动性受限资产”定义存在不同。就流动性受限资产定义，请参照基金合同的“</w:t>
          </w:r>
          <w:r>
            <w:rPr>
              <w:rFonts w:ascii="宋体" w:hAnsi="宋体" w:hint="eastAsia"/>
              <w:szCs w:val="21"/>
              <w:u w:val="single"/>
            </w:rPr>
            <w:t xml:space="preserve"> 第二部分 释义</w:t>
          </w:r>
          <w:r>
            <w:rPr>
              <w:rFonts w:ascii="宋体" w:hAnsi="宋体"/>
              <w:szCs w:val="21"/>
              <w:u w:val="single"/>
            </w:rPr>
            <w:t xml:space="preserve">  </w:t>
          </w:r>
          <w:r>
            <w:rPr>
              <w:rFonts w:ascii="宋体" w:hAnsi="宋体" w:hint="eastAsia"/>
              <w:szCs w:val="21"/>
            </w:rPr>
            <w:t>”部分。</w:t>
          </w:r>
        </w:p>
        <w:p w14:paraId="69FA20C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3BC8E3A3"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D1C08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1DD3CC7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对本基金投资流通受限证券的流动性风险负责，力争确保对相关风险采取积极有效的措施，尽力在合理的时间内有效解决基金运作的流动性问题。对本基金因投资流通受限证券导致的流动性风险，基金托管人不承担任何责任，但基金托管人存在过错或违反本协议约定的情况除外。如因基金管理人原因导致本基金出现损失的，基金托管人不承担任何责任。</w:t>
          </w:r>
        </w:p>
        <w:p w14:paraId="6158C24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2521389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0683DD4F"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如基金管理人未遵守相关制度、流动性风险处置方案以及投资额度和比例限制要求，导</w:t>
          </w:r>
          <w:r>
            <w:rPr>
              <w:rFonts w:ascii="宋体" w:hAnsi="宋体" w:hint="eastAsia"/>
              <w:szCs w:val="21"/>
            </w:rPr>
            <w:lastRenderedPageBreak/>
            <w:t>致基金出现风险使基金托管人承担赔偿责任的，若基金托管人此前已切实履行监督职责的，基金管理人应赔偿基金托管人由此遭受的损失。</w:t>
          </w:r>
        </w:p>
        <w:p w14:paraId="0BCDCFE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71ACBCB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1）中国证监会批准发行非公开发行股票的批准文件。</w:t>
          </w:r>
        </w:p>
        <w:p w14:paraId="0AD0610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2）有关非公开发行股票的发行数量、发行价格、锁定期等发行资料。</w:t>
          </w:r>
        </w:p>
        <w:p w14:paraId="7726BAA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3）基金拟认购的数量、价格、总成本、账面价值。</w:t>
          </w:r>
        </w:p>
        <w:p w14:paraId="23D2AD13"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4）该基金投资流通受限证券的投资额度和投资比例控制</w:t>
          </w:r>
        </w:p>
        <w:p w14:paraId="64466BAC"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5）</w:t>
          </w:r>
          <w:r>
            <w:rPr>
              <w:rFonts w:ascii="宋体" w:hAnsi="宋体" w:cs="宋体" w:hint="eastAsia"/>
              <w:color w:val="00000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任何责任，并有权报告中国证监会。</w:t>
          </w:r>
        </w:p>
        <w:p w14:paraId="7C9D810B"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416C81DA" w14:textId="1DBEFC0E" w:rsidR="00A7580B" w:rsidRDefault="00750D62">
          <w:pPr>
            <w:widowControl/>
            <w:spacing w:line="360" w:lineRule="auto"/>
            <w:ind w:firstLineChars="200" w:firstLine="420"/>
            <w:jc w:val="left"/>
            <w:rPr>
              <w:rFonts w:ascii="宋体" w:hAnsi="宋体" w:hint="eastAsia"/>
              <w:szCs w:val="21"/>
            </w:rPr>
          </w:pPr>
          <w:r>
            <w:rPr>
              <w:rFonts w:ascii="宋体" w:hAnsi="宋体" w:hint="eastAsia"/>
              <w:szCs w:val="21"/>
            </w:rPr>
            <w:t>(5)相关法律法规对基金投资流通受限证券有新规定的，从其规定。</w:t>
          </w:r>
        </w:p>
        <w:p w14:paraId="42D8611B" w14:textId="3713D93A" w:rsidR="002E1EE8" w:rsidRPr="002E1EE8" w:rsidRDefault="002E1EE8" w:rsidP="008E305F">
          <w:pPr>
            <w:widowControl/>
            <w:spacing w:line="360" w:lineRule="auto"/>
            <w:ind w:firstLineChars="200" w:firstLine="420"/>
            <w:rPr>
              <w:rFonts w:ascii="宋体" w:hAnsi="宋体" w:hint="eastAsia"/>
              <w:szCs w:val="21"/>
            </w:rPr>
          </w:pPr>
          <w:r w:rsidRPr="008E305F">
            <w:rPr>
              <w:rFonts w:ascii="宋体" w:hAnsi="宋体" w:hint="eastAsia"/>
              <w:szCs w:val="21"/>
            </w:rPr>
            <w:t>8、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w:t>
          </w:r>
        </w:p>
        <w:p w14:paraId="7ABE4F99"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（二）基金托管人应当依照法律法规和基金合同约定，加强对侧袋机制启用、特定资产处置和信息披露等方面的复核和监督。</w:t>
          </w:r>
        </w:p>
        <w:p w14:paraId="7200A4C1"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如基金托管人经评估认为不满足监管机构规定和基金合同约定实施条件的，基金管理人不得启用侧袋机制。</w:t>
          </w:r>
        </w:p>
        <w:p w14:paraId="1DBD69D7" w14:textId="77777777" w:rsidR="00A7580B" w:rsidRDefault="00750D62">
          <w:pPr>
            <w:spacing w:after="120" w:line="360" w:lineRule="auto"/>
            <w:ind w:firstLineChars="200" w:firstLine="420"/>
            <w:rPr>
              <w:rFonts w:ascii="宋体" w:hAnsi="宋体" w:hint="eastAsia"/>
              <w:szCs w:val="21"/>
            </w:rPr>
          </w:pPr>
          <w:bookmarkStart w:id="16" w:name="_Toc382819074"/>
          <w:r>
            <w:rPr>
              <w:rFonts w:ascii="宋体" w:hAnsi="宋体" w:hint="eastAsia"/>
              <w:szCs w:val="21"/>
            </w:rPr>
            <w:t>（三）基金托管人应根据有关法律法规的规定及《基金合同》的约定，对基金资产净值</w:t>
          </w:r>
          <w:r>
            <w:rPr>
              <w:rFonts w:ascii="宋体" w:hAnsi="宋体" w:hint="eastAsia"/>
              <w:szCs w:val="21"/>
            </w:rPr>
            <w:lastRenderedPageBreak/>
            <w:t>计算、各类基金份额净值计算、应收资金到账、基金费用开支及收入确定、基金收益分配、相关信息披露、基金宣传推介材料中登载基金业绩表现数据等进行监督和核查。</w:t>
          </w:r>
          <w:bookmarkEnd w:id="16"/>
        </w:p>
        <w:p w14:paraId="06921BF9" w14:textId="77777777" w:rsidR="00A7580B" w:rsidRDefault="00750D62">
          <w:pPr>
            <w:spacing w:after="120" w:line="360" w:lineRule="auto"/>
            <w:ind w:firstLineChars="200" w:firstLine="420"/>
            <w:rPr>
              <w:rFonts w:ascii="宋体" w:hAnsi="宋体" w:hint="eastAsia"/>
              <w:szCs w:val="21"/>
            </w:rPr>
          </w:pPr>
          <w:bookmarkStart w:id="17" w:name="_Toc382819075"/>
          <w:r>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7"/>
        </w:p>
        <w:p w14:paraId="2E47E22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1.在限期内，基金托管人有权随时对通知事项进行复查，督促基金管理人改正。基金管理人对基金托管人通知的违规事项未能在限期内纠正的，基金托管人应报告中国证监会。</w:t>
          </w:r>
        </w:p>
        <w:p w14:paraId="16BB723F"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01A9555"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06DFAB6F"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4DC074B9"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6B4ACE46" w14:textId="77777777" w:rsidR="00A7580B" w:rsidRDefault="00750D62">
          <w:pPr>
            <w:spacing w:line="440" w:lineRule="exact"/>
            <w:ind w:firstLineChars="200" w:firstLine="420"/>
            <w:rPr>
              <w:rFonts w:ascii="宋体" w:hAnsi="宋体" w:hint="eastAsia"/>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2FD830F1" w14:textId="77777777" w:rsidR="00A7580B" w:rsidRDefault="00A7580B">
          <w:pPr>
            <w:spacing w:line="440" w:lineRule="exact"/>
            <w:ind w:firstLineChars="200" w:firstLine="420"/>
            <w:rPr>
              <w:rFonts w:ascii="宋体" w:hAnsi="宋体" w:hint="eastAsia"/>
              <w:szCs w:val="21"/>
            </w:rPr>
          </w:pPr>
        </w:p>
        <w:p w14:paraId="13DA5B68" w14:textId="77777777" w:rsidR="00A7580B" w:rsidRDefault="00750D62">
          <w:pPr>
            <w:spacing w:beforeLines="100" w:before="312" w:afterLines="100" w:after="312" w:line="240" w:lineRule="atLeast"/>
            <w:jc w:val="center"/>
            <w:outlineLvl w:val="0"/>
            <w:rPr>
              <w:rFonts w:ascii="宋体" w:hAnsi="宋体" w:hint="eastAsia"/>
            </w:rPr>
          </w:pPr>
          <w:bookmarkStart w:id="18" w:name="_Toc382819076"/>
          <w:r>
            <w:rPr>
              <w:rFonts w:ascii="宋体" w:hAnsi="宋体" w:hint="eastAsia"/>
              <w:b/>
              <w:sz w:val="24"/>
            </w:rPr>
            <w:t>三、基金管理人对基金托管人的业务核查</w:t>
          </w:r>
          <w:bookmarkEnd w:id="18"/>
        </w:p>
        <w:p w14:paraId="3AF14DB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lastRenderedPageBreak/>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563E5FE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1F1401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0F35584D" w14:textId="77777777" w:rsidR="00A7580B" w:rsidRDefault="00750D62">
          <w:pPr>
            <w:spacing w:line="360" w:lineRule="auto"/>
            <w:ind w:firstLineChars="200" w:firstLine="420"/>
            <w:rPr>
              <w:rFonts w:ascii="宋体" w:hAnsi="宋体" w:hint="eastAsia"/>
              <w:szCs w:val="21"/>
            </w:rPr>
          </w:pPr>
          <w:bookmarkStart w:id="19" w:name="_Toc382818598"/>
          <w:bookmarkStart w:id="20"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9"/>
          <w:bookmarkEnd w:id="20"/>
        </w:p>
        <w:p w14:paraId="0C894B8E" w14:textId="77777777" w:rsidR="00A7580B" w:rsidRDefault="00750D62">
          <w:pPr>
            <w:spacing w:beforeLines="100" w:before="312" w:afterLines="100" w:after="312" w:line="240" w:lineRule="atLeast"/>
            <w:jc w:val="center"/>
            <w:outlineLvl w:val="0"/>
            <w:rPr>
              <w:rFonts w:ascii="宋体" w:hAnsi="宋体" w:hint="eastAsia"/>
            </w:rPr>
          </w:pPr>
          <w:bookmarkStart w:id="21" w:name="_Toc382819078"/>
          <w:r>
            <w:rPr>
              <w:rFonts w:ascii="宋体" w:hAnsi="宋体" w:hint="eastAsia"/>
              <w:b/>
              <w:sz w:val="24"/>
            </w:rPr>
            <w:t>四、基金财产保管</w:t>
          </w:r>
          <w:bookmarkEnd w:id="21"/>
        </w:p>
        <w:p w14:paraId="0A24484D" w14:textId="77777777" w:rsidR="00A7580B" w:rsidRDefault="00750D62">
          <w:pPr>
            <w:pStyle w:val="2"/>
            <w:keepNext w:val="0"/>
            <w:keepLines w:val="0"/>
            <w:autoSpaceDE w:val="0"/>
            <w:autoSpaceDN w:val="0"/>
            <w:spacing w:before="0" w:after="0" w:line="360" w:lineRule="auto"/>
            <w:ind w:firstLineChars="150" w:firstLine="315"/>
            <w:rPr>
              <w:rFonts w:ascii="宋体" w:eastAsia="宋体" w:hAnsi="宋体" w:hint="eastAsia"/>
              <w:b w:val="0"/>
              <w:bCs w:val="0"/>
              <w:sz w:val="21"/>
              <w:szCs w:val="21"/>
            </w:rPr>
          </w:pPr>
          <w:bookmarkStart w:id="22" w:name="_Toc382819079"/>
          <w:r>
            <w:rPr>
              <w:rFonts w:ascii="宋体" w:eastAsia="宋体" w:hAnsi="宋体" w:hint="eastAsia"/>
              <w:b w:val="0"/>
              <w:bCs w:val="0"/>
              <w:sz w:val="21"/>
              <w:szCs w:val="21"/>
            </w:rPr>
            <w:t>（一）基金财产保管的原则</w:t>
          </w:r>
          <w:bookmarkEnd w:id="22"/>
        </w:p>
        <w:p w14:paraId="2CF670E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1.基金财产应独立于基金管理人、基金托管人、证券经纪机构的固有财产。</w:t>
          </w:r>
        </w:p>
        <w:p w14:paraId="05568AA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14:paraId="6412647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3.基金托管人按照规定为托管的基金财产开设资金账户和证券账户及投资所需其他账户。</w:t>
          </w:r>
        </w:p>
        <w:p w14:paraId="30A3FDDF"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4.基金托管人对所托管的不同基金财产分别设置账户，独立核算，与基金托管人的其他业务和其他基金的托管业务实行严格的分账管理，确保基金财产的完整与独立。</w:t>
          </w:r>
        </w:p>
        <w:p w14:paraId="1E4F1E0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w:t>
          </w:r>
          <w:r>
            <w:rPr>
              <w:rFonts w:ascii="宋体" w:hAnsi="宋体" w:hint="eastAsia"/>
              <w:szCs w:val="21"/>
            </w:rPr>
            <w:lastRenderedPageBreak/>
            <w:t>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5C405127" w14:textId="77777777" w:rsidR="00A7580B" w:rsidRDefault="00750D62">
          <w:pPr>
            <w:spacing w:line="360" w:lineRule="auto"/>
            <w:ind w:firstLineChars="200" w:firstLine="420"/>
            <w:rPr>
              <w:rFonts w:ascii="宋体" w:hAnsi="宋体" w:hint="eastAsia"/>
              <w:szCs w:val="21"/>
            </w:rPr>
          </w:pPr>
          <w:r>
            <w:rPr>
              <w:rFonts w:ascii="宋体" w:hAnsi="宋体"/>
              <w:szCs w:val="21"/>
            </w:rPr>
            <w:t>6</w:t>
          </w:r>
          <w:r>
            <w:rPr>
              <w:rFonts w:ascii="宋体" w:hAnsi="宋体" w:hint="eastAsia"/>
              <w:szCs w:val="21"/>
            </w:rPr>
            <w:t>.除依据法律法规和基金合同的规定外，基金托管人不得委托第三人托管基金财产。</w:t>
          </w:r>
        </w:p>
        <w:p w14:paraId="2A76381C"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3" w:name="_Toc382819080"/>
          <w:r>
            <w:rPr>
              <w:rFonts w:ascii="宋体" w:eastAsia="宋体" w:hAnsi="宋体" w:hint="eastAsia"/>
              <w:b w:val="0"/>
              <w:bCs w:val="0"/>
              <w:sz w:val="21"/>
              <w:szCs w:val="21"/>
            </w:rPr>
            <w:t>（二）募集资金的验证</w:t>
          </w:r>
          <w:bookmarkEnd w:id="23"/>
        </w:p>
        <w:p w14:paraId="1453561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募集期内销售机构按销售与服务代理协议的约定，将认购资金划入基金管理人在具有托管资格的商业银行开设的“</w:t>
          </w:r>
          <w:r>
            <w:rPr>
              <w:rFonts w:ascii="宋体" w:hAnsi="宋体" w:hint="eastAsia"/>
              <w:szCs w:val="21"/>
              <w:u w:val="single"/>
            </w:rPr>
            <w:t>基金认购专户</w:t>
          </w:r>
          <w:r>
            <w:rPr>
              <w:rFonts w:ascii="宋体" w:hAnsi="宋体" w:hint="eastAsia"/>
              <w:szCs w:val="21"/>
            </w:rPr>
            <w:t>”。该账户由基金管理人开立并管理。基金募集期满或提前结束募集，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5C19F0D1" w14:textId="77777777" w:rsidR="00A7580B" w:rsidRDefault="00750D62">
          <w:pPr>
            <w:spacing w:line="360" w:lineRule="auto"/>
            <w:ind w:firstLineChars="200" w:firstLine="420"/>
            <w:rPr>
              <w:rFonts w:ascii="宋体" w:hAnsi="宋体" w:cs="Arial" w:hint="eastAsia"/>
              <w:szCs w:val="21"/>
            </w:rPr>
          </w:pPr>
          <w:r>
            <w:rPr>
              <w:rFonts w:ascii="宋体" w:hAnsi="宋体" w:cs="Arial" w:hint="eastAsia"/>
              <w:szCs w:val="21"/>
            </w:rPr>
            <w:t>若基金募集期限届满，未能达到《基金合同》备案的条件，由基金管理人按规定办理退款事宜。</w:t>
          </w:r>
        </w:p>
        <w:p w14:paraId="6A385A90"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4" w:name="_Toc382819081"/>
          <w:r>
            <w:rPr>
              <w:rFonts w:ascii="宋体" w:eastAsia="宋体" w:hAnsi="宋体" w:hint="eastAsia"/>
              <w:b w:val="0"/>
              <w:bCs w:val="0"/>
              <w:sz w:val="21"/>
              <w:szCs w:val="21"/>
            </w:rPr>
            <w:t>（三）基金资产托管专户的开立和管理</w:t>
          </w:r>
          <w:bookmarkEnd w:id="24"/>
        </w:p>
        <w:p w14:paraId="0EF741F3" w14:textId="5FB62BA7" w:rsidR="00A7580B" w:rsidRDefault="00750D62">
          <w:pPr>
            <w:spacing w:line="360" w:lineRule="auto"/>
            <w:ind w:firstLineChars="200" w:firstLine="420"/>
            <w:rPr>
              <w:rFonts w:ascii="宋体" w:hAnsi="宋体" w:hint="eastAsia"/>
              <w:szCs w:val="21"/>
            </w:rPr>
          </w:pPr>
          <w:r>
            <w:rPr>
              <w:rFonts w:ascii="宋体" w:hAnsi="宋体" w:hint="eastAsia"/>
              <w:szCs w:val="21"/>
            </w:rPr>
            <w:t>1.基金托管人以基金的名义在其营业机构开设资产托管专户</w:t>
          </w:r>
          <w:r w:rsidR="00B7232B">
            <w:rPr>
              <w:rFonts w:ascii="宋体" w:hAnsi="宋体" w:hint="eastAsia"/>
              <w:szCs w:val="21"/>
            </w:rPr>
            <w:t>（或称为“托管账户”）</w:t>
          </w:r>
          <w:r>
            <w:rPr>
              <w:rFonts w:ascii="宋体" w:hAnsi="宋体" w:hint="eastAsia"/>
              <w:szCs w:val="21"/>
            </w:rPr>
            <w:t>，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3EA9AF8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14:paraId="0EBF2330" w14:textId="37C383A7" w:rsidR="00A7580B" w:rsidRDefault="00750D62">
          <w:pPr>
            <w:spacing w:line="360" w:lineRule="auto"/>
            <w:ind w:firstLineChars="200" w:firstLine="420"/>
            <w:rPr>
              <w:rFonts w:ascii="宋体" w:hAnsi="宋体" w:hint="eastAsia"/>
              <w:szCs w:val="21"/>
            </w:rPr>
          </w:pPr>
          <w:r>
            <w:rPr>
              <w:rFonts w:ascii="宋体" w:hAnsi="宋体" w:hint="eastAsia"/>
              <w:szCs w:val="21"/>
            </w:rPr>
            <w:t>3.资产托管专户的管理应符合《人民币银行结算账户管理办法》、《人民币利率管理规定》、《支付结算办法》以及银行业监督管理机构的其他有关规定。</w:t>
          </w:r>
        </w:p>
        <w:p w14:paraId="55B59FCF"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5" w:name="_Toc382819082"/>
          <w:r>
            <w:rPr>
              <w:rFonts w:ascii="宋体" w:eastAsia="宋体" w:hAnsi="宋体" w:hint="eastAsia"/>
              <w:b w:val="0"/>
              <w:bCs w:val="0"/>
              <w:sz w:val="21"/>
              <w:szCs w:val="21"/>
            </w:rPr>
            <w:t>（四）基金证券账户与证券交易资金账户的开设和管理</w:t>
          </w:r>
          <w:bookmarkEnd w:id="25"/>
        </w:p>
        <w:p w14:paraId="33C0AAF5"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1.基金托管人以基金托管人和本基金联名的方式在中国证券登记结算有限责任公司上</w:t>
          </w:r>
          <w:r>
            <w:rPr>
              <w:rFonts w:ascii="宋体" w:hAnsi="宋体" w:hint="eastAsia"/>
              <w:szCs w:val="21"/>
            </w:rPr>
            <w:lastRenderedPageBreak/>
            <w:t>海分公司/深圳分公司开立专门的证券账户。</w:t>
          </w:r>
        </w:p>
        <w:p w14:paraId="016B3BEB" w14:textId="77777777" w:rsidR="00A7580B" w:rsidRDefault="00750D62">
          <w:pPr>
            <w:spacing w:line="360" w:lineRule="auto"/>
            <w:ind w:firstLineChars="200" w:firstLine="420"/>
            <w:rPr>
              <w:rFonts w:ascii="宋体" w:hAnsi="宋体" w:hint="eastAsia"/>
              <w:szCs w:val="21"/>
            </w:rPr>
          </w:pPr>
          <w:r>
            <w:rPr>
              <w:rFonts w:ascii="宋体" w:hAnsi="宋体"/>
              <w:szCs w:val="21"/>
            </w:rPr>
            <w:t>2</w:t>
          </w:r>
          <w:r>
            <w:rPr>
              <w:rFonts w:ascii="宋体" w:hAnsi="宋体" w:hint="eastAsia"/>
              <w:szCs w:val="21"/>
            </w:rPr>
            <w:t>.基金证券账户的开立和使用，限于满足开展本基金业务的需要。</w:t>
          </w:r>
        </w:p>
        <w:p w14:paraId="09E661B8" w14:textId="77777777" w:rsidR="00A7580B" w:rsidRDefault="00750D62">
          <w:pPr>
            <w:spacing w:line="360" w:lineRule="auto"/>
            <w:ind w:firstLineChars="200" w:firstLine="420"/>
            <w:rPr>
              <w:rFonts w:ascii="宋体" w:hAnsi="宋体" w:hint="eastAsia"/>
              <w:szCs w:val="21"/>
            </w:rPr>
          </w:pPr>
          <w:r>
            <w:rPr>
              <w:rFonts w:ascii="宋体" w:hAnsi="宋体"/>
              <w:szCs w:val="21"/>
            </w:rPr>
            <w:t>3</w:t>
          </w:r>
          <w:r>
            <w:rPr>
              <w:rFonts w:ascii="宋体" w:hAnsi="宋体" w:hint="eastAsia"/>
              <w:szCs w:val="21"/>
            </w:rPr>
            <w:t>.基金证券账户的开立和原始开户材料的保管由基金托管人负责，账户资产的管理和运用由基金管理人负责。</w:t>
          </w:r>
        </w:p>
        <w:p w14:paraId="663F7DEC" w14:textId="77777777" w:rsidR="00A7580B" w:rsidRDefault="00750D62">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基金管理人为基金财产在证券经纪机构开立证券交易资金账户，用于基金财产证券交易结算资金的存管、记载证券交易结算资金的变动明细以及场内证券交易清算，并与基金托管人开立的托管账户建立第三方存管关系。</w:t>
          </w:r>
        </w:p>
        <w:p w14:paraId="2CCEC746" w14:textId="77777777" w:rsidR="00A7580B" w:rsidRDefault="00750D62">
          <w:pPr>
            <w:spacing w:line="360" w:lineRule="auto"/>
            <w:ind w:firstLineChars="200" w:firstLine="420"/>
            <w:rPr>
              <w:rFonts w:ascii="宋体" w:hAnsi="宋体" w:hint="eastAsia"/>
              <w:szCs w:val="21"/>
            </w:rPr>
          </w:pPr>
          <w:r>
            <w:rPr>
              <w:rFonts w:ascii="宋体" w:hAnsi="宋体"/>
              <w:szCs w:val="21"/>
            </w:rPr>
            <w:t>5</w:t>
          </w:r>
          <w:r>
            <w:rPr>
              <w:rFonts w:ascii="宋体" w:hAnsi="宋体" w:hint="eastAsia"/>
              <w:szCs w:val="21"/>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14:paraId="13BFA63E" w14:textId="77777777" w:rsidR="00A7580B" w:rsidRDefault="00750D62">
          <w:pPr>
            <w:spacing w:line="360" w:lineRule="auto"/>
            <w:ind w:firstLineChars="200" w:firstLine="420"/>
            <w:rPr>
              <w:rFonts w:ascii="宋体" w:hAnsi="宋体" w:hint="eastAsia"/>
              <w:szCs w:val="21"/>
            </w:rPr>
          </w:pPr>
          <w:r>
            <w:rPr>
              <w:rFonts w:ascii="宋体" w:hAnsi="宋体"/>
              <w:szCs w:val="21"/>
            </w:rPr>
            <w:t>6</w:t>
          </w:r>
          <w:r>
            <w:rPr>
              <w:rFonts w:ascii="宋体" w:hAnsi="宋体" w:hint="eastAsia"/>
              <w:szCs w:val="21"/>
            </w:rPr>
            <w:t>.基金管理人承诺证券交易资金账户为主资金账户，不开立任何辅助资金账户；不为证券交易资金账户另行开立银行托管账户以外的其他银行账户。</w:t>
          </w:r>
        </w:p>
        <w:p w14:paraId="3A595BE2"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6" w:name="_Toc382819083"/>
          <w:r>
            <w:rPr>
              <w:rFonts w:ascii="宋体" w:eastAsia="宋体" w:hAnsi="宋体" w:hint="eastAsia"/>
              <w:b w:val="0"/>
              <w:bCs w:val="0"/>
              <w:sz w:val="21"/>
              <w:szCs w:val="21"/>
            </w:rPr>
            <w:t>（五）银行间市场债券托管和资金结算专户的开立和管理及市场准入备案</w:t>
          </w:r>
          <w:bookmarkEnd w:id="26"/>
        </w:p>
        <w:p w14:paraId="1126D242" w14:textId="77777777" w:rsidR="00A7580B" w:rsidRDefault="00750D62">
          <w:pPr>
            <w:spacing w:line="360" w:lineRule="auto"/>
            <w:ind w:firstLineChars="200" w:firstLine="420"/>
            <w:rPr>
              <w:rFonts w:ascii="宋体" w:hAnsi="宋体" w:hint="eastAsia"/>
              <w:szCs w:val="21"/>
            </w:rPr>
          </w:pPr>
          <w:bookmarkStart w:id="27"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7"/>
        </w:p>
        <w:p w14:paraId="195CE9B2"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szCs w:val="21"/>
            </w:rPr>
          </w:pPr>
          <w:r>
            <w:rPr>
              <w:rFonts w:ascii="宋体" w:eastAsia="宋体" w:hAnsi="宋体" w:hint="eastAsia"/>
              <w:b w:val="0"/>
              <w:bCs w:val="0"/>
              <w:sz w:val="21"/>
              <w:szCs w:val="21"/>
            </w:rPr>
            <w:t>（六）其他账户的开设和管理</w:t>
          </w:r>
        </w:p>
        <w:p w14:paraId="1C7E2297"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2E01B4ED"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2、法律、法规等有关规定对相关账户的开立和管理另有规定的，从其规定办理。</w:t>
          </w:r>
        </w:p>
        <w:p w14:paraId="1286B92C"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28" w:name="_Toc382819085"/>
          <w:r>
            <w:rPr>
              <w:rFonts w:ascii="宋体" w:eastAsia="宋体" w:hAnsi="宋体" w:hint="eastAsia"/>
              <w:b w:val="0"/>
              <w:bCs w:val="0"/>
              <w:sz w:val="21"/>
              <w:szCs w:val="21"/>
            </w:rPr>
            <w:t>（七）基金投资银行存款账户的开立和管理</w:t>
          </w:r>
          <w:bookmarkEnd w:id="28"/>
        </w:p>
        <w:p w14:paraId="557A94FD"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AB29D1A"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14:paraId="1141DD91"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w:t>
          </w:r>
          <w:r>
            <w:rPr>
              <w:rFonts w:ascii="宋体" w:hAnsi="宋体" w:hint="eastAsia"/>
              <w:szCs w:val="21"/>
            </w:rPr>
            <w:lastRenderedPageBreak/>
            <w:t>类型、期限、利率、金额、账号、对账方式、支取方式、账户管理等细则。</w:t>
          </w:r>
        </w:p>
        <w:p w14:paraId="26DDC577"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为防范特殊情况下的流动性风险，定期存款协议中应当约定提前支取条款。</w:t>
          </w:r>
        </w:p>
        <w:p w14:paraId="24ED2C24" w14:textId="77777777" w:rsidR="00A7580B" w:rsidRDefault="00750D62">
          <w:pPr>
            <w:tabs>
              <w:tab w:val="left" w:pos="4680"/>
            </w:tabs>
            <w:spacing w:line="360" w:lineRule="auto"/>
            <w:ind w:firstLineChars="200" w:firstLine="420"/>
            <w:rPr>
              <w:rFonts w:ascii="宋体" w:hAnsi="宋体" w:hint="eastAsia"/>
              <w:szCs w:val="21"/>
            </w:rPr>
          </w:pPr>
          <w:bookmarkStart w:id="29" w:name="_Toc382819086"/>
          <w:r>
            <w:rPr>
              <w:rFonts w:ascii="宋体" w:hAnsi="宋体" w:hint="eastAsia"/>
              <w:szCs w:val="21"/>
            </w:rPr>
            <w:t>5</w:t>
          </w:r>
          <w:r>
            <w:rPr>
              <w:rFonts w:ascii="宋体" w:hAnsi="宋体"/>
              <w:szCs w:val="21"/>
            </w:rPr>
            <w:t>.</w:t>
          </w:r>
          <w:r>
            <w:rPr>
              <w:rFonts w:ascii="宋体" w:hAnsi="宋体" w:hint="eastAsia"/>
              <w:szCs w:val="21"/>
            </w:rPr>
            <w:t>基金所投资定期存款存续期间，基金管理人、基金托管人应当与存款银行建立定期对账机制，确保基金银行存款业务账目及核对的真实、准确。</w:t>
          </w:r>
          <w:bookmarkEnd w:id="29"/>
        </w:p>
        <w:p w14:paraId="39C3269D"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0" w:name="_Toc382819087"/>
          <w:r>
            <w:rPr>
              <w:rFonts w:ascii="宋体" w:eastAsia="宋体" w:hAnsi="宋体" w:hint="eastAsia"/>
              <w:b w:val="0"/>
              <w:bCs w:val="0"/>
              <w:sz w:val="21"/>
              <w:szCs w:val="21"/>
            </w:rPr>
            <w:t>（八）基金财产投资的有关实物证券、银行定期存款存单等有价凭证的保管</w:t>
          </w:r>
          <w:bookmarkEnd w:id="30"/>
        </w:p>
        <w:p w14:paraId="0EAD1E1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22683605"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b w:val="0"/>
              <w:bCs w:val="0"/>
              <w:szCs w:val="21"/>
            </w:rPr>
          </w:pPr>
          <w:r>
            <w:rPr>
              <w:rFonts w:ascii="宋体" w:eastAsia="宋体" w:hAnsi="宋体" w:hint="eastAsia"/>
              <w:b w:val="0"/>
              <w:bCs w:val="0"/>
              <w:sz w:val="21"/>
              <w:szCs w:val="21"/>
            </w:rPr>
            <w:t>（九）与基金财产有关的重大合同的保管</w:t>
          </w:r>
        </w:p>
        <w:p w14:paraId="12ED133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尽可能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2C07F88F"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48D740EB" w14:textId="77777777" w:rsidR="00A7580B" w:rsidRDefault="00750D62">
          <w:pPr>
            <w:spacing w:beforeLines="100" w:before="312" w:afterLines="100" w:after="312" w:line="240" w:lineRule="atLeast"/>
            <w:jc w:val="center"/>
            <w:outlineLvl w:val="0"/>
            <w:rPr>
              <w:rFonts w:ascii="宋体" w:hAnsi="宋体" w:hint="eastAsia"/>
            </w:rPr>
          </w:pPr>
          <w:bookmarkStart w:id="31" w:name="_Toc382819088"/>
          <w:r>
            <w:rPr>
              <w:rFonts w:ascii="宋体" w:hAnsi="宋体" w:hint="eastAsia"/>
              <w:b/>
              <w:sz w:val="24"/>
            </w:rPr>
            <w:t>五、指令的发送、确认和执行</w:t>
          </w:r>
          <w:bookmarkEnd w:id="31"/>
        </w:p>
        <w:p w14:paraId="04E24F57" w14:textId="77777777" w:rsidR="00A7580B" w:rsidRDefault="00750D62">
          <w:pPr>
            <w:spacing w:line="360" w:lineRule="auto"/>
            <w:ind w:firstLineChars="200" w:firstLine="420"/>
            <w:rPr>
              <w:rFonts w:ascii="宋体" w:hAnsi="宋体" w:hint="eastAsia"/>
              <w:szCs w:val="21"/>
            </w:rPr>
          </w:pPr>
          <w:bookmarkStart w:id="32" w:name="_Toc382819089"/>
          <w:r>
            <w:rPr>
              <w:rFonts w:ascii="宋体" w:hAnsi="宋体" w:hint="eastAsia"/>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2"/>
        </w:p>
        <w:p w14:paraId="790A798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基金管理人发送的指令包括电子指令、纸质指令以及双方约定的其他方式发送的指令。</w:t>
          </w:r>
        </w:p>
        <w:p w14:paraId="21E4D70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基金管理人在启用电子指令前，应与基金托管人另行签署托管电子指令直连协议或网上托管服务协议。基金管理人在发送纸质指令前，应根据双方约定的方式提供传真号、发送指</w:t>
          </w:r>
          <w:r>
            <w:rPr>
              <w:rFonts w:ascii="宋体" w:hAnsi="宋体" w:hint="eastAsia"/>
              <w:szCs w:val="21"/>
            </w:rPr>
            <w:lastRenderedPageBreak/>
            <w:t>令附件的邮箱地址以及指令确认人员及其联系方式。</w:t>
          </w:r>
        </w:p>
        <w:p w14:paraId="63192C95"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3" w:name="_Toc382819090"/>
          <w:r>
            <w:rPr>
              <w:rFonts w:ascii="宋体" w:eastAsia="宋体" w:hAnsi="宋体" w:hint="eastAsia"/>
              <w:b w:val="0"/>
              <w:bCs w:val="0"/>
              <w:sz w:val="21"/>
              <w:szCs w:val="21"/>
            </w:rPr>
            <w:t>（一）基金管理人对发送指令人员的书面授权</w:t>
          </w:r>
          <w:bookmarkEnd w:id="33"/>
        </w:p>
        <w:p w14:paraId="57D04D8F" w14:textId="2F725EFC" w:rsidR="00A7580B" w:rsidRDefault="00750D62">
          <w:pPr>
            <w:spacing w:line="360" w:lineRule="auto"/>
            <w:ind w:firstLineChars="200" w:firstLine="420"/>
            <w:rPr>
              <w:rFonts w:ascii="宋体" w:hAnsi="宋体" w:hint="eastAsia"/>
              <w:szCs w:val="21"/>
            </w:rPr>
          </w:pPr>
          <w:bookmarkStart w:id="34" w:name="_Toc382818601"/>
          <w:bookmarkStart w:id="35" w:name="_Toc382819091"/>
          <w:r>
            <w:t>基金管理人应事先向基金托管人提供书面</w:t>
          </w:r>
          <w:r>
            <w:rPr>
              <w:rFonts w:hint="eastAsia"/>
            </w:rPr>
            <w:t>的划款指令</w:t>
          </w:r>
          <w:r>
            <w:t>授权</w:t>
          </w:r>
          <w:r>
            <w:rPr>
              <w:rFonts w:hint="eastAsia"/>
            </w:rPr>
            <w:t>书（以下</w:t>
          </w:r>
          <w:r w:rsidR="00B7232B">
            <w:rPr>
              <w:rFonts w:hint="eastAsia"/>
            </w:rPr>
            <w:t>或</w:t>
          </w:r>
          <w:r>
            <w:rPr>
              <w:rFonts w:hint="eastAsia"/>
            </w:rPr>
            <w:t>简称“授权书”）</w:t>
          </w:r>
          <w:r>
            <w:t>，指定指令的被授权人及被授权印鉴，授权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w:t>
          </w:r>
          <w:r>
            <w:t>基金管理人</w:t>
          </w:r>
          <w:r>
            <w:rPr>
              <w:rFonts w:ascii="宋体" w:hAnsi="宋体" w:hint="eastAsia"/>
              <w:szCs w:val="21"/>
            </w:rPr>
            <w:t>应保证其提供的划款指令授权书中被授权人个人信息已获得被授权人的同意。基金托管人在收到授权书当日回函或回电向基金管理人确认。</w:t>
          </w:r>
          <w:bookmarkEnd w:id="34"/>
          <w:bookmarkEnd w:id="35"/>
        </w:p>
        <w:p w14:paraId="6D3C4355"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6" w:name="_Toc382819092"/>
          <w:r>
            <w:rPr>
              <w:rFonts w:ascii="宋体" w:eastAsia="宋体" w:hAnsi="宋体" w:hint="eastAsia"/>
              <w:b w:val="0"/>
              <w:bCs w:val="0"/>
              <w:sz w:val="21"/>
              <w:szCs w:val="21"/>
            </w:rPr>
            <w:t>（二）指令的内容</w:t>
          </w:r>
          <w:bookmarkEnd w:id="36"/>
        </w:p>
        <w:p w14:paraId="3BF012A8"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04089DC3"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2．基金管理人发给基金托管人的指令应写明付款账号、付款户名、开户行、收款账号、收款户名、开户行、款项事由、支付时间、到账时间、金额、账户等，加盖预留印鉴并有被授权人签章。</w:t>
          </w:r>
        </w:p>
        <w:p w14:paraId="5998F670"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7" w:name="_Toc382819093"/>
          <w:r>
            <w:rPr>
              <w:rFonts w:ascii="宋体" w:eastAsia="宋体" w:hAnsi="宋体" w:hint="eastAsia"/>
              <w:b w:val="0"/>
              <w:bCs w:val="0"/>
              <w:sz w:val="21"/>
              <w:szCs w:val="21"/>
            </w:rPr>
            <w:t>（三）指令的发送、确认和执行的时间和程序</w:t>
          </w:r>
          <w:bookmarkEnd w:id="37"/>
        </w:p>
        <w:p w14:paraId="5C331428"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1.指令由基金管理人通过</w:t>
          </w:r>
          <w:r>
            <w:rPr>
              <w:rFonts w:ascii="宋体" w:hAnsi="宋体"/>
              <w:szCs w:val="21"/>
            </w:rPr>
            <w:t>电子指令等双方约定的方式</w:t>
          </w:r>
          <w:r>
            <w:rPr>
              <w:rFonts w:ascii="宋体" w:hAnsi="宋体" w:hint="eastAsia"/>
              <w:szCs w:val="21"/>
            </w:rPr>
            <w:t>向基金托管人发送。基金管理人有义务在发送指令后及时与基金托管人进行确认，因基金管理人未能及时与基金托管人进行指令确认,致使资金未能及时到账所造成的损失，基金托管人不承担任何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实时逐笔全额结算（以下简称RTGS）交收指令、新股、新债、增发等申购指令）应在15点（指令截止时间）前提交托管人，如基金管理人要求当天某一时点到账，则指令需提前2个工作小时(工作时间9点至11点30分,13点至17点)提交基金托管人。管理人在上述截止时间之后发送的划款指令,托管人尽力配合执行。</w:t>
          </w:r>
        </w:p>
        <w:p w14:paraId="2E992AD5"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2. 新股、新债、增发等申购指令，基金管理人须在申购前1个工作日向基金托管人发</w:t>
          </w:r>
          <w:r>
            <w:rPr>
              <w:rFonts w:ascii="宋体" w:hAnsi="宋体" w:hint="eastAsia"/>
              <w:szCs w:val="21"/>
            </w:rPr>
            <w:lastRenderedPageBreak/>
            <w:t>送指令，如需在申购当日下达指令，基金管理人应为基金托管人留出执行指令所必需的时间，指令最迟不得晚于上午11：00点（指令截止时间）提交基金托管人。</w:t>
          </w:r>
        </w:p>
        <w:p w14:paraId="450D0139"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3.如划款指令中给予基金托管人的划拨时间小于2个工作小时或晚于前述指令截至时间的，基金托管人应尽力在指定时间内完成资金划拨,但不承担因时间不足导致执行失败的责任。</w:t>
          </w:r>
        </w:p>
        <w:p w14:paraId="1EF4CB5D"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4.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302A789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610F7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6E9B6DE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7、指令未执行前基金管理人可以撤销，</w:t>
          </w:r>
          <w:r>
            <w:t>基金管理人</w:t>
          </w:r>
          <w:r>
            <w:rPr>
              <w:rFonts w:hint="eastAsia"/>
            </w:rPr>
            <w:t>需</w:t>
          </w:r>
          <w:r>
            <w:t>在原指令上注明</w:t>
          </w:r>
          <w:r>
            <w:t>“</w:t>
          </w:r>
          <w:r>
            <w:t>作废</w:t>
          </w:r>
          <w:r>
            <w:t>”</w:t>
          </w:r>
          <w:r>
            <w:t>并</w:t>
          </w:r>
          <w:r>
            <w:rPr>
              <w:rFonts w:hint="eastAsia"/>
            </w:rPr>
            <w:t>以双方认可的方式</w:t>
          </w:r>
          <w:r>
            <w:t>通知基金托管人</w:t>
          </w:r>
          <w:r>
            <w:rPr>
              <w:rFonts w:ascii="宋体" w:hAnsi="宋体" w:hint="eastAsia"/>
              <w:szCs w:val="21"/>
            </w:rPr>
            <w:t>。基金托管人将尽力协助撤销指令，但基金管理人理解且接受受限于客观情况，基金托管人无法保证基金管理人的指令一定可以撤销，基金托管人在没有过错的前提下不承担指令未被撤销的一切责任与后果。</w:t>
          </w:r>
        </w:p>
        <w:p w14:paraId="5BD3DB55"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8" w:name="_Toc382819094"/>
          <w:r>
            <w:rPr>
              <w:rFonts w:ascii="宋体" w:eastAsia="宋体" w:hAnsi="宋体" w:hint="eastAsia"/>
              <w:b w:val="0"/>
              <w:bCs w:val="0"/>
              <w:sz w:val="21"/>
              <w:szCs w:val="21"/>
            </w:rPr>
            <w:t>（四）基金管理人发送错误指令的情形和处理程序</w:t>
          </w:r>
          <w:bookmarkEnd w:id="38"/>
        </w:p>
        <w:p w14:paraId="69923081" w14:textId="77777777" w:rsidR="00A7580B" w:rsidRDefault="00750D62">
          <w:pPr>
            <w:spacing w:after="120" w:line="360" w:lineRule="auto"/>
            <w:ind w:firstLineChars="200" w:firstLine="420"/>
            <w:rPr>
              <w:rFonts w:ascii="宋体" w:hAnsi="宋体" w:hint="eastAsia"/>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14:paraId="285BC2E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63509299"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39" w:name="_Toc382819095"/>
          <w:r>
            <w:rPr>
              <w:rFonts w:ascii="宋体" w:eastAsia="宋体" w:hAnsi="宋体" w:hint="eastAsia"/>
              <w:b w:val="0"/>
              <w:bCs w:val="0"/>
              <w:sz w:val="21"/>
              <w:szCs w:val="21"/>
            </w:rPr>
            <w:t>（五）基金托管人未按照基金管理人指令执行的处理方法</w:t>
          </w:r>
          <w:bookmarkEnd w:id="39"/>
        </w:p>
        <w:p w14:paraId="2514D56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2B4B470E"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0" w:name="_Toc382819096"/>
          <w:r>
            <w:rPr>
              <w:rFonts w:ascii="宋体" w:eastAsia="宋体" w:hAnsi="宋体" w:hint="eastAsia"/>
              <w:b w:val="0"/>
              <w:bCs w:val="0"/>
              <w:sz w:val="21"/>
              <w:szCs w:val="21"/>
            </w:rPr>
            <w:lastRenderedPageBreak/>
            <w:t>（六）更换被授权人的程序</w:t>
          </w:r>
          <w:bookmarkEnd w:id="40"/>
        </w:p>
        <w:p w14:paraId="01F1A2E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或盖章的被授权人变更通知，同时电话通知基金托管人。变更通知应载明生效时间，并提供新的被授权人的签章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章样本而导致基金份额持有人受损的，基金托管人不承担任何形式的责任。基金托管人更换接收基金管理人指令的人员，应提前通过邮件、传真或录音电话等方式通知基金管理人。基金管理人和基金托管人对授权文件负有保密义务，其内容不得向授权人、被授权人及相关操作人员以外的任何人泄露，但法律法规或有权机关另有要求的除外。</w:t>
          </w:r>
        </w:p>
        <w:p w14:paraId="2E024D7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（七）其它事项</w:t>
          </w:r>
        </w:p>
        <w:p w14:paraId="2962526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11709" w14:textId="77777777" w:rsidR="00A7580B" w:rsidRDefault="00750D62">
          <w:pPr>
            <w:spacing w:beforeLines="100" w:before="312" w:afterLines="100" w:after="312" w:line="240" w:lineRule="atLeast"/>
            <w:jc w:val="center"/>
            <w:outlineLvl w:val="0"/>
            <w:rPr>
              <w:rFonts w:ascii="宋体" w:hAnsi="宋体" w:hint="eastAsia"/>
            </w:rPr>
          </w:pPr>
          <w:bookmarkStart w:id="41" w:name="_Toc382819097"/>
          <w:r>
            <w:rPr>
              <w:rFonts w:ascii="宋体" w:hAnsi="宋体" w:hint="eastAsia"/>
              <w:b/>
              <w:sz w:val="24"/>
            </w:rPr>
            <w:t>六、交易及清算交收安排</w:t>
          </w:r>
          <w:bookmarkEnd w:id="41"/>
        </w:p>
        <w:p w14:paraId="10DD7C47"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2" w:name="_Toc382819098"/>
          <w:r>
            <w:rPr>
              <w:rFonts w:ascii="宋体" w:eastAsia="宋体" w:hAnsi="宋体" w:hint="eastAsia"/>
              <w:b w:val="0"/>
              <w:bCs w:val="0"/>
              <w:sz w:val="21"/>
              <w:szCs w:val="21"/>
            </w:rPr>
            <w:t>（一）选择代理证券、期货买卖的证券、期货经纪机构的标准和程序</w:t>
          </w:r>
          <w:bookmarkEnd w:id="42"/>
        </w:p>
        <w:p w14:paraId="1BF578A0" w14:textId="77777777" w:rsidR="00A7580B" w:rsidRDefault="00750D62">
          <w:pPr>
            <w:pStyle w:val="a0"/>
            <w:spacing w:line="360" w:lineRule="auto"/>
            <w:jc w:val="left"/>
            <w:rPr>
              <w:rFonts w:ascii="宋体" w:hAnsi="宋体" w:hint="eastAsia"/>
              <w:szCs w:val="21"/>
            </w:rPr>
          </w:pPr>
          <w:r>
            <w:rPr>
              <w:rFonts w:ascii="宋体" w:hAnsi="宋体" w:hint="eastAsia"/>
              <w:szCs w:val="21"/>
            </w:rPr>
            <w:t>基金管理人负责选择代理本基金证券买卖的证券</w:t>
          </w:r>
          <w:r>
            <w:rPr>
              <w:rFonts w:ascii="宋体" w:hAnsi="宋体" w:hint="eastAsia"/>
              <w:bCs/>
              <w:szCs w:val="21"/>
            </w:rPr>
            <w:t>经纪</w:t>
          </w:r>
          <w:r>
            <w:rPr>
              <w:rFonts w:ascii="宋体" w:hAnsi="宋体" w:hint="eastAsia"/>
              <w:szCs w:val="21"/>
            </w:rPr>
            <w:t>机构。</w:t>
          </w:r>
        </w:p>
        <w:p w14:paraId="33215AE2" w14:textId="77777777" w:rsidR="00A7580B" w:rsidRDefault="00750D62">
          <w:pPr>
            <w:pStyle w:val="a0"/>
            <w:spacing w:line="360" w:lineRule="auto"/>
            <w:jc w:val="left"/>
            <w:rPr>
              <w:rFonts w:ascii="宋体" w:hAnsi="宋体" w:hint="eastAsia"/>
              <w:szCs w:val="21"/>
            </w:rPr>
          </w:pPr>
          <w:r>
            <w:rPr>
              <w:rFonts w:ascii="宋体" w:hAnsi="宋体" w:hint="eastAsia"/>
              <w:szCs w:val="21"/>
            </w:rPr>
            <w:t>基金管理人负责根据相关标准以及内部管理制度对有关证券</w:t>
          </w:r>
          <w:r>
            <w:rPr>
              <w:rFonts w:ascii="宋体" w:hAnsi="宋体" w:hint="eastAsia"/>
              <w:bCs/>
              <w:szCs w:val="21"/>
            </w:rPr>
            <w:t>经纪</w:t>
          </w:r>
          <w:r>
            <w:rPr>
              <w:rFonts w:ascii="宋体" w:hAnsi="宋体" w:hint="eastAsia"/>
              <w:szCs w:val="21"/>
            </w:rPr>
            <w:t>机构进行考察后确定代理本基金证券买卖的证券</w:t>
          </w:r>
          <w:r>
            <w:rPr>
              <w:rFonts w:ascii="宋体" w:hAnsi="宋体" w:hint="eastAsia"/>
              <w:bCs/>
              <w:szCs w:val="21"/>
            </w:rPr>
            <w:t>经纪</w:t>
          </w:r>
          <w:r>
            <w:rPr>
              <w:rFonts w:ascii="宋体" w:hAnsi="宋体" w:hint="eastAsia"/>
              <w:szCs w:val="21"/>
            </w:rPr>
            <w:t>机构，并承担相应责任。基金管理人、基金托管人和被选择的证券</w:t>
          </w:r>
          <w:r>
            <w:rPr>
              <w:rFonts w:ascii="宋体" w:hAnsi="宋体" w:hint="eastAsia"/>
              <w:bCs/>
              <w:szCs w:val="21"/>
            </w:rPr>
            <w:t>经纪</w:t>
          </w:r>
          <w:r>
            <w:rPr>
              <w:rFonts w:ascii="宋体" w:hAnsi="宋体" w:hint="eastAsia"/>
              <w:szCs w:val="21"/>
            </w:rPr>
            <w:t>机构签订证券经纪服务协议。基金管理人应在基金起始运作前将基金专用交易单元号、佣金费率等基本信息以及变更情况及时以书面形式通知基金托管人。</w:t>
          </w:r>
        </w:p>
        <w:p w14:paraId="21A851E4" w14:textId="77777777" w:rsidR="00A7580B" w:rsidRDefault="00750D62">
          <w:pPr>
            <w:pStyle w:val="a0"/>
            <w:spacing w:line="360" w:lineRule="auto"/>
            <w:jc w:val="left"/>
            <w:rPr>
              <w:rFonts w:ascii="宋体" w:hAnsi="宋体" w:hint="eastAsia"/>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15A5DBC" w14:textId="730EE07B"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3" w:name="_Toc382819099"/>
          <w:r>
            <w:rPr>
              <w:rFonts w:ascii="宋体" w:eastAsia="宋体" w:hAnsi="宋体" w:hint="eastAsia"/>
              <w:b w:val="0"/>
              <w:bCs w:val="0"/>
              <w:sz w:val="21"/>
              <w:szCs w:val="21"/>
            </w:rPr>
            <w:t>（二）基金投资证券</w:t>
          </w:r>
          <w:r w:rsidR="00B60539">
            <w:rPr>
              <w:rFonts w:ascii="宋体" w:eastAsia="宋体" w:hAnsi="宋体" w:hint="eastAsia"/>
              <w:b w:val="0"/>
              <w:bCs w:val="0"/>
              <w:sz w:val="21"/>
              <w:szCs w:val="21"/>
            </w:rPr>
            <w:t>、期货</w:t>
          </w:r>
          <w:r>
            <w:rPr>
              <w:rFonts w:ascii="宋体" w:eastAsia="宋体" w:hAnsi="宋体" w:hint="eastAsia"/>
              <w:b w:val="0"/>
              <w:bCs w:val="0"/>
              <w:sz w:val="21"/>
              <w:szCs w:val="21"/>
            </w:rPr>
            <w:t>后的清算交收安排</w:t>
          </w:r>
          <w:bookmarkStart w:id="44" w:name="_Toc382819100"/>
          <w:bookmarkEnd w:id="43"/>
        </w:p>
        <w:p w14:paraId="12CAE132" w14:textId="77777777" w:rsidR="00A7580B" w:rsidRDefault="00750D62">
          <w:pPr>
            <w:pStyle w:val="a0"/>
            <w:spacing w:line="360" w:lineRule="auto"/>
            <w:jc w:val="left"/>
            <w:rPr>
              <w:rFonts w:ascii="宋体" w:hAnsi="宋体" w:hint="eastAsia"/>
              <w:szCs w:val="21"/>
            </w:rPr>
          </w:pPr>
          <w:r>
            <w:rPr>
              <w:rFonts w:ascii="宋体" w:hAnsi="宋体" w:hint="eastAsia"/>
              <w:szCs w:val="21"/>
            </w:rPr>
            <w:lastRenderedPageBreak/>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0C2E0439" w14:textId="77777777" w:rsidR="00A7580B" w:rsidRDefault="00750D62">
          <w:pPr>
            <w:pStyle w:val="a0"/>
            <w:spacing w:line="360" w:lineRule="auto"/>
            <w:jc w:val="left"/>
            <w:rPr>
              <w:rFonts w:ascii="宋体" w:hAnsi="宋体" w:hint="eastAsia"/>
              <w:szCs w:val="21"/>
            </w:rPr>
          </w:pPr>
          <w:bookmarkStart w:id="45" w:name="_Toc382819101"/>
          <w:bookmarkEnd w:id="44"/>
          <w:r>
            <w:rPr>
              <w:rFonts w:ascii="宋体" w:hAnsi="宋体" w:hint="eastAsia"/>
              <w:szCs w:val="21"/>
            </w:rPr>
            <w:t xml:space="preserve">2、本基金投资于所有场外交易的资金汇划，由基金托管人根据基金管理人的交易划款指令具体办理。 </w:t>
          </w:r>
          <w:bookmarkEnd w:id="45"/>
        </w:p>
        <w:p w14:paraId="5C64B601" w14:textId="629E7C73" w:rsidR="00A7580B" w:rsidRDefault="00750D62">
          <w:pPr>
            <w:pStyle w:val="a0"/>
            <w:spacing w:line="360" w:lineRule="auto"/>
            <w:jc w:val="left"/>
            <w:rPr>
              <w:rFonts w:ascii="宋体" w:hAnsi="宋体" w:hint="eastAsia"/>
              <w:szCs w:val="21"/>
            </w:rPr>
          </w:pPr>
          <w:r>
            <w:rPr>
              <w:rFonts w:ascii="宋体" w:hAnsi="宋体" w:hint="eastAsia"/>
              <w:szCs w:val="21"/>
            </w:rPr>
            <w:t>3、证券经纪机构代理本基金财产与中国证券登记结算有限责任公司完成证券交易及非交易涉及的证券资金结算业务，并承担由证券经纪机构原因造成的正常结算、交收业务无法完成的责任。</w:t>
          </w:r>
        </w:p>
        <w:p w14:paraId="1EA7202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4、银行间债券券款对付结算</w:t>
          </w:r>
        </w:p>
        <w:p w14:paraId="0C893F3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 xml:space="preserve">划款指令和成交通知单按相关规定提交基金托管人，基金管理人应为基金托管人留出执行指令所必需的时间。  </w:t>
          </w:r>
        </w:p>
        <w:p w14:paraId="084A68D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29A597E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5、定期投资</w:t>
          </w:r>
        </w:p>
        <w:p w14:paraId="50C0C2BE" w14:textId="5AF814F4"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基金管理人与存款行签订的存款协议条款格式应在定期存款起息日的</w:t>
          </w:r>
          <w:r w:rsidR="00517F44">
            <w:rPr>
              <w:rFonts w:ascii="宋体" w:hAnsi="宋体" w:hint="eastAsia"/>
              <w:szCs w:val="21"/>
            </w:rPr>
            <w:t>当</w:t>
          </w:r>
          <w:r>
            <w:rPr>
              <w:rFonts w:ascii="宋体" w:hAnsi="宋体" w:hint="eastAsia"/>
              <w:szCs w:val="21"/>
            </w:rPr>
            <w:t>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w:t>
          </w:r>
          <w:r w:rsidR="00E32E84">
            <w:rPr>
              <w:rFonts w:ascii="宋体" w:hAnsi="宋体" w:hint="eastAsia"/>
              <w:szCs w:val="21"/>
            </w:rPr>
            <w:t>或其他双方认可的方式</w:t>
          </w:r>
          <w:r>
            <w:rPr>
              <w:rFonts w:ascii="宋体" w:hAnsi="宋体" w:hint="eastAsia"/>
              <w:szCs w:val="21"/>
            </w:rPr>
            <w:t>向基金托管人确认。对于基金管理人依约定程序发出的指令，基金管理人不得否认其效力。</w:t>
          </w:r>
        </w:p>
        <w:p w14:paraId="0DFBE6B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13CEBF5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14:paraId="7D8F43A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lastRenderedPageBreak/>
            <w:t>基金管理人与存款银行签订的存款协议，应包括：</w:t>
          </w:r>
        </w:p>
        <w:p w14:paraId="7C23F9D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（1）存款银行为托管资产办理定期存款业务的存款账户开立、资金存入和支取提供必要的支持和高效的结算服务。</w:t>
          </w:r>
        </w:p>
        <w:p w14:paraId="0B35B881" w14:textId="7A48BD16" w:rsidR="00A7580B" w:rsidRDefault="00750D62">
          <w:pPr>
            <w:spacing w:line="360" w:lineRule="auto"/>
            <w:ind w:firstLineChars="200" w:firstLine="420"/>
            <w:rPr>
              <w:rFonts w:ascii="宋体" w:hAnsi="宋体" w:hint="eastAsia"/>
              <w:szCs w:val="21"/>
            </w:rPr>
          </w:pPr>
          <w:r>
            <w:rPr>
              <w:rFonts w:ascii="宋体" w:hAnsi="宋体" w:hint="eastAsia"/>
              <w:szCs w:val="21"/>
            </w:rPr>
            <w:t>（2）存款银行为托管资产所投资的定期存款的存款证明文件提供上门服务，即：定期存款资金到账</w:t>
          </w:r>
          <w:r w:rsidR="00517F44">
            <w:rPr>
              <w:rFonts w:ascii="宋体" w:hAnsi="宋体" w:hint="eastAsia"/>
              <w:szCs w:val="21"/>
            </w:rPr>
            <w:t>后</w:t>
          </w:r>
          <w:r>
            <w:rPr>
              <w:rFonts w:ascii="宋体" w:hAnsi="宋体" w:hint="eastAsia"/>
              <w:szCs w:val="21"/>
            </w:rPr>
            <w:t>，存款银行派授权代理人将“存款证实书”（以下简称“证实书”）妥善送至基金托管人处。“证实书”移交给基金托管人之前，因“证实书”丢失、损毁而造成的一切损失由存款银行承担。</w:t>
          </w:r>
        </w:p>
        <w:p w14:paraId="26F3F446" w14:textId="309B1A7A" w:rsidR="00A7580B" w:rsidRDefault="00750D62">
          <w:pPr>
            <w:spacing w:line="360" w:lineRule="auto"/>
            <w:ind w:firstLineChars="200" w:firstLine="420"/>
            <w:rPr>
              <w:rFonts w:ascii="宋体" w:hAnsi="宋体" w:hint="eastAsia"/>
              <w:szCs w:val="21"/>
            </w:rPr>
          </w:pPr>
          <w:r>
            <w:rPr>
              <w:rFonts w:ascii="宋体" w:hAnsi="宋体" w:hint="eastAsia"/>
              <w:szCs w:val="21"/>
            </w:rPr>
            <w:t>（3）定期存款到期日当日或提前支取日当日</w:t>
          </w:r>
          <w:r w:rsidR="00517F44">
            <w:rPr>
              <w:rFonts w:ascii="宋体" w:hAnsi="宋体" w:hint="eastAsia"/>
              <w:szCs w:val="21"/>
            </w:rPr>
            <w:t>前</w:t>
          </w:r>
          <w:r>
            <w:rPr>
              <w:rFonts w:ascii="宋体" w:hAnsi="宋体" w:hint="eastAsia"/>
              <w:szCs w:val="21"/>
            </w:rPr>
            <w:t>，存款银行应派授权代理人前往基金托管人处提取“证实书”。“证实书”移交给存款行授权代理人之后，因“证实书”丢失、损毁而造成的一切损失由存款银行承担。</w:t>
          </w:r>
        </w:p>
        <w:p w14:paraId="77EED8E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2102F31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（4）存款银行应保证及时支付存款本金和利息，于支取当日将本息划付至本基金开立在基金托管人（上海浦东发展银行股份有限公司）处的托管账户， 并列明账户的开户行、账号、户名、大额支付号。存款银行应确认，定期存款的本息只能划入开立在托管人的相应托管账户或经托管人确认的指定账户。上述指定收款账户信息如需变更，必须经基金托管人书面同意。</w:t>
          </w:r>
        </w:p>
        <w:p w14:paraId="0934EB5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4E341EC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（6）在存款存续期内，“证实书”的预留印鉴发生变更的，存款银行应配合办理变更手续。</w:t>
          </w:r>
        </w:p>
        <w:p w14:paraId="408C788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（7）存款不得被质押，相应存款证明文件不得用于背书和转让。</w:t>
          </w:r>
        </w:p>
        <w:p w14:paraId="67F99A0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6、本基金拟投资于期货交易市场前，基金管理人、期货经纪机构及基金托管人应当另行签署股指期货投资托管协议。</w:t>
          </w:r>
        </w:p>
        <w:p w14:paraId="52E04C44"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6" w:name="_Toc382819102"/>
          <w:r>
            <w:rPr>
              <w:rFonts w:ascii="宋体" w:eastAsia="宋体" w:hAnsi="宋体" w:hint="eastAsia"/>
              <w:b w:val="0"/>
              <w:bCs w:val="0"/>
              <w:sz w:val="21"/>
              <w:szCs w:val="21"/>
            </w:rPr>
            <w:t>（三）可用资金余额的确认</w:t>
          </w:r>
          <w:bookmarkEnd w:id="46"/>
        </w:p>
        <w:p w14:paraId="01DABDED" w14:textId="1C0637BF" w:rsidR="00A7580B" w:rsidRDefault="00750D62">
          <w:pPr>
            <w:spacing w:line="360" w:lineRule="auto"/>
            <w:ind w:firstLineChars="200" w:firstLine="420"/>
          </w:pPr>
          <w:r>
            <w:rPr>
              <w:rFonts w:ascii="宋体" w:hAnsi="宋体" w:hint="eastAsia"/>
              <w:szCs w:val="21"/>
            </w:rPr>
            <w:t>基金托管人应于每个工作日</w:t>
          </w:r>
          <w:r w:rsidR="00A2383E">
            <w:rPr>
              <w:rFonts w:ascii="宋体" w:hAnsi="宋体" w:hint="eastAsia"/>
              <w:szCs w:val="21"/>
            </w:rPr>
            <w:t>日终</w:t>
          </w:r>
          <w:r>
            <w:rPr>
              <w:rFonts w:ascii="宋体" w:hAnsi="宋体" w:hint="eastAsia"/>
              <w:szCs w:val="21"/>
            </w:rPr>
            <w:t>将托管账户的可用资金余额以双方认可的方式提供给基金管理人。</w:t>
          </w:r>
        </w:p>
        <w:p w14:paraId="3FB4CBD2"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b w:val="0"/>
              <w:bCs w:val="0"/>
              <w:szCs w:val="21"/>
            </w:rPr>
          </w:pPr>
          <w:r>
            <w:rPr>
              <w:rFonts w:ascii="宋体" w:eastAsia="宋体" w:hAnsi="宋体" w:hint="eastAsia"/>
              <w:b w:val="0"/>
              <w:bCs w:val="0"/>
              <w:sz w:val="21"/>
              <w:szCs w:val="21"/>
            </w:rPr>
            <w:t>（四）交易记录、资金、证券账目的核对</w:t>
          </w:r>
        </w:p>
        <w:p w14:paraId="15FBFCE7"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1、交易记录的核对</w:t>
          </w:r>
        </w:p>
        <w:p w14:paraId="7F21EA94" w14:textId="6479530D"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lastRenderedPageBreak/>
            <w:t>基金管理人</w:t>
          </w:r>
          <w:r w:rsidR="00A2383E" w:rsidRPr="00D019A6">
            <w:rPr>
              <w:rFonts w:ascii="宋体" w:hAnsi="宋体" w:hint="eastAsia"/>
              <w:szCs w:val="21"/>
            </w:rPr>
            <w:t>和基金托管人</w:t>
          </w:r>
          <w:r>
            <w:rPr>
              <w:rFonts w:ascii="宋体" w:hAnsi="宋体" w:hint="eastAsia"/>
              <w:szCs w:val="21"/>
            </w:rPr>
            <w:t>按日进行交易记录的核对。对外披露净值之前，必须保证当天所有实际交易记录与基金会计账簿上的交易记录一致。</w:t>
          </w:r>
        </w:p>
        <w:p w14:paraId="5331269A"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2、资金账目的核对</w:t>
          </w:r>
        </w:p>
        <w:p w14:paraId="1FA2BF15"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41895A00"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3、证券账目的核对</w:t>
          </w:r>
        </w:p>
        <w:p w14:paraId="4D4E95E1"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5AD8B772"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b w:val="0"/>
              <w:szCs w:val="21"/>
            </w:rPr>
          </w:pPr>
          <w:r>
            <w:rPr>
              <w:rFonts w:ascii="宋体" w:eastAsia="宋体" w:hAnsi="宋体" w:hint="eastAsia"/>
              <w:b w:val="0"/>
              <w:bCs w:val="0"/>
              <w:sz w:val="21"/>
              <w:szCs w:val="21"/>
            </w:rPr>
            <w:t>（五）基金申购、赎回、转换业务处理的基本规定</w:t>
          </w:r>
        </w:p>
        <w:p w14:paraId="47028108"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1、基金管理人自基金合同生效后3个月内开始办理申购赎回，具体办理时间以公告为准。基金份额申购、赎回的确认、清算由基金管理人或其委托的登记机构负责。</w:t>
          </w:r>
        </w:p>
        <w:p w14:paraId="461CE9F8"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5E48B5AB"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266E5483"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4、基金管理人应保证其发送的注册登记数据的接口规范与基金托管人的接口规范保持一致。</w:t>
          </w:r>
        </w:p>
        <w:p w14:paraId="71ACF4F0"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5、基金注册登记清算专用账户的开立和管理</w:t>
          </w:r>
        </w:p>
        <w:p w14:paraId="133D82BE"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为满足申购、赎回等资金汇划的需要，基金管理人应开立用于基金申购、赎回等资金清算的基金注册登记清算专用账户。</w:t>
          </w:r>
        </w:p>
        <w:p w14:paraId="39CD67B3"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6、对于基金申购过程中产生的应收资产，应由基金管理人负责与有关当事人确定到账日期并通知基金托管人，到账日基金资产没有到达基金托管人处的，基金托管人应及时通</w:t>
          </w:r>
          <w:r>
            <w:rPr>
              <w:rFonts w:ascii="宋体" w:hAnsi="宋体" w:hint="eastAsia"/>
              <w:szCs w:val="21"/>
            </w:rPr>
            <w:lastRenderedPageBreak/>
            <w:t>知基金管理人采取措施进行催收，由此给基金造成损失的，基金管理人应负责向有关当事人追偿基金的损失，基金托管人不承担任何责任。</w:t>
          </w:r>
        </w:p>
        <w:p w14:paraId="18100C1B"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7、赎回资金的支付</w:t>
          </w:r>
        </w:p>
        <w:p w14:paraId="3AAD25A0"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1F893F59"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8、资金支付执行和责任界定</w:t>
          </w:r>
        </w:p>
        <w:p w14:paraId="6F4FF319"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14:paraId="692E0801"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25F60D5E"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9、暂停赎回和巨额赎回处理</w:t>
          </w:r>
        </w:p>
        <w:p w14:paraId="6B6BA46A"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1B8F6B79"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b w:val="0"/>
              <w:szCs w:val="21"/>
            </w:rPr>
          </w:pPr>
          <w:r>
            <w:rPr>
              <w:rFonts w:ascii="宋体" w:eastAsia="宋体" w:hAnsi="宋体" w:hint="eastAsia"/>
              <w:b w:val="0"/>
              <w:bCs w:val="0"/>
              <w:sz w:val="21"/>
              <w:szCs w:val="21"/>
            </w:rPr>
            <w:t>（六）申购赎回资金结算</w:t>
          </w:r>
        </w:p>
        <w:p w14:paraId="681AC943"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1、</w:t>
          </w:r>
          <w:r>
            <w:rPr>
              <w:rFonts w:hint="eastAsia"/>
            </w:rPr>
            <w:t>基金管理人应保证本基金（或本基金管理人委托）的登记机构每个工作日</w:t>
          </w:r>
          <w:r>
            <w:rPr>
              <w:rFonts w:hint="eastAsia"/>
            </w:rPr>
            <w:t>15</w:t>
          </w:r>
          <w:r>
            <w:rPr>
              <w:rFonts w:hint="eastAsia"/>
            </w:rPr>
            <w:t>：</w:t>
          </w:r>
          <w:r>
            <w:rPr>
              <w:rFonts w:hint="eastAsia"/>
            </w:rPr>
            <w:t>00</w:t>
          </w:r>
          <w:r>
            <w:rPr>
              <w:rFonts w:hint="eastAsia"/>
            </w:rPr>
            <w:t>前向基金托管人发送前一开放日</w:t>
          </w:r>
          <w:r>
            <w:rPr>
              <w:rFonts w:ascii="宋体" w:hAnsi="宋体" w:hint="eastAsia"/>
              <w:szCs w:val="21"/>
            </w:rPr>
            <w:t>投资人申购、赎回、转换等基金的确认数据，并保证相关数据的准确、完整。基金管理人和基金托管人据此进行申购的基金会计处理。</w:t>
          </w:r>
        </w:p>
        <w:p w14:paraId="66A7F40B"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T日申购、赎回申请的对应款项均在交收日进行交收。基金托管账户与“基金清算账户”间的资金结算遵循“全额清算、净额交收”的原则，每日按照托管账户应收资金与应</w:t>
          </w:r>
          <w:r>
            <w:rPr>
              <w:rFonts w:ascii="宋体" w:hAnsi="宋体" w:hint="eastAsia"/>
              <w:szCs w:val="21"/>
            </w:rPr>
            <w:lastRenderedPageBreak/>
            <w:t>付资金的差额来确定当日托管账户净应收额或净应付额，以此确定资金交收额。如存在托管账户净应收额时，基金管理人应在</w:t>
          </w:r>
          <w:r>
            <w:rPr>
              <w:rFonts w:ascii="宋体" w:hAnsi="宋体" w:hint="eastAsia"/>
              <w:szCs w:val="21"/>
              <w:highlight w:val="yellow"/>
            </w:rPr>
            <w:t>交收日</w:t>
          </w:r>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将划款指令发送给基金托管人，基金托管人按基金管理人的划款指令将托管账户净应付额在交收日12:00 之前划往基金清算账户，基金托管人在资金划出后立即通知基金管理人，并将有关书面凭证交给基金管理人进行账务管理。</w:t>
          </w:r>
        </w:p>
        <w:p w14:paraId="544A28A1" w14:textId="64A0A8BA"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当存在托管账户净应付额时，如基金</w:t>
          </w:r>
          <w:r w:rsidR="00B60539">
            <w:rPr>
              <w:rFonts w:ascii="宋体" w:hAnsi="宋体" w:hint="eastAsia"/>
              <w:szCs w:val="21"/>
            </w:rPr>
            <w:t>托管账户</w:t>
          </w:r>
          <w:r>
            <w:rPr>
              <w:rFonts w:ascii="宋体" w:hAnsi="宋体" w:hint="eastAsia"/>
              <w:szCs w:val="21"/>
            </w:rPr>
            <w:t>有足够的资金，基金托管人应按时拨付；因基金</w:t>
          </w:r>
          <w:r w:rsidR="00B60539">
            <w:rPr>
              <w:rFonts w:ascii="宋体" w:hAnsi="宋体" w:hint="eastAsia"/>
              <w:szCs w:val="21"/>
            </w:rPr>
            <w:t>托管账户</w:t>
          </w:r>
          <w:r>
            <w:rPr>
              <w:rFonts w:ascii="宋体" w:hAnsi="宋体" w:hint="eastAsia"/>
              <w:szCs w:val="21"/>
            </w:rPr>
            <w:t>没有足够的资金，导致基金托管人不能按时拨付，基金托管人应及时通知基金管理人，如系基金管理人的原因造成，责任由基金管理人承担，基金托管人不承担垫款义务。</w:t>
          </w:r>
        </w:p>
        <w:p w14:paraId="3C059223"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b w:val="0"/>
              <w:bCs w:val="0"/>
              <w:szCs w:val="21"/>
            </w:rPr>
          </w:pPr>
          <w:r>
            <w:rPr>
              <w:rFonts w:ascii="宋体" w:eastAsia="宋体" w:hAnsi="宋体" w:hint="eastAsia"/>
              <w:b w:val="0"/>
              <w:bCs w:val="0"/>
              <w:sz w:val="21"/>
              <w:szCs w:val="21"/>
            </w:rPr>
            <w:t>（七）基金转换</w:t>
          </w:r>
        </w:p>
        <w:p w14:paraId="3CC426E6" w14:textId="77777777" w:rsidR="00A7580B" w:rsidRDefault="00750D62">
          <w:pPr>
            <w:tabs>
              <w:tab w:val="left" w:pos="4680"/>
            </w:tabs>
            <w:spacing w:line="360" w:lineRule="auto"/>
            <w:ind w:firstLineChars="200" w:firstLine="420"/>
            <w:jc w:val="left"/>
            <w:rPr>
              <w:rFonts w:ascii="宋体" w:hAnsi="宋体" w:hint="eastAsia"/>
              <w:szCs w:val="21"/>
            </w:rPr>
          </w:pPr>
          <w:r>
            <w:rPr>
              <w:rFonts w:ascii="宋体" w:hAnsi="宋体" w:hint="eastAsia"/>
              <w:szCs w:val="21"/>
            </w:rPr>
            <w:t>基金管理人与基金托管人按照相关法律法规、《基金合同》、以及本协议的规定办理基金转换。</w:t>
          </w:r>
        </w:p>
        <w:p w14:paraId="4C152BC2"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szCs w:val="21"/>
            </w:rPr>
          </w:pPr>
          <w:r>
            <w:rPr>
              <w:rFonts w:ascii="宋体" w:eastAsia="宋体" w:hAnsi="宋体"/>
              <w:b w:val="0"/>
              <w:bCs w:val="0"/>
              <w:sz w:val="21"/>
              <w:szCs w:val="21"/>
            </w:rPr>
            <w:t>(八)基金出现超买或超卖的责任认定及处理程序</w:t>
          </w:r>
        </w:p>
        <w:p w14:paraId="633C820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w:t>
          </w:r>
        </w:p>
        <w:p w14:paraId="23550423" w14:textId="77777777" w:rsidR="00A7580B" w:rsidRDefault="00750D62">
          <w:pPr>
            <w:spacing w:beforeLines="100" w:before="312" w:afterLines="100" w:after="312" w:line="240" w:lineRule="atLeast"/>
            <w:jc w:val="center"/>
            <w:outlineLvl w:val="0"/>
            <w:rPr>
              <w:rFonts w:ascii="宋体" w:hAnsi="宋体" w:hint="eastAsia"/>
            </w:rPr>
          </w:pPr>
          <w:bookmarkStart w:id="47" w:name="_Toc382819103"/>
          <w:r>
            <w:rPr>
              <w:rFonts w:ascii="宋体" w:hAnsi="宋体" w:hint="eastAsia"/>
              <w:b/>
              <w:sz w:val="24"/>
            </w:rPr>
            <w:t>七、基金资产净值计算和会计核算</w:t>
          </w:r>
          <w:bookmarkEnd w:id="47"/>
        </w:p>
        <w:p w14:paraId="0F8C7208"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48"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8"/>
        </w:p>
        <w:p w14:paraId="19FF630B" w14:textId="50D344AD" w:rsidR="00A7580B" w:rsidRDefault="00750D62">
          <w:pPr>
            <w:spacing w:line="440" w:lineRule="atLeast"/>
            <w:ind w:right="28" w:firstLineChars="200" w:firstLine="42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w:t>
          </w:r>
          <w:r w:rsidR="00DE6C4F" w:rsidRPr="00DE6C4F">
            <w:rPr>
              <w:rFonts w:ascii="宋体" w:hAnsi="宋体" w:hint="eastAsia"/>
              <w:bCs/>
              <w:szCs w:val="21"/>
            </w:rPr>
            <w:t>各类基金资产净值除以当日该类基金份额的余额数量计算，均精确到0.0001元，小数点后第5位四舍五入。基金管理人可以设立大额赎回情形下的净值精度应急调整机制。为避免基金份额持有人利益因基金份额净值的小数点保留精度受到不利影响，基金管理人可提高基金份额净值的精度。法律法规另有规定的，从其规定</w:t>
          </w:r>
          <w:r>
            <w:rPr>
              <w:rFonts w:ascii="宋体" w:hAnsi="宋体" w:hint="eastAsia"/>
              <w:szCs w:val="21"/>
            </w:rPr>
            <w:t>。</w:t>
          </w:r>
        </w:p>
        <w:p w14:paraId="75875111" w14:textId="53FE6E8C" w:rsidR="00A7580B" w:rsidRDefault="00750D62">
          <w:pPr>
            <w:spacing w:line="440" w:lineRule="atLeast"/>
            <w:ind w:right="28"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资产净值计算和基金会计核算的义务由基金管理人承担。本基金的基金会计主责任方由基金管理人担任，基金托管人承担复核责任，因此，就与本基金有关的会计问题，如经相关各方在平等基础上充分讨论后，仍无法达成一致意见的，按照基金管理人对基金净值的计算结果对外予以公布。每个估值日，基金管理人应对基金资产估</w:t>
          </w:r>
          <w:r>
            <w:rPr>
              <w:rFonts w:ascii="宋体" w:hAnsi="宋体" w:hint="eastAsia"/>
              <w:szCs w:val="21"/>
            </w:rPr>
            <w:lastRenderedPageBreak/>
            <w:t>值。但基金管理人根据法律法规或基金合同的规定暂停估值时除外。估值原则应符合《基金合同》、《证券投资基金会计核算业务指引》及其他法律、法规的规定。</w:t>
          </w:r>
          <w:r w:rsidR="00DE6C4F" w:rsidRPr="00DE6C4F">
            <w:rPr>
              <w:rFonts w:ascii="宋体" w:hAnsi="宋体" w:cs="宋体" w:hint="eastAsia"/>
              <w:color w:val="000000"/>
              <w:szCs w:val="21"/>
            </w:rPr>
            <w:t>基金管理人每个估值日对基金资产估值后，将各类基金份额的基金份额净值结果发送基金托管人，经基金托管人复核无误后，由基金管理人对外公布</w:t>
          </w:r>
          <w:r>
            <w:rPr>
              <w:rFonts w:ascii="宋体" w:hAnsi="宋体" w:cs="宋体" w:hint="eastAsia"/>
              <w:color w:val="000000"/>
              <w:szCs w:val="21"/>
            </w:rPr>
            <w:t>。</w:t>
          </w:r>
        </w:p>
        <w:p w14:paraId="633E0298" w14:textId="77777777" w:rsidR="00A7580B" w:rsidRDefault="00750D62">
          <w:pPr>
            <w:tabs>
              <w:tab w:val="num" w:pos="900"/>
            </w:tabs>
            <w:spacing w:line="360" w:lineRule="auto"/>
            <w:ind w:right="28" w:firstLineChars="200" w:firstLine="420"/>
            <w:rPr>
              <w:rFonts w:ascii="宋体" w:hAnsi="宋体" w:hint="eastAsia"/>
              <w:szCs w:val="21"/>
            </w:rPr>
          </w:pPr>
          <w:r>
            <w:rPr>
              <w:rFonts w:ascii="宋体" w:hAnsi="宋体" w:hint="eastAsia"/>
              <w:szCs w:val="21"/>
            </w:rPr>
            <w:t>法律法规以及监管部门有强制规定的，从其规定。如有新增事项，按国家最新规定估值。</w:t>
          </w:r>
        </w:p>
        <w:p w14:paraId="5CF66027" w14:textId="77777777" w:rsidR="00A7580B" w:rsidRDefault="00750D62">
          <w:pPr>
            <w:pStyle w:val="2"/>
            <w:keepNext w:val="0"/>
            <w:keepLines w:val="0"/>
            <w:autoSpaceDE w:val="0"/>
            <w:autoSpaceDN w:val="0"/>
            <w:spacing w:before="0" w:after="0" w:line="440" w:lineRule="atLeast"/>
            <w:ind w:firstLineChars="200" w:firstLine="420"/>
            <w:rPr>
              <w:rFonts w:ascii="宋体" w:eastAsia="宋体" w:hAnsi="宋体" w:hint="eastAsia"/>
              <w:b w:val="0"/>
              <w:bCs w:val="0"/>
              <w:sz w:val="21"/>
              <w:szCs w:val="21"/>
            </w:rPr>
          </w:pPr>
          <w:bookmarkStart w:id="49" w:name="_Toc382819105"/>
          <w:r>
            <w:rPr>
              <w:rFonts w:ascii="宋体" w:eastAsia="宋体" w:hAnsi="宋体" w:hint="eastAsia"/>
              <w:b w:val="0"/>
              <w:bCs w:val="0"/>
              <w:sz w:val="21"/>
              <w:szCs w:val="21"/>
            </w:rPr>
            <w:t>（二）基金资产估值</w:t>
          </w:r>
          <w:bookmarkEnd w:id="49"/>
        </w:p>
        <w:p w14:paraId="72D39753"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估值原则应符合《基金合同》、《证券投资基金会计核算业务指引》、《企业会计准则》及其他法律法规的规定的约定。</w:t>
          </w:r>
        </w:p>
        <w:p w14:paraId="3A613F38"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当相关法律法规或《基金合同》规定的估值方法不能客观反映基金财产公允价值时，基金管理人可根据具体情况，并与基金托管人商定后，按最能反映公允价值的价格估值。</w:t>
          </w:r>
        </w:p>
        <w:p w14:paraId="3FC308C2" w14:textId="77777777" w:rsidR="00A7580B" w:rsidRDefault="00750D62">
          <w:pPr>
            <w:pStyle w:val="2"/>
            <w:keepNext w:val="0"/>
            <w:keepLines w:val="0"/>
            <w:autoSpaceDE w:val="0"/>
            <w:autoSpaceDN w:val="0"/>
            <w:spacing w:before="0" w:after="0" w:line="440" w:lineRule="atLeast"/>
            <w:ind w:firstLineChars="200" w:firstLine="420"/>
            <w:rPr>
              <w:rFonts w:ascii="宋体" w:hAnsi="宋体" w:hint="eastAsia"/>
              <w:szCs w:val="21"/>
            </w:rPr>
          </w:pPr>
          <w:r>
            <w:rPr>
              <w:rFonts w:ascii="宋体" w:eastAsia="宋体" w:hAnsi="宋体" w:hint="eastAsia"/>
              <w:b w:val="0"/>
              <w:bCs w:val="0"/>
              <w:sz w:val="21"/>
              <w:szCs w:val="21"/>
            </w:rPr>
            <w:t>（三）实施侧袋机制期间的基金资产估值</w:t>
          </w:r>
        </w:p>
        <w:p w14:paraId="3833C3E8"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本基金实施侧袋机制的，应根据本部分的约定对主袋账户资产进行估值并披露主袋账户的基金净值信息，暂停披露侧袋账户份额净值。</w:t>
          </w:r>
        </w:p>
        <w:p w14:paraId="34EF756C"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50" w:name="_Toc382819106"/>
          <w:r>
            <w:rPr>
              <w:rFonts w:ascii="宋体" w:eastAsia="宋体" w:hAnsi="宋体" w:hint="eastAsia"/>
              <w:b w:val="0"/>
              <w:bCs w:val="0"/>
              <w:sz w:val="21"/>
              <w:szCs w:val="21"/>
            </w:rPr>
            <w:t>（四）估值错误处理</w:t>
          </w:r>
          <w:bookmarkEnd w:id="50"/>
        </w:p>
        <w:p w14:paraId="6178776A" w14:textId="77777777" w:rsidR="00A7580B" w:rsidRDefault="00750D62">
          <w:pPr>
            <w:spacing w:line="440" w:lineRule="atLeast"/>
            <w:ind w:right="28" w:firstLineChars="200" w:firstLine="420"/>
            <w:rPr>
              <w:rFonts w:ascii="宋体" w:hAnsi="宋体" w:hint="eastAsia"/>
              <w:szCs w:val="21"/>
            </w:rPr>
          </w:pPr>
          <w:bookmarkStart w:id="51" w:name="_Toc382819107"/>
          <w:r>
            <w:rPr>
              <w:rFonts w:ascii="宋体" w:hAnsi="宋体" w:hint="eastAsia"/>
              <w:szCs w:val="21"/>
            </w:rPr>
            <w:t>1.当任一类别基金份额净值小数点后</w:t>
          </w:r>
          <w:r>
            <w:rPr>
              <w:rFonts w:ascii="宋体" w:hAnsi="宋体"/>
              <w:szCs w:val="21"/>
            </w:rPr>
            <w:t>4位以内(含第4位)</w:t>
          </w:r>
          <w:r>
            <w:rPr>
              <w:rFonts w:ascii="宋体" w:hAnsi="宋体" w:hint="eastAsia"/>
              <w:szCs w:val="21"/>
            </w:rPr>
            <w:t>发生差错时，视为该类基金份额净值错误；任一类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通报基金托管人并报中国证监会备案。</w:t>
          </w:r>
          <w:bookmarkEnd w:id="51"/>
        </w:p>
        <w:p w14:paraId="658A0CC6" w14:textId="77777777" w:rsidR="00A7580B" w:rsidRDefault="00750D62">
          <w:pPr>
            <w:spacing w:line="440" w:lineRule="atLeast"/>
            <w:ind w:right="28" w:firstLineChars="200" w:firstLine="420"/>
            <w:rPr>
              <w:rFonts w:ascii="宋体" w:hAnsi="宋体" w:hint="eastAsia"/>
              <w:szCs w:val="21"/>
            </w:rPr>
          </w:pPr>
          <w:bookmarkStart w:id="52" w:name="_Toc382819108"/>
          <w:r>
            <w:rPr>
              <w:rFonts w:ascii="宋体" w:hAnsi="宋体" w:hint="eastAsia"/>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2"/>
        </w:p>
        <w:p w14:paraId="7C18FE03" w14:textId="77777777" w:rsidR="00A7580B" w:rsidRDefault="00750D62">
          <w:pPr>
            <w:spacing w:line="440" w:lineRule="atLeast"/>
            <w:ind w:right="28" w:firstLineChars="200" w:firstLine="420"/>
            <w:rPr>
              <w:rFonts w:ascii="宋体" w:hAnsi="宋体" w:hint="eastAsia"/>
              <w:szCs w:val="21"/>
            </w:rPr>
          </w:pPr>
          <w:bookmarkStart w:id="53"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65D5C37B"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54B93267"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4" w:name="_Toc382819110"/>
          <w:bookmarkEnd w:id="53"/>
        </w:p>
        <w:p w14:paraId="5FCF88C3"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lastRenderedPageBreak/>
            <w:t>3.</w:t>
          </w:r>
          <w:r>
            <w:rPr>
              <w:rFonts w:hint="eastAsia"/>
            </w:rPr>
            <w:t xml:space="preserve"> </w:t>
          </w:r>
          <w:r>
            <w:rPr>
              <w:rFonts w:ascii="宋体" w:hAnsi="宋体" w:hint="eastAsia"/>
              <w:szCs w:val="21"/>
            </w:rPr>
            <w:t>由于证券、期货交易所、指数编制机构、证券经纪商及登记结算公司等第三方机构发送的数据错误，或由于国家会计政策变更、市场规则变更等非基金管理人与基金托管人原因，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37BE7788" w14:textId="77777777" w:rsidR="00A7580B" w:rsidRDefault="00750D62">
          <w:pPr>
            <w:spacing w:line="440" w:lineRule="atLeast"/>
            <w:ind w:right="28" w:firstLineChars="200" w:firstLine="420"/>
            <w:rPr>
              <w:rFonts w:ascii="宋体" w:hAnsi="宋体" w:hint="eastAsia"/>
              <w:szCs w:val="21"/>
            </w:rPr>
          </w:pPr>
          <w:bookmarkStart w:id="55" w:name="_Toc382819111"/>
          <w:bookmarkEnd w:id="54"/>
          <w:r>
            <w:rPr>
              <w:rFonts w:ascii="宋体" w:hAnsi="宋体" w:hint="eastAsia"/>
              <w:szCs w:val="21"/>
            </w:rPr>
            <w:t>4.基金管理人和基金托管人由于各自技术系统设置而产生的净值计算尾差，以基金管理人计算结果为准。</w:t>
          </w:r>
          <w:bookmarkStart w:id="56" w:name="_Toc382819112"/>
          <w:bookmarkEnd w:id="55"/>
        </w:p>
        <w:p w14:paraId="20FC7C51"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Start w:id="57" w:name="_Toc382819113"/>
          <w:bookmarkEnd w:id="56"/>
        </w:p>
        <w:p w14:paraId="1139F616"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r>
            <w:rPr>
              <w:rFonts w:ascii="宋体" w:eastAsia="宋体" w:hAnsi="宋体" w:hint="eastAsia"/>
              <w:b w:val="0"/>
              <w:bCs w:val="0"/>
              <w:sz w:val="21"/>
              <w:szCs w:val="21"/>
            </w:rPr>
            <w:t>（五）暂停估值与公告基金份额净值的情形</w:t>
          </w:r>
          <w:bookmarkStart w:id="58" w:name="_Toc382819114"/>
          <w:bookmarkEnd w:id="57"/>
        </w:p>
        <w:p w14:paraId="77A2687B" w14:textId="0D768B04" w:rsidR="00A7580B" w:rsidRDefault="00750D62">
          <w:pPr>
            <w:spacing w:line="440" w:lineRule="atLeast"/>
            <w:ind w:right="28" w:firstLineChars="200" w:firstLine="420"/>
            <w:rPr>
              <w:rFonts w:ascii="宋体" w:hAnsi="宋体" w:hint="eastAsia"/>
              <w:szCs w:val="21"/>
            </w:rPr>
          </w:pPr>
          <w:r>
            <w:rPr>
              <w:rFonts w:ascii="宋体" w:hAnsi="宋体" w:hint="eastAsia"/>
              <w:szCs w:val="21"/>
            </w:rPr>
            <w:t>1．基金投资所涉及的证券/期货交易市场</w:t>
          </w:r>
          <w:r w:rsidR="00E43C18" w:rsidRPr="008E305F">
            <w:rPr>
              <w:rFonts w:ascii="宋体" w:hAnsi="宋体" w:hint="eastAsia"/>
              <w:szCs w:val="21"/>
            </w:rPr>
            <w:t>或外汇市场</w:t>
          </w:r>
          <w:r>
            <w:rPr>
              <w:rFonts w:ascii="宋体" w:hAnsi="宋体" w:hint="eastAsia"/>
              <w:szCs w:val="21"/>
            </w:rPr>
            <w:t>遇法定节假日或因其他原因暂停营业时；</w:t>
          </w:r>
          <w:bookmarkStart w:id="59" w:name="_Toc382819115"/>
          <w:bookmarkEnd w:id="58"/>
        </w:p>
        <w:p w14:paraId="2C8F2342"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2．因不可抗力或其他情形致使基金管理人、基金托管人无法准确评估基金资产价值时；</w:t>
          </w:r>
          <w:bookmarkEnd w:id="59"/>
        </w:p>
        <w:p w14:paraId="0A485619" w14:textId="77777777" w:rsidR="00A7580B" w:rsidRDefault="00750D62">
          <w:pPr>
            <w:spacing w:line="440" w:lineRule="atLeast"/>
            <w:ind w:right="28" w:firstLineChars="200" w:firstLine="420"/>
            <w:rPr>
              <w:rFonts w:ascii="宋体" w:hAnsi="宋体" w:hint="eastAsia"/>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141BBCA0" w14:textId="77777777" w:rsidR="00A7580B" w:rsidRDefault="00750D62">
          <w:pPr>
            <w:spacing w:line="440" w:lineRule="atLeast"/>
            <w:ind w:right="28" w:firstLineChars="200" w:firstLine="420"/>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 xml:space="preserve"> 法律法规、中国证监会和《基金合同》认定的其他情形。</w:t>
          </w:r>
          <w:bookmarkStart w:id="60" w:name="_Toc382819116"/>
        </w:p>
        <w:p w14:paraId="071FFACE"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r>
            <w:rPr>
              <w:rFonts w:ascii="宋体" w:eastAsia="宋体" w:hAnsi="宋体" w:hint="eastAsia"/>
              <w:b w:val="0"/>
              <w:bCs w:val="0"/>
              <w:sz w:val="21"/>
              <w:szCs w:val="21"/>
            </w:rPr>
            <w:t>（六）基金账册的建立</w:t>
          </w:r>
          <w:bookmarkEnd w:id="60"/>
        </w:p>
        <w:p w14:paraId="70E5588C"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982D70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1B806EEE"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bookmarkStart w:id="61" w:name="_Toc382819117"/>
          <w:r>
            <w:rPr>
              <w:rFonts w:ascii="宋体" w:eastAsia="宋体" w:hAnsi="宋体" w:hint="eastAsia"/>
              <w:b w:val="0"/>
              <w:bCs w:val="0"/>
              <w:sz w:val="21"/>
              <w:szCs w:val="21"/>
            </w:rPr>
            <w:t>（七）基金定期报表及报告的编制和复核</w:t>
          </w:r>
          <w:bookmarkEnd w:id="61"/>
        </w:p>
        <w:p w14:paraId="292C6133"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1.基金财务报表由基金管理人和基金托管人每月分别独立编制。月度报表的编制，应于每月终了后5个工作日内完成。</w:t>
          </w:r>
        </w:p>
        <w:p w14:paraId="2699B8F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w:t>
          </w:r>
          <w:r>
            <w:rPr>
              <w:rFonts w:ascii="宋体" w:hAnsi="宋体" w:hint="eastAsia"/>
              <w:szCs w:val="21"/>
            </w:rPr>
            <w:lastRenderedPageBreak/>
            <w:t>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14:paraId="7259DAF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基金管理人在5个工作日内完成月度报表，在月度报表完成当日，以双方约定的方式将有关报表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7C31D32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基金托管人在复核过程中，发现相关各方的报表及报告存在不符时，基金管理人和基金托管人应共同查明原因，进行调整，调整以相关各方认可的账务处理方式为准。如果基金管理人与基金托管人不能于应当发布公告之日之前就相关报表及报告达成一致，基金管理人有权按照其编制的报表</w:t>
          </w:r>
          <w:r>
            <w:rPr>
              <w:rFonts w:ascii="宋体" w:hAnsi="宋体" w:hint="eastAsia"/>
              <w:bCs/>
              <w:szCs w:val="21"/>
            </w:rPr>
            <w:t>及报告</w:t>
          </w:r>
          <w:r>
            <w:rPr>
              <w:rFonts w:ascii="宋体" w:hAnsi="宋体" w:hint="eastAsia"/>
              <w:szCs w:val="21"/>
            </w:rPr>
            <w:t>对外发布公告，基金托管人有权就相关情况报中国证监会备案。</w:t>
          </w:r>
        </w:p>
        <w:p w14:paraId="1E7F4E0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5.基金定期报告应当在公开披露的第2个工作日，分别报中国证监会和基金管理人主要办公场所所在地中国证监会派出机构备案。</w:t>
          </w:r>
        </w:p>
        <w:p w14:paraId="14E10C95" w14:textId="77777777" w:rsidR="00A7580B" w:rsidRDefault="00750D62">
          <w:pPr>
            <w:spacing w:line="500" w:lineRule="atLeast"/>
            <w:jc w:val="center"/>
            <w:outlineLvl w:val="0"/>
            <w:rPr>
              <w:rFonts w:ascii="宋体" w:hAnsi="宋体" w:hint="eastAsia"/>
            </w:rPr>
          </w:pPr>
          <w:bookmarkStart w:id="62" w:name="_Toc382819118"/>
          <w:r>
            <w:rPr>
              <w:rFonts w:ascii="宋体" w:hAnsi="宋体" w:hint="eastAsia"/>
              <w:b/>
              <w:sz w:val="24"/>
            </w:rPr>
            <w:t>八、基金收益分配</w:t>
          </w:r>
          <w:bookmarkEnd w:id="62"/>
        </w:p>
        <w:p w14:paraId="18AC5FC9"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cs="Arial" w:hint="eastAsia"/>
              <w:sz w:val="21"/>
              <w:szCs w:val="21"/>
            </w:rPr>
          </w:pPr>
          <w:bookmarkStart w:id="63" w:name="_Toc382819119"/>
          <w:r>
            <w:rPr>
              <w:rFonts w:ascii="宋体" w:eastAsia="宋体" w:hAnsi="宋体" w:hint="eastAsia"/>
              <w:b w:val="0"/>
              <w:bCs w:val="0"/>
              <w:sz w:val="21"/>
              <w:szCs w:val="21"/>
            </w:rPr>
            <w:t>（一）基金收益分配的原则</w:t>
          </w:r>
          <w:bookmarkEnd w:id="63"/>
        </w:p>
        <w:p w14:paraId="27E36994"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基金收益分配是指将该基金可供分配利润按收益分配方案确定的分配金额和比例根据持有该基金份额的数量按比例向该基金份额持有人进行分配。</w:t>
          </w:r>
        </w:p>
        <w:p w14:paraId="5A561826"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收益分配应该符合《基金合同》关于收益分配原则的规定。</w:t>
          </w:r>
          <w:bookmarkStart w:id="64" w:name="_Toc382819120"/>
        </w:p>
        <w:p w14:paraId="33E94B4A" w14:textId="77777777" w:rsidR="00A7580B" w:rsidRDefault="00750D62">
          <w:pPr>
            <w:pStyle w:val="2"/>
            <w:keepNext w:val="0"/>
            <w:keepLines w:val="0"/>
            <w:autoSpaceDE w:val="0"/>
            <w:autoSpaceDN w:val="0"/>
            <w:spacing w:before="0" w:after="0" w:line="360" w:lineRule="auto"/>
            <w:ind w:firstLineChars="200" w:firstLine="420"/>
            <w:rPr>
              <w:rFonts w:ascii="宋体" w:eastAsia="宋体" w:hAnsi="宋体" w:hint="eastAsia"/>
              <w:b w:val="0"/>
              <w:bCs w:val="0"/>
              <w:sz w:val="21"/>
              <w:szCs w:val="21"/>
            </w:rPr>
          </w:pPr>
          <w:r>
            <w:rPr>
              <w:rFonts w:ascii="宋体" w:eastAsia="宋体" w:hAnsi="宋体" w:hint="eastAsia"/>
              <w:b w:val="0"/>
              <w:bCs w:val="0"/>
              <w:sz w:val="21"/>
              <w:szCs w:val="21"/>
            </w:rPr>
            <w:t>（二）基金收益分配方案的制定和实施程序</w:t>
          </w:r>
          <w:bookmarkEnd w:id="64"/>
        </w:p>
        <w:p w14:paraId="17FA156D"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基金收益分配方案由基金管理人根据《基金合同》的相关规定制定。</w:t>
          </w:r>
        </w:p>
        <w:p w14:paraId="7014AB45"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基金收益分配方案由基金管理人拟定，并由基金托管人复核</w:t>
          </w:r>
          <w:r>
            <w:rPr>
              <w:rFonts w:ascii="宋体" w:hAnsi="宋体"/>
              <w:szCs w:val="21"/>
            </w:rPr>
            <w:t>，</w:t>
          </w:r>
          <w:r>
            <w:rPr>
              <w:rFonts w:ascii="宋体" w:hAnsi="宋体" w:hint="eastAsia"/>
              <w:szCs w:val="21"/>
            </w:rPr>
            <w:t>依据《信息披露办法》的相关规定在规定媒介公告；如果基金管理人与基金托管人不能于收益分配日之前就收益分配</w:t>
          </w:r>
          <w:r>
            <w:rPr>
              <w:rFonts w:ascii="宋体" w:hAnsi="宋体" w:hint="eastAsia"/>
              <w:szCs w:val="21"/>
            </w:rPr>
            <w:lastRenderedPageBreak/>
            <w:t>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63FB6A81" w14:textId="77777777" w:rsidR="00A7580B" w:rsidRDefault="00750D62">
          <w:pPr>
            <w:pStyle w:val="2"/>
            <w:keepNext w:val="0"/>
            <w:keepLines w:val="0"/>
            <w:autoSpaceDE w:val="0"/>
            <w:autoSpaceDN w:val="0"/>
            <w:spacing w:before="0" w:after="0" w:line="360" w:lineRule="auto"/>
            <w:ind w:firstLineChars="200" w:firstLine="420"/>
            <w:rPr>
              <w:rFonts w:ascii="宋体" w:hAnsi="宋体" w:hint="eastAsia"/>
              <w:szCs w:val="21"/>
            </w:rPr>
          </w:pPr>
          <w:r>
            <w:rPr>
              <w:rFonts w:ascii="宋体" w:eastAsia="宋体" w:hAnsi="宋体" w:hint="eastAsia"/>
              <w:b w:val="0"/>
              <w:bCs w:val="0"/>
              <w:sz w:val="21"/>
              <w:szCs w:val="21"/>
            </w:rPr>
            <w:t>（三）实施侧袋机制期间的收益分配</w:t>
          </w:r>
        </w:p>
        <w:p w14:paraId="3F31BB31" w14:textId="77777777" w:rsidR="00A7580B" w:rsidRDefault="00750D62">
          <w:pPr>
            <w:spacing w:line="500" w:lineRule="atLeast"/>
            <w:jc w:val="center"/>
            <w:outlineLvl w:val="0"/>
            <w:rPr>
              <w:rFonts w:ascii="宋体" w:hAnsi="宋体" w:hint="eastAsia"/>
              <w:szCs w:val="21"/>
            </w:rPr>
          </w:pPr>
          <w:r>
            <w:rPr>
              <w:rFonts w:ascii="宋体" w:hAnsi="宋体" w:hint="eastAsia"/>
              <w:szCs w:val="21"/>
            </w:rPr>
            <w:t>本基金实施侧袋机制的，侧袋账户不进行收益分配，详见招募说明书的规定。</w:t>
          </w:r>
          <w:bookmarkStart w:id="65" w:name="_Toc382819121"/>
        </w:p>
        <w:p w14:paraId="71E728F4" w14:textId="77777777" w:rsidR="00A7580B" w:rsidRDefault="00750D62">
          <w:pPr>
            <w:spacing w:line="500" w:lineRule="atLeast"/>
            <w:jc w:val="center"/>
            <w:outlineLvl w:val="0"/>
            <w:rPr>
              <w:rFonts w:ascii="宋体" w:hAnsi="宋体" w:hint="eastAsia"/>
            </w:rPr>
          </w:pPr>
          <w:r>
            <w:rPr>
              <w:rFonts w:ascii="宋体" w:hAnsi="宋体" w:hint="eastAsia"/>
              <w:b/>
              <w:sz w:val="24"/>
            </w:rPr>
            <w:t>九、信息披露</w:t>
          </w:r>
          <w:bookmarkEnd w:id="65"/>
        </w:p>
        <w:p w14:paraId="4C1B16E5"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eastAsia="宋体" w:hAnsi="宋体" w:cs="Arial" w:hint="eastAsia"/>
              <w:b w:val="0"/>
              <w:sz w:val="21"/>
              <w:szCs w:val="21"/>
            </w:rPr>
          </w:pPr>
          <w:bookmarkStart w:id="66" w:name="_Toc382819122"/>
          <w:r>
            <w:rPr>
              <w:rFonts w:ascii="宋体" w:eastAsia="宋体" w:hAnsi="宋体" w:hint="eastAsia"/>
              <w:b w:val="0"/>
              <w:sz w:val="21"/>
              <w:szCs w:val="21"/>
            </w:rPr>
            <w:t>（一）</w:t>
          </w:r>
          <w:r>
            <w:rPr>
              <w:rFonts w:ascii="宋体" w:eastAsia="宋体" w:hAnsi="宋体" w:cs="Arial" w:hint="eastAsia"/>
              <w:b w:val="0"/>
              <w:sz w:val="21"/>
              <w:szCs w:val="21"/>
            </w:rPr>
            <w:t>保密义务</w:t>
          </w:r>
          <w:bookmarkEnd w:id="66"/>
        </w:p>
        <w:p w14:paraId="464A2B94"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676A52F" w14:textId="77777777" w:rsidR="00A7580B" w:rsidRDefault="00750D62">
          <w:pPr>
            <w:pStyle w:val="afc"/>
            <w:ind w:firstLineChars="200" w:firstLine="420"/>
            <w:rPr>
              <w:rFonts w:ascii="宋体" w:hAnsi="宋体" w:hint="eastAsia"/>
              <w:szCs w:val="21"/>
            </w:rPr>
          </w:pPr>
          <w:r>
            <w:rPr>
              <w:rFonts w:ascii="宋体" w:hAnsi="宋体" w:hint="eastAsia"/>
              <w:szCs w:val="21"/>
            </w:rPr>
            <w:t>1.非因基金管理人和基金托管人的原因导致保密信息被披露、泄露或公开；</w:t>
          </w:r>
        </w:p>
        <w:p w14:paraId="30ABBC7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2.基金管理人和基金托管人为遵守和服从法院判决或裁定、仲裁裁决或中国证监会等监管机构的命令、决定所做出的信息披露或公开。</w:t>
          </w:r>
        </w:p>
        <w:p w14:paraId="4768EFA6"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（二）信息披露的内容</w:t>
          </w:r>
        </w:p>
        <w:p w14:paraId="1FBEA0C7"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6F2AB43A" w14:textId="67EF4A7D"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2.本基金的信息披露主要包括基金招募说明书、《基金合同》、基金托管协议、基金产品资料概要、基金份额发售公告、《基金合同》生效公告、基金定期报告（包括基金年度报告、基金中期报告和基金季度报告）、临时报告、基金净值信息、基金份额申购、赎回价格、澄清公告、基金份额持有人大会决议、</w:t>
          </w:r>
          <w:r w:rsidR="00E43C18">
            <w:rPr>
              <w:rFonts w:ascii="宋体" w:hAnsi="宋体" w:hint="eastAsia"/>
              <w:szCs w:val="21"/>
            </w:rPr>
            <w:t>基金</w:t>
          </w:r>
          <w:r>
            <w:rPr>
              <w:rFonts w:ascii="宋体" w:hAnsi="宋体" w:hint="eastAsia"/>
              <w:szCs w:val="21"/>
            </w:rPr>
            <w:t>投资股指期货</w:t>
          </w:r>
          <w:r w:rsidR="00E43C18">
            <w:rPr>
              <w:rFonts w:ascii="宋体" w:hAnsi="宋体" w:hint="eastAsia"/>
              <w:szCs w:val="21"/>
            </w:rPr>
            <w:t>、国债期货</w:t>
          </w:r>
          <w:r>
            <w:rPr>
              <w:rFonts w:ascii="宋体" w:hAnsi="宋体" w:hint="eastAsia"/>
              <w:szCs w:val="21"/>
            </w:rPr>
            <w:t>的信息披露、</w:t>
          </w:r>
          <w:r w:rsidR="00E43C18">
            <w:rPr>
              <w:rFonts w:ascii="宋体" w:hAnsi="宋体" w:hint="eastAsia"/>
              <w:szCs w:val="21"/>
            </w:rPr>
            <w:t>基金</w:t>
          </w:r>
          <w:r w:rsidR="00E43C18" w:rsidRPr="00E43C18">
            <w:rPr>
              <w:rFonts w:ascii="宋体" w:hAnsi="宋体" w:hint="eastAsia"/>
              <w:szCs w:val="21"/>
            </w:rPr>
            <w:t>投资股票期权的信息披露</w:t>
          </w:r>
          <w:r w:rsidR="00E43C18">
            <w:rPr>
              <w:rFonts w:ascii="宋体" w:hAnsi="宋体" w:hint="eastAsia"/>
              <w:szCs w:val="21"/>
            </w:rPr>
            <w:t>、基金</w:t>
          </w:r>
          <w:r>
            <w:rPr>
              <w:rFonts w:ascii="宋体" w:hAnsi="宋体" w:hint="eastAsia"/>
              <w:szCs w:val="21"/>
            </w:rPr>
            <w:t>投资资产支持证券的信息披露、基金参与融资、转融通证券出借业务的信息披露、</w:t>
          </w:r>
          <w:r w:rsidR="00E43C18">
            <w:rPr>
              <w:rFonts w:ascii="宋体" w:hAnsi="宋体" w:hint="eastAsia"/>
              <w:szCs w:val="21"/>
            </w:rPr>
            <w:t>基金</w:t>
          </w:r>
          <w:r w:rsidR="00E43C18" w:rsidRPr="00E43C18">
            <w:rPr>
              <w:rFonts w:ascii="宋体" w:hAnsi="宋体" w:hint="eastAsia"/>
              <w:szCs w:val="21"/>
            </w:rPr>
            <w:t>投资港股通标的股票的信息披露</w:t>
          </w:r>
          <w:r w:rsidR="00E43C18">
            <w:rPr>
              <w:rFonts w:ascii="宋体" w:hAnsi="宋体" w:hint="eastAsia"/>
              <w:szCs w:val="21"/>
            </w:rPr>
            <w:t>、</w:t>
          </w:r>
          <w:r>
            <w:rPr>
              <w:rFonts w:ascii="宋体" w:hAnsi="宋体" w:hint="eastAsia"/>
              <w:szCs w:val="21"/>
            </w:rPr>
            <w:t>清算报告、</w:t>
          </w:r>
          <w:r w:rsidR="00E43C18">
            <w:rPr>
              <w:rFonts w:ascii="宋体" w:hAnsi="宋体" w:hint="eastAsia"/>
              <w:szCs w:val="21"/>
            </w:rPr>
            <w:t>基金</w:t>
          </w:r>
          <w:r>
            <w:rPr>
              <w:rFonts w:ascii="宋体" w:hAnsi="宋体" w:hint="eastAsia"/>
              <w:szCs w:val="21"/>
            </w:rPr>
            <w:t>实施侧袋机制期间的信息披露以及中国证监会规定的其他信息，由基金管理人拟定并负责公布。</w:t>
          </w:r>
        </w:p>
        <w:p w14:paraId="54510F47"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3.基金管理人与基金托管人应严格遵守《基金合同》所规定的信息披露要求。基金资产净值、各类基金份额净值、基金份额申购赎回价格、基金定期报告和更新的招募说明书、基</w:t>
          </w:r>
          <w:r>
            <w:rPr>
              <w:rFonts w:ascii="宋体" w:hAnsi="宋体" w:hint="eastAsia"/>
              <w:szCs w:val="21"/>
            </w:rPr>
            <w:lastRenderedPageBreak/>
            <w:t>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基金年度报告中的财务报告部分，应当经过符合《中华人民共和国证券法》规定的会计师事务所审计后，方可披露。</w:t>
          </w:r>
        </w:p>
        <w:p w14:paraId="44C3FA86" w14:textId="77777777" w:rsidR="00A7580B" w:rsidRDefault="00750D62">
          <w:pPr>
            <w:tabs>
              <w:tab w:val="left" w:pos="4680"/>
            </w:tabs>
            <w:spacing w:line="360" w:lineRule="auto"/>
            <w:ind w:firstLineChars="200" w:firstLine="420"/>
            <w:rPr>
              <w:rFonts w:ascii="宋体" w:hAnsi="宋体" w:hint="eastAsia"/>
              <w:szCs w:val="21"/>
            </w:rPr>
          </w:pPr>
          <w:bookmarkStart w:id="67" w:name="_Toc382819123"/>
          <w:r>
            <w:rPr>
              <w:rFonts w:ascii="宋体" w:hAnsi="宋体" w:hint="eastAsia"/>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7"/>
        </w:p>
        <w:p w14:paraId="2D6EB774"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eastAsia="宋体" w:hAnsi="宋体" w:hint="eastAsia"/>
              <w:b w:val="0"/>
              <w:sz w:val="21"/>
              <w:szCs w:val="21"/>
            </w:rPr>
          </w:pPr>
          <w:bookmarkStart w:id="68" w:name="_Toc382819124"/>
          <w:r>
            <w:rPr>
              <w:rFonts w:ascii="宋体" w:eastAsia="宋体" w:hAnsi="宋体" w:hint="eastAsia"/>
              <w:b w:val="0"/>
              <w:sz w:val="21"/>
              <w:szCs w:val="21"/>
            </w:rPr>
            <w:t>（三）基金管理人和基金托管人在信息披露中的职责和信息披露程序</w:t>
          </w:r>
          <w:bookmarkEnd w:id="68"/>
        </w:p>
        <w:p w14:paraId="0B80AFA4"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1.职责</w:t>
          </w:r>
        </w:p>
        <w:p w14:paraId="62DED987"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1A4BFDAA"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2.程序</w:t>
          </w:r>
        </w:p>
        <w:p w14:paraId="704F32A1"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按有关规定须经基金托管人复核的信息披露文件，由基金管理人起草，并经基金托管人复核后由基金管理人公告。</w:t>
          </w:r>
        </w:p>
        <w:p w14:paraId="29563C75"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发生《基金合同》中规定需要披露的事项时，按《基金合同》规定公告。</w:t>
          </w:r>
        </w:p>
        <w:p w14:paraId="6C5A129E" w14:textId="77777777" w:rsidR="00A7580B" w:rsidRDefault="00750D62">
          <w:pPr>
            <w:tabs>
              <w:tab w:val="left" w:pos="4680"/>
            </w:tabs>
            <w:spacing w:line="360" w:lineRule="auto"/>
            <w:ind w:firstLineChars="200" w:firstLine="420"/>
            <w:rPr>
              <w:rFonts w:ascii="宋体" w:hAnsi="宋体" w:hint="eastAsia"/>
              <w:szCs w:val="21"/>
            </w:rPr>
          </w:pPr>
          <w:r>
            <w:rPr>
              <w:rFonts w:ascii="宋体" w:hAnsi="宋体" w:hint="eastAsia"/>
              <w:szCs w:val="21"/>
            </w:rPr>
            <w:t>3.信息文本的存放</w:t>
          </w:r>
        </w:p>
        <w:p w14:paraId="5689277D" w14:textId="77777777" w:rsidR="00A7580B" w:rsidRDefault="00750D62">
          <w:pPr>
            <w:autoSpaceDE w:val="0"/>
            <w:autoSpaceDN w:val="0"/>
            <w:spacing w:line="360" w:lineRule="auto"/>
            <w:ind w:firstLineChars="200" w:firstLine="420"/>
            <w:rPr>
              <w:rFonts w:ascii="宋体" w:hAnsi="宋体" w:hint="eastAsia"/>
              <w:szCs w:val="21"/>
            </w:rPr>
          </w:pPr>
          <w:r>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66BCDC6C" w14:textId="77777777" w:rsidR="00A7580B" w:rsidRDefault="00750D62">
          <w:pPr>
            <w:autoSpaceDE w:val="0"/>
            <w:autoSpaceDN w:val="0"/>
            <w:spacing w:line="360" w:lineRule="auto"/>
            <w:ind w:firstLineChars="200" w:firstLine="420"/>
            <w:rPr>
              <w:rFonts w:ascii="宋体" w:hAnsi="宋体" w:hint="eastAsia"/>
              <w:szCs w:val="21"/>
            </w:rPr>
          </w:pPr>
          <w:r>
            <w:rPr>
              <w:rFonts w:ascii="宋体" w:hAnsi="宋体" w:hint="eastAsia"/>
              <w:szCs w:val="21"/>
            </w:rPr>
            <w:t>基金管理人和基金托管人应保证文本的内容与所公告的内容完全一致。</w:t>
          </w:r>
        </w:p>
        <w:p w14:paraId="7660F84B" w14:textId="77777777" w:rsidR="00A7580B" w:rsidRDefault="00750D62">
          <w:pPr>
            <w:snapToGrid w:val="0"/>
            <w:spacing w:line="360" w:lineRule="auto"/>
            <w:ind w:firstLineChars="200" w:firstLine="420"/>
            <w:rPr>
              <w:rFonts w:ascii="宋体" w:hAnsi="宋体" w:hint="eastAsia"/>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14:paraId="01224604" w14:textId="77777777" w:rsidR="00A7580B" w:rsidRDefault="00750D62">
          <w:pPr>
            <w:spacing w:line="360" w:lineRule="auto"/>
            <w:ind w:right="28" w:firstLineChars="200" w:firstLine="420"/>
          </w:pPr>
          <w:r>
            <w:rPr>
              <w:rFonts w:ascii="宋体" w:hAnsi="宋体" w:hint="eastAsia"/>
              <w:szCs w:val="21"/>
            </w:rPr>
            <w:t>（1）</w:t>
          </w:r>
          <w:r>
            <w:rPr>
              <w:rFonts w:hint="eastAsia"/>
            </w:rPr>
            <w:t>因不可抗力或其他情形致使基金管理人、基金托管人无法准确评估基金资产价值时；</w:t>
          </w:r>
        </w:p>
        <w:p w14:paraId="1AE4C92B" w14:textId="53088FBA" w:rsidR="00A7580B" w:rsidRDefault="00750D62">
          <w:pPr>
            <w:spacing w:line="360" w:lineRule="auto"/>
            <w:ind w:right="28" w:firstLineChars="200" w:firstLine="420"/>
          </w:pPr>
          <w:r>
            <w:rPr>
              <w:rFonts w:ascii="宋体" w:hAnsi="宋体" w:hint="eastAsia"/>
              <w:szCs w:val="21"/>
            </w:rPr>
            <w:t>（</w:t>
          </w:r>
          <w:r>
            <w:rPr>
              <w:rFonts w:ascii="宋体" w:hAnsi="宋体"/>
              <w:szCs w:val="21"/>
            </w:rPr>
            <w:t>2</w:t>
          </w:r>
          <w:r>
            <w:rPr>
              <w:rFonts w:ascii="宋体" w:hAnsi="宋体" w:hint="eastAsia"/>
              <w:szCs w:val="21"/>
            </w:rPr>
            <w:t>）</w:t>
          </w:r>
          <w:r>
            <w:rPr>
              <w:rFonts w:hint="eastAsia"/>
            </w:rPr>
            <w:t>基金投资所涉及的证券、期货交易市场</w:t>
          </w:r>
          <w:r w:rsidR="00E43C18" w:rsidRPr="008E305F">
            <w:rPr>
              <w:rFonts w:hint="eastAsia"/>
            </w:rPr>
            <w:t>或外汇市场</w:t>
          </w:r>
          <w:r>
            <w:rPr>
              <w:rFonts w:hint="eastAsia"/>
            </w:rPr>
            <w:t>遇法定节假日或因其他原因暂停营业时；</w:t>
          </w:r>
        </w:p>
        <w:p w14:paraId="56063590" w14:textId="77777777" w:rsidR="00A7580B" w:rsidRDefault="00750D62">
          <w:pPr>
            <w:spacing w:line="360" w:lineRule="auto"/>
            <w:ind w:right="28" w:firstLineChars="200" w:firstLine="420"/>
          </w:pPr>
          <w:r>
            <w:rPr>
              <w:rFonts w:ascii="宋体" w:hAnsi="宋体" w:hint="eastAsia"/>
              <w:szCs w:val="21"/>
            </w:rPr>
            <w:t>（3）</w:t>
          </w:r>
          <w:r>
            <w:rPr>
              <w:rFonts w:hint="eastAsia"/>
            </w:rPr>
            <w:t>当特定资产占前一估值日基金资产净值</w:t>
          </w:r>
          <w:r>
            <w:rPr>
              <w:rFonts w:hint="eastAsia"/>
            </w:rPr>
            <w:t xml:space="preserve"> 50%</w:t>
          </w:r>
          <w:r>
            <w:rPr>
              <w:rFonts w:hint="eastAsia"/>
            </w:rPr>
            <w:t>以上的，经与基金托管人协商确认后，</w:t>
          </w:r>
          <w:r>
            <w:rPr>
              <w:rFonts w:hint="eastAsia"/>
            </w:rPr>
            <w:lastRenderedPageBreak/>
            <w:t>基金管理人应当暂停估值；</w:t>
          </w:r>
        </w:p>
        <w:p w14:paraId="4741AA78" w14:textId="77777777" w:rsidR="00A7580B" w:rsidRDefault="00750D62">
          <w:pPr>
            <w:spacing w:line="360" w:lineRule="auto"/>
            <w:ind w:right="28" w:firstLineChars="200" w:firstLine="420"/>
          </w:pPr>
          <w:r>
            <w:rPr>
              <w:rFonts w:ascii="宋体" w:hAnsi="宋体" w:hint="eastAsia"/>
              <w:szCs w:val="21"/>
            </w:rPr>
            <w:t>（</w:t>
          </w:r>
          <w:r>
            <w:rPr>
              <w:rFonts w:ascii="宋体" w:hAnsi="宋体"/>
              <w:szCs w:val="21"/>
            </w:rPr>
            <w:t>4</w:t>
          </w:r>
          <w:r>
            <w:rPr>
              <w:rFonts w:ascii="宋体" w:hAnsi="宋体" w:hint="eastAsia"/>
              <w:szCs w:val="21"/>
            </w:rPr>
            <w:t>）</w:t>
          </w:r>
          <w:r>
            <w:rPr>
              <w:rFonts w:hint="eastAsia"/>
            </w:rPr>
            <w:t>法律法规、《基金合同》或中国证监会规定的情况。</w:t>
          </w:r>
        </w:p>
        <w:p w14:paraId="3D3594F6" w14:textId="77777777" w:rsidR="00A7580B" w:rsidRDefault="00750D62">
          <w:pPr>
            <w:spacing w:line="500" w:lineRule="atLeast"/>
            <w:jc w:val="center"/>
            <w:outlineLvl w:val="0"/>
            <w:rPr>
              <w:rFonts w:ascii="宋体" w:hAnsi="宋体" w:hint="eastAsia"/>
            </w:rPr>
          </w:pPr>
          <w:bookmarkStart w:id="69" w:name="_Toc382819125"/>
          <w:r>
            <w:rPr>
              <w:rFonts w:ascii="宋体" w:hAnsi="宋体" w:hint="eastAsia"/>
              <w:b/>
              <w:sz w:val="24"/>
            </w:rPr>
            <w:t>十、基金费用</w:t>
          </w:r>
          <w:bookmarkEnd w:id="69"/>
        </w:p>
        <w:p w14:paraId="4BA07343"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基金费用按照《基金合同》的约定计提和支付。</w:t>
          </w:r>
          <w:bookmarkStart w:id="70" w:name="_Toc382819126"/>
        </w:p>
        <w:p w14:paraId="6572BFA2"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（一）基金管理人的管理费</w:t>
          </w:r>
        </w:p>
        <w:p w14:paraId="7E2E9213"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本基金的管理费按前一日基金资产净值的0.</w:t>
          </w:r>
          <w:r>
            <w:rPr>
              <w:rFonts w:ascii="宋体" w:hAnsi="宋体"/>
              <w:szCs w:val="21"/>
            </w:rPr>
            <w:t>80</w:t>
          </w:r>
          <w:r>
            <w:rPr>
              <w:rFonts w:ascii="宋体" w:hAnsi="宋体" w:hint="eastAsia"/>
              <w:szCs w:val="21"/>
            </w:rPr>
            <w:t>%年费率计提。管理费的计算方法如下：</w:t>
          </w:r>
        </w:p>
        <w:p w14:paraId="5BA6D624"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H＝E×0.</w:t>
          </w:r>
          <w:r>
            <w:rPr>
              <w:rFonts w:ascii="宋体" w:hAnsi="宋体"/>
              <w:szCs w:val="21"/>
            </w:rPr>
            <w:t>80</w:t>
          </w:r>
          <w:r>
            <w:rPr>
              <w:rFonts w:ascii="宋体" w:hAnsi="宋体" w:hint="eastAsia"/>
              <w:szCs w:val="21"/>
            </w:rPr>
            <w:t>%÷当年天数</w:t>
          </w:r>
        </w:p>
        <w:p w14:paraId="2A720B01"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H为每日应计提的基金管理费</w:t>
          </w:r>
        </w:p>
        <w:p w14:paraId="741CFCBA"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E为前一日的基金资产净值</w:t>
          </w:r>
        </w:p>
        <w:p w14:paraId="171863D5"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1DBAAA63"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（二）基金托管人的托管费</w:t>
          </w:r>
        </w:p>
        <w:p w14:paraId="1D2760CC"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本基金的托管费按前一日基金资产净值的</w:t>
          </w:r>
          <w:r>
            <w:rPr>
              <w:rFonts w:ascii="宋体" w:hAnsi="宋体"/>
              <w:szCs w:val="21"/>
            </w:rPr>
            <w:t>0.10%</w:t>
          </w:r>
          <w:r>
            <w:rPr>
              <w:rFonts w:ascii="宋体" w:hAnsi="宋体" w:hint="eastAsia"/>
              <w:szCs w:val="21"/>
            </w:rPr>
            <w:t>的年费率计提。托管费的计算方法如下：</w:t>
          </w:r>
        </w:p>
        <w:p w14:paraId="0AB93ADE" w14:textId="77777777" w:rsidR="00A7580B" w:rsidRDefault="00750D62">
          <w:pPr>
            <w:spacing w:line="360" w:lineRule="auto"/>
            <w:ind w:right="28" w:firstLineChars="200" w:firstLine="420"/>
            <w:rPr>
              <w:rFonts w:ascii="宋体" w:hAnsi="宋体" w:hint="eastAsia"/>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0.10%</w:t>
          </w:r>
          <w:r>
            <w:rPr>
              <w:rFonts w:ascii="宋体" w:hAnsi="宋体" w:hint="eastAsia"/>
              <w:szCs w:val="21"/>
            </w:rPr>
            <w:t>÷当年天数</w:t>
          </w:r>
        </w:p>
        <w:p w14:paraId="7F14186F" w14:textId="77777777" w:rsidR="00A7580B" w:rsidRDefault="00750D62">
          <w:pPr>
            <w:spacing w:line="360" w:lineRule="auto"/>
            <w:ind w:right="28" w:firstLineChars="200" w:firstLine="420"/>
            <w:rPr>
              <w:rFonts w:ascii="宋体" w:hAnsi="宋体" w:hint="eastAsia"/>
              <w:szCs w:val="21"/>
            </w:rPr>
          </w:pPr>
          <w:r>
            <w:rPr>
              <w:rFonts w:ascii="宋体" w:hAnsi="宋体"/>
              <w:szCs w:val="21"/>
            </w:rPr>
            <w:t>H</w:t>
          </w:r>
          <w:r>
            <w:rPr>
              <w:rFonts w:ascii="宋体" w:hAnsi="宋体" w:hint="eastAsia"/>
              <w:szCs w:val="21"/>
            </w:rPr>
            <w:t>为每日应计提的基金托管费</w:t>
          </w:r>
        </w:p>
        <w:p w14:paraId="40FA4699" w14:textId="77777777" w:rsidR="00A7580B" w:rsidRDefault="00750D62">
          <w:pPr>
            <w:spacing w:line="360" w:lineRule="auto"/>
            <w:ind w:right="28" w:firstLineChars="200" w:firstLine="420"/>
            <w:rPr>
              <w:rFonts w:ascii="宋体" w:hAnsi="宋体" w:hint="eastAsia"/>
              <w:szCs w:val="21"/>
            </w:rPr>
          </w:pPr>
          <w:r>
            <w:rPr>
              <w:rFonts w:ascii="宋体" w:hAnsi="宋体"/>
              <w:szCs w:val="21"/>
            </w:rPr>
            <w:t>E</w:t>
          </w:r>
          <w:r>
            <w:rPr>
              <w:rFonts w:ascii="宋体" w:hAnsi="宋体" w:hint="eastAsia"/>
              <w:szCs w:val="21"/>
            </w:rPr>
            <w:t>为前一日的基金资产净值</w:t>
          </w:r>
        </w:p>
        <w:p w14:paraId="5C732130"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14:paraId="47CD24D3"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（三）C类基金份额的销售服务费</w:t>
          </w:r>
        </w:p>
        <w:p w14:paraId="240A8C32"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本基金A类基金份额不收取销售服务费，C类基金份额的销售服务费年费率为0.</w:t>
          </w:r>
          <w:r>
            <w:rPr>
              <w:rFonts w:ascii="宋体" w:hAnsi="宋体"/>
              <w:szCs w:val="21"/>
            </w:rPr>
            <w:t>4</w:t>
          </w:r>
          <w:r>
            <w:rPr>
              <w:rFonts w:ascii="宋体" w:hAnsi="宋体" w:hint="eastAsia"/>
              <w:szCs w:val="21"/>
            </w:rPr>
            <w:t>0%。销售服务费的计算方法如下：</w:t>
          </w:r>
        </w:p>
        <w:p w14:paraId="43B10FF6"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H＝E×0.</w:t>
          </w:r>
          <w:r>
            <w:rPr>
              <w:rFonts w:ascii="宋体" w:hAnsi="宋体"/>
              <w:szCs w:val="21"/>
            </w:rPr>
            <w:t>4</w:t>
          </w:r>
          <w:r>
            <w:rPr>
              <w:rFonts w:ascii="宋体" w:hAnsi="宋体" w:hint="eastAsia"/>
              <w:szCs w:val="21"/>
            </w:rPr>
            <w:t>0%÷当年天数</w:t>
          </w:r>
        </w:p>
        <w:p w14:paraId="7ABE3A3D"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H为C类基金份额每日应计提的销售服务费</w:t>
          </w:r>
        </w:p>
        <w:p w14:paraId="6ECD293F"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E为前一日C类基金份额基金资产净值</w:t>
          </w:r>
        </w:p>
        <w:p w14:paraId="4FB45617"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销售服务费每日计提，逐日累计至每月月末，按月支付，由基金管理人向基金托管人发送销售服务费划款指令，基金托管人复核后于次月前5个工作日内从基金财产中一次性支付给基金管理人并由基金管理人代付给各基金销售机构。若遇法定节假日、公休日等，支付</w:t>
          </w:r>
          <w:r>
            <w:rPr>
              <w:rFonts w:ascii="宋体" w:hAnsi="宋体" w:hint="eastAsia"/>
              <w:szCs w:val="21"/>
            </w:rPr>
            <w:lastRenderedPageBreak/>
            <w:t>日期顺延。</w:t>
          </w:r>
        </w:p>
        <w:p w14:paraId="5457821A"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（四）实施侧袋机制期间的基金费用</w:t>
          </w:r>
        </w:p>
        <w:p w14:paraId="3C26FFCE" w14:textId="77777777" w:rsidR="00A7580B" w:rsidRDefault="00750D62">
          <w:pPr>
            <w:spacing w:line="360" w:lineRule="auto"/>
            <w:ind w:right="28" w:firstLineChars="200" w:firstLine="420"/>
            <w:rPr>
              <w:rFonts w:ascii="宋体" w:hAnsi="宋体" w:hint="eastAsia"/>
              <w:szCs w:val="21"/>
            </w:rPr>
          </w:pPr>
          <w:r>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3F304BF1" w14:textId="77777777" w:rsidR="00A7580B" w:rsidRDefault="00750D62">
          <w:pPr>
            <w:spacing w:line="500" w:lineRule="atLeast"/>
            <w:jc w:val="center"/>
            <w:outlineLvl w:val="0"/>
            <w:rPr>
              <w:rFonts w:ascii="宋体" w:hAnsi="宋体" w:hint="eastAsia"/>
            </w:rPr>
          </w:pPr>
          <w:r>
            <w:rPr>
              <w:rFonts w:ascii="宋体" w:hAnsi="宋体" w:hint="eastAsia"/>
              <w:b/>
              <w:sz w:val="24"/>
            </w:rPr>
            <w:t>十一、基金份额持有人名册的保管</w:t>
          </w:r>
          <w:bookmarkEnd w:id="70"/>
        </w:p>
        <w:p w14:paraId="3ADE28A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77CB63A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，基金管理人应按照目前相关规则保管基金份额持有人名册。保管方式可以采用电子或文档的形式。保管期限不低于法律法规规定的最低年限。</w:t>
          </w:r>
        </w:p>
        <w:p w14:paraId="50BB6366" w14:textId="77777777" w:rsidR="00A7580B" w:rsidRDefault="00750D62">
          <w:pPr>
            <w:spacing w:line="360" w:lineRule="auto"/>
            <w:ind w:firstLineChars="200" w:firstLine="420"/>
            <w:rPr>
              <w:rFonts w:ascii="宋体" w:hAnsi="宋体" w:cs="Arial" w:hint="eastAsia"/>
              <w:szCs w:val="21"/>
            </w:rPr>
          </w:pPr>
          <w:r>
            <w:rPr>
              <w:rFonts w:ascii="宋体" w:hAnsi="宋体" w:hint="eastAsia"/>
              <w:szCs w:val="21"/>
            </w:rPr>
            <w:t>在基金托管人编制中期报告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3FE11699" w14:textId="77777777" w:rsidR="00A7580B" w:rsidRDefault="00750D62">
          <w:pPr>
            <w:spacing w:line="500" w:lineRule="atLeast"/>
            <w:jc w:val="center"/>
            <w:outlineLvl w:val="0"/>
            <w:rPr>
              <w:rFonts w:ascii="宋体" w:hAnsi="宋体" w:hint="eastAsia"/>
            </w:rPr>
          </w:pPr>
          <w:bookmarkStart w:id="71" w:name="_Toc382819127"/>
          <w:r>
            <w:rPr>
              <w:rFonts w:ascii="宋体" w:hAnsi="宋体" w:hint="eastAsia"/>
              <w:b/>
              <w:sz w:val="24"/>
            </w:rPr>
            <w:t>十二、基金有关文件和档案的保存</w:t>
          </w:r>
          <w:bookmarkEnd w:id="71"/>
        </w:p>
        <w:p w14:paraId="392CBD8E"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（一）档案保存</w:t>
          </w:r>
        </w:p>
        <w:p w14:paraId="0470BF7D" w14:textId="77777777" w:rsidR="00A7580B" w:rsidRDefault="00750D62">
          <w:pPr>
            <w:spacing w:line="360" w:lineRule="auto"/>
            <w:ind w:firstLineChars="200" w:firstLine="420"/>
            <w:rPr>
              <w:rFonts w:ascii="宋体" w:hAnsi="宋体" w:cs="Arial" w:hint="eastAsia"/>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746EDC26"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（二）合同档案的建立</w:t>
          </w:r>
        </w:p>
        <w:p w14:paraId="5C00916B" w14:textId="77777777" w:rsidR="00A7580B" w:rsidRDefault="00750D62">
          <w:pPr>
            <w:spacing w:line="360" w:lineRule="auto"/>
            <w:ind w:firstLineChars="200" w:firstLine="420"/>
            <w:rPr>
              <w:rFonts w:ascii="宋体" w:hAnsi="宋体" w:cs="Arial" w:hint="eastAsia"/>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CD79A34" w14:textId="77777777" w:rsidR="00A7580B" w:rsidRDefault="00750D62">
          <w:pPr>
            <w:spacing w:line="360" w:lineRule="auto"/>
            <w:ind w:firstLineChars="200" w:firstLine="420"/>
            <w:rPr>
              <w:rFonts w:ascii="宋体" w:hAnsi="宋体" w:cs="Arial" w:hint="eastAsia"/>
              <w:szCs w:val="21"/>
            </w:rPr>
          </w:pPr>
          <w:r>
            <w:rPr>
              <w:rFonts w:ascii="宋体" w:hAnsi="宋体" w:cs="Arial" w:hint="eastAsia"/>
              <w:szCs w:val="21"/>
            </w:rPr>
            <w:t>2、基金管理人和基金托管人应按各自职责保管就基金资产对外签署的全部合同的正本。</w:t>
          </w:r>
        </w:p>
        <w:p w14:paraId="164378B0"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（三）变更与协助</w:t>
          </w:r>
        </w:p>
        <w:p w14:paraId="3579A977" w14:textId="77777777" w:rsidR="00A7580B" w:rsidRDefault="00750D62">
          <w:pPr>
            <w:spacing w:line="360" w:lineRule="auto"/>
            <w:ind w:firstLineChars="200" w:firstLine="420"/>
            <w:rPr>
              <w:rFonts w:ascii="宋体" w:hAnsi="宋体" w:hint="eastAsia"/>
              <w:szCs w:val="21"/>
            </w:rPr>
          </w:pPr>
          <w:r>
            <w:rPr>
              <w:rFonts w:ascii="宋体" w:hAnsi="宋体" w:cs="Arial" w:hint="eastAsia"/>
              <w:szCs w:val="21"/>
            </w:rPr>
            <w:t>若基金管理人和基金托管人发生变更，未变更的一方有义务协助变更后的接任人接收相</w:t>
          </w:r>
          <w:r>
            <w:rPr>
              <w:rFonts w:ascii="宋体" w:hAnsi="宋体" w:cs="Arial" w:hint="eastAsia"/>
              <w:szCs w:val="21"/>
            </w:rPr>
            <w:lastRenderedPageBreak/>
            <w:t>应文件。</w:t>
          </w:r>
        </w:p>
        <w:p w14:paraId="1767168C" w14:textId="77777777" w:rsidR="00A7580B" w:rsidRDefault="00750D62">
          <w:pPr>
            <w:spacing w:line="500" w:lineRule="atLeast"/>
            <w:jc w:val="center"/>
            <w:outlineLvl w:val="0"/>
            <w:rPr>
              <w:rFonts w:ascii="宋体" w:hAnsi="宋体" w:hint="eastAsia"/>
            </w:rPr>
          </w:pPr>
          <w:bookmarkStart w:id="72" w:name="_Toc382819128"/>
          <w:r>
            <w:rPr>
              <w:rFonts w:ascii="宋体" w:hAnsi="宋体" w:hint="eastAsia"/>
              <w:b/>
              <w:sz w:val="24"/>
            </w:rPr>
            <w:t>十三、基金管理人和基金托管人的更换</w:t>
          </w:r>
          <w:bookmarkEnd w:id="72"/>
        </w:p>
        <w:p w14:paraId="68D8A3F1"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eastAsia="宋体" w:hAnsi="宋体" w:hint="eastAsia"/>
              <w:b w:val="0"/>
              <w:sz w:val="21"/>
              <w:szCs w:val="21"/>
            </w:rPr>
          </w:pPr>
          <w:bookmarkStart w:id="73" w:name="_Toc382819129"/>
          <w:r>
            <w:rPr>
              <w:rFonts w:ascii="宋体" w:eastAsia="宋体" w:hAnsi="宋体" w:hint="eastAsia"/>
              <w:b w:val="0"/>
              <w:sz w:val="21"/>
              <w:szCs w:val="21"/>
            </w:rPr>
            <w:t>（一）基金管理人的更换</w:t>
          </w:r>
          <w:bookmarkEnd w:id="73"/>
        </w:p>
        <w:p w14:paraId="5A163F6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1.基金管理人的更换条件</w:t>
          </w:r>
        </w:p>
        <w:p w14:paraId="228B06A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有下列情形之一的，基金管理人职责终止：</w:t>
          </w:r>
        </w:p>
        <w:p w14:paraId="4A8AB29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 被依法取消基金管理资格；</w:t>
          </w:r>
        </w:p>
        <w:p w14:paraId="45F1619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 被基金份额持有人大会解任；</w:t>
          </w:r>
        </w:p>
        <w:p w14:paraId="58396319"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 依法解散、被依法撤销或被依法宣告破产；</w:t>
          </w:r>
        </w:p>
        <w:p w14:paraId="2C9BAB59"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 法律法规、中国证监会规定的和《基金合同》规定的其它情形。</w:t>
          </w:r>
        </w:p>
        <w:p w14:paraId="6B093312"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2.更换基金管理人的程序</w:t>
          </w:r>
        </w:p>
        <w:p w14:paraId="5AF92D2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（1）提名：新任基金管理人由基金托管人或由单独或合计持有10%以上（含10%）基金份额的基金份额持有人提名；</w:t>
          </w:r>
        </w:p>
        <w:p w14:paraId="2446158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（2）决议：基金份额持有人大会在基金管理人职责终止后6个月内对被提名的基金管理人形成决议，该决议需经参加大会的基金份额持有人所持表决权的2/3以上（含2/3）表决通过，决议自表决通过之日起生效；</w:t>
          </w:r>
        </w:p>
        <w:p w14:paraId="2FB38B4B"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（3）临时基金管理人：新任基金管理人产生之前，由中国证监会指定临时基金管理人；</w:t>
          </w:r>
        </w:p>
        <w:p w14:paraId="15F3942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（4）备案：基金份额持有人大会更换基金管理人的决议须报中国证监会备案；</w:t>
          </w:r>
        </w:p>
        <w:p w14:paraId="3C86DF0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（5）公告：基金管理人更换后，由基金托管人在更换基金管理人的基金份额持有人大会决议生效后2日内在规定媒介公告；</w:t>
          </w:r>
        </w:p>
        <w:p w14:paraId="1D26E0F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份额净值；</w:t>
          </w:r>
        </w:p>
        <w:p w14:paraId="779234C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（7）审计：基金管理人职责终止的，应当按照法律法规规定聘请会计师事务所对基金财产进行审计，并将审计结果予以公告同时报中国证监会备案，审计费用由基金资产承担；</w:t>
          </w:r>
        </w:p>
        <w:p w14:paraId="3EFED11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（8）基金名称变更：基金管理人更换后，如果原任或新任基金管理人要求，应按其要求替换或删除基金名称中与原任基金管理人有关的名称字样。</w:t>
          </w:r>
        </w:p>
        <w:p w14:paraId="50A743E1"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eastAsia="宋体" w:hAnsi="宋体" w:hint="eastAsia"/>
              <w:b w:val="0"/>
              <w:sz w:val="21"/>
              <w:szCs w:val="21"/>
            </w:rPr>
          </w:pPr>
          <w:bookmarkStart w:id="74" w:name="_Toc382819130"/>
          <w:r>
            <w:rPr>
              <w:rFonts w:ascii="宋体" w:eastAsia="宋体" w:hAnsi="宋体" w:hint="eastAsia"/>
              <w:b w:val="0"/>
              <w:sz w:val="21"/>
              <w:szCs w:val="21"/>
            </w:rPr>
            <w:t>（二）基金托管人的更换</w:t>
          </w:r>
          <w:bookmarkEnd w:id="74"/>
        </w:p>
        <w:p w14:paraId="3BE3EC4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1.基金托管人的更换条件</w:t>
          </w:r>
        </w:p>
        <w:p w14:paraId="31EB211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lastRenderedPageBreak/>
            <w:t>有下列情形之一的，基金托管人职责终止：</w:t>
          </w:r>
        </w:p>
        <w:p w14:paraId="2461B1B9"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 被依法取消基金托管资格；</w:t>
          </w:r>
        </w:p>
        <w:p w14:paraId="52EBC06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 被基金份额持有人大会解任；</w:t>
          </w:r>
        </w:p>
        <w:p w14:paraId="3941F49C"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 依法解散、被依法撤销或被依法宣告破产；</w:t>
          </w:r>
        </w:p>
        <w:p w14:paraId="3251C47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 法律法规和《基金合同》规定的其它情形。</w:t>
          </w:r>
        </w:p>
        <w:p w14:paraId="05E9C645"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2.更换基金托管人的程序</w:t>
          </w:r>
        </w:p>
        <w:p w14:paraId="746806C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（1）提名：新任基金托管人由基金管理人或由单独或合计持有10%以上（含10%）基金份额的基金份额持有人提名；</w:t>
          </w:r>
        </w:p>
        <w:p w14:paraId="55D8E59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7CECE83C"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（3）临时基金托管人：新任基金托管人产生之前，由中国证监会指定临时基金托管人；</w:t>
          </w:r>
        </w:p>
        <w:p w14:paraId="279634D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（4）备案：基金份额持有人大会更换基金托管人的决议须报中国证监会备案；；</w:t>
          </w:r>
        </w:p>
        <w:p w14:paraId="4875FD7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（5）公告：基金托管人更换后，由基金管理人在更换基金托管人的基金份额持有人大会决议生效后2日内在规定媒介公告；</w:t>
          </w:r>
        </w:p>
        <w:p w14:paraId="718889A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份额净值；</w:t>
          </w:r>
        </w:p>
        <w:p w14:paraId="1E15AEF3"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（7）审计：基金托管人职责终止的，应当按照法律法规规定聘请会计师事务所对基金财产进行审计，并将审计结果予以公告，同时报中国证监会备案，审计费用由基金资产承担。</w:t>
          </w:r>
        </w:p>
        <w:p w14:paraId="40E56DAE"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3CAD780A" w14:textId="77777777" w:rsidR="00A7580B" w:rsidRDefault="00750D62">
          <w:pPr>
            <w:spacing w:line="360" w:lineRule="auto"/>
            <w:ind w:firstLineChars="225" w:firstLine="473"/>
            <w:rPr>
              <w:rFonts w:ascii="宋体" w:hAnsi="宋体" w:hint="eastAsia"/>
              <w:bCs/>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65E2EA94" w14:textId="16162B19" w:rsidR="00A7580B" w:rsidRDefault="00750D62">
          <w:pPr>
            <w:spacing w:line="360" w:lineRule="auto"/>
            <w:ind w:firstLineChars="225" w:firstLine="473"/>
            <w:rPr>
              <w:rFonts w:ascii="宋体" w:hAnsi="宋体" w:hint="eastAsia"/>
              <w:szCs w:val="21"/>
            </w:rPr>
          </w:pPr>
          <w:r>
            <w:rPr>
              <w:rFonts w:ascii="宋体" w:hAnsi="宋体"/>
              <w:bCs/>
              <w:szCs w:val="21"/>
            </w:rPr>
            <w:t>（四）</w:t>
          </w:r>
          <w:r>
            <w:rPr>
              <w:rFonts w:ascii="宋体" w:hAnsi="宋体" w:hint="eastAsia"/>
              <w:bCs/>
              <w:szCs w:val="21"/>
            </w:rPr>
            <w:t>新任或临时基金管理人接收基金管理业务或新任或临时基金托管人接收基金财产和基金托管业务前，原任基金管理人或</w:t>
          </w:r>
          <w:r w:rsidR="00947640">
            <w:rPr>
              <w:rFonts w:ascii="宋体" w:hAnsi="宋体" w:hint="eastAsia"/>
              <w:bCs/>
              <w:szCs w:val="21"/>
            </w:rPr>
            <w:t>原任</w:t>
          </w:r>
          <w:r>
            <w:rPr>
              <w:rFonts w:ascii="宋体" w:hAnsi="宋体" w:hint="eastAsia"/>
              <w:bCs/>
              <w:szCs w:val="21"/>
            </w:rPr>
            <w:t>基金托管人应依据法律法规和基金合同的规定继续履行相关职责，并保证不对基金份额持有人的利益造成损害。原任基金管理人或</w:t>
          </w:r>
          <w:r w:rsidR="00947640">
            <w:rPr>
              <w:rFonts w:ascii="宋体" w:hAnsi="宋体" w:hint="eastAsia"/>
              <w:bCs/>
              <w:szCs w:val="21"/>
            </w:rPr>
            <w:t>原任</w:t>
          </w:r>
          <w:r>
            <w:rPr>
              <w:rFonts w:ascii="宋体" w:hAnsi="宋体" w:hint="eastAsia"/>
              <w:bCs/>
              <w:szCs w:val="21"/>
            </w:rPr>
            <w:t>基金托管人在继续履行相关职责期间，仍有权按照基金合同的规定收取基金管理费或基金托管费。</w:t>
          </w:r>
        </w:p>
        <w:p w14:paraId="4D4E0C87" w14:textId="77777777" w:rsidR="00A7580B" w:rsidRDefault="00750D62">
          <w:pPr>
            <w:spacing w:line="500" w:lineRule="atLeast"/>
            <w:jc w:val="center"/>
            <w:outlineLvl w:val="0"/>
            <w:rPr>
              <w:rFonts w:ascii="宋体" w:hAnsi="宋体" w:hint="eastAsia"/>
            </w:rPr>
          </w:pPr>
          <w:bookmarkStart w:id="75" w:name="_Toc382819131"/>
          <w:r>
            <w:rPr>
              <w:rFonts w:ascii="宋体" w:hAnsi="宋体" w:hint="eastAsia"/>
              <w:b/>
              <w:sz w:val="24"/>
            </w:rPr>
            <w:lastRenderedPageBreak/>
            <w:t>十四、禁止行为</w:t>
          </w:r>
          <w:bookmarkEnd w:id="75"/>
        </w:p>
        <w:p w14:paraId="46436BF0"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托管协议当事人禁止从事的行为，包括但不限于：</w:t>
          </w:r>
        </w:p>
        <w:p w14:paraId="2390A850"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（一）基金管理人、基金托管人将其固有财产或者他人财产混同于基金财产从事证券投资。</w:t>
          </w:r>
        </w:p>
        <w:p w14:paraId="7F95BB88"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（二）基金管理人、基金托管人不公平地对待其管理或托管的不同基金财产。</w:t>
          </w:r>
        </w:p>
        <w:p w14:paraId="2E4852A2"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（三）基金管理人、基金托管人利用基金财产为基金份额持有人以外的第三人牟取利益。</w:t>
          </w:r>
        </w:p>
        <w:p w14:paraId="2796DF01"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（四）基金管理人、基金托管人向基金份额持有人违规承诺收益或者承担损失。</w:t>
          </w:r>
        </w:p>
        <w:p w14:paraId="61F5EE25"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（五）基金管理人、基金托管人对他人泄露基金经营过程中任何尚未按法律法规规定的方式公开披露的信息。</w:t>
          </w:r>
        </w:p>
        <w:p w14:paraId="32BDF7E7"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3CDC396D"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（七）基金托管人对基金管理人的符合本协议约定的有效指令拖延或拒绝执行。</w:t>
          </w:r>
        </w:p>
        <w:p w14:paraId="6793E2A3"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 xml:space="preserve">（八）基金管理人、基金托管人在行政上、财务上不独立，其高级基金管理人员相互兼职。 </w:t>
          </w:r>
        </w:p>
        <w:p w14:paraId="2F6A7177"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218FAB70"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（十）基金管理人、基金托管人不得利用基金财产用于下列投资或者活动：</w:t>
          </w:r>
        </w:p>
        <w:p w14:paraId="1FB0ACEC" w14:textId="77777777" w:rsidR="00A7580B" w:rsidRDefault="00750D62">
          <w:pPr>
            <w:pStyle w:val="aff8"/>
            <w:numPr>
              <w:ilvl w:val="0"/>
              <w:numId w:val="5"/>
            </w:numPr>
            <w:spacing w:line="360" w:lineRule="auto"/>
            <w:ind w:firstLineChars="0"/>
            <w:rPr>
              <w:rFonts w:ascii="宋体" w:hAnsi="宋体" w:hint="eastAsia"/>
              <w:szCs w:val="21"/>
            </w:rPr>
          </w:pPr>
          <w:r>
            <w:rPr>
              <w:rFonts w:ascii="宋体" w:hAnsi="宋体" w:hint="eastAsia"/>
              <w:szCs w:val="21"/>
            </w:rPr>
            <w:t>承销证券；</w:t>
          </w:r>
        </w:p>
        <w:p w14:paraId="57E6AD47" w14:textId="77777777" w:rsidR="00A7580B" w:rsidRDefault="00750D62">
          <w:pPr>
            <w:pStyle w:val="aff8"/>
            <w:numPr>
              <w:ilvl w:val="0"/>
              <w:numId w:val="5"/>
            </w:numPr>
            <w:spacing w:line="360" w:lineRule="auto"/>
            <w:ind w:firstLineChars="0"/>
            <w:rPr>
              <w:rFonts w:ascii="宋体" w:hAnsi="宋体" w:hint="eastAsia"/>
              <w:szCs w:val="21"/>
            </w:rPr>
          </w:pPr>
          <w:r>
            <w:rPr>
              <w:rFonts w:ascii="宋体" w:hAnsi="宋体"/>
              <w:szCs w:val="21"/>
            </w:rPr>
            <w:t>违反</w:t>
          </w:r>
          <w:r>
            <w:rPr>
              <w:rFonts w:ascii="宋体" w:hAnsi="宋体" w:hint="eastAsia"/>
              <w:szCs w:val="21"/>
            </w:rPr>
            <w:t>规定向他人贷款或者提供担保；</w:t>
          </w:r>
        </w:p>
        <w:p w14:paraId="47926AF0" w14:textId="77777777" w:rsidR="00A7580B" w:rsidRDefault="00750D62">
          <w:pPr>
            <w:pStyle w:val="aff8"/>
            <w:numPr>
              <w:ilvl w:val="0"/>
              <w:numId w:val="5"/>
            </w:numPr>
            <w:spacing w:line="360" w:lineRule="auto"/>
            <w:ind w:firstLineChars="0"/>
            <w:rPr>
              <w:rFonts w:ascii="宋体" w:hAnsi="宋体" w:hint="eastAsia"/>
              <w:szCs w:val="21"/>
            </w:rPr>
          </w:pPr>
          <w:r>
            <w:rPr>
              <w:rFonts w:ascii="宋体" w:hAnsi="宋体" w:hint="eastAsia"/>
              <w:szCs w:val="21"/>
            </w:rPr>
            <w:t>从事承担无限责任的投资；</w:t>
          </w:r>
        </w:p>
        <w:p w14:paraId="571D537A" w14:textId="77777777" w:rsidR="00A7580B" w:rsidRDefault="00750D62">
          <w:pPr>
            <w:pStyle w:val="aff8"/>
            <w:numPr>
              <w:ilvl w:val="0"/>
              <w:numId w:val="5"/>
            </w:numPr>
            <w:spacing w:line="360" w:lineRule="auto"/>
            <w:ind w:firstLineChars="0"/>
            <w:rPr>
              <w:rFonts w:ascii="宋体" w:hAnsi="宋体" w:hint="eastAsia"/>
              <w:szCs w:val="21"/>
            </w:rPr>
          </w:pPr>
          <w:r>
            <w:rPr>
              <w:rFonts w:ascii="宋体" w:hAnsi="宋体" w:hint="eastAsia"/>
              <w:szCs w:val="21"/>
            </w:rPr>
            <w:t>买卖其他基金份额，但是法律法规或中国证监会另有规定的除外；</w:t>
          </w:r>
        </w:p>
        <w:p w14:paraId="1B184471" w14:textId="14F55B05" w:rsidR="00A7580B" w:rsidRDefault="00750D62">
          <w:pPr>
            <w:pStyle w:val="aff8"/>
            <w:numPr>
              <w:ilvl w:val="0"/>
              <w:numId w:val="5"/>
            </w:numPr>
            <w:spacing w:line="360" w:lineRule="auto"/>
            <w:ind w:firstLineChars="0"/>
            <w:rPr>
              <w:rFonts w:ascii="宋体" w:hAnsi="宋体" w:hint="eastAsia"/>
              <w:szCs w:val="21"/>
            </w:rPr>
          </w:pPr>
          <w:r>
            <w:rPr>
              <w:rFonts w:ascii="宋体" w:hAnsi="宋体" w:hint="eastAsia"/>
              <w:szCs w:val="21"/>
            </w:rPr>
            <w:t>向其基金管理人、基金托管人出资</w:t>
          </w:r>
          <w:r w:rsidR="00947640">
            <w:rPr>
              <w:rFonts w:ascii="宋体" w:hAnsi="宋体" w:hint="eastAsia"/>
              <w:szCs w:val="21"/>
            </w:rPr>
            <w:t>；</w:t>
          </w:r>
        </w:p>
        <w:p w14:paraId="0D0663B8" w14:textId="77777777" w:rsidR="00A7580B" w:rsidRDefault="00750D62">
          <w:pPr>
            <w:pStyle w:val="aff8"/>
            <w:numPr>
              <w:ilvl w:val="0"/>
              <w:numId w:val="5"/>
            </w:numPr>
            <w:spacing w:line="360" w:lineRule="auto"/>
            <w:ind w:firstLineChars="0"/>
            <w:rPr>
              <w:rFonts w:ascii="宋体" w:hAnsi="宋体" w:hint="eastAsia"/>
              <w:szCs w:val="21"/>
            </w:rPr>
          </w:pPr>
          <w:r>
            <w:rPr>
              <w:rFonts w:ascii="宋体" w:hAnsi="宋体" w:hint="eastAsia"/>
              <w:szCs w:val="21"/>
            </w:rPr>
            <w:t>从事内幕交易、操纵证券交易价格及其他不正当的证券交易活动；</w:t>
          </w:r>
        </w:p>
        <w:p w14:paraId="492C33F4" w14:textId="77777777" w:rsidR="00A7580B" w:rsidRDefault="00750D62">
          <w:pPr>
            <w:pStyle w:val="aff8"/>
            <w:numPr>
              <w:ilvl w:val="0"/>
              <w:numId w:val="5"/>
            </w:numPr>
            <w:spacing w:line="360" w:lineRule="auto"/>
            <w:ind w:firstLineChars="0"/>
            <w:rPr>
              <w:rFonts w:ascii="宋体" w:hAnsi="宋体" w:hint="eastAsia"/>
              <w:szCs w:val="21"/>
            </w:rPr>
          </w:pPr>
          <w:r>
            <w:rPr>
              <w:rFonts w:ascii="宋体" w:hAnsi="宋体" w:hint="eastAsia"/>
              <w:szCs w:val="21"/>
            </w:rPr>
            <w:t>法律、行政法规和中国证监会规定禁止的其他活动。</w:t>
          </w:r>
        </w:p>
        <w:p w14:paraId="3FD1F4A1" w14:textId="77777777" w:rsidR="00A7580B" w:rsidRDefault="00750D62">
          <w:pPr>
            <w:spacing w:line="360" w:lineRule="auto"/>
            <w:ind w:firstLineChars="225" w:firstLine="473"/>
            <w:rPr>
              <w:rFonts w:ascii="宋体" w:hAnsi="宋体" w:hint="eastAsia"/>
              <w:szCs w:val="21"/>
            </w:rPr>
          </w:pPr>
          <w:r>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74A287EC" w14:textId="77777777" w:rsidR="00A7580B" w:rsidRDefault="00750D62">
          <w:pPr>
            <w:spacing w:line="500" w:lineRule="atLeast"/>
            <w:jc w:val="center"/>
            <w:outlineLvl w:val="0"/>
            <w:rPr>
              <w:rFonts w:ascii="宋体" w:hAnsi="宋体" w:hint="eastAsia"/>
            </w:rPr>
          </w:pPr>
          <w:bookmarkStart w:id="76" w:name="_Toc382819132"/>
          <w:r>
            <w:rPr>
              <w:rFonts w:ascii="宋体" w:hAnsi="宋体" w:hint="eastAsia"/>
              <w:b/>
              <w:sz w:val="24"/>
            </w:rPr>
            <w:lastRenderedPageBreak/>
            <w:t>十五、基金托管协议的变更、终止与基金财产的清算</w:t>
          </w:r>
          <w:bookmarkEnd w:id="76"/>
        </w:p>
        <w:p w14:paraId="1A4554DC"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（一）托管协议的变更与终止</w:t>
          </w:r>
        </w:p>
        <w:p w14:paraId="70D53397"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1.托管协议的变更程序</w:t>
          </w:r>
        </w:p>
        <w:p w14:paraId="3E29267C" w14:textId="77777777" w:rsidR="00A7580B" w:rsidRDefault="00750D62">
          <w:pPr>
            <w:autoSpaceDE w:val="0"/>
            <w:autoSpaceDN w:val="0"/>
            <w:spacing w:line="360" w:lineRule="auto"/>
            <w:ind w:firstLineChars="200" w:firstLine="444"/>
            <w:jc w:val="left"/>
            <w:rPr>
              <w:rFonts w:ascii="宋体" w:hAnsi="宋体" w:hint="eastAsia"/>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w:t>
          </w:r>
        </w:p>
        <w:p w14:paraId="4BB63BF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2.基金托管协议终止的情形</w:t>
          </w:r>
        </w:p>
        <w:p w14:paraId="292823B1" w14:textId="77777777" w:rsidR="00A7580B" w:rsidRDefault="00750D62">
          <w:pPr>
            <w:autoSpaceDE w:val="0"/>
            <w:autoSpaceDN w:val="0"/>
            <w:spacing w:line="360" w:lineRule="auto"/>
            <w:ind w:firstLineChars="200" w:firstLine="444"/>
            <w:jc w:val="left"/>
            <w:rPr>
              <w:rFonts w:ascii="宋体" w:hAnsi="宋体" w:hint="eastAsia"/>
              <w:spacing w:val="6"/>
              <w:szCs w:val="21"/>
            </w:rPr>
          </w:pPr>
          <w:r>
            <w:rPr>
              <w:rFonts w:ascii="宋体" w:hAnsi="宋体" w:hint="eastAsia"/>
              <w:spacing w:val="6"/>
              <w:szCs w:val="21"/>
            </w:rPr>
            <w:t>发生以下情况，本托管协议终止：</w:t>
          </w:r>
        </w:p>
        <w:p w14:paraId="03EDFB6C" w14:textId="77777777" w:rsidR="00A7580B" w:rsidRDefault="00750D62">
          <w:pPr>
            <w:autoSpaceDE w:val="0"/>
            <w:autoSpaceDN w:val="0"/>
            <w:spacing w:line="360" w:lineRule="auto"/>
            <w:ind w:firstLineChars="200" w:firstLine="444"/>
            <w:jc w:val="left"/>
            <w:rPr>
              <w:rFonts w:ascii="宋体" w:hAnsi="宋体" w:hint="eastAsia"/>
              <w:spacing w:val="6"/>
              <w:szCs w:val="21"/>
            </w:rPr>
          </w:pPr>
          <w:r>
            <w:rPr>
              <w:rFonts w:ascii="宋体" w:hAnsi="宋体" w:hint="eastAsia"/>
              <w:spacing w:val="6"/>
              <w:szCs w:val="21"/>
            </w:rPr>
            <w:t>（1）《基金合同》终止；</w:t>
          </w:r>
        </w:p>
        <w:p w14:paraId="5BD30199" w14:textId="77777777" w:rsidR="00A7580B" w:rsidRDefault="00750D62">
          <w:pPr>
            <w:autoSpaceDE w:val="0"/>
            <w:autoSpaceDN w:val="0"/>
            <w:spacing w:line="360" w:lineRule="auto"/>
            <w:ind w:firstLineChars="200" w:firstLine="444"/>
            <w:jc w:val="left"/>
            <w:rPr>
              <w:rFonts w:ascii="宋体" w:hAnsi="宋体" w:hint="eastAsia"/>
              <w:spacing w:val="6"/>
              <w:szCs w:val="21"/>
            </w:rPr>
          </w:pPr>
          <w:r>
            <w:rPr>
              <w:rFonts w:ascii="宋体" w:hAnsi="宋体" w:hint="eastAsia"/>
              <w:spacing w:val="6"/>
              <w:szCs w:val="21"/>
            </w:rPr>
            <w:t>（2）基金托管人解散、依法被撤销、破产或有其他基金托管人接管基金资产；</w:t>
          </w:r>
        </w:p>
        <w:p w14:paraId="48F14098" w14:textId="77777777" w:rsidR="00A7580B" w:rsidRDefault="00750D62">
          <w:pPr>
            <w:autoSpaceDE w:val="0"/>
            <w:autoSpaceDN w:val="0"/>
            <w:spacing w:line="360" w:lineRule="auto"/>
            <w:ind w:firstLineChars="200" w:firstLine="444"/>
            <w:jc w:val="left"/>
            <w:rPr>
              <w:rFonts w:ascii="宋体" w:hAnsi="宋体" w:hint="eastAsia"/>
              <w:spacing w:val="6"/>
              <w:szCs w:val="21"/>
            </w:rPr>
          </w:pPr>
          <w:r>
            <w:rPr>
              <w:rFonts w:ascii="宋体" w:hAnsi="宋体" w:hint="eastAsia"/>
              <w:spacing w:val="6"/>
              <w:szCs w:val="21"/>
            </w:rPr>
            <w:t>（3）基金管理人解散、依法被撤销、破产或有其他基金管理人接管基金管理权；</w:t>
          </w:r>
        </w:p>
        <w:p w14:paraId="6A47E447" w14:textId="77777777" w:rsidR="00A7580B" w:rsidRDefault="00750D62">
          <w:pPr>
            <w:autoSpaceDE w:val="0"/>
            <w:autoSpaceDN w:val="0"/>
            <w:spacing w:line="360" w:lineRule="auto"/>
            <w:ind w:firstLineChars="200" w:firstLine="444"/>
            <w:jc w:val="left"/>
            <w:rPr>
              <w:rFonts w:ascii="宋体" w:hAnsi="宋体" w:hint="eastAsia"/>
              <w:spacing w:val="6"/>
              <w:szCs w:val="21"/>
            </w:rPr>
          </w:pPr>
          <w:r>
            <w:rPr>
              <w:rFonts w:ascii="宋体" w:hAnsi="宋体" w:hint="eastAsia"/>
              <w:spacing w:val="6"/>
              <w:szCs w:val="21"/>
            </w:rPr>
            <w:t>（4）发生法律法规或《基金合同》规定的终止事项。</w:t>
          </w:r>
        </w:p>
        <w:p w14:paraId="630D688F"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（二）基金财产的清算</w:t>
          </w:r>
        </w:p>
        <w:p w14:paraId="14711DF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5296D19C"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2.在基金财产清算小组接管基金财产之前，基金管理人和基金托管人应按照《基金合同》和本托管协议的规定继续履行保护基金财产安全的职责。</w:t>
          </w:r>
        </w:p>
        <w:p w14:paraId="7EF441CF"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B8D90DD"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00FB796E" w14:textId="77777777" w:rsidR="00A7580B" w:rsidRDefault="00750D62">
          <w:pPr>
            <w:tabs>
              <w:tab w:val="left" w:pos="6435"/>
            </w:tabs>
            <w:spacing w:line="360" w:lineRule="auto"/>
            <w:ind w:firstLineChars="200" w:firstLine="420"/>
            <w:rPr>
              <w:rFonts w:ascii="宋体" w:hAnsi="宋体" w:hint="eastAsia"/>
              <w:szCs w:val="21"/>
            </w:rPr>
          </w:pPr>
          <w:r>
            <w:rPr>
              <w:rFonts w:ascii="宋体" w:hAnsi="宋体" w:hint="eastAsia"/>
              <w:szCs w:val="21"/>
            </w:rPr>
            <w:t>5.基金财产清算程序：</w:t>
          </w:r>
          <w:r>
            <w:rPr>
              <w:rFonts w:ascii="宋体" w:hAnsi="宋体" w:hint="eastAsia"/>
              <w:szCs w:val="21"/>
            </w:rPr>
            <w:tab/>
          </w:r>
        </w:p>
        <w:p w14:paraId="4A6E304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（1）《基金合同》终止情形出现时，由基金财产清算小组统一接管基金；</w:t>
          </w:r>
        </w:p>
        <w:p w14:paraId="003ED9E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（2）对基金财产和债权债务进行清理和确认；</w:t>
          </w:r>
        </w:p>
        <w:p w14:paraId="063B3F0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（3）对基金财产进行估值和变现；</w:t>
          </w:r>
        </w:p>
        <w:p w14:paraId="29ECBE0A"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（4）制作清算报告；</w:t>
          </w:r>
        </w:p>
        <w:p w14:paraId="7A436214"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w:t>
          </w:r>
          <w:r>
            <w:rPr>
              <w:rFonts w:ascii="宋体" w:hAnsi="宋体" w:hint="eastAsia"/>
              <w:bCs/>
              <w:szCs w:val="21"/>
            </w:rPr>
            <w:lastRenderedPageBreak/>
            <w:t>律意见书；</w:t>
          </w:r>
        </w:p>
        <w:p w14:paraId="0616882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（6）将清算报告报中国证监会备案并公告；</w:t>
          </w:r>
        </w:p>
        <w:p w14:paraId="2970F03E" w14:textId="77777777" w:rsidR="00A7580B" w:rsidRDefault="00750D62">
          <w:pPr>
            <w:spacing w:line="360" w:lineRule="auto"/>
            <w:ind w:firstLineChars="200" w:firstLine="420"/>
            <w:rPr>
              <w:rFonts w:ascii="宋体" w:hAnsi="宋体" w:hint="eastAsia"/>
              <w:bCs/>
              <w:szCs w:val="21"/>
            </w:rPr>
          </w:pPr>
          <w:r>
            <w:rPr>
              <w:rFonts w:ascii="宋体" w:hAnsi="宋体" w:hint="eastAsia"/>
              <w:szCs w:val="21"/>
            </w:rPr>
            <w:t>（7）</w:t>
          </w:r>
          <w:r>
            <w:rPr>
              <w:rFonts w:ascii="宋体" w:hAnsi="宋体" w:hint="eastAsia"/>
              <w:bCs/>
              <w:szCs w:val="21"/>
            </w:rPr>
            <w:t>对基金剩余财产进行分配。</w:t>
          </w:r>
        </w:p>
        <w:p w14:paraId="6CBD5256" w14:textId="77777777" w:rsidR="00A7580B" w:rsidRDefault="00750D62">
          <w:pPr>
            <w:spacing w:line="360" w:lineRule="auto"/>
            <w:ind w:firstLineChars="200" w:firstLine="420"/>
            <w:rPr>
              <w:rFonts w:ascii="宋体" w:hAnsi="宋体" w:hint="eastAsia"/>
              <w:szCs w:val="21"/>
            </w:rPr>
          </w:pPr>
          <w:r>
            <w:rPr>
              <w:rFonts w:ascii="宋体" w:hAnsi="宋体"/>
              <w:szCs w:val="21"/>
            </w:rPr>
            <w:t>6.</w:t>
          </w:r>
          <w:r>
            <w:rPr>
              <w:rFonts w:ascii="宋体" w:hAnsi="宋体" w:hint="eastAsia"/>
              <w:szCs w:val="21"/>
            </w:rPr>
            <w:t>基金财产清算的期限为6个月，但因本基金所持证券的流动性受到限制而不能及时变现的，清算期限相应顺延。</w:t>
          </w:r>
        </w:p>
        <w:p w14:paraId="360CA8F3"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szCs w:val="21"/>
            </w:rPr>
            <w:t>7</w:t>
          </w:r>
          <w:r>
            <w:rPr>
              <w:rFonts w:ascii="宋体" w:hAnsi="宋体" w:cs="Arial" w:hint="eastAsia"/>
              <w:szCs w:val="21"/>
            </w:rPr>
            <w:t>.清算费用</w:t>
          </w:r>
        </w:p>
        <w:p w14:paraId="1EBA47EC"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hint="eastAsia"/>
              <w:szCs w:val="21"/>
            </w:rPr>
            <w:t>清算费用是指基金财产清算小组在进行基金清算过程中发生的所有合理费用，清算费用由基金财产清算小组优先从基金剩余财产中支付。</w:t>
          </w:r>
        </w:p>
        <w:p w14:paraId="6B65F3CF"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szCs w:val="21"/>
            </w:rPr>
            <w:t>8</w:t>
          </w:r>
          <w:r>
            <w:rPr>
              <w:rFonts w:ascii="宋体" w:hAnsi="宋体" w:cs="Arial" w:hint="eastAsia"/>
              <w:szCs w:val="21"/>
            </w:rPr>
            <w:t>.基金财产按下列顺序清偿：</w:t>
          </w:r>
        </w:p>
        <w:p w14:paraId="41474C8D"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hint="eastAsia"/>
              <w:szCs w:val="21"/>
            </w:rPr>
            <w:t>(1)支付清算费用；</w:t>
          </w:r>
        </w:p>
        <w:p w14:paraId="67509CE7"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hint="eastAsia"/>
              <w:szCs w:val="21"/>
            </w:rPr>
            <w:t>(2)交纳所欠税款；</w:t>
          </w:r>
        </w:p>
        <w:p w14:paraId="1AA04866"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hint="eastAsia"/>
              <w:szCs w:val="21"/>
            </w:rPr>
            <w:t>(3)清偿基金债务；</w:t>
          </w:r>
        </w:p>
        <w:p w14:paraId="12063BE9" w14:textId="77777777" w:rsidR="00A7580B" w:rsidRDefault="00750D62">
          <w:pPr>
            <w:snapToGrid w:val="0"/>
            <w:spacing w:line="360" w:lineRule="auto"/>
            <w:ind w:firstLineChars="200" w:firstLine="420"/>
            <w:rPr>
              <w:rFonts w:ascii="宋体" w:hAnsi="宋体" w:cs="Arial" w:hint="eastAsia"/>
              <w:szCs w:val="21"/>
            </w:rPr>
          </w:pPr>
          <w:r>
            <w:rPr>
              <w:rFonts w:ascii="宋体" w:hAnsi="宋体" w:cs="Arial" w:hint="eastAsia"/>
              <w:szCs w:val="21"/>
            </w:rPr>
            <w:t>(4)按基金份额持有人持有的基金份额比例进行分配。</w:t>
          </w:r>
        </w:p>
        <w:p w14:paraId="14351EBB" w14:textId="77777777" w:rsidR="00A7580B" w:rsidRDefault="00750D62">
          <w:pPr>
            <w:spacing w:line="360" w:lineRule="auto"/>
            <w:ind w:firstLine="200"/>
            <w:rPr>
              <w:rFonts w:ascii="宋体" w:hAnsi="宋体" w:cs="Arial" w:hint="eastAsia"/>
              <w:szCs w:val="21"/>
            </w:rPr>
          </w:pPr>
          <w:r>
            <w:rPr>
              <w:rFonts w:ascii="宋体" w:hAnsi="宋体" w:cs="Arial" w:hint="eastAsia"/>
              <w:szCs w:val="21"/>
            </w:rPr>
            <w:t>基金财产未按前款(1)－(3)项规定清偿前，不分配给基金份额持有人。</w:t>
          </w:r>
        </w:p>
        <w:p w14:paraId="54E8B18B"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（三）基金财产清算的公告</w:t>
          </w:r>
        </w:p>
        <w:p w14:paraId="7DEFF184" w14:textId="62E3D88F" w:rsidR="00A7580B" w:rsidRDefault="00750D62">
          <w:pPr>
            <w:spacing w:line="360" w:lineRule="auto"/>
            <w:ind w:firstLineChars="200" w:firstLine="420"/>
            <w:rPr>
              <w:rFonts w:ascii="宋体" w:hAnsi="宋体" w:hint="eastAsia"/>
              <w:szCs w:val="21"/>
            </w:rPr>
          </w:pPr>
          <w:r>
            <w:rPr>
              <w:rFonts w:ascii="宋体" w:hAnsi="宋体" w:hint="eastAsia"/>
              <w:szCs w:val="21"/>
            </w:rPr>
            <w:t>清算过程中的有关重大事项须及时公告；基金财产清算报告经符合《中华人民共和国证券法》规定的会计师事务所审计并由律师事务所出具法律意见书后报中国证监会备案并公告。基金财产清算</w:t>
          </w:r>
          <w:r w:rsidR="00277A87">
            <w:rPr>
              <w:rFonts w:ascii="宋体" w:hAnsi="宋体" w:hint="eastAsia"/>
              <w:szCs w:val="21"/>
            </w:rPr>
            <w:t>报告</w:t>
          </w:r>
          <w:r>
            <w:rPr>
              <w:rFonts w:ascii="宋体" w:hAnsi="宋体" w:hint="eastAsia"/>
              <w:szCs w:val="21"/>
            </w:rPr>
            <w:t>于基金财产清算报告报中国证监会备案后5个工作日内由基金财产清算小组进行公告。基金财产清算小组应当将清算报告登载在规定网站上，并将清算报告提示性公告登载在规定报刊上。</w:t>
          </w:r>
        </w:p>
        <w:p w14:paraId="791154DA" w14:textId="77777777" w:rsidR="00A7580B" w:rsidRDefault="00750D62">
          <w:pPr>
            <w:pStyle w:val="2"/>
            <w:keepNext w:val="0"/>
            <w:keepLines w:val="0"/>
            <w:tabs>
              <w:tab w:val="num" w:pos="1080"/>
            </w:tabs>
            <w:autoSpaceDE w:val="0"/>
            <w:autoSpaceDN w:val="0"/>
            <w:spacing w:before="0" w:after="0" w:line="360" w:lineRule="auto"/>
            <w:ind w:firstLineChars="196" w:firstLine="412"/>
            <w:rPr>
              <w:rFonts w:ascii="宋体" w:hAnsi="宋体" w:hint="eastAsia"/>
              <w:szCs w:val="21"/>
            </w:rPr>
          </w:pPr>
          <w:r>
            <w:rPr>
              <w:rFonts w:ascii="宋体" w:eastAsia="宋体" w:hAnsi="宋体" w:hint="eastAsia"/>
              <w:b w:val="0"/>
              <w:sz w:val="21"/>
              <w:szCs w:val="21"/>
            </w:rPr>
            <w:t>（四）基金财产清算账册及文件的保存</w:t>
          </w:r>
        </w:p>
        <w:p w14:paraId="28F131CC" w14:textId="77777777" w:rsidR="00A7580B" w:rsidRDefault="00750D62">
          <w:pPr>
            <w:spacing w:line="360" w:lineRule="auto"/>
            <w:ind w:firstLine="200"/>
            <w:rPr>
              <w:rFonts w:ascii="宋体" w:hAnsi="宋体" w:hint="eastAsia"/>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481029AA" w14:textId="77777777" w:rsidR="00A7580B" w:rsidRDefault="00750D62">
          <w:pPr>
            <w:spacing w:line="500" w:lineRule="atLeast"/>
            <w:jc w:val="center"/>
            <w:outlineLvl w:val="0"/>
            <w:rPr>
              <w:rFonts w:ascii="宋体" w:hAnsi="宋体" w:hint="eastAsia"/>
            </w:rPr>
          </w:pPr>
          <w:bookmarkStart w:id="77" w:name="_Toc382819133"/>
          <w:r>
            <w:rPr>
              <w:rFonts w:ascii="宋体" w:hAnsi="宋体" w:hint="eastAsia"/>
              <w:b/>
              <w:sz w:val="24"/>
            </w:rPr>
            <w:t>十六、违约责任</w:t>
          </w:r>
          <w:bookmarkEnd w:id="77"/>
        </w:p>
        <w:p w14:paraId="2F1B2E55" w14:textId="77777777" w:rsidR="00A7580B" w:rsidRDefault="00750D62">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40CD48F9"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1.基金管理人及基金托管人按照当时有效的法律法规或中国证监会的规定作为或不作</w:t>
          </w:r>
          <w:r>
            <w:rPr>
              <w:rFonts w:ascii="宋体" w:hAnsi="宋体" w:hint="eastAsia"/>
              <w:szCs w:val="21"/>
            </w:rPr>
            <w:lastRenderedPageBreak/>
            <w:t>为而造成的损失等；</w:t>
          </w:r>
        </w:p>
        <w:p w14:paraId="1E7546FC"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2.基金管理人由于按照《基金合同》规定的投资原则而行使或不行使其投资权而造成的损失等；</w:t>
          </w:r>
        </w:p>
        <w:p w14:paraId="1430F2D0"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3. 发生自然灾害等不可抗力情形；</w:t>
          </w:r>
        </w:p>
        <w:p w14:paraId="34DFD10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它基金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14:paraId="0963E878" w14:textId="77777777" w:rsidR="00A7580B" w:rsidRDefault="00750D62">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8DA0A06"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FBF7E7E" w14:textId="77777777" w:rsidR="00A7580B" w:rsidRDefault="00750D62">
          <w:pPr>
            <w:spacing w:line="500" w:lineRule="atLeast"/>
            <w:jc w:val="center"/>
            <w:outlineLvl w:val="0"/>
            <w:rPr>
              <w:rFonts w:ascii="宋体" w:hAnsi="宋体" w:hint="eastAsia"/>
            </w:rPr>
          </w:pPr>
          <w:bookmarkStart w:id="78" w:name="_Toc382819134"/>
          <w:r>
            <w:rPr>
              <w:rFonts w:ascii="宋体" w:hAnsi="宋体" w:hint="eastAsia"/>
              <w:b/>
              <w:sz w:val="24"/>
            </w:rPr>
            <w:t>十七、适用法律及争议解决方式</w:t>
          </w:r>
          <w:bookmarkEnd w:id="78"/>
        </w:p>
        <w:p w14:paraId="30647A5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（一）本协议适用中华人民共和国法律（为本协议之目的，在此不包括中国香港、澳门特别行政区和台湾地区法律），并从其解释。</w:t>
          </w:r>
        </w:p>
        <w:p w14:paraId="19B66241" w14:textId="02E45C50" w:rsidR="00A7580B" w:rsidRDefault="00750D62">
          <w:pPr>
            <w:spacing w:line="360" w:lineRule="auto"/>
            <w:ind w:firstLineChars="200" w:firstLine="420"/>
            <w:rPr>
              <w:rFonts w:ascii="宋体" w:hAnsi="宋体" w:hint="eastAsia"/>
              <w:szCs w:val="21"/>
            </w:rPr>
          </w:pPr>
          <w:r>
            <w:rPr>
              <w:rFonts w:ascii="宋体" w:hAnsi="宋体" w:hint="eastAsia"/>
              <w:szCs w:val="21"/>
            </w:rPr>
            <w:t>（二）双方当事人同意，因本协议而产生的或与本协议有关的一切争议，如经友好协商未能解决的，任何一方均有权将争议提交中国国际经济贸易仲裁委员会，根据该会当时有效的仲裁规则进行仲裁，仲裁地点为</w:t>
          </w:r>
          <w:r w:rsidR="008E0385">
            <w:rPr>
              <w:rFonts w:ascii="宋体" w:hAnsi="宋体" w:hint="eastAsia"/>
              <w:szCs w:val="21"/>
            </w:rPr>
            <w:t>上海</w:t>
          </w:r>
          <w:r>
            <w:rPr>
              <w:rFonts w:ascii="宋体" w:hAnsi="宋体" w:hint="eastAsia"/>
              <w:szCs w:val="21"/>
            </w:rPr>
            <w:t>市，仲裁裁决是终局性的并对各方当事人具有约束力。除非仲裁裁决另有规定，仲裁费由败诉方承担。</w:t>
          </w:r>
        </w:p>
        <w:p w14:paraId="04E41AC1"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3DE30800" w14:textId="77777777" w:rsidR="00A7580B" w:rsidRDefault="00750D62">
          <w:pPr>
            <w:spacing w:line="500" w:lineRule="atLeast"/>
            <w:jc w:val="center"/>
            <w:outlineLvl w:val="0"/>
            <w:rPr>
              <w:rFonts w:ascii="宋体" w:hAnsi="宋体" w:hint="eastAsia"/>
            </w:rPr>
          </w:pPr>
          <w:bookmarkStart w:id="79" w:name="_Toc382819135"/>
          <w:r>
            <w:rPr>
              <w:rFonts w:ascii="宋体" w:hAnsi="宋体" w:hint="eastAsia"/>
              <w:b/>
              <w:sz w:val="24"/>
            </w:rPr>
            <w:t>十八、基金托管协议的效力和文本</w:t>
          </w:r>
          <w:bookmarkEnd w:id="79"/>
        </w:p>
        <w:p w14:paraId="49B6B015" w14:textId="77777777" w:rsidR="00A7580B" w:rsidRDefault="00750D62">
          <w:pPr>
            <w:pStyle w:val="afc"/>
            <w:rPr>
              <w:rFonts w:ascii="宋体" w:hAnsi="宋体" w:hint="eastAsia"/>
              <w:szCs w:val="21"/>
            </w:rPr>
          </w:pPr>
          <w:r>
            <w:rPr>
              <w:rFonts w:ascii="宋体" w:hAnsi="宋体" w:hint="eastAsia"/>
              <w:szCs w:val="21"/>
            </w:rPr>
            <w:t>（一）</w:t>
          </w:r>
          <w:r>
            <w:rPr>
              <w:rFonts w:ascii="宋体" w:hAnsi="宋体" w:cs="Arial" w:hint="eastAsia"/>
              <w:szCs w:val="21"/>
            </w:rPr>
            <w:t>本协议经基金管理人、基金托管人双方加盖公章或合同专用章以及双方法定代表</w:t>
          </w:r>
          <w:r>
            <w:rPr>
              <w:rFonts w:ascii="宋体" w:hAnsi="宋体" w:cs="Arial" w:hint="eastAsia"/>
              <w:szCs w:val="21"/>
            </w:rPr>
            <w:lastRenderedPageBreak/>
            <w:t>人或授权代表签字或盖章后成立</w:t>
          </w:r>
          <w:r>
            <w:rPr>
              <w:rFonts w:ascii="宋体" w:hAnsi="宋体" w:hint="eastAsia"/>
              <w:szCs w:val="21"/>
            </w:rPr>
            <w:t>。本协议以中国证监会注册的文本为正式文本。基金管理人应确保报送证监会注册/备案的文本与双方签署的文本一致</w:t>
          </w:r>
        </w:p>
        <w:p w14:paraId="008DE56F" w14:textId="77777777" w:rsidR="00A7580B" w:rsidRDefault="00750D62">
          <w:pPr>
            <w:pStyle w:val="afc"/>
            <w:rPr>
              <w:rFonts w:ascii="宋体" w:hAnsi="宋体" w:hint="eastAsia"/>
              <w:szCs w:val="21"/>
            </w:rPr>
          </w:pPr>
          <w:r>
            <w:rPr>
              <w:rFonts w:ascii="宋体" w:hAnsi="宋体" w:hint="eastAsia"/>
              <w:szCs w:val="21"/>
            </w:rPr>
            <w:t>（二）本协议自基金合同成立之日起成立且《基金合同》生效之日起生效，有效期自其生效之日起至该基金财产清算结果报中国证监会备案并公告之日止。本协议约定与《基金合同》不一致的，基金合同未尽的基金托管事宜以本协议为准。</w:t>
          </w:r>
        </w:p>
        <w:p w14:paraId="5EA77198"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（三）本协议自生效之日起对各当事人具有同等的法律约束力。</w:t>
          </w:r>
        </w:p>
        <w:p w14:paraId="58BDBCBE" w14:textId="77777777" w:rsidR="00A7580B" w:rsidRDefault="00750D62">
          <w:pPr>
            <w:spacing w:line="360" w:lineRule="auto"/>
            <w:ind w:firstLineChars="200" w:firstLine="420"/>
            <w:rPr>
              <w:rFonts w:ascii="宋体" w:hAnsi="宋体" w:hint="eastAsia"/>
              <w:szCs w:val="21"/>
            </w:rPr>
          </w:pPr>
          <w:r>
            <w:rPr>
              <w:rFonts w:ascii="宋体" w:hAnsi="宋体" w:hint="eastAsia"/>
              <w:szCs w:val="21"/>
            </w:rPr>
            <w:t>（四）本协议正本一式三份，除上报有关监管机构一份外，基金管理人、基金托管人各持有一份，每份具有同等的法律效力。</w:t>
          </w:r>
        </w:p>
        <w:p w14:paraId="01FEB93E" w14:textId="77777777" w:rsidR="00A7580B" w:rsidRDefault="00750D62">
          <w:pPr>
            <w:spacing w:line="500" w:lineRule="atLeast"/>
            <w:jc w:val="center"/>
            <w:outlineLvl w:val="0"/>
            <w:rPr>
              <w:rFonts w:ascii="宋体" w:hAnsi="宋体" w:hint="eastAsia"/>
            </w:rPr>
          </w:pPr>
          <w:r>
            <w:rPr>
              <w:rFonts w:ascii="宋体" w:hAnsi="宋体"/>
              <w:b/>
              <w:sz w:val="24"/>
            </w:rPr>
            <w:t xml:space="preserve"> </w:t>
          </w:r>
          <w:bookmarkStart w:id="80" w:name="_Toc382819136"/>
          <w:r>
            <w:rPr>
              <w:rFonts w:ascii="宋体" w:hAnsi="宋体" w:hint="eastAsia"/>
              <w:b/>
              <w:sz w:val="24"/>
            </w:rPr>
            <w:t>十九、其他事项</w:t>
          </w:r>
          <w:bookmarkEnd w:id="80"/>
        </w:p>
        <w:p w14:paraId="24152870" w14:textId="77777777" w:rsidR="00A7580B" w:rsidRDefault="00750D62">
          <w:pPr>
            <w:pStyle w:val="afc"/>
            <w:rPr>
              <w:rFonts w:ascii="宋体" w:hAnsi="宋体" w:hint="eastAsia"/>
              <w:szCs w:val="21"/>
            </w:rPr>
          </w:pPr>
          <w:r>
            <w:rPr>
              <w:rFonts w:ascii="宋体" w:hAnsi="宋体" w:hint="eastAsia"/>
              <w:szCs w:val="21"/>
            </w:rPr>
            <w:t>（一）双方在此确认，双方均已充分了解和知悉对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5ABD0AE8" w14:textId="77777777" w:rsidR="00A7580B" w:rsidRDefault="00750D62">
          <w:pPr>
            <w:pStyle w:val="afc"/>
            <w:rPr>
              <w:rFonts w:ascii="宋体" w:hAnsi="宋体" w:hint="eastAsia"/>
              <w:szCs w:val="21"/>
            </w:rPr>
          </w:pPr>
          <w:r>
            <w:rPr>
              <w:rFonts w:ascii="宋体" w:hAnsi="宋体" w:hint="eastAsia"/>
              <w:szCs w:val="21"/>
            </w:rPr>
            <w:t>（二）反洗钱义务</w:t>
          </w:r>
        </w:p>
        <w:p w14:paraId="21585C4C" w14:textId="2BAB63FA" w:rsidR="00A7580B" w:rsidRDefault="00750D62">
          <w:pPr>
            <w:pStyle w:val="afc"/>
            <w:rPr>
              <w:rFonts w:ascii="宋体" w:hAnsi="宋体" w:hint="eastAsia"/>
              <w:szCs w:val="21"/>
            </w:rPr>
          </w:pPr>
          <w:r>
            <w:rPr>
              <w:rFonts w:ascii="宋体" w:hAnsi="宋体" w:hint="eastAsia"/>
              <w:szCs w:val="21"/>
            </w:rPr>
            <w:t>基金管理人承诺自愿遵守反洗钱反恐怖融资法律法规，不参与涉嫌洗钱、恐怖融资、扩散融资等违法犯罪活动；</w:t>
          </w:r>
          <w:r w:rsidR="006A76B9" w:rsidRPr="006A76B9">
            <w:rPr>
              <w:rFonts w:ascii="宋体" w:hAnsi="宋体" w:hint="eastAsia"/>
              <w:szCs w:val="21"/>
            </w:rPr>
            <w:t>就其依法履行反洗钱义务而获得的客户身份资料为基础，</w:t>
          </w:r>
          <w:r>
            <w:rPr>
              <w:rFonts w:ascii="宋体" w:hAnsi="宋体" w:hint="eastAsia"/>
              <w:szCs w:val="21"/>
            </w:rPr>
            <w:t>主动依法合规地配合基金托管人进行客户身份识别与尽职调查，提供真实、准确、完整客户资料，遵守双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不执行基金管理人的交易指令。</w:t>
          </w:r>
        </w:p>
        <w:p w14:paraId="55D9864E" w14:textId="77777777" w:rsidR="00A7580B" w:rsidRDefault="00750D62">
          <w:pPr>
            <w:pStyle w:val="afc"/>
            <w:rPr>
              <w:rFonts w:ascii="宋体" w:hAnsi="宋体" w:hint="eastAsia"/>
              <w:szCs w:val="21"/>
            </w:rPr>
          </w:pPr>
          <w:r>
            <w:rPr>
              <w:rFonts w:ascii="宋体" w:hAnsi="宋体" w:hint="eastAsia"/>
              <w:szCs w:val="21"/>
            </w:rPr>
            <w:t>基金管理人确认并同意，基金托管人有权根据适用的反洗钱法律法规规定及内部管理要求对基金管理人及本协议项下合作所涉及的交易等进行洗钱风险评估，若基金管理人违反银行反洗钱管理规定，或基金托管人具备合理理由怀疑基金管理人及/或本协议项下业务涉嫌参与联合国安理会、反洗钱金融行动特别工作组、中国、美国、欧盟、英国、新加坡等国际组织或国家认定的、且经中国有权机关认可的洗钱、 制裁、恐怖融资或大规模杀伤性武器扩散融资活动、出口管制、或逃税等违法违规行为的，基金托管人有权按照中国人民银行反洗钱监管规定等规定及内部管理规定等采取必要的管控措施。</w:t>
          </w:r>
        </w:p>
        <w:p w14:paraId="15024F1B" w14:textId="77777777" w:rsidR="00A7580B" w:rsidRDefault="00750D62">
          <w:pPr>
            <w:pStyle w:val="afc"/>
            <w:rPr>
              <w:rFonts w:ascii="宋体" w:hAnsi="宋体" w:hint="eastAsia"/>
              <w:szCs w:val="21"/>
            </w:rPr>
          </w:pPr>
          <w:r>
            <w:rPr>
              <w:rFonts w:ascii="宋体" w:hAnsi="宋体" w:hint="eastAsia"/>
              <w:szCs w:val="21"/>
            </w:rPr>
            <w:t>（三）通知</w:t>
          </w:r>
        </w:p>
        <w:p w14:paraId="14A18073" w14:textId="77777777" w:rsidR="00A7580B" w:rsidRDefault="00750D62">
          <w:pPr>
            <w:spacing w:line="360" w:lineRule="auto"/>
            <w:ind w:firstLineChars="171" w:firstLine="359"/>
            <w:rPr>
              <w:rFonts w:ascii="宋体" w:hAnsi="宋体" w:hint="eastAsia"/>
              <w:szCs w:val="21"/>
            </w:rPr>
          </w:pPr>
          <w:r>
            <w:rPr>
              <w:rFonts w:ascii="宋体" w:hAnsi="宋体" w:hint="eastAsia"/>
              <w:szCs w:val="21"/>
            </w:rPr>
            <w:lastRenderedPageBreak/>
            <w:t>1</w:t>
          </w:r>
          <w:r>
            <w:rPr>
              <w:rFonts w:ascii="宋体" w:hAnsi="宋体"/>
              <w:szCs w:val="21"/>
            </w:rPr>
            <w:t>.</w:t>
          </w:r>
          <w:r>
            <w:rPr>
              <w:rFonts w:ascii="宋体" w:hAnsi="宋体" w:hint="eastAsia"/>
              <w:szCs w:val="21"/>
            </w:rPr>
            <w:t>除本协议另有约定外，其他与本协议有关的通知应以书面形式作出，并送达至协议约定的地址，如果相关信息发生变动，变动的一方应当在变动发生之日起五（5）日书面通知其他方。</w:t>
          </w:r>
        </w:p>
        <w:p w14:paraId="12C973C0" w14:textId="77777777" w:rsidR="00A7580B" w:rsidRDefault="00750D62">
          <w:pPr>
            <w:spacing w:line="360" w:lineRule="auto"/>
            <w:ind w:firstLineChars="171" w:firstLine="359"/>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556A5A86" w14:textId="77777777" w:rsidR="00A7580B" w:rsidRDefault="00750D62">
          <w:pPr>
            <w:spacing w:line="360" w:lineRule="auto"/>
            <w:ind w:firstLineChars="171" w:firstLine="359"/>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任何一方在任何时间改变接收通知所用的地址都应立即将该变更通过本协议约定或双方认可的方式通知另一方；如果该变更通知未能送达，递交给上述收件人或地址的通知或联络应视为被正常发送和接收。</w:t>
          </w:r>
        </w:p>
        <w:p w14:paraId="6C1FB559" w14:textId="77777777" w:rsidR="00A7580B" w:rsidRDefault="00750D62">
          <w:pPr>
            <w:spacing w:line="360" w:lineRule="auto"/>
            <w:ind w:firstLineChars="171" w:firstLine="359"/>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双方确认，本协议首页列明的双方地址为其有效的送达地址。对本协议项下所发生的任何诉讼（包括一审、二审和再审等任何诉讼程序和执行程序）过程中对其发出的函件、传票、通知等法律文书，只要以邮寄或本协议约定或双方认可的方式发送至本协议首页列明的送达地址即视为送达，具体送达日期适用《民事诉讼法》中关于送达日期的规定。上述邮寄送达地址的变更非经提前通知另一方，不发生法律效力，本协议中确认的送达地址仍然视为有效的送达地址。</w:t>
          </w:r>
        </w:p>
        <w:p w14:paraId="177CFC0A" w14:textId="77777777" w:rsidR="00A7580B" w:rsidRDefault="00750D62">
          <w:pPr>
            <w:pStyle w:val="afc"/>
            <w:rPr>
              <w:rFonts w:ascii="宋体" w:hAnsi="宋体" w:hint="eastAsia"/>
              <w:szCs w:val="21"/>
            </w:rPr>
          </w:pPr>
          <w:r>
            <w:rPr>
              <w:rFonts w:ascii="宋体" w:hAnsi="宋体" w:hint="eastAsia"/>
              <w:szCs w:val="21"/>
            </w:rPr>
            <w:t>（四）本协议未尽事宜，当事人依据《基金合同》以及有关法律、法规和规定协商办理。</w:t>
          </w:r>
        </w:p>
        <w:p w14:paraId="30DDC3E8" w14:textId="77777777" w:rsidR="00A7580B" w:rsidRDefault="00750D62">
          <w:pPr>
            <w:pStyle w:val="afc"/>
            <w:rPr>
              <w:rFonts w:ascii="宋体" w:hAnsi="宋体" w:hint="eastAsia"/>
              <w:szCs w:val="21"/>
            </w:rPr>
          </w:pPr>
          <w:r>
            <w:rPr>
              <w:rFonts w:ascii="宋体" w:hAnsi="宋体" w:hint="eastAsia"/>
              <w:szCs w:val="21"/>
            </w:rPr>
            <w:t>（</w:t>
          </w:r>
          <w:r>
            <w:rPr>
              <w:rFonts w:ascii="宋体" w:hAnsi="宋体"/>
              <w:szCs w:val="21"/>
            </w:rPr>
            <w:t>五</w:t>
          </w:r>
          <w:r>
            <w:rPr>
              <w:rFonts w:ascii="宋体" w:hAnsi="宋体" w:hint="eastAsia"/>
              <w:szCs w:val="21"/>
            </w:rPr>
            <w:t>）双方约定的其他事项（若有）</w:t>
          </w:r>
        </w:p>
        <w:p w14:paraId="46B15E91" w14:textId="77777777" w:rsidR="00A7580B" w:rsidRDefault="00750D62">
          <w:pPr>
            <w:pStyle w:val="afc"/>
            <w:ind w:firstLineChars="0" w:firstLine="0"/>
            <w:rPr>
              <w:rFonts w:ascii="宋体" w:hAnsi="宋体" w:hint="eastAsia"/>
              <w:szCs w:val="21"/>
            </w:rPr>
          </w:pPr>
          <w:r>
            <w:rPr>
              <w:rFonts w:ascii="宋体" w:hAnsi="宋体" w:hint="eastAsia"/>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本页以下无正文）</w:t>
          </w:r>
        </w:p>
        <w:p w14:paraId="1D85BEDD" w14:textId="77777777" w:rsidR="00A7580B" w:rsidRDefault="00A7580B">
          <w:pPr>
            <w:widowControl/>
            <w:spacing w:beforeAutospacing="1" w:line="360" w:lineRule="auto"/>
            <w:jc w:val="left"/>
            <w:rPr>
              <w:rFonts w:ascii="宋体" w:hAnsi="宋体" w:hint="eastAsia"/>
              <w:szCs w:val="21"/>
            </w:rPr>
            <w:sectPr w:rsidR="00A7580B">
              <w:pgSz w:w="11906" w:h="16838"/>
              <w:pgMar w:top="1440" w:right="1800" w:bottom="1440" w:left="1800" w:header="851" w:footer="992" w:gutter="0"/>
              <w:pgNumType w:start="1"/>
              <w:cols w:space="720"/>
              <w:docGrid w:type="lines" w:linePitch="312"/>
            </w:sectPr>
          </w:pPr>
        </w:p>
        <w:p w14:paraId="2EF7E420" w14:textId="77188899" w:rsidR="00A7580B" w:rsidRDefault="00750D62">
          <w:pPr>
            <w:spacing w:after="120" w:line="360" w:lineRule="auto"/>
            <w:ind w:firstLineChars="200" w:firstLine="420"/>
            <w:rPr>
              <w:rFonts w:ascii="宋体" w:hAnsi="宋体" w:hint="eastAsia"/>
              <w:szCs w:val="21"/>
            </w:rPr>
          </w:pPr>
          <w:r>
            <w:rPr>
              <w:rFonts w:ascii="宋体" w:hAnsi="宋体" w:hint="eastAsia"/>
              <w:szCs w:val="21"/>
            </w:rPr>
            <w:lastRenderedPageBreak/>
            <w:t>（本页为《天弘</w:t>
          </w:r>
          <w:r w:rsidR="00154D7C">
            <w:rPr>
              <w:rFonts w:ascii="宋体" w:hAnsi="宋体" w:hint="eastAsia"/>
              <w:szCs w:val="21"/>
            </w:rPr>
            <w:t>创业板指数量化增强型</w:t>
          </w:r>
          <w:r>
            <w:rPr>
              <w:rFonts w:ascii="宋体" w:hAnsi="宋体" w:hint="eastAsia"/>
              <w:szCs w:val="21"/>
            </w:rPr>
            <w:t>证券投资基金托管协议》签署页，无正文）</w:t>
          </w:r>
        </w:p>
        <w:p w14:paraId="76F7702B" w14:textId="77777777" w:rsidR="00A7580B" w:rsidRDefault="00A7580B">
          <w:pPr>
            <w:spacing w:line="360" w:lineRule="auto"/>
            <w:ind w:right="26"/>
            <w:rPr>
              <w:rFonts w:ascii="宋体" w:hAnsi="宋体" w:hint="eastAsia"/>
              <w:b/>
              <w:bCs/>
              <w:szCs w:val="21"/>
            </w:rPr>
          </w:pPr>
        </w:p>
        <w:p w14:paraId="0D972BF1" w14:textId="77777777" w:rsidR="00A7580B" w:rsidRDefault="00750D62">
          <w:pPr>
            <w:spacing w:line="360" w:lineRule="auto"/>
            <w:ind w:right="26"/>
            <w:rPr>
              <w:rFonts w:ascii="宋体" w:hAnsi="宋体" w:hint="eastAsia"/>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7B7D7C03" w14:textId="77777777" w:rsidR="00A7580B" w:rsidRDefault="00A7580B">
          <w:pPr>
            <w:spacing w:line="360" w:lineRule="auto"/>
            <w:ind w:right="26"/>
            <w:rPr>
              <w:rFonts w:ascii="宋体" w:hAnsi="宋体" w:hint="eastAsia"/>
              <w:szCs w:val="21"/>
            </w:rPr>
          </w:pPr>
        </w:p>
        <w:p w14:paraId="180B7987" w14:textId="77777777" w:rsidR="00A7580B" w:rsidRDefault="00A7580B">
          <w:pPr>
            <w:spacing w:line="360" w:lineRule="auto"/>
            <w:ind w:right="26"/>
            <w:rPr>
              <w:rFonts w:ascii="宋体" w:hAnsi="宋体" w:hint="eastAsia"/>
              <w:szCs w:val="21"/>
            </w:rPr>
          </w:pPr>
        </w:p>
        <w:tbl>
          <w:tblPr>
            <w:tblOverlap w:val="never"/>
            <w:tblW w:w="0" w:type="auto"/>
            <w:tblLook w:val="04A0" w:firstRow="1" w:lastRow="0" w:firstColumn="1" w:lastColumn="0" w:noHBand="0" w:noVBand="1"/>
          </w:tblPr>
          <w:tblGrid>
            <w:gridCol w:w="4153"/>
            <w:gridCol w:w="4153"/>
          </w:tblGrid>
          <w:tr w:rsidR="00A7580B" w14:paraId="67F85040" w14:textId="77777777">
            <w:tc>
              <w:tcPr>
                <w:tcW w:w="4261" w:type="dxa"/>
                <w:shd w:val="clear" w:color="auto" w:fill="auto"/>
              </w:tcPr>
              <w:p w14:paraId="0B41DC08" w14:textId="77777777" w:rsidR="00A7580B" w:rsidRDefault="00750D62">
                <w:pPr>
                  <w:spacing w:line="360" w:lineRule="auto"/>
                  <w:ind w:right="26"/>
                  <w:rPr>
                    <w:rFonts w:ascii="宋体" w:hAnsi="宋体" w:hint="eastAsia"/>
                    <w:b/>
                    <w:bCs/>
                    <w:szCs w:val="21"/>
                  </w:rPr>
                </w:pPr>
                <w:r>
                  <w:rPr>
                    <w:rFonts w:ascii="宋体" w:hAnsi="宋体" w:hint="eastAsia"/>
                    <w:b/>
                    <w:szCs w:val="21"/>
                  </w:rPr>
                  <w:t>基金管理人</w:t>
                </w:r>
                <w:r>
                  <w:rPr>
                    <w:rFonts w:ascii="宋体" w:hAnsi="宋体" w:hint="eastAsia"/>
                    <w:b/>
                    <w:bCs/>
                    <w:szCs w:val="21"/>
                  </w:rPr>
                  <w:t>：</w:t>
                </w:r>
              </w:p>
              <w:p w14:paraId="78A2C3EB" w14:textId="77777777" w:rsidR="00A7580B" w:rsidRDefault="00750D62">
                <w:pPr>
                  <w:spacing w:line="360" w:lineRule="auto"/>
                  <w:ind w:right="26"/>
                  <w:rPr>
                    <w:rFonts w:ascii="宋体" w:hAnsi="宋体" w:hint="eastAsia"/>
                    <w:b/>
                    <w:szCs w:val="21"/>
                  </w:rPr>
                </w:pPr>
                <w:r>
                  <w:rPr>
                    <w:rFonts w:ascii="宋体" w:hAnsi="宋体" w:hint="eastAsia"/>
                    <w:b/>
                    <w:szCs w:val="21"/>
                  </w:rPr>
                  <w:t>天弘基金管理有限公司</w:t>
                </w:r>
              </w:p>
            </w:tc>
            <w:tc>
              <w:tcPr>
                <w:tcW w:w="4261" w:type="dxa"/>
                <w:shd w:val="clear" w:color="auto" w:fill="auto"/>
              </w:tcPr>
              <w:p w14:paraId="1743043C" w14:textId="77777777" w:rsidR="00A7580B" w:rsidRDefault="00750D62">
                <w:pPr>
                  <w:spacing w:line="360" w:lineRule="auto"/>
                  <w:ind w:right="26"/>
                  <w:rPr>
                    <w:rFonts w:ascii="宋体" w:hAnsi="宋体" w:hint="eastAsia"/>
                    <w:b/>
                    <w:szCs w:val="21"/>
                  </w:rPr>
                </w:pPr>
                <w:r>
                  <w:rPr>
                    <w:rFonts w:ascii="宋体" w:hAnsi="宋体" w:hint="eastAsia"/>
                    <w:b/>
                    <w:szCs w:val="21"/>
                  </w:rPr>
                  <w:t>基金托管人：</w:t>
                </w:r>
              </w:p>
              <w:p w14:paraId="01064100" w14:textId="77777777" w:rsidR="00A7580B" w:rsidRDefault="00750D62">
                <w:pPr>
                  <w:spacing w:line="360" w:lineRule="auto"/>
                  <w:ind w:right="26"/>
                  <w:rPr>
                    <w:rFonts w:ascii="宋体" w:hAnsi="宋体" w:hint="eastAsia"/>
                    <w:szCs w:val="21"/>
                  </w:rPr>
                </w:pPr>
                <w:r>
                  <w:rPr>
                    <w:rFonts w:ascii="宋体" w:hAnsi="宋体" w:hint="eastAsia"/>
                    <w:b/>
                    <w:szCs w:val="21"/>
                  </w:rPr>
                  <w:t>上海浦东发展银行股份有限公司</w:t>
                </w:r>
              </w:p>
            </w:tc>
          </w:tr>
          <w:tr w:rsidR="00A7580B" w14:paraId="33B1C37A" w14:textId="77777777">
            <w:tc>
              <w:tcPr>
                <w:tcW w:w="4261" w:type="dxa"/>
                <w:shd w:val="clear" w:color="auto" w:fill="auto"/>
              </w:tcPr>
              <w:p w14:paraId="3C2B8A62" w14:textId="77777777" w:rsidR="00A7580B" w:rsidRDefault="00750D62">
                <w:pPr>
                  <w:spacing w:line="360" w:lineRule="auto"/>
                  <w:ind w:right="26"/>
                  <w:rPr>
                    <w:rFonts w:ascii="宋体" w:hAnsi="宋体" w:hint="eastAsia"/>
                    <w:b/>
                    <w:szCs w:val="21"/>
                  </w:rPr>
                </w:pPr>
                <w:r>
                  <w:rPr>
                    <w:rFonts w:ascii="宋体" w:hAnsi="宋体" w:hint="eastAsia"/>
                    <w:b/>
                    <w:szCs w:val="21"/>
                  </w:rPr>
                  <w:t>（公章或合同专用章）</w:t>
                </w:r>
              </w:p>
              <w:p w14:paraId="6D689C74" w14:textId="77777777" w:rsidR="00A7580B" w:rsidRDefault="00A7580B">
                <w:pPr>
                  <w:spacing w:line="360" w:lineRule="auto"/>
                  <w:ind w:right="26"/>
                  <w:rPr>
                    <w:rFonts w:ascii="宋体" w:hAnsi="宋体" w:hint="eastAsia"/>
                    <w:szCs w:val="21"/>
                  </w:rPr>
                </w:pPr>
              </w:p>
              <w:p w14:paraId="6146F996" w14:textId="77777777" w:rsidR="00A7580B" w:rsidRDefault="00A7580B">
                <w:pPr>
                  <w:spacing w:line="360" w:lineRule="auto"/>
                  <w:ind w:right="26"/>
                  <w:rPr>
                    <w:rFonts w:ascii="宋体" w:hAnsi="宋体" w:hint="eastAsia"/>
                    <w:szCs w:val="21"/>
                  </w:rPr>
                </w:pPr>
              </w:p>
            </w:tc>
            <w:tc>
              <w:tcPr>
                <w:tcW w:w="4261" w:type="dxa"/>
                <w:shd w:val="clear" w:color="auto" w:fill="auto"/>
              </w:tcPr>
              <w:p w14:paraId="7AE1DB9C" w14:textId="77777777" w:rsidR="00A7580B" w:rsidRDefault="00750D62">
                <w:pPr>
                  <w:spacing w:line="360" w:lineRule="auto"/>
                  <w:ind w:right="26"/>
                  <w:rPr>
                    <w:rFonts w:ascii="宋体" w:hAnsi="宋体" w:hint="eastAsia"/>
                    <w:b/>
                    <w:szCs w:val="21"/>
                  </w:rPr>
                </w:pPr>
                <w:r>
                  <w:rPr>
                    <w:rFonts w:ascii="宋体" w:hAnsi="宋体" w:hint="eastAsia"/>
                    <w:b/>
                    <w:szCs w:val="21"/>
                  </w:rPr>
                  <w:t>（公章或合同专用章）</w:t>
                </w:r>
              </w:p>
              <w:p w14:paraId="45B2F3FF" w14:textId="77777777" w:rsidR="00A7580B" w:rsidRDefault="00A7580B">
                <w:pPr>
                  <w:spacing w:line="360" w:lineRule="auto"/>
                  <w:ind w:right="26"/>
                  <w:rPr>
                    <w:rFonts w:ascii="宋体" w:hAnsi="宋体" w:hint="eastAsia"/>
                    <w:szCs w:val="21"/>
                  </w:rPr>
                </w:pPr>
              </w:p>
              <w:p w14:paraId="7D474F15" w14:textId="77777777" w:rsidR="00A7580B" w:rsidRDefault="00A7580B">
                <w:pPr>
                  <w:spacing w:line="360" w:lineRule="auto"/>
                  <w:ind w:right="26"/>
                  <w:rPr>
                    <w:rFonts w:ascii="宋体" w:hAnsi="宋体" w:hint="eastAsia"/>
                    <w:szCs w:val="21"/>
                  </w:rPr>
                </w:pPr>
              </w:p>
            </w:tc>
          </w:tr>
          <w:tr w:rsidR="00A7580B" w14:paraId="2E3369C1" w14:textId="77777777">
            <w:tc>
              <w:tcPr>
                <w:tcW w:w="4261" w:type="dxa"/>
                <w:shd w:val="clear" w:color="auto" w:fill="auto"/>
              </w:tcPr>
              <w:p w14:paraId="45A4FA0F" w14:textId="77777777" w:rsidR="00A7580B" w:rsidRDefault="00750D62">
                <w:pPr>
                  <w:spacing w:line="360" w:lineRule="auto"/>
                  <w:ind w:right="26"/>
                  <w:rPr>
                    <w:rFonts w:ascii="宋体" w:hAnsi="宋体" w:hint="eastAsia"/>
                    <w:szCs w:val="21"/>
                  </w:rPr>
                </w:pPr>
                <w:r>
                  <w:rPr>
                    <w:rFonts w:ascii="宋体" w:hAnsi="宋体" w:hint="eastAsia"/>
                    <w:b/>
                    <w:szCs w:val="21"/>
                  </w:rPr>
                  <w:t>法定代表人或授权代表：</w:t>
                </w:r>
              </w:p>
            </w:tc>
            <w:tc>
              <w:tcPr>
                <w:tcW w:w="4261" w:type="dxa"/>
                <w:shd w:val="clear" w:color="auto" w:fill="auto"/>
              </w:tcPr>
              <w:p w14:paraId="6519EA03" w14:textId="77777777" w:rsidR="00A7580B" w:rsidRDefault="00750D62">
                <w:pPr>
                  <w:spacing w:line="360" w:lineRule="auto"/>
                  <w:ind w:right="26"/>
                  <w:rPr>
                    <w:rFonts w:ascii="宋体" w:hAnsi="宋体" w:hint="eastAsia"/>
                    <w:szCs w:val="21"/>
                  </w:rPr>
                </w:pPr>
                <w:r>
                  <w:rPr>
                    <w:rFonts w:ascii="宋体" w:hAnsi="宋体" w:hint="eastAsia"/>
                    <w:b/>
                    <w:szCs w:val="21"/>
                  </w:rPr>
                  <w:t>法定代表人或授权代表：</w:t>
                </w:r>
              </w:p>
            </w:tc>
          </w:tr>
          <w:tr w:rsidR="00A7580B" w14:paraId="23985FD9" w14:textId="77777777">
            <w:tc>
              <w:tcPr>
                <w:tcW w:w="4261" w:type="dxa"/>
                <w:shd w:val="clear" w:color="auto" w:fill="auto"/>
              </w:tcPr>
              <w:p w14:paraId="056CE3D7" w14:textId="77777777" w:rsidR="00A7580B" w:rsidRDefault="00750D62">
                <w:pPr>
                  <w:spacing w:line="360" w:lineRule="auto"/>
                  <w:ind w:right="26"/>
                  <w:rPr>
                    <w:rFonts w:ascii="宋体" w:hAnsi="宋体" w:hint="eastAsia"/>
                    <w:b/>
                    <w:szCs w:val="21"/>
                  </w:rPr>
                </w:pPr>
                <w:r>
                  <w:rPr>
                    <w:rFonts w:ascii="宋体" w:hAnsi="宋体" w:hint="eastAsia"/>
                    <w:b/>
                    <w:szCs w:val="21"/>
                  </w:rPr>
                  <w:t>（签字或盖章）</w:t>
                </w:r>
              </w:p>
              <w:p w14:paraId="3D6D5099" w14:textId="77777777" w:rsidR="00A7580B" w:rsidRDefault="00A7580B">
                <w:pPr>
                  <w:spacing w:line="360" w:lineRule="auto"/>
                  <w:ind w:right="26"/>
                  <w:rPr>
                    <w:rFonts w:ascii="宋体" w:hAnsi="宋体" w:hint="eastAsia"/>
                    <w:szCs w:val="21"/>
                  </w:rPr>
                </w:pPr>
              </w:p>
            </w:tc>
            <w:tc>
              <w:tcPr>
                <w:tcW w:w="4261" w:type="dxa"/>
                <w:shd w:val="clear" w:color="auto" w:fill="auto"/>
              </w:tcPr>
              <w:p w14:paraId="25B9DED7" w14:textId="77777777" w:rsidR="00A7580B" w:rsidRDefault="00750D62">
                <w:pPr>
                  <w:spacing w:line="360" w:lineRule="auto"/>
                  <w:ind w:right="26"/>
                  <w:rPr>
                    <w:rFonts w:ascii="宋体" w:hAnsi="宋体" w:hint="eastAsia"/>
                    <w:b/>
                    <w:szCs w:val="21"/>
                  </w:rPr>
                </w:pPr>
                <w:r>
                  <w:rPr>
                    <w:rFonts w:ascii="宋体" w:hAnsi="宋体" w:hint="eastAsia"/>
                    <w:b/>
                    <w:szCs w:val="21"/>
                  </w:rPr>
                  <w:t>（签字或盖章）</w:t>
                </w:r>
              </w:p>
              <w:p w14:paraId="66A6AF1A" w14:textId="77777777" w:rsidR="00A7580B" w:rsidRDefault="00A7580B">
                <w:pPr>
                  <w:spacing w:line="360" w:lineRule="auto"/>
                  <w:ind w:right="26"/>
                  <w:rPr>
                    <w:rFonts w:ascii="宋体" w:hAnsi="宋体" w:hint="eastAsia"/>
                    <w:szCs w:val="21"/>
                  </w:rPr>
                </w:pPr>
              </w:p>
            </w:tc>
          </w:tr>
          <w:tr w:rsidR="00A7580B" w14:paraId="1B8F93BB" w14:textId="77777777">
            <w:tc>
              <w:tcPr>
                <w:tcW w:w="4261" w:type="dxa"/>
                <w:shd w:val="clear" w:color="auto" w:fill="auto"/>
              </w:tcPr>
              <w:p w14:paraId="27A1D4C9" w14:textId="77777777" w:rsidR="00A7580B" w:rsidRDefault="00A7580B">
                <w:pPr>
                  <w:spacing w:line="360" w:lineRule="auto"/>
                  <w:ind w:right="26"/>
                  <w:rPr>
                    <w:rFonts w:ascii="宋体" w:hAnsi="宋体" w:hint="eastAsia"/>
                    <w:szCs w:val="21"/>
                  </w:rPr>
                </w:pPr>
              </w:p>
            </w:tc>
            <w:tc>
              <w:tcPr>
                <w:tcW w:w="4261" w:type="dxa"/>
                <w:shd w:val="clear" w:color="auto" w:fill="auto"/>
              </w:tcPr>
              <w:p w14:paraId="066CEB67" w14:textId="77777777" w:rsidR="00A7580B" w:rsidRDefault="00A7580B">
                <w:pPr>
                  <w:spacing w:line="360" w:lineRule="auto"/>
                  <w:ind w:right="26"/>
                  <w:rPr>
                    <w:rFonts w:ascii="宋体" w:hAnsi="宋体" w:hint="eastAsia"/>
                    <w:szCs w:val="21"/>
                  </w:rPr>
                </w:pPr>
              </w:p>
            </w:tc>
          </w:tr>
        </w:tbl>
        <w:p w14:paraId="6E232115" w14:textId="77777777" w:rsidR="00A7580B" w:rsidRDefault="00A7580B">
          <w:pPr>
            <w:spacing w:line="360" w:lineRule="auto"/>
            <w:ind w:right="26"/>
            <w:rPr>
              <w:rFonts w:ascii="宋体" w:hAnsi="宋体" w:hint="eastAsia"/>
              <w:szCs w:val="21"/>
            </w:rPr>
          </w:pPr>
        </w:p>
        <w:p w14:paraId="54B90CA7" w14:textId="77777777" w:rsidR="00A7580B" w:rsidRDefault="00A7580B">
          <w:pPr>
            <w:spacing w:line="360" w:lineRule="auto"/>
            <w:ind w:right="26"/>
            <w:rPr>
              <w:rFonts w:ascii="宋体" w:hAnsi="宋体" w:hint="eastAsia"/>
              <w:szCs w:val="21"/>
            </w:rPr>
          </w:pPr>
        </w:p>
        <w:p w14:paraId="5A273D68" w14:textId="77777777" w:rsidR="00A7580B" w:rsidRDefault="00000000"/>
      </w:sdtContent>
    </w:sdt>
    <w:p w14:paraId="2E6B9759" w14:textId="77777777" w:rsidR="00A7580B" w:rsidRDefault="00A7580B"/>
    <w:sectPr w:rsidR="00A758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C4961" w14:textId="77777777" w:rsidR="00BE3789" w:rsidRDefault="00BE3789">
      <w:r>
        <w:separator/>
      </w:r>
    </w:p>
  </w:endnote>
  <w:endnote w:type="continuationSeparator" w:id="0">
    <w:p w14:paraId="189EF7D5" w14:textId="77777777" w:rsidR="00BE3789" w:rsidRDefault="00BE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7FF6" w14:textId="77777777" w:rsidR="00E32E84" w:rsidRDefault="00E32E84">
    <w:pPr>
      <w:pStyle w:val="af8"/>
      <w:snapToGrid/>
      <w:jc w:val="center"/>
    </w:pPr>
    <w:r>
      <w:fldChar w:fldCharType="begin"/>
    </w:r>
    <w:r>
      <w:instrText>PAGE   \* MERGEFORMAT</w:instrText>
    </w:r>
    <w:r>
      <w:fldChar w:fldCharType="separate"/>
    </w:r>
    <w:r w:rsidR="00517F44" w:rsidRPr="00517F44">
      <w:rPr>
        <w:noProof/>
        <w:lang w:val="zh-CN"/>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164BC" w14:textId="77777777" w:rsidR="00BE3789" w:rsidRDefault="00BE3789">
      <w:r>
        <w:separator/>
      </w:r>
    </w:p>
  </w:footnote>
  <w:footnote w:type="continuationSeparator" w:id="0">
    <w:p w14:paraId="208D21CC" w14:textId="77777777" w:rsidR="00BE3789" w:rsidRDefault="00BE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6334"/>
    <w:multiLevelType w:val="hybridMultilevel"/>
    <w:tmpl w:val="16ECB452"/>
    <w:lvl w:ilvl="0" w:tplc="5D644EC4">
      <w:start w:val="1"/>
      <w:numFmt w:val="chineseCountingThousand"/>
      <w:pStyle w:val="1"/>
      <w:lvlText w:val="第%1章  "/>
      <w:lvlJc w:val="left"/>
      <w:pPr>
        <w:tabs>
          <w:tab w:val="num" w:pos="1922"/>
        </w:tabs>
        <w:ind w:left="0" w:firstLine="482"/>
      </w:pPr>
      <w:rPr>
        <w:rFonts w:hint="eastAsia"/>
      </w:rPr>
    </w:lvl>
    <w:lvl w:ilvl="1" w:tplc="0C9AB338">
      <w:start w:val="1"/>
      <w:numFmt w:val="chineseCountingThousand"/>
      <w:lvlText w:val="第%2节  "/>
      <w:lvlJc w:val="left"/>
      <w:pPr>
        <w:tabs>
          <w:tab w:val="num" w:pos="1922"/>
        </w:tabs>
        <w:ind w:left="0" w:firstLine="482"/>
      </w:pPr>
      <w:rPr>
        <w:rFonts w:hint="eastAsia"/>
      </w:rPr>
    </w:lvl>
    <w:lvl w:ilvl="2" w:tplc="014C2AC2">
      <w:start w:val="1"/>
      <w:numFmt w:val="chineseCountingThousand"/>
      <w:pStyle w:val="3"/>
      <w:suff w:val="nothing"/>
      <w:lvlText w:val="%3、"/>
      <w:lvlJc w:val="left"/>
      <w:pPr>
        <w:ind w:left="0" w:firstLine="482"/>
      </w:pPr>
      <w:rPr>
        <w:rFonts w:ascii="黑体" w:eastAsia="黑体" w:hint="eastAsia"/>
        <w:b/>
        <w:i w:val="0"/>
        <w:sz w:val="24"/>
      </w:rPr>
    </w:lvl>
    <w:lvl w:ilvl="3" w:tplc="DD768788">
      <w:start w:val="1"/>
      <w:numFmt w:val="chineseCountingThousand"/>
      <w:pStyle w:val="4"/>
      <w:suff w:val="nothing"/>
      <w:lvlText w:val="(%4)"/>
      <w:lvlJc w:val="left"/>
      <w:pPr>
        <w:ind w:left="0" w:firstLine="482"/>
      </w:pPr>
      <w:rPr>
        <w:rFonts w:ascii="仿宋_GB2312" w:eastAsia="仿宋_GB2312" w:hint="eastAsia"/>
        <w:b w:val="0"/>
        <w:i w:val="0"/>
        <w:sz w:val="24"/>
      </w:rPr>
    </w:lvl>
    <w:lvl w:ilvl="4" w:tplc="FD4E5B48">
      <w:start w:val="1"/>
      <w:numFmt w:val="decimal"/>
      <w:pStyle w:val="5"/>
      <w:suff w:val="nothing"/>
      <w:lvlText w:val="%5."/>
      <w:lvlJc w:val="left"/>
      <w:pPr>
        <w:ind w:left="0" w:firstLine="527"/>
      </w:pPr>
      <w:rPr>
        <w:rFonts w:ascii="仿宋_GB2312" w:eastAsia="仿宋_GB2312" w:hint="eastAsia"/>
        <w:b w:val="0"/>
        <w:i w:val="0"/>
        <w:sz w:val="24"/>
      </w:rPr>
    </w:lvl>
    <w:lvl w:ilvl="5" w:tplc="44EA1EC2">
      <w:start w:val="1"/>
      <w:numFmt w:val="decimal"/>
      <w:pStyle w:val="6"/>
      <w:suff w:val="nothing"/>
      <w:lvlText w:val="(%6)"/>
      <w:lvlJc w:val="left"/>
      <w:pPr>
        <w:ind w:left="0" w:firstLine="482"/>
      </w:pPr>
      <w:rPr>
        <w:rFonts w:ascii="仿宋_GB2312" w:eastAsia="仿宋_GB2312" w:hint="eastAsia"/>
        <w:b w:val="0"/>
        <w:i w:val="0"/>
        <w:sz w:val="24"/>
      </w:rPr>
    </w:lvl>
    <w:lvl w:ilvl="6" w:tplc="3C0285FE">
      <w:start w:val="1"/>
      <w:numFmt w:val="bullet"/>
      <w:pStyle w:val="7"/>
      <w:lvlText w:val="①"/>
      <w:lvlJc w:val="left"/>
      <w:pPr>
        <w:tabs>
          <w:tab w:val="num" w:pos="2835"/>
        </w:tabs>
        <w:ind w:left="2835" w:hanging="426"/>
      </w:pPr>
      <w:rPr>
        <w:rFonts w:ascii="宋体" w:eastAsia="宋体" w:hint="eastAsia"/>
      </w:rPr>
    </w:lvl>
    <w:lvl w:ilvl="7" w:tplc="C82833E6">
      <w:start w:val="1"/>
      <w:numFmt w:val="lowerLetter"/>
      <w:lvlText w:val="%8."/>
      <w:lvlJc w:val="left"/>
      <w:pPr>
        <w:tabs>
          <w:tab w:val="num" w:pos="3260"/>
        </w:tabs>
        <w:ind w:left="3260" w:hanging="425"/>
      </w:pPr>
      <w:rPr>
        <w:rFonts w:hint="eastAsia"/>
      </w:rPr>
    </w:lvl>
    <w:lvl w:ilvl="8" w:tplc="5DB2F468">
      <w:start w:val="1"/>
      <w:numFmt w:val="lowerRoman"/>
      <w:lvlText w:val="%9."/>
      <w:lvlJc w:val="left"/>
      <w:pPr>
        <w:tabs>
          <w:tab w:val="num" w:pos="3685"/>
        </w:tabs>
        <w:ind w:left="3685" w:hanging="425"/>
      </w:pPr>
      <w:rPr>
        <w:rFonts w:hint="eastAsia"/>
      </w:rPr>
    </w:lvl>
  </w:abstractNum>
  <w:abstractNum w:abstractNumId="1" w15:restartNumberingAfterBreak="0">
    <w:nsid w:val="206166A1"/>
    <w:multiLevelType w:val="hybridMultilevel"/>
    <w:tmpl w:val="D7AC91F0"/>
    <w:lvl w:ilvl="0" w:tplc="26BEA9AA">
      <w:start w:val="1"/>
      <w:numFmt w:val="decimal"/>
      <w:lvlText w:val="%1."/>
      <w:lvlJc w:val="left"/>
      <w:pPr>
        <w:ind w:left="893" w:hanging="420"/>
      </w:pPr>
    </w:lvl>
    <w:lvl w:ilvl="1" w:tplc="632AA4A0">
      <w:start w:val="1"/>
      <w:numFmt w:val="lowerLetter"/>
      <w:lvlText w:val="%2)"/>
      <w:lvlJc w:val="left"/>
      <w:pPr>
        <w:ind w:left="1313" w:hanging="420"/>
      </w:pPr>
    </w:lvl>
    <w:lvl w:ilvl="2" w:tplc="FB2677C8">
      <w:start w:val="1"/>
      <w:numFmt w:val="lowerRoman"/>
      <w:lvlText w:val="%3."/>
      <w:lvlJc w:val="right"/>
      <w:pPr>
        <w:ind w:left="1733" w:hanging="420"/>
      </w:pPr>
    </w:lvl>
    <w:lvl w:ilvl="3" w:tplc="C4C67D84">
      <w:start w:val="1"/>
      <w:numFmt w:val="decimal"/>
      <w:lvlText w:val="%4."/>
      <w:lvlJc w:val="left"/>
      <w:pPr>
        <w:ind w:left="2153" w:hanging="420"/>
      </w:pPr>
    </w:lvl>
    <w:lvl w:ilvl="4" w:tplc="D57A3D00">
      <w:start w:val="1"/>
      <w:numFmt w:val="lowerLetter"/>
      <w:lvlText w:val="%5)"/>
      <w:lvlJc w:val="left"/>
      <w:pPr>
        <w:ind w:left="2573" w:hanging="420"/>
      </w:pPr>
    </w:lvl>
    <w:lvl w:ilvl="5" w:tplc="AEE05B2C">
      <w:start w:val="1"/>
      <w:numFmt w:val="lowerRoman"/>
      <w:lvlText w:val="%6."/>
      <w:lvlJc w:val="right"/>
      <w:pPr>
        <w:ind w:left="2993" w:hanging="420"/>
      </w:pPr>
    </w:lvl>
    <w:lvl w:ilvl="6" w:tplc="1F985D76">
      <w:start w:val="1"/>
      <w:numFmt w:val="decimal"/>
      <w:lvlText w:val="%7."/>
      <w:lvlJc w:val="left"/>
      <w:pPr>
        <w:ind w:left="3413" w:hanging="420"/>
      </w:pPr>
    </w:lvl>
    <w:lvl w:ilvl="7" w:tplc="EC0AC856">
      <w:start w:val="1"/>
      <w:numFmt w:val="lowerLetter"/>
      <w:lvlText w:val="%8)"/>
      <w:lvlJc w:val="left"/>
      <w:pPr>
        <w:ind w:left="3833" w:hanging="420"/>
      </w:pPr>
    </w:lvl>
    <w:lvl w:ilvl="8" w:tplc="3E885822">
      <w:start w:val="1"/>
      <w:numFmt w:val="lowerRoman"/>
      <w:lvlText w:val="%9."/>
      <w:lvlJc w:val="right"/>
      <w:pPr>
        <w:ind w:left="4253" w:hanging="420"/>
      </w:pPr>
    </w:lvl>
  </w:abstractNum>
  <w:abstractNum w:abstractNumId="2" w15:restartNumberingAfterBreak="0">
    <w:nsid w:val="2FD004CA"/>
    <w:multiLevelType w:val="hybridMultilevel"/>
    <w:tmpl w:val="AC523432"/>
    <w:lvl w:ilvl="0" w:tplc="A816F43C">
      <w:start w:val="1"/>
      <w:numFmt w:val="chineseCountingThousand"/>
      <w:suff w:val="nothing"/>
      <w:lvlText w:val="%1、"/>
      <w:lvlJc w:val="center"/>
      <w:pPr>
        <w:ind w:left="-288" w:firstLine="288"/>
      </w:pPr>
      <w:rPr>
        <w:rFonts w:hint="eastAsia"/>
        <w:b/>
        <w:sz w:val="30"/>
        <w:szCs w:val="30"/>
        <w:lang w:val="en-US"/>
      </w:rPr>
    </w:lvl>
    <w:lvl w:ilvl="1" w:tplc="5176825C">
      <w:start w:val="1"/>
      <w:numFmt w:val="chineseCounting"/>
      <w:lvlText w:val="（%2）"/>
      <w:lvlJc w:val="left"/>
      <w:pPr>
        <w:tabs>
          <w:tab w:val="num" w:pos="720"/>
        </w:tabs>
        <w:ind w:left="720" w:hanging="720"/>
      </w:pPr>
      <w:rPr>
        <w:rFonts w:hint="default"/>
      </w:rPr>
    </w:lvl>
    <w:lvl w:ilvl="2" w:tplc="9C481200">
      <w:start w:val="1"/>
      <w:numFmt w:val="decimal"/>
      <w:lvlText w:val="%3."/>
      <w:lvlJc w:val="left"/>
      <w:pPr>
        <w:tabs>
          <w:tab w:val="num" w:pos="360"/>
        </w:tabs>
        <w:ind w:left="0" w:firstLine="0"/>
      </w:pPr>
      <w:rPr>
        <w:rFonts w:hint="eastAsia"/>
      </w:rPr>
    </w:lvl>
    <w:lvl w:ilvl="3" w:tplc="DE30978C">
      <w:start w:val="1"/>
      <w:numFmt w:val="decimal"/>
      <w:lvlText w:val="（%4）"/>
      <w:lvlJc w:val="left"/>
      <w:pPr>
        <w:tabs>
          <w:tab w:val="num" w:pos="720"/>
        </w:tabs>
        <w:ind w:left="0" w:firstLine="0"/>
      </w:pPr>
      <w:rPr>
        <w:rFonts w:ascii="Times New Roman" w:eastAsia="宋体" w:hAnsi="Times New Roman" w:hint="default"/>
        <w:sz w:val="21"/>
      </w:rPr>
    </w:lvl>
    <w:lvl w:ilvl="4" w:tplc="4B462AA8">
      <w:start w:val="1"/>
      <w:numFmt w:val="none"/>
      <w:lvlText w:val=""/>
      <w:lvlJc w:val="left"/>
      <w:pPr>
        <w:tabs>
          <w:tab w:val="num" w:pos="360"/>
        </w:tabs>
        <w:ind w:left="0" w:firstLine="0"/>
      </w:pPr>
      <w:rPr>
        <w:rFonts w:hint="eastAsia"/>
        <w:sz w:val="24"/>
      </w:rPr>
    </w:lvl>
    <w:lvl w:ilvl="5" w:tplc="D5C8F6CA">
      <w:start w:val="1"/>
      <w:numFmt w:val="upperLetter"/>
      <w:lvlText w:val="%6."/>
      <w:lvlJc w:val="left"/>
      <w:pPr>
        <w:tabs>
          <w:tab w:val="num" w:pos="927"/>
        </w:tabs>
        <w:ind w:left="0" w:firstLine="567"/>
      </w:pPr>
      <w:rPr>
        <w:rFonts w:hint="eastAsia"/>
        <w:sz w:val="24"/>
      </w:rPr>
    </w:lvl>
    <w:lvl w:ilvl="6" w:tplc="27E84F6C">
      <w:start w:val="1"/>
      <w:numFmt w:val="none"/>
      <w:lvlText w:val=""/>
      <w:lvlJc w:val="left"/>
      <w:pPr>
        <w:tabs>
          <w:tab w:val="num" w:pos="3827"/>
        </w:tabs>
        <w:ind w:left="3827" w:hanging="1276"/>
      </w:pPr>
      <w:rPr>
        <w:rFonts w:hint="eastAsia"/>
      </w:rPr>
    </w:lvl>
    <w:lvl w:ilvl="7" w:tplc="6EC01EF8">
      <w:start w:val="1"/>
      <w:numFmt w:val="none"/>
      <w:lvlText w:val=""/>
      <w:lvlJc w:val="left"/>
      <w:pPr>
        <w:tabs>
          <w:tab w:val="num" w:pos="4394"/>
        </w:tabs>
        <w:ind w:left="4394" w:hanging="1418"/>
      </w:pPr>
      <w:rPr>
        <w:rFonts w:hint="eastAsia"/>
      </w:rPr>
    </w:lvl>
    <w:lvl w:ilvl="8" w:tplc="6BAE9374">
      <w:start w:val="1"/>
      <w:numFmt w:val="none"/>
      <w:lvlText w:val=""/>
      <w:lvlJc w:val="left"/>
      <w:pPr>
        <w:tabs>
          <w:tab w:val="num" w:pos="5102"/>
        </w:tabs>
        <w:ind w:left="5102" w:hanging="1700"/>
      </w:pPr>
      <w:rPr>
        <w:rFonts w:hint="eastAsia"/>
      </w:rPr>
    </w:lvl>
  </w:abstractNum>
  <w:abstractNum w:abstractNumId="3" w15:restartNumberingAfterBreak="0">
    <w:nsid w:val="4D243331"/>
    <w:multiLevelType w:val="hybridMultilevel"/>
    <w:tmpl w:val="1EC0178E"/>
    <w:lvl w:ilvl="0" w:tplc="28E64DF2">
      <w:start w:val="1"/>
      <w:numFmt w:val="decimal"/>
      <w:lvlText w:val="（%1）"/>
      <w:lvlJc w:val="left"/>
      <w:pPr>
        <w:ind w:left="1193" w:hanging="720"/>
      </w:pPr>
      <w:rPr>
        <w:rFonts w:hint="default"/>
      </w:rPr>
    </w:lvl>
    <w:lvl w:ilvl="1" w:tplc="B7DC2B08">
      <w:start w:val="1"/>
      <w:numFmt w:val="lowerLetter"/>
      <w:lvlText w:val="%2)"/>
      <w:lvlJc w:val="left"/>
      <w:pPr>
        <w:ind w:left="1313" w:hanging="420"/>
      </w:pPr>
    </w:lvl>
    <w:lvl w:ilvl="2" w:tplc="35766384">
      <w:start w:val="1"/>
      <w:numFmt w:val="lowerRoman"/>
      <w:lvlText w:val="%3."/>
      <w:lvlJc w:val="right"/>
      <w:pPr>
        <w:ind w:left="1733" w:hanging="420"/>
      </w:pPr>
    </w:lvl>
    <w:lvl w:ilvl="3" w:tplc="1C60F204">
      <w:start w:val="1"/>
      <w:numFmt w:val="decimal"/>
      <w:lvlText w:val="%4."/>
      <w:lvlJc w:val="left"/>
      <w:pPr>
        <w:ind w:left="2153" w:hanging="420"/>
      </w:pPr>
    </w:lvl>
    <w:lvl w:ilvl="4" w:tplc="2FB6BC9E">
      <w:start w:val="1"/>
      <w:numFmt w:val="lowerLetter"/>
      <w:lvlText w:val="%5)"/>
      <w:lvlJc w:val="left"/>
      <w:pPr>
        <w:ind w:left="2573" w:hanging="420"/>
      </w:pPr>
    </w:lvl>
    <w:lvl w:ilvl="5" w:tplc="90768EF0">
      <w:start w:val="1"/>
      <w:numFmt w:val="lowerRoman"/>
      <w:lvlText w:val="%6."/>
      <w:lvlJc w:val="right"/>
      <w:pPr>
        <w:ind w:left="2993" w:hanging="420"/>
      </w:pPr>
    </w:lvl>
    <w:lvl w:ilvl="6" w:tplc="2D9E8238">
      <w:start w:val="1"/>
      <w:numFmt w:val="decimal"/>
      <w:lvlText w:val="%7."/>
      <w:lvlJc w:val="left"/>
      <w:pPr>
        <w:ind w:left="3413" w:hanging="420"/>
      </w:pPr>
    </w:lvl>
    <w:lvl w:ilvl="7" w:tplc="2A9C1D3A">
      <w:start w:val="1"/>
      <w:numFmt w:val="lowerLetter"/>
      <w:lvlText w:val="%8)"/>
      <w:lvlJc w:val="left"/>
      <w:pPr>
        <w:ind w:left="3833" w:hanging="420"/>
      </w:pPr>
    </w:lvl>
    <w:lvl w:ilvl="8" w:tplc="A588D490">
      <w:start w:val="1"/>
      <w:numFmt w:val="lowerRoman"/>
      <w:lvlText w:val="%9."/>
      <w:lvlJc w:val="right"/>
      <w:pPr>
        <w:ind w:left="4253" w:hanging="420"/>
      </w:pPr>
    </w:lvl>
  </w:abstractNum>
  <w:num w:numId="1" w16cid:durableId="1022780051">
    <w:abstractNumId w:val="0"/>
  </w:num>
  <w:num w:numId="2" w16cid:durableId="390814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133458">
    <w:abstractNumId w:val="0"/>
  </w:num>
  <w:num w:numId="4" w16cid:durableId="998073193">
    <w:abstractNumId w:val="0"/>
  </w:num>
  <w:num w:numId="5" w16cid:durableId="1698576654">
    <w:abstractNumId w:val="1"/>
  </w:num>
  <w:num w:numId="6" w16cid:durableId="236985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compressPunctuation"/>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0B"/>
    <w:rsid w:val="0010380A"/>
    <w:rsid w:val="00124F13"/>
    <w:rsid w:val="00154D7C"/>
    <w:rsid w:val="00204C35"/>
    <w:rsid w:val="00277A87"/>
    <w:rsid w:val="002A56AD"/>
    <w:rsid w:val="002D1319"/>
    <w:rsid w:val="002E1EE8"/>
    <w:rsid w:val="002F178B"/>
    <w:rsid w:val="00303C93"/>
    <w:rsid w:val="00364AD2"/>
    <w:rsid w:val="003B4FA6"/>
    <w:rsid w:val="003C45A0"/>
    <w:rsid w:val="003D0288"/>
    <w:rsid w:val="004667ED"/>
    <w:rsid w:val="004909BF"/>
    <w:rsid w:val="004E06A2"/>
    <w:rsid w:val="00517F44"/>
    <w:rsid w:val="00583013"/>
    <w:rsid w:val="005C31A3"/>
    <w:rsid w:val="005C4E94"/>
    <w:rsid w:val="005D0475"/>
    <w:rsid w:val="00694C15"/>
    <w:rsid w:val="006A76B9"/>
    <w:rsid w:val="006C2A94"/>
    <w:rsid w:val="006D31CD"/>
    <w:rsid w:val="00736A8F"/>
    <w:rsid w:val="00750D62"/>
    <w:rsid w:val="00795286"/>
    <w:rsid w:val="007E5C19"/>
    <w:rsid w:val="008121E0"/>
    <w:rsid w:val="008A1C5E"/>
    <w:rsid w:val="008C16C0"/>
    <w:rsid w:val="008E0385"/>
    <w:rsid w:val="008E305F"/>
    <w:rsid w:val="00906526"/>
    <w:rsid w:val="00947640"/>
    <w:rsid w:val="00996D41"/>
    <w:rsid w:val="00A2383E"/>
    <w:rsid w:val="00A44065"/>
    <w:rsid w:val="00A506A0"/>
    <w:rsid w:val="00A7580B"/>
    <w:rsid w:val="00AB2F98"/>
    <w:rsid w:val="00B30FDB"/>
    <w:rsid w:val="00B60539"/>
    <w:rsid w:val="00B71C9D"/>
    <w:rsid w:val="00B7232B"/>
    <w:rsid w:val="00B73FA4"/>
    <w:rsid w:val="00BA0805"/>
    <w:rsid w:val="00BE00EF"/>
    <w:rsid w:val="00BE3789"/>
    <w:rsid w:val="00C63817"/>
    <w:rsid w:val="00C77C8F"/>
    <w:rsid w:val="00D6053D"/>
    <w:rsid w:val="00D70164"/>
    <w:rsid w:val="00DA10A7"/>
    <w:rsid w:val="00DD2402"/>
    <w:rsid w:val="00DE6C4F"/>
    <w:rsid w:val="00E32E84"/>
    <w:rsid w:val="00E43C18"/>
    <w:rsid w:val="00F27AD8"/>
    <w:rsid w:val="00F667ED"/>
    <w:rsid w:val="00FA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A7FED"/>
  <w15:docId w15:val="{BF031BA6-A333-45A2-BEDB-D036DE99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宋体" w:hAnsi="Arial" w:cs="Arial"/>
      <w:sz w:val="40"/>
      <w:szCs w:val="40"/>
    </w:rPr>
  </w:style>
  <w:style w:type="character" w:customStyle="1" w:styleId="Heading2Char">
    <w:name w:val="Heading 2 Char"/>
    <w:basedOn w:val="a1"/>
    <w:uiPriority w:val="9"/>
    <w:rPr>
      <w:rFonts w:ascii="Arial" w:eastAsia="宋体" w:hAnsi="Arial" w:cs="Arial"/>
      <w:sz w:val="34"/>
    </w:rPr>
  </w:style>
  <w:style w:type="character" w:customStyle="1" w:styleId="Heading3Char">
    <w:name w:val="Heading 3 Char"/>
    <w:basedOn w:val="a1"/>
    <w:uiPriority w:val="9"/>
    <w:rPr>
      <w:rFonts w:ascii="Arial" w:eastAsia="宋体" w:hAnsi="Arial" w:cs="Arial"/>
      <w:sz w:val="30"/>
      <w:szCs w:val="30"/>
    </w:rPr>
  </w:style>
  <w:style w:type="character" w:customStyle="1" w:styleId="Heading4Char">
    <w:name w:val="Heading 4 Char"/>
    <w:basedOn w:val="a1"/>
    <w:uiPriority w:val="9"/>
    <w:rPr>
      <w:rFonts w:ascii="Arial" w:eastAsia="宋体" w:hAnsi="Arial" w:cs="Arial"/>
      <w:b/>
      <w:bCs/>
      <w:sz w:val="26"/>
      <w:szCs w:val="26"/>
    </w:rPr>
  </w:style>
  <w:style w:type="character" w:customStyle="1" w:styleId="Heading5Char">
    <w:name w:val="Heading 5 Char"/>
    <w:basedOn w:val="a1"/>
    <w:uiPriority w:val="9"/>
    <w:rPr>
      <w:rFonts w:ascii="Arial" w:eastAsia="宋体" w:hAnsi="Arial" w:cs="Arial"/>
      <w:b/>
      <w:bCs/>
      <w:sz w:val="24"/>
      <w:szCs w:val="24"/>
    </w:rPr>
  </w:style>
  <w:style w:type="character" w:customStyle="1" w:styleId="Heading6Char">
    <w:name w:val="Heading 6 Char"/>
    <w:basedOn w:val="a1"/>
    <w:uiPriority w:val="9"/>
    <w:rPr>
      <w:rFonts w:ascii="Arial" w:eastAsia="宋体" w:hAnsi="Arial" w:cs="Arial"/>
      <w:b/>
      <w:bCs/>
      <w:sz w:val="22"/>
      <w:szCs w:val="22"/>
    </w:rPr>
  </w:style>
  <w:style w:type="character" w:customStyle="1" w:styleId="Heading7Char">
    <w:name w:val="Heading 7 Char"/>
    <w:basedOn w:val="a1"/>
    <w:uiPriority w:val="9"/>
    <w:rPr>
      <w:rFonts w:ascii="Arial" w:eastAsia="宋体" w:hAnsi="Arial" w:cs="Arial"/>
      <w:b/>
      <w:bCs/>
      <w:i/>
      <w:iCs/>
      <w:sz w:val="22"/>
      <w:szCs w:val="22"/>
    </w:rPr>
  </w:style>
  <w:style w:type="character" w:customStyle="1" w:styleId="80">
    <w:name w:val="标题 8 字符"/>
    <w:basedOn w:val="a1"/>
    <w:link w:val="8"/>
    <w:uiPriority w:val="9"/>
    <w:rPr>
      <w:rFonts w:ascii="Arial" w:eastAsia="宋体" w:hAnsi="Arial" w:cs="Arial"/>
      <w:i/>
      <w:iCs/>
      <w:sz w:val="22"/>
      <w:szCs w:val="22"/>
    </w:rPr>
  </w:style>
  <w:style w:type="character" w:customStyle="1" w:styleId="90">
    <w:name w:val="标题 9 字符"/>
    <w:basedOn w:val="a1"/>
    <w:link w:val="9"/>
    <w:uiPriority w:val="9"/>
    <w:rPr>
      <w:rFonts w:ascii="Arial" w:eastAsia="宋体"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basedOn w:val="a1"/>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2"/>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2"/>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2"/>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f">
    <w:name w:val="footnote text"/>
    <w:basedOn w:val="a"/>
    <w:link w:val="af0"/>
    <w:uiPriority w:val="99"/>
    <w:semiHidden/>
    <w:unhideWhenUsed/>
    <w:pPr>
      <w:spacing w:after="40"/>
    </w:pPr>
    <w:rPr>
      <w:sz w:val="18"/>
    </w:rPr>
  </w:style>
  <w:style w:type="character" w:customStyle="1" w:styleId="af0">
    <w:name w:val="脚注文本 字符"/>
    <w:link w:val="af"/>
    <w:uiPriority w:val="99"/>
    <w:rPr>
      <w:sz w:val="18"/>
    </w:rPr>
  </w:style>
  <w:style w:type="character" w:styleId="af1">
    <w:name w:val="footnote reference"/>
    <w:basedOn w:val="a1"/>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尾注文本 字符"/>
    <w:link w:val="af2"/>
    <w:uiPriority w:val="99"/>
    <w:rPr>
      <w:sz w:val="20"/>
    </w:rPr>
  </w:style>
  <w:style w:type="character" w:styleId="af4">
    <w:name w:val="endnote reference"/>
    <w:basedOn w:val="a1"/>
    <w:uiPriority w:val="99"/>
    <w:semiHidden/>
    <w:unhideWhenUsed/>
    <w:rPr>
      <w:vertAlign w:val="superscript"/>
    </w:r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rPr>
      <w:sz w:val="18"/>
      <w:szCs w:val="18"/>
    </w:rPr>
  </w:style>
  <w:style w:type="paragraph" w:styleId="af8">
    <w:name w:val="footer"/>
    <w:basedOn w:val="a"/>
    <w:link w:val="af9"/>
    <w:uiPriority w:val="99"/>
    <w:unhideWhenUsed/>
    <w:pPr>
      <w:tabs>
        <w:tab w:val="center" w:pos="4153"/>
        <w:tab w:val="right" w:pos="8306"/>
      </w:tabs>
      <w:snapToGrid w:val="0"/>
      <w:jc w:val="left"/>
    </w:pPr>
    <w:rPr>
      <w:sz w:val="18"/>
      <w:szCs w:val="18"/>
    </w:rPr>
  </w:style>
  <w:style w:type="character" w:customStyle="1" w:styleId="af9">
    <w:name w:val="页脚 字符"/>
    <w:basedOn w:val="a1"/>
    <w:link w:val="af8"/>
    <w:uiPriority w:val="99"/>
    <w:rPr>
      <w:sz w:val="18"/>
      <w:szCs w:val="18"/>
    </w:rPr>
  </w:style>
  <w:style w:type="character" w:customStyle="1" w:styleId="10">
    <w:name w:val="标题 1 字符"/>
    <w:basedOn w:val="a1"/>
    <w:link w:val="1"/>
    <w:rPr>
      <w:rFonts w:ascii="黑体" w:eastAsia="黑体" w:hAnsi="Times New Roman" w:cs="Times New Roman"/>
      <w:b/>
      <w:sz w:val="32"/>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rPr>
  </w:style>
  <w:style w:type="character" w:customStyle="1" w:styleId="40">
    <w:name w:val="标题 4 字符"/>
    <w:basedOn w:val="a1"/>
    <w:link w:val="4"/>
    <w:rPr>
      <w:rFonts w:ascii="Arial" w:eastAsia="仿宋_GB2312" w:hAnsi="Arial" w:cs="Times New Roman"/>
      <w:sz w:val="24"/>
      <w:szCs w:val="20"/>
    </w:rPr>
  </w:style>
  <w:style w:type="character" w:customStyle="1" w:styleId="50">
    <w:name w:val="标题 5 字符"/>
    <w:basedOn w:val="a1"/>
    <w:link w:val="5"/>
    <w:rPr>
      <w:rFonts w:ascii="Arial" w:eastAsia="仿宋_GB2312" w:hAnsi="Arial" w:cs="Times New Roman"/>
      <w:sz w:val="24"/>
      <w:szCs w:val="20"/>
    </w:rPr>
  </w:style>
  <w:style w:type="character" w:customStyle="1" w:styleId="60">
    <w:name w:val="标题 6 字符"/>
    <w:basedOn w:val="a1"/>
    <w:link w:val="6"/>
    <w:rPr>
      <w:rFonts w:ascii="Arial" w:eastAsia="仿宋_GB2312" w:hAnsi="Arial" w:cs="Times New Roman"/>
      <w:sz w:val="24"/>
      <w:szCs w:val="20"/>
    </w:rPr>
  </w:style>
  <w:style w:type="character" w:customStyle="1" w:styleId="70">
    <w:name w:val="标题 7 字符"/>
    <w:basedOn w:val="a1"/>
    <w:link w:val="7"/>
    <w:rPr>
      <w:rFonts w:ascii="仿宋_GB2312" w:eastAsia="仿宋_GB2312" w:hAnsi="Times New Roman" w:cs="Times New Roman"/>
      <w:sz w:val="24"/>
      <w:szCs w:val="20"/>
    </w:rPr>
  </w:style>
  <w:style w:type="paragraph" w:styleId="24">
    <w:name w:val="Body Text Indent 2"/>
    <w:basedOn w:val="a"/>
    <w:link w:val="25"/>
    <w:pPr>
      <w:spacing w:line="360" w:lineRule="auto"/>
      <w:ind w:firstLine="480"/>
      <w:outlineLvl w:val="0"/>
    </w:pPr>
    <w:rPr>
      <w:rFonts w:ascii="仿宋_GB2312" w:eastAsia="仿宋_GB2312" w:hAnsi="Calibri"/>
      <w:sz w:val="24"/>
      <w:szCs w:val="20"/>
    </w:rPr>
  </w:style>
  <w:style w:type="character" w:customStyle="1" w:styleId="25">
    <w:name w:val="正文文本缩进 2 字符"/>
    <w:basedOn w:val="a1"/>
    <w:link w:val="24"/>
    <w:rPr>
      <w:rFonts w:ascii="仿宋_GB2312" w:eastAsia="仿宋_GB2312" w:hAnsi="Calibri" w:cs="Times New Roman"/>
      <w:sz w:val="24"/>
      <w:szCs w:val="20"/>
    </w:rPr>
  </w:style>
  <w:style w:type="paragraph" w:styleId="a0">
    <w:name w:val="Normal Indent"/>
    <w:basedOn w:val="a"/>
    <w:link w:val="afa"/>
    <w:uiPriority w:val="99"/>
    <w:pPr>
      <w:ind w:firstLineChars="200" w:firstLine="420"/>
    </w:pPr>
    <w:rPr>
      <w:rFonts w:ascii="Calibri" w:hAnsi="Calibri"/>
    </w:rPr>
  </w:style>
  <w:style w:type="character" w:styleId="afb">
    <w:name w:val="Hyperlink"/>
    <w:uiPriority w:val="99"/>
    <w:rPr>
      <w:color w:val="0000FF"/>
      <w:u w:val="single"/>
    </w:rPr>
  </w:style>
  <w:style w:type="paragraph" w:styleId="TOC1">
    <w:name w:val="toc 1"/>
    <w:basedOn w:val="a"/>
    <w:next w:val="a"/>
    <w:uiPriority w:val="39"/>
    <w:qFormat/>
  </w:style>
  <w:style w:type="paragraph" w:styleId="afc">
    <w:name w:val="Body Text Indent"/>
    <w:basedOn w:val="a"/>
    <w:link w:val="afd"/>
    <w:pPr>
      <w:spacing w:line="360" w:lineRule="auto"/>
      <w:ind w:firstLineChars="171" w:firstLine="359"/>
    </w:pPr>
  </w:style>
  <w:style w:type="character" w:customStyle="1" w:styleId="afd">
    <w:name w:val="正文文本缩进 字符"/>
    <w:basedOn w:val="a1"/>
    <w:link w:val="afc"/>
    <w:rPr>
      <w:rFonts w:ascii="Times New Roman" w:eastAsia="宋体" w:hAnsi="Times New Roman" w:cs="Times New Roman"/>
      <w:szCs w:val="24"/>
    </w:rPr>
  </w:style>
  <w:style w:type="character" w:customStyle="1" w:styleId="afa">
    <w:name w:val="正文缩进 字符"/>
    <w:link w:val="a0"/>
    <w:uiPriority w:val="99"/>
    <w:rPr>
      <w:rFonts w:ascii="Calibri" w:eastAsia="宋体" w:hAnsi="Calibri" w:cs="Times New Roman"/>
      <w:szCs w:val="24"/>
    </w:rPr>
  </w:style>
  <w:style w:type="paragraph" w:customStyle="1" w:styleId="afe">
    <w:name w:val="正文正文"/>
    <w:basedOn w:val="a"/>
    <w:uiPriority w:val="99"/>
    <w:pPr>
      <w:spacing w:afterLines="25" w:after="25" w:line="360" w:lineRule="auto"/>
      <w:ind w:firstLineChars="200" w:firstLine="200"/>
    </w:pPr>
    <w:rPr>
      <w:sz w:val="24"/>
    </w:rPr>
  </w:style>
  <w:style w:type="paragraph" w:styleId="aff">
    <w:name w:val="Balloon Text"/>
    <w:basedOn w:val="a"/>
    <w:link w:val="aff0"/>
    <w:uiPriority w:val="99"/>
    <w:semiHidden/>
    <w:unhideWhenUsed/>
    <w:rPr>
      <w:sz w:val="18"/>
      <w:szCs w:val="18"/>
    </w:rPr>
  </w:style>
  <w:style w:type="character" w:customStyle="1" w:styleId="aff0">
    <w:name w:val="批注框文本 字符"/>
    <w:basedOn w:val="a1"/>
    <w:link w:val="aff"/>
    <w:uiPriority w:val="99"/>
    <w:semiHidden/>
    <w:rPr>
      <w:rFonts w:ascii="Times New Roman" w:eastAsia="宋体" w:hAnsi="Times New Roman" w:cs="Times New Roman"/>
      <w:sz w:val="18"/>
      <w:szCs w:val="18"/>
    </w:rPr>
  </w:style>
  <w:style w:type="character" w:styleId="aff1">
    <w:name w:val="annotation reference"/>
    <w:basedOn w:val="a1"/>
    <w:unhideWhenUsed/>
    <w:qFormat/>
    <w:rPr>
      <w:sz w:val="21"/>
      <w:szCs w:val="21"/>
    </w:rPr>
  </w:style>
  <w:style w:type="paragraph" w:styleId="aff2">
    <w:name w:val="annotation text"/>
    <w:basedOn w:val="a"/>
    <w:link w:val="aff3"/>
    <w:unhideWhenUsed/>
    <w:qFormat/>
    <w:pPr>
      <w:jc w:val="left"/>
    </w:pPr>
  </w:style>
  <w:style w:type="character" w:customStyle="1" w:styleId="aff3">
    <w:name w:val="批注文字 字符"/>
    <w:basedOn w:val="a1"/>
    <w:link w:val="aff2"/>
    <w:qFormat/>
    <w:rPr>
      <w:rFonts w:ascii="Times New Roman" w:eastAsia="宋体" w:hAnsi="Times New Roman" w:cs="Times New Roman"/>
      <w:szCs w:val="24"/>
    </w:rPr>
  </w:style>
  <w:style w:type="paragraph" w:styleId="aff4">
    <w:name w:val="annotation subject"/>
    <w:basedOn w:val="aff2"/>
    <w:next w:val="aff2"/>
    <w:link w:val="aff5"/>
    <w:uiPriority w:val="99"/>
    <w:semiHidden/>
    <w:unhideWhenUsed/>
    <w:rPr>
      <w:b/>
      <w:bCs/>
    </w:rPr>
  </w:style>
  <w:style w:type="character" w:customStyle="1" w:styleId="aff5">
    <w:name w:val="批注主题 字符"/>
    <w:basedOn w:val="aff3"/>
    <w:link w:val="aff4"/>
    <w:uiPriority w:val="99"/>
    <w:semiHidden/>
    <w:rPr>
      <w:rFonts w:ascii="Times New Roman" w:eastAsia="宋体" w:hAnsi="Times New Roman" w:cs="Times New Roman"/>
      <w:b/>
      <w:bCs/>
      <w:szCs w:val="24"/>
    </w:rPr>
  </w:style>
  <w:style w:type="paragraph" w:styleId="aff6">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f7">
    <w:name w:val="Revision"/>
    <w:hidden/>
    <w:uiPriority w:val="99"/>
    <w:semiHidden/>
    <w:rPr>
      <w:rFonts w:ascii="Times New Roman" w:hAnsi="Times New Roman" w:cs="Times New Roman"/>
      <w:szCs w:val="24"/>
    </w:rPr>
  </w:style>
  <w:style w:type="paragraph" w:styleId="af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02324f28854f51b1b7dfe7afd5c361"/>
        <w:category>
          <w:name w:val="Common"/>
          <w:gallery w:val="placeholder"/>
        </w:category>
        <w:types>
          <w:type w:val="bbPlcHdr"/>
        </w:types>
        <w:behaviors>
          <w:behavior w:val="content"/>
        </w:behaviors>
        <w:guid w:val="{9F4C87A4-ED49-49F3-B28B-6F3902EFB8AE}"/>
      </w:docPartPr>
      <w:docPartBody>
        <w:p w:rsidR="00941EAD" w:rsidRDefault="007D7BF9">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EAD"/>
    <w:rsid w:val="000421B1"/>
    <w:rsid w:val="000A0F86"/>
    <w:rsid w:val="00294D1E"/>
    <w:rsid w:val="00364AD2"/>
    <w:rsid w:val="003755DE"/>
    <w:rsid w:val="00380372"/>
    <w:rsid w:val="003B4FA6"/>
    <w:rsid w:val="003F0A42"/>
    <w:rsid w:val="00446B18"/>
    <w:rsid w:val="004667ED"/>
    <w:rsid w:val="006C2A94"/>
    <w:rsid w:val="006D31CD"/>
    <w:rsid w:val="006F6A81"/>
    <w:rsid w:val="007D7BF9"/>
    <w:rsid w:val="008A1C5E"/>
    <w:rsid w:val="00941EAD"/>
    <w:rsid w:val="00A43A2E"/>
    <w:rsid w:val="00AB2F98"/>
    <w:rsid w:val="00AC0C48"/>
    <w:rsid w:val="00B71C9D"/>
    <w:rsid w:val="00D152C7"/>
    <w:rsid w:val="00DD2402"/>
    <w:rsid w:val="00FC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宋体"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宋体"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宋体"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宋体"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宋体"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宋体"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宋体"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宋体"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宋体"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宋体" w:hAnsi="Arial" w:cs="Arial"/>
      <w:sz w:val="40"/>
      <w:szCs w:val="40"/>
    </w:rPr>
  </w:style>
  <w:style w:type="character" w:customStyle="1" w:styleId="20">
    <w:name w:val="标题 2 字符"/>
    <w:basedOn w:val="a0"/>
    <w:link w:val="2"/>
    <w:uiPriority w:val="9"/>
    <w:rPr>
      <w:rFonts w:ascii="Arial" w:eastAsia="宋体" w:hAnsi="Arial" w:cs="Arial"/>
      <w:sz w:val="34"/>
    </w:rPr>
  </w:style>
  <w:style w:type="character" w:customStyle="1" w:styleId="30">
    <w:name w:val="标题 3 字符"/>
    <w:basedOn w:val="a0"/>
    <w:link w:val="3"/>
    <w:uiPriority w:val="9"/>
    <w:rPr>
      <w:rFonts w:ascii="Arial" w:eastAsia="宋体" w:hAnsi="Arial" w:cs="Arial"/>
      <w:sz w:val="30"/>
      <w:szCs w:val="30"/>
    </w:rPr>
  </w:style>
  <w:style w:type="character" w:customStyle="1" w:styleId="40">
    <w:name w:val="标题 4 字符"/>
    <w:basedOn w:val="a0"/>
    <w:link w:val="4"/>
    <w:uiPriority w:val="9"/>
    <w:rPr>
      <w:rFonts w:ascii="Arial" w:eastAsia="宋体" w:hAnsi="Arial" w:cs="Arial"/>
      <w:b/>
      <w:bCs/>
      <w:sz w:val="26"/>
      <w:szCs w:val="26"/>
    </w:rPr>
  </w:style>
  <w:style w:type="character" w:customStyle="1" w:styleId="50">
    <w:name w:val="标题 5 字符"/>
    <w:basedOn w:val="a0"/>
    <w:link w:val="5"/>
    <w:uiPriority w:val="9"/>
    <w:rPr>
      <w:rFonts w:ascii="Arial" w:eastAsia="宋体" w:hAnsi="Arial" w:cs="Arial"/>
      <w:b/>
      <w:bCs/>
      <w:sz w:val="24"/>
      <w:szCs w:val="24"/>
    </w:rPr>
  </w:style>
  <w:style w:type="character" w:customStyle="1" w:styleId="60">
    <w:name w:val="标题 6 字符"/>
    <w:basedOn w:val="a0"/>
    <w:link w:val="6"/>
    <w:uiPriority w:val="9"/>
    <w:rPr>
      <w:rFonts w:ascii="Arial" w:eastAsia="宋体" w:hAnsi="Arial" w:cs="Arial"/>
      <w:b/>
      <w:bCs/>
      <w:sz w:val="22"/>
      <w:szCs w:val="22"/>
    </w:rPr>
  </w:style>
  <w:style w:type="character" w:customStyle="1" w:styleId="70">
    <w:name w:val="标题 7 字符"/>
    <w:basedOn w:val="a0"/>
    <w:link w:val="7"/>
    <w:uiPriority w:val="9"/>
    <w:rPr>
      <w:rFonts w:ascii="Arial" w:eastAsia="宋体" w:hAnsi="Arial" w:cs="Arial"/>
      <w:b/>
      <w:bCs/>
      <w:i/>
      <w:iCs/>
      <w:sz w:val="22"/>
      <w:szCs w:val="22"/>
    </w:rPr>
  </w:style>
  <w:style w:type="character" w:customStyle="1" w:styleId="80">
    <w:name w:val="标题 8 字符"/>
    <w:basedOn w:val="a0"/>
    <w:link w:val="8"/>
    <w:uiPriority w:val="9"/>
    <w:rPr>
      <w:rFonts w:ascii="Arial" w:eastAsia="宋体" w:hAnsi="Arial" w:cs="Arial"/>
      <w:i/>
      <w:iCs/>
      <w:sz w:val="22"/>
      <w:szCs w:val="22"/>
    </w:rPr>
  </w:style>
  <w:style w:type="character" w:customStyle="1" w:styleId="90">
    <w:name w:val="标题 9 字符"/>
    <w:basedOn w:val="a0"/>
    <w:link w:val="9"/>
    <w:uiPriority w:val="9"/>
    <w:rPr>
      <w:rFonts w:ascii="Arial" w:eastAsia="宋体"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paragraph" w:styleId="af1">
    <w:name w:val="caption"/>
    <w:basedOn w:val="a"/>
    <w:next w:val="a"/>
    <w:uiPriority w:val="35"/>
    <w:semiHidden/>
    <w:unhideWhenUsed/>
    <w:qFormat/>
    <w:pPr>
      <w:spacing w:line="276" w:lineRule="auto"/>
    </w:pPr>
    <w:rPr>
      <w:b/>
      <w:bCs/>
      <w:color w:val="4472C4" w:themeColor="accent1"/>
      <w:sz w:val="18"/>
      <w:szCs w:val="18"/>
    </w:rPr>
  </w:style>
  <w:style w:type="character" w:customStyle="1" w:styleId="af0">
    <w:name w:val="页脚 字符"/>
    <w:link w:val="af"/>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pPr>
        <w:snapToGrid/>
      </w:pPr>
      <w:rPr>
        <w:b/>
        <w:color w:val="404040"/>
      </w:rPr>
      <w:tblPr/>
      <w:tcPr>
        <w:tcBorders>
          <w:bottom w:val="single" w:sz="12" w:space="0" w:color="91ACDC"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pPr>
        <w:snapToGrid/>
      </w:pPr>
      <w:rPr>
        <w:b/>
        <w:color w:val="404040"/>
      </w:rPr>
      <w:tblPr/>
      <w:tcPr>
        <w:tcBorders>
          <w:bottom w:val="single" w:sz="12" w:space="0" w:color="9EC4E6"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pPr>
        <w:snapToGrid/>
      </w:pPr>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pPr>
        <w:snapToGrid/>
      </w:pPr>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pPr>
        <w:snapToGrid/>
      </w:pPr>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pPr>
        <w:snapToGrid/>
      </w:pPr>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pPr>
        <w:snapToGrid/>
      </w:pPr>
      <w:rPr>
        <w:b/>
        <w:color w:val="404040"/>
      </w:rPr>
      <w:tblPr/>
      <w:tcPr>
        <w:tcBorders>
          <w:top w:val="single" w:sz="4" w:space="0" w:color="537DC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3F3"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AE3F3"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pPr>
        <w:snapToGrid/>
      </w:pPr>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pPr>
        <w:snapToGrid/>
      </w:pPr>
      <w:rPr>
        <w:b/>
        <w:color w:val="404040"/>
      </w:rPr>
      <w:tblPr/>
      <w:tcPr>
        <w:tcBorders>
          <w:top w:val="single" w:sz="4" w:space="0" w:color="5B9BD5"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pPr>
        <w:snapToGrid/>
      </w:pPr>
      <w:rPr>
        <w:rFonts w:ascii="Arial" w:hAnsi="Arial"/>
        <w:b/>
        <w:color w:val="FFFFFF"/>
        <w:sz w:val="22"/>
      </w:rPr>
      <w:tblPr/>
      <w:tcPr>
        <w:shd w:val="clear" w:color="FFFFFF" w:fill="4472C4"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1"/>
      </w:tcPr>
    </w:tblStylePr>
    <w:tblStylePr w:type="firstCol">
      <w:pPr>
        <w:snapToGrid/>
      </w:pPr>
      <w:rPr>
        <w:rFonts w:ascii="Arial" w:hAnsi="Arial"/>
        <w:b/>
        <w:color w:val="FFFFFF"/>
        <w:sz w:val="22"/>
      </w:rPr>
      <w:tblPr/>
      <w:tcPr>
        <w:shd w:val="clear" w:color="FFFFFF" w:fill="4472C4" w:themeFill="accent1"/>
      </w:tcPr>
    </w:tblStylePr>
    <w:tblStylePr w:type="lastCol">
      <w:pPr>
        <w:snapToGrid/>
      </w:pPr>
      <w:rPr>
        <w:rFonts w:ascii="Arial" w:hAnsi="Arial"/>
        <w:b/>
        <w:color w:val="FFFFFF"/>
        <w:sz w:val="22"/>
      </w:rPr>
      <w:tblPr/>
      <w:tcPr>
        <w:shd w:val="clear" w:color="FFFFFF" w:fill="4472C4" w:themeFill="accent1"/>
      </w:tcPr>
    </w:tblStylePr>
    <w:tblStylePr w:type="band1Vert">
      <w:pPr>
        <w:snapToGrid/>
      </w:pPr>
      <w:tblPr/>
      <w:tcPr>
        <w:shd w:val="clear" w:color="FFFFFF" w:fill="A9BEE4" w:themeFill="accent1" w:themeFillTint="75"/>
      </w:tcPr>
    </w:tblStylePr>
    <w:tblStylePr w:type="band2Vert">
      <w:pPr>
        <w:snapToGrid/>
      </w:pPr>
    </w:tblStylePr>
    <w:tblStylePr w:type="band1Horz">
      <w:pPr>
        <w:snapToGrid/>
      </w:pPr>
      <w:tblPr/>
      <w:tcPr>
        <w:shd w:val="clear" w:color="FFFFFF" w:fill="A9BEE4"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pPr>
        <w:snapToGrid/>
      </w:pPr>
      <w:rPr>
        <w:rFonts w:ascii="Arial" w:hAnsi="Arial"/>
        <w:b/>
        <w:color w:val="FFFFFF"/>
        <w:sz w:val="22"/>
      </w:rPr>
      <w:tblPr/>
      <w:tcPr>
        <w:shd w:val="clear" w:color="FFFFFF" w:fill="5B9BD5"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5"/>
      </w:tcPr>
    </w:tblStylePr>
    <w:tblStylePr w:type="firstCol">
      <w:pPr>
        <w:snapToGrid/>
      </w:pPr>
      <w:rPr>
        <w:rFonts w:ascii="Arial" w:hAnsi="Arial"/>
        <w:b/>
        <w:color w:val="FFFFFF"/>
        <w:sz w:val="22"/>
      </w:rPr>
      <w:tblPr/>
      <w:tcPr>
        <w:shd w:val="clear" w:color="FFFFFF" w:fill="5B9BD5" w:themeFill="accent5"/>
      </w:tcPr>
    </w:tblStylePr>
    <w:tblStylePr w:type="lastCol">
      <w:pPr>
        <w:snapToGrid/>
      </w:pPr>
      <w:rPr>
        <w:rFonts w:ascii="Arial" w:hAnsi="Arial"/>
        <w:b/>
        <w:color w:val="FFFFFF"/>
        <w:sz w:val="22"/>
      </w:rPr>
      <w:tblPr/>
      <w:tcPr>
        <w:shd w:val="clear" w:color="FFFFFF" w:fill="5B9BD5" w:themeFill="accent5"/>
      </w:tcPr>
    </w:tblStylePr>
    <w:tblStylePr w:type="band1Vert">
      <w:pPr>
        <w:snapToGrid/>
      </w:pPr>
      <w:tblPr/>
      <w:tcPr>
        <w:shd w:val="clear" w:color="FFFFFF" w:fill="B3D0EB" w:themeFill="accent5" w:themeFillTint="75"/>
      </w:tcPr>
    </w:tblStylePr>
    <w:tblStylePr w:type="band2Vert">
      <w:pPr>
        <w:snapToGrid/>
      </w:pPr>
    </w:tblStylePr>
    <w:tblStylePr w:type="band1Horz">
      <w:pPr>
        <w:snapToGrid/>
      </w:pPr>
      <w:tblPr/>
      <w:tcPr>
        <w:shd w:val="clear" w:color="FFFFFF" w:fill="B3D0EB"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pPr>
        <w:snapToGrid/>
      </w:pPr>
      <w:rPr>
        <w:b/>
        <w:color w:val="A0B7E1" w:themeColor="accent1" w:themeTint="80" w:themeShade="95"/>
      </w:rPr>
      <w:tblPr/>
      <w:tcPr>
        <w:tcBorders>
          <w:bottom w:val="single" w:sz="12" w:space="0" w:color="A0B7E1" w:themeColor="accent1" w:themeTint="80"/>
        </w:tcBorders>
      </w:tcPr>
    </w:tblStylePr>
    <w:tblStylePr w:type="lastRow">
      <w:pPr>
        <w:snapToGrid/>
      </w:pPr>
      <w:rPr>
        <w:b/>
        <w:color w:val="A0B7E1" w:themeColor="accent1" w:themeTint="80" w:themeShade="95"/>
      </w:rPr>
    </w:tblStylePr>
    <w:tblStylePr w:type="firstCol">
      <w:pPr>
        <w:snapToGrid/>
      </w:pPr>
      <w:rPr>
        <w:b/>
        <w:color w:val="A0B7E1" w:themeColor="accent1" w:themeTint="80" w:themeShade="95"/>
      </w:rPr>
    </w:tblStylePr>
    <w:tblStylePr w:type="lastCol">
      <w:pPr>
        <w:snapToGrid/>
      </w:pPr>
      <w:rPr>
        <w:b/>
        <w:color w:val="A0B7E1" w:themeColor="accent1" w:themeTint="80" w:themeShade="95"/>
      </w:rPr>
    </w:tblStylePr>
    <w:tblStylePr w:type="band1Vert">
      <w:pPr>
        <w:snapToGrid/>
      </w:pPr>
      <w:tblPr/>
      <w:tcPr>
        <w:shd w:val="clear" w:color="FFFFFF" w:fill="D8E2F3" w:themeFill="accent1" w:themeFillTint="34"/>
      </w:tcPr>
    </w:tblStylePr>
    <w:tblStylePr w:type="band2Vert">
      <w:pPr>
        <w:snapToGrid/>
      </w:pPr>
    </w:tblStylePr>
    <w:tblStylePr w:type="band1Horz">
      <w:pPr>
        <w:snapToGrid/>
      </w:pPr>
      <w:rPr>
        <w:rFonts w:ascii="Arial" w:hAnsi="Arial"/>
        <w:color w:val="A0B7E1" w:themeColor="accent1" w:themeTint="80" w:themeShade="95"/>
        <w:sz w:val="22"/>
      </w:rPr>
      <w:tblPr/>
      <w:tcPr>
        <w:shd w:val="clear" w:color="FFFFFF" w:fill="D8E2F3" w:themeFill="accent1" w:themeFillTint="34"/>
      </w:tcPr>
    </w:tblStylePr>
    <w:tblStylePr w:type="band2Horz">
      <w:pPr>
        <w:snapToGrid/>
      </w:pPr>
      <w:rPr>
        <w:rFonts w:ascii="Arial" w:hAnsi="Arial"/>
        <w:color w:val="A0B7E1"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pPr>
        <w:snapToGrid/>
      </w:pPr>
      <w:rPr>
        <w:b/>
        <w:color w:val="245A8D" w:themeColor="accent5" w:themeShade="95"/>
      </w:rPr>
      <w:tblPr/>
      <w:tcPr>
        <w:tcBorders>
          <w:bottom w:val="single" w:sz="12" w:space="0" w:color="5B9BD5" w:themeColor="accent5"/>
        </w:tcBorders>
      </w:tcPr>
    </w:tblStylePr>
    <w:tblStylePr w:type="lastRow">
      <w:pPr>
        <w:snapToGrid/>
      </w:pPr>
      <w:rPr>
        <w:b/>
        <w:color w:val="245A8D" w:themeColor="accent5" w:themeShade="95"/>
      </w:rPr>
    </w:tblStylePr>
    <w:tblStylePr w:type="firstCol">
      <w:pPr>
        <w:snapToGrid/>
      </w:pPr>
      <w:rPr>
        <w:b/>
        <w:color w:val="245A8D" w:themeColor="accent5" w:themeShade="95"/>
      </w:rPr>
    </w:tblStylePr>
    <w:tblStylePr w:type="lastCol">
      <w:pPr>
        <w:snapToGrid/>
      </w:pPr>
      <w:rPr>
        <w:b/>
        <w:color w:val="245A8D" w:themeColor="accent5" w:themeShade="95"/>
      </w:rPr>
    </w:tblStylePr>
    <w:tblStylePr w:type="band1Vert">
      <w:pPr>
        <w:snapToGrid/>
      </w:pPr>
      <w:tblPr/>
      <w:tcPr>
        <w:shd w:val="clear" w:color="FFFFFF" w:fill="DDEAF6" w:themeFill="accent5"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DDEAF6" w:themeFill="accent5"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5A8D" w:themeColor="accent5" w:themeShade="95"/>
      </w:rPr>
      <w:tblPr/>
      <w:tcPr>
        <w:tcBorders>
          <w:bottom w:val="single" w:sz="12" w:space="0" w:color="70AD47" w:themeColor="accent6"/>
        </w:tcBorders>
      </w:tcPr>
    </w:tblStylePr>
    <w:tblStylePr w:type="lastRow">
      <w:pPr>
        <w:snapToGrid/>
      </w:pPr>
      <w:rPr>
        <w:b/>
        <w:color w:val="245A8D" w:themeColor="accent5" w:themeShade="95"/>
      </w:rPr>
    </w:tblStylePr>
    <w:tblStylePr w:type="firstCol">
      <w:pPr>
        <w:snapToGrid/>
      </w:pPr>
      <w:rPr>
        <w:b/>
        <w:color w:val="245A8D" w:themeColor="accent5" w:themeShade="95"/>
      </w:rPr>
    </w:tblStylePr>
    <w:tblStylePr w:type="lastCol">
      <w:pPr>
        <w:snapToGrid/>
      </w:pPr>
      <w:rPr>
        <w:b/>
        <w:color w:val="245A8D"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E1EFD8" w:themeFill="accent6"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pPr>
        <w:snapToGrid/>
      </w:pPr>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pPr>
        <w:snapToGrid/>
      </w:pPr>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pPr>
        <w:snapToGrid/>
      </w:pPr>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pPr>
        <w:snapToGrid/>
      </w:pPr>
      <w:tblPr/>
      <w:tcPr>
        <w:shd w:val="clear" w:color="FFFFFF" w:fill="D8E2F3" w:themeFill="accent1" w:themeFillTint="34"/>
      </w:tcPr>
    </w:tblStylePr>
    <w:tblStylePr w:type="band2Vert">
      <w:pPr>
        <w:snapToGrid/>
      </w:pPr>
    </w:tblStylePr>
    <w:tblStylePr w:type="band1Horz">
      <w:pPr>
        <w:snapToGrid/>
      </w:pPr>
      <w:rPr>
        <w:rFonts w:ascii="Arial" w:hAnsi="Arial"/>
        <w:color w:val="A0B7E1" w:themeColor="accent1" w:themeTint="80" w:themeShade="95"/>
        <w:sz w:val="22"/>
      </w:rPr>
      <w:tblPr/>
      <w:tcPr>
        <w:shd w:val="clear" w:color="FFFFFF" w:fill="D8E2F3" w:themeFill="accent1" w:themeFillTint="34"/>
      </w:tcPr>
    </w:tblStylePr>
    <w:tblStylePr w:type="band2Horz">
      <w:pPr>
        <w:snapToGrid/>
      </w:pPr>
      <w:rPr>
        <w:rFonts w:ascii="Arial" w:hAnsi="Arial"/>
        <w:color w:val="A0B7E1"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pPr>
        <w:snapToGrid/>
      </w:pPr>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pPr>
        <w:snapToGrid/>
      </w:pPr>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pPr>
        <w:snapToGrid/>
      </w:pPr>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pPr>
        <w:snapToGrid/>
      </w:pPr>
      <w:tblPr/>
      <w:tcPr>
        <w:shd w:val="clear" w:color="FFFFFF" w:fill="DDEAF6" w:themeFill="accent5"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DDEAF6" w:themeFill="accent5"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pPr>
        <w:snapToGrid/>
      </w:pPr>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pPr>
        <w:snapToGrid/>
      </w:pPr>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pPr>
        <w:snapToGrid/>
      </w:pPr>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pPr>
        <w:snapToGrid/>
      </w:pPr>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pPr>
        <w:snapToGrid/>
      </w:pPr>
      <w:rPr>
        <w:rFonts w:ascii="Arial" w:hAnsi="Arial"/>
        <w:b/>
        <w:color w:val="FFFFFF"/>
        <w:sz w:val="22"/>
      </w:rPr>
      <w:tblPr/>
      <w:tcPr>
        <w:shd w:val="clear" w:color="FFFFFF" w:fill="4472C4"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472C4" w:themeColor="accent1"/>
          <w:right w:val="single" w:sz="4" w:space="0" w:color="4472C4"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472C4" w:themeColor="accent1"/>
          <w:bottom w:val="single" w:sz="4" w:space="0" w:color="4472C4"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pPr>
        <w:snapToGrid/>
      </w:pPr>
      <w:rPr>
        <w:rFonts w:ascii="Arial" w:hAnsi="Arial"/>
        <w:b/>
        <w:color w:val="FFFFFF"/>
        <w:sz w:val="22"/>
      </w:rPr>
      <w:tblPr/>
      <w:tcPr>
        <w:shd w:val="clear" w:color="FFFFFF" w:fill="9BC2E5"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BC2E5" w:themeColor="accent5" w:themeTint="9A"/>
          <w:bottom w:val="single" w:sz="4" w:space="0" w:color="9BC2E5"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pPr>
        <w:snapToGrid/>
      </w:pPr>
      <w:rPr>
        <w:rFonts w:ascii="Arial" w:hAnsi="Arial"/>
        <w:b/>
        <w:color w:val="FFFFFF"/>
        <w:sz w:val="22"/>
      </w:rPr>
      <w:tblPr/>
      <w:tcPr>
        <w:shd w:val="clear" w:color="FFFFFF" w:fill="4472C4"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pPr>
        <w:snapToGrid/>
      </w:pPr>
      <w:rPr>
        <w:rFonts w:ascii="Arial" w:hAnsi="Arial"/>
        <w:b/>
        <w:color w:val="FFFFFF"/>
        <w:sz w:val="22"/>
      </w:rPr>
      <w:tblPr/>
      <w:tcPr>
        <w:shd w:val="clear" w:color="FFFFFF" w:fill="5B9BD5"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pPr>
        <w:snapToGrid/>
      </w:pPr>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472C4"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472C4"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472C4" w:themeFill="accent1"/>
      </w:tcPr>
    </w:tblStylePr>
    <w:tblStylePr w:type="band2Horz">
      <w:pPr>
        <w:snapToGrid/>
      </w:pPr>
      <w:tblPr/>
      <w:tcPr>
        <w:tcBorders>
          <w:top w:val="single" w:sz="4" w:space="0" w:color="FFFFFF" w:themeColor="light1"/>
          <w:bottom w:val="single" w:sz="4" w:space="0" w:color="FFFFFF" w:themeColor="light1"/>
        </w:tcBorders>
        <w:shd w:val="clear" w:color="FFFFFF" w:fill="4472C4"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pPr>
        <w:snapToGrid/>
      </w:pPr>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BC2E5"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BC2E5"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pPr>
        <w:snapToGrid/>
      </w:pPr>
      <w:rPr>
        <w:b/>
        <w:color w:val="254175" w:themeColor="accent1" w:themeShade="95"/>
      </w:rPr>
      <w:tblPr/>
      <w:tcPr>
        <w:tcBorders>
          <w:bottom w:val="single" w:sz="4" w:space="0" w:color="4472C4" w:themeColor="accent1"/>
        </w:tcBorders>
      </w:tcPr>
    </w:tblStylePr>
    <w:tblStylePr w:type="lastRow">
      <w:pPr>
        <w:snapToGrid/>
      </w:pPr>
      <w:rPr>
        <w:b/>
        <w:color w:val="254175" w:themeColor="accent1" w:themeShade="95"/>
      </w:rPr>
      <w:tblPr/>
      <w:tcPr>
        <w:tcBorders>
          <w:top w:val="single" w:sz="4" w:space="0" w:color="4472C4" w:themeColor="accent1"/>
        </w:tcBorders>
      </w:tcPr>
    </w:tblStylePr>
    <w:tblStylePr w:type="firstCol">
      <w:pPr>
        <w:snapToGrid/>
      </w:pPr>
      <w:rPr>
        <w:b/>
        <w:color w:val="254175" w:themeColor="accent1" w:themeShade="95"/>
      </w:rPr>
    </w:tblStylePr>
    <w:tblStylePr w:type="lastCol">
      <w:pPr>
        <w:snapToGrid/>
      </w:pPr>
      <w:rPr>
        <w:b/>
        <w:color w:val="254175" w:themeColor="accent1" w:themeShade="95"/>
      </w:r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rPr>
        <w:rFonts w:ascii="Arial" w:hAnsi="Arial"/>
        <w:color w:val="254175" w:themeColor="accent1" w:themeShade="95"/>
        <w:sz w:val="22"/>
      </w:rPr>
      <w:tblPr/>
      <w:tcPr>
        <w:shd w:val="clear" w:color="FFFFFF" w:fill="CFDBF0" w:themeFill="accent1" w:themeFillTint="40"/>
      </w:tcPr>
    </w:tblStylePr>
    <w:tblStylePr w:type="band2Horz">
      <w:pPr>
        <w:snapToGrid/>
      </w:pPr>
      <w:rPr>
        <w:rFonts w:ascii="Arial" w:hAnsi="Arial"/>
        <w:color w:val="254175"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pPr>
        <w:snapToGrid/>
      </w:pPr>
      <w:rPr>
        <w:b/>
        <w:color w:val="9BC2E5" w:themeColor="accent5" w:themeTint="9A" w:themeShade="95"/>
      </w:rPr>
      <w:tblPr/>
      <w:tcPr>
        <w:tcBorders>
          <w:bottom w:val="single" w:sz="4" w:space="0" w:color="9BC2E5" w:themeColor="accent5" w:themeTint="9A"/>
        </w:tcBorders>
      </w:tcPr>
    </w:tblStylePr>
    <w:tblStylePr w:type="lastRow">
      <w:pPr>
        <w:snapToGrid/>
      </w:pPr>
      <w:rPr>
        <w:b/>
        <w:color w:val="9BC2E5" w:themeColor="accent5" w:themeTint="9A" w:themeShade="95"/>
      </w:rPr>
      <w:tblPr/>
      <w:tcPr>
        <w:tcBorders>
          <w:top w:val="single" w:sz="4" w:space="0" w:color="9BC2E5" w:themeColor="accent5" w:themeTint="9A"/>
        </w:tcBorders>
      </w:tcPr>
    </w:tblStylePr>
    <w:tblStylePr w:type="firstCol">
      <w:pPr>
        <w:snapToGrid/>
      </w:pPr>
      <w:rPr>
        <w:b/>
        <w:color w:val="9BC2E5" w:themeColor="accent5" w:themeTint="9A" w:themeShade="95"/>
      </w:rPr>
    </w:tblStylePr>
    <w:tblStylePr w:type="lastCol">
      <w:pPr>
        <w:snapToGrid/>
      </w:pPr>
      <w:rPr>
        <w:b/>
        <w:color w:val="9BC2E5" w:themeColor="accent5" w:themeTint="9A" w:themeShade="95"/>
      </w:r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rPr>
        <w:rFonts w:ascii="Arial" w:hAnsi="Arial"/>
        <w:color w:val="9BC2E5" w:themeColor="accent5" w:themeTint="9A" w:themeShade="95"/>
        <w:sz w:val="22"/>
      </w:rPr>
      <w:tblPr/>
      <w:tcPr>
        <w:shd w:val="clear" w:color="FFFFFF" w:fill="D5E5F4" w:themeFill="accent5" w:themeFillTint="40"/>
      </w:tcPr>
    </w:tblStylePr>
    <w:tblStylePr w:type="band2Horz">
      <w:pPr>
        <w:snapToGrid/>
      </w:pPr>
      <w:rPr>
        <w:rFonts w:ascii="Arial" w:hAnsi="Arial"/>
        <w:color w:val="9BC2E5"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pPr>
        <w:snapToGrid/>
      </w:pPr>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pPr>
        <w:snapToGrid/>
      </w:pPr>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pPr>
        <w:snapToGrid/>
      </w:pPr>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rPr>
        <w:rFonts w:ascii="Arial" w:hAnsi="Arial"/>
        <w:color w:val="254175" w:themeColor="accent1" w:themeShade="95"/>
        <w:sz w:val="22"/>
      </w:rPr>
      <w:tblPr/>
      <w:tcPr>
        <w:shd w:val="clear" w:color="FFFFFF" w:fill="CFDBF0" w:themeFill="accent1" w:themeFillTint="40"/>
      </w:tcPr>
    </w:tblStylePr>
    <w:tblStylePr w:type="band2Horz">
      <w:pPr>
        <w:snapToGrid/>
      </w:pPr>
      <w:rPr>
        <w:rFonts w:ascii="Arial" w:hAnsi="Arial"/>
        <w:color w:val="254175"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pPr>
        <w:snapToGrid/>
      </w:pPr>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pPr>
        <w:snapToGrid/>
      </w:pPr>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pPr>
        <w:snapToGrid/>
      </w:pPr>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rPr>
        <w:rFonts w:ascii="Arial" w:hAnsi="Arial"/>
        <w:color w:val="9BC2E5" w:themeColor="accent5" w:themeTint="9A" w:themeShade="95"/>
        <w:sz w:val="22"/>
      </w:rPr>
      <w:tblPr/>
      <w:tcPr>
        <w:shd w:val="clear" w:color="FFFFFF" w:fill="D5E5F4" w:themeFill="accent5" w:themeFillTint="40"/>
      </w:tcPr>
    </w:tblStylePr>
    <w:tblStylePr w:type="band2Horz">
      <w:pPr>
        <w:snapToGrid/>
      </w:pPr>
      <w:rPr>
        <w:rFonts w:ascii="Arial" w:hAnsi="Arial"/>
        <w:color w:val="9BC2E5"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37DC8" w:themeFill="accent1" w:themeFillTint="EA"/>
      </w:tcPr>
    </w:tblStylePr>
    <w:tblStylePr w:type="lastRow">
      <w:pPr>
        <w:snapToGrid/>
      </w:pPr>
      <w:rPr>
        <w:rFonts w:ascii="Arial" w:hAnsi="Arial"/>
        <w:color w:val="F2F2F2"/>
        <w:sz w:val="22"/>
      </w:rPr>
      <w:tblPr/>
      <w:tcPr>
        <w:shd w:val="clear" w:color="FFFFFF" w:fill="537DC8" w:themeFill="accent1" w:themeFillTint="EA"/>
      </w:tcPr>
    </w:tblStylePr>
    <w:tblStylePr w:type="firstCol">
      <w:pPr>
        <w:snapToGrid/>
      </w:pPr>
      <w:rPr>
        <w:rFonts w:ascii="Arial" w:hAnsi="Arial"/>
        <w:color w:val="F2F2F2"/>
        <w:sz w:val="22"/>
      </w:rPr>
      <w:tblPr/>
      <w:tcPr>
        <w:shd w:val="clear" w:color="FFFFFF" w:fill="537DC8" w:themeFill="accent1" w:themeFillTint="EA"/>
      </w:tcPr>
    </w:tblStylePr>
    <w:tblStylePr w:type="lastCol">
      <w:pPr>
        <w:snapToGrid/>
      </w:pPr>
      <w:rPr>
        <w:rFonts w:ascii="Arial" w:hAnsi="Arial"/>
        <w:color w:val="F2F2F2"/>
        <w:sz w:val="22"/>
      </w:rPr>
      <w:tblPr/>
      <w:tcPr>
        <w:shd w:val="clear" w:color="FFFFFF" w:fill="537DC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4D2EC"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4D2EC"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B9BD5" w:themeFill="accent5"/>
      </w:tcPr>
    </w:tblStylePr>
    <w:tblStylePr w:type="lastRow">
      <w:pPr>
        <w:snapToGrid/>
      </w:pPr>
      <w:rPr>
        <w:rFonts w:ascii="Arial" w:hAnsi="Arial"/>
        <w:color w:val="F2F2F2"/>
        <w:sz w:val="22"/>
      </w:rPr>
      <w:tblPr/>
      <w:tcPr>
        <w:shd w:val="clear" w:color="FFFFFF" w:fill="5B9BD5" w:themeFill="accent5"/>
      </w:tcPr>
    </w:tblStylePr>
    <w:tblStylePr w:type="firstCol">
      <w:pPr>
        <w:snapToGrid/>
      </w:pPr>
      <w:rPr>
        <w:rFonts w:ascii="Arial" w:hAnsi="Arial"/>
        <w:color w:val="F2F2F2"/>
        <w:sz w:val="22"/>
      </w:rPr>
      <w:tblPr/>
      <w:tcPr>
        <w:shd w:val="clear" w:color="FFFFFF" w:fill="5B9BD5" w:themeFill="accent5"/>
      </w:tcPr>
    </w:tblStylePr>
    <w:tblStylePr w:type="lastCol">
      <w:pPr>
        <w:snapToGrid/>
      </w:pPr>
      <w:rPr>
        <w:rFonts w:ascii="Arial" w:hAnsi="Arial"/>
        <w:color w:val="F2F2F2"/>
        <w:sz w:val="22"/>
      </w:rPr>
      <w:tblPr/>
      <w:tcPr>
        <w:shd w:val="clear" w:color="FFFFFF" w:fill="5B9BD5"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DEAF6"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DEAF6"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pPr>
        <w:snapToGrid/>
      </w:pPr>
      <w:rPr>
        <w:rFonts w:ascii="Arial" w:hAnsi="Arial"/>
        <w:color w:val="F2F2F2"/>
        <w:sz w:val="22"/>
      </w:rPr>
      <w:tblPr/>
      <w:tcPr>
        <w:shd w:val="clear" w:color="FFFFFF" w:fill="537DC8" w:themeFill="accent1" w:themeFillTint="EA"/>
      </w:tcPr>
    </w:tblStylePr>
    <w:tblStylePr w:type="lastRow">
      <w:pPr>
        <w:snapToGrid/>
      </w:pPr>
      <w:rPr>
        <w:rFonts w:ascii="Arial" w:hAnsi="Arial"/>
        <w:color w:val="F2F2F2"/>
        <w:sz w:val="22"/>
      </w:rPr>
      <w:tblPr/>
      <w:tcPr>
        <w:shd w:val="clear" w:color="FFFFFF" w:fill="537DC8" w:themeFill="accent1" w:themeFillTint="EA"/>
      </w:tcPr>
    </w:tblStylePr>
    <w:tblStylePr w:type="firstCol">
      <w:pPr>
        <w:snapToGrid/>
      </w:pPr>
      <w:rPr>
        <w:rFonts w:ascii="Arial" w:hAnsi="Arial"/>
        <w:color w:val="F2F2F2"/>
        <w:sz w:val="22"/>
      </w:rPr>
      <w:tblPr/>
      <w:tcPr>
        <w:shd w:val="clear" w:color="FFFFFF" w:fill="537DC8" w:themeFill="accent1" w:themeFillTint="EA"/>
      </w:tcPr>
    </w:tblStylePr>
    <w:tblStylePr w:type="lastCol">
      <w:pPr>
        <w:snapToGrid/>
      </w:pPr>
      <w:rPr>
        <w:rFonts w:ascii="Arial" w:hAnsi="Arial"/>
        <w:color w:val="F2F2F2"/>
        <w:sz w:val="22"/>
      </w:rPr>
      <w:tblPr/>
      <w:tcPr>
        <w:shd w:val="clear" w:color="FFFFFF" w:fill="537DC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4D2EC"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4D2EC"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pPr>
        <w:snapToGrid/>
      </w:pPr>
      <w:rPr>
        <w:rFonts w:ascii="Arial" w:hAnsi="Arial"/>
        <w:color w:val="F2F2F2"/>
        <w:sz w:val="22"/>
      </w:rPr>
      <w:tblPr/>
      <w:tcPr>
        <w:shd w:val="clear" w:color="FFFFFF" w:fill="5B9BD5" w:themeFill="accent5"/>
      </w:tcPr>
    </w:tblStylePr>
    <w:tblStylePr w:type="lastRow">
      <w:pPr>
        <w:snapToGrid/>
      </w:pPr>
      <w:rPr>
        <w:rFonts w:ascii="Arial" w:hAnsi="Arial"/>
        <w:color w:val="F2F2F2"/>
        <w:sz w:val="22"/>
      </w:rPr>
      <w:tblPr/>
      <w:tcPr>
        <w:shd w:val="clear" w:color="FFFFFF" w:fill="5B9BD5" w:themeFill="accent5"/>
      </w:tcPr>
    </w:tblStylePr>
    <w:tblStylePr w:type="firstCol">
      <w:pPr>
        <w:snapToGrid/>
      </w:pPr>
      <w:rPr>
        <w:rFonts w:ascii="Arial" w:hAnsi="Arial"/>
        <w:color w:val="F2F2F2"/>
        <w:sz w:val="22"/>
      </w:rPr>
      <w:tblPr/>
      <w:tcPr>
        <w:shd w:val="clear" w:color="FFFFFF" w:fill="5B9BD5" w:themeFill="accent5"/>
      </w:tcPr>
    </w:tblStylePr>
    <w:tblStylePr w:type="lastCol">
      <w:pPr>
        <w:snapToGrid/>
      </w:pPr>
      <w:rPr>
        <w:rFonts w:ascii="Arial" w:hAnsi="Arial"/>
        <w:color w:val="F2F2F2"/>
        <w:sz w:val="22"/>
      </w:rPr>
      <w:tblPr/>
      <w:tcPr>
        <w:shd w:val="clear" w:color="FFFFFF" w:fill="5B9BD5"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DEAF6"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DEAF6"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pPr>
        <w:snapToGrid/>
      </w:pPr>
      <w:rPr>
        <w:rFonts w:ascii="Arial" w:hAnsi="Arial"/>
        <w:color w:val="404040"/>
        <w:sz w:val="22"/>
      </w:rPr>
      <w:tblPr/>
      <w:tcPr>
        <w:tcBorders>
          <w:bottom w:val="single" w:sz="12" w:space="0" w:color="4472C4" w:themeColor="accent1"/>
        </w:tcBorders>
      </w:tcPr>
    </w:tblStylePr>
    <w:tblStylePr w:type="lastRow">
      <w:pPr>
        <w:snapToGrid/>
      </w:pPr>
      <w:rPr>
        <w:rFonts w:ascii="Arial" w:hAnsi="Arial"/>
        <w:color w:val="404040"/>
        <w:sz w:val="22"/>
      </w:rPr>
      <w:tblPr/>
      <w:tcPr>
        <w:tcBorders>
          <w:top w:val="single" w:sz="12" w:space="0" w:color="4472C4"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472C4"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pPr>
        <w:snapToGrid/>
      </w:pPr>
      <w:rPr>
        <w:rFonts w:ascii="Arial" w:hAnsi="Arial"/>
        <w:color w:val="404040"/>
        <w:sz w:val="22"/>
      </w:rPr>
      <w:tblPr/>
      <w:tcPr>
        <w:tcBorders>
          <w:bottom w:val="single" w:sz="12" w:space="0" w:color="9BC2E5" w:themeColor="accent5" w:themeTint="9A"/>
        </w:tcBorders>
      </w:tcPr>
    </w:tblStylePr>
    <w:tblStylePr w:type="lastRow">
      <w:pPr>
        <w:snapToGrid/>
      </w:pPr>
      <w:rPr>
        <w:rFonts w:ascii="Arial" w:hAnsi="Arial"/>
        <w:color w:val="404040"/>
        <w:sz w:val="22"/>
      </w:rPr>
      <w:tblPr/>
      <w:tcPr>
        <w:tcBorders>
          <w:top w:val="single" w:sz="12" w:space="0" w:color="9BC2E5"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BC2E5"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40</Pages>
  <Words>5295</Words>
  <Characters>30184</Characters>
  <Application>Microsoft Office Word</Application>
  <DocSecurity>0</DocSecurity>
  <Lines>251</Lines>
  <Paragraphs>70</Paragraphs>
  <ScaleCrop>false</ScaleCrop>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琳川 岳</cp:lastModifiedBy>
  <cp:revision>25</cp:revision>
  <cp:lastPrinted>2025-06-05T05:49:00Z</cp:lastPrinted>
  <dcterms:created xsi:type="dcterms:W3CDTF">2025-05-15T05:55:00Z</dcterms:created>
  <dcterms:modified xsi:type="dcterms:W3CDTF">2025-07-04T10:18:00Z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