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AB3D3" w14:textId="77777777" w:rsidR="00F309E5" w:rsidRDefault="00F309E5">
      <w:pPr>
        <w:rPr>
          <w:rFonts w:ascii="宋体" w:hAnsi="宋体"/>
          <w:sz w:val="24"/>
        </w:rPr>
      </w:pPr>
    </w:p>
    <w:p w14:paraId="6BD17047" w14:textId="77777777" w:rsidR="00F309E5" w:rsidRDefault="004F2640">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0137CBC8" wp14:editId="5491673C">
                <wp:simplePos x="0" y="0"/>
                <wp:positionH relativeFrom="column">
                  <wp:posOffset>2691765</wp:posOffset>
                </wp:positionH>
                <wp:positionV relativeFrom="paragraph">
                  <wp:posOffset>198120</wp:posOffset>
                </wp:positionV>
                <wp:extent cx="1256665" cy="494665"/>
                <wp:effectExtent l="0" t="0" r="0" b="635"/>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4" cy="494665"/>
                        </a:xfrm>
                        <a:prstGeom prst="rect">
                          <a:avLst/>
                        </a:prstGeom>
                        <a:noFill/>
                        <a:ln>
                          <a:noFill/>
                        </a:ln>
                      </wps:spPr>
                      <wps:txbx>
                        <w:txbxContent>
                          <w:p w14:paraId="1C24B88D" w14:textId="77777777" w:rsidR="001444CE" w:rsidRDefault="001444CE">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rect w14:anchorId="0137CBC8" id="文本框 5" o:spid="_x0000_s1026"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" filled="f" stroked="f">
                <v:textbox>
                  <w:txbxContent>
                    <w:p w14:paraId="1C24B88D" w14:textId="77777777" w:rsidR="001444CE" w:rsidRDefault="001444CE">
                      <w:pPr>
                        <w:rPr>
                          <w:b/>
                          <w:sz w:val="28"/>
                          <w:szCs w:val="28"/>
                        </w:rPr>
                      </w:pPr>
                      <w:r>
                        <w:rPr>
                          <w:rFonts w:hint="eastAsia"/>
                          <w:b/>
                          <w:sz w:val="28"/>
                          <w:szCs w:val="28"/>
                        </w:rPr>
                        <w:t>编号：</w:t>
                      </w:r>
                    </w:p>
                  </w:txbxContent>
                </v:textbox>
              </v:rect>
            </w:pict>
          </mc:Fallback>
        </mc:AlternateContent>
      </w:r>
    </w:p>
    <w:p w14:paraId="47C8C6EC" w14:textId="77777777" w:rsidR="00F309E5" w:rsidRDefault="00F309E5">
      <w:pPr>
        <w:rPr>
          <w:rFonts w:eastAsia="黑体"/>
          <w:sz w:val="52"/>
          <w:szCs w:val="52"/>
        </w:rPr>
      </w:pPr>
    </w:p>
    <w:p w14:paraId="7C84336F" w14:textId="77777777" w:rsidR="00F309E5" w:rsidRDefault="00F309E5">
      <w:pPr>
        <w:tabs>
          <w:tab w:val="left" w:pos="3495"/>
        </w:tabs>
        <w:rPr>
          <w:rFonts w:eastAsia="黑体"/>
          <w:sz w:val="52"/>
          <w:szCs w:val="52"/>
        </w:rPr>
      </w:pPr>
    </w:p>
    <w:p w14:paraId="76B61225" w14:textId="77777777" w:rsidR="00F309E5" w:rsidRDefault="00F309E5">
      <w:pPr>
        <w:tabs>
          <w:tab w:val="center" w:pos="4164"/>
          <w:tab w:val="left" w:pos="5455"/>
        </w:tabs>
        <w:ind w:rightChars="-8" w:right="-17"/>
        <w:jc w:val="center"/>
        <w:rPr>
          <w:rFonts w:eastAsia="黑体"/>
          <w:sz w:val="52"/>
          <w:szCs w:val="52"/>
        </w:rPr>
      </w:pPr>
    </w:p>
    <w:p w14:paraId="41E31A24" w14:textId="77777777" w:rsidR="00F309E5" w:rsidRDefault="00F309E5">
      <w:pPr>
        <w:tabs>
          <w:tab w:val="center" w:pos="4164"/>
          <w:tab w:val="left" w:pos="5455"/>
        </w:tabs>
        <w:ind w:rightChars="-8" w:right="-17"/>
        <w:jc w:val="center"/>
        <w:rPr>
          <w:rFonts w:eastAsia="黑体"/>
          <w:sz w:val="52"/>
          <w:szCs w:val="52"/>
        </w:rPr>
      </w:pPr>
    </w:p>
    <w:p w14:paraId="406EA4EE" w14:textId="77777777" w:rsidR="00F309E5" w:rsidRDefault="00F309E5">
      <w:pPr>
        <w:jc w:val="center"/>
        <w:rPr>
          <w:b/>
          <w:sz w:val="52"/>
          <w:szCs w:val="52"/>
        </w:rPr>
      </w:pPr>
    </w:p>
    <w:p w14:paraId="6FBA0DBC" w14:textId="77777777" w:rsidR="00F309E5" w:rsidRDefault="00F309E5">
      <w:pPr>
        <w:jc w:val="center"/>
        <w:rPr>
          <w:rFonts w:ascii="仿宋_GB2312" w:eastAsia="仿宋_GB2312"/>
          <w:b/>
          <w:sz w:val="32"/>
          <w:szCs w:val="32"/>
        </w:rPr>
      </w:pPr>
    </w:p>
    <w:p w14:paraId="2C600CB0" w14:textId="77777777" w:rsidR="00DA5613" w:rsidRPr="00DA5613" w:rsidRDefault="00DA5613" w:rsidP="00DA5613">
      <w:pPr>
        <w:jc w:val="center"/>
        <w:rPr>
          <w:rFonts w:ascii="黑体" w:eastAsia="黑体" w:hAnsi="黑体"/>
          <w:b/>
          <w:sz w:val="44"/>
          <w:szCs w:val="44"/>
        </w:rPr>
      </w:pPr>
      <w:r w:rsidRPr="00DA5613">
        <w:rPr>
          <w:rFonts w:ascii="黑体" w:eastAsia="黑体" w:hAnsi="黑体" w:hint="eastAsia"/>
          <w:b/>
          <w:sz w:val="44"/>
          <w:szCs w:val="44"/>
        </w:rPr>
        <w:t>宝盈中债绿色普</w:t>
      </w:r>
      <w:proofErr w:type="gramStart"/>
      <w:r w:rsidRPr="00DA5613">
        <w:rPr>
          <w:rFonts w:ascii="黑体" w:eastAsia="黑体" w:hAnsi="黑体" w:hint="eastAsia"/>
          <w:b/>
          <w:sz w:val="44"/>
          <w:szCs w:val="44"/>
        </w:rPr>
        <w:t>惠主题</w:t>
      </w:r>
      <w:proofErr w:type="gramEnd"/>
      <w:r w:rsidRPr="00DA5613">
        <w:rPr>
          <w:rFonts w:ascii="黑体" w:eastAsia="黑体" w:hAnsi="黑体" w:hint="eastAsia"/>
          <w:b/>
          <w:sz w:val="44"/>
          <w:szCs w:val="44"/>
        </w:rPr>
        <w:t>金融债券优选</w:t>
      </w:r>
    </w:p>
    <w:p w14:paraId="588D27D2" w14:textId="2590C2E9" w:rsidR="00F309E5" w:rsidRDefault="00DA5613">
      <w:pPr>
        <w:jc w:val="center"/>
        <w:rPr>
          <w:rFonts w:ascii="黑体" w:eastAsia="黑体" w:hAnsi="黑体"/>
          <w:b/>
          <w:sz w:val="44"/>
          <w:szCs w:val="44"/>
        </w:rPr>
      </w:pPr>
      <w:r w:rsidRPr="00DA5613">
        <w:rPr>
          <w:rFonts w:ascii="黑体" w:eastAsia="黑体" w:hAnsi="黑体" w:hint="eastAsia"/>
          <w:b/>
          <w:sz w:val="44"/>
          <w:szCs w:val="44"/>
        </w:rPr>
        <w:t>指数证券投资基金</w:t>
      </w:r>
      <w:r w:rsidR="004F2640">
        <w:rPr>
          <w:rFonts w:ascii="黑体" w:eastAsia="黑体" w:hAnsi="黑体" w:hint="eastAsia"/>
          <w:b/>
          <w:sz w:val="44"/>
          <w:szCs w:val="44"/>
        </w:rPr>
        <w:t>托管协议</w:t>
      </w:r>
    </w:p>
    <w:p w14:paraId="66D8EB6C" w14:textId="77777777" w:rsidR="00F309E5" w:rsidRPr="00700174" w:rsidRDefault="00F309E5">
      <w:pPr>
        <w:jc w:val="center"/>
        <w:rPr>
          <w:rFonts w:ascii="宋体" w:hAnsi="宋体"/>
          <w:sz w:val="44"/>
          <w:szCs w:val="44"/>
        </w:rPr>
      </w:pPr>
    </w:p>
    <w:p w14:paraId="2ACC76B0" w14:textId="77777777" w:rsidR="00F309E5" w:rsidRDefault="00F309E5">
      <w:pPr>
        <w:jc w:val="center"/>
        <w:rPr>
          <w:rFonts w:ascii="宋体" w:hAnsi="宋体"/>
          <w:sz w:val="44"/>
          <w:szCs w:val="44"/>
        </w:rPr>
      </w:pPr>
    </w:p>
    <w:p w14:paraId="00F1F95C" w14:textId="77777777" w:rsidR="00F309E5" w:rsidRDefault="00F309E5">
      <w:pPr>
        <w:jc w:val="center"/>
        <w:rPr>
          <w:rFonts w:ascii="宋体" w:hAnsi="宋体"/>
          <w:sz w:val="44"/>
          <w:szCs w:val="44"/>
        </w:rPr>
      </w:pPr>
    </w:p>
    <w:p w14:paraId="5DF7F378" w14:textId="77777777" w:rsidR="00F309E5" w:rsidRDefault="00F309E5">
      <w:pPr>
        <w:rPr>
          <w:rFonts w:ascii="宋体"/>
          <w:sz w:val="30"/>
        </w:rPr>
      </w:pPr>
    </w:p>
    <w:p w14:paraId="0C443384" w14:textId="7B5DCA32" w:rsidR="00F309E5" w:rsidRDefault="004F2640">
      <w:pPr>
        <w:spacing w:line="360" w:lineRule="auto"/>
        <w:ind w:right="26" w:firstLineChars="400" w:firstLine="1280"/>
        <w:outlineLvl w:val="0"/>
        <w:rPr>
          <w:rFonts w:ascii="宋体" w:hAnsi="宋体"/>
          <w:sz w:val="32"/>
          <w:szCs w:val="32"/>
          <w:u w:val="single"/>
        </w:rPr>
      </w:pPr>
      <w:bookmarkStart w:id="0" w:name="_Toc382818591"/>
      <w:bookmarkStart w:id="1" w:name="_Toc382819065"/>
      <w:bookmarkStart w:id="2" w:name="_Toc84607733"/>
      <w:r>
        <w:rPr>
          <w:rFonts w:ascii="宋体" w:hAnsi="宋体" w:hint="eastAsia"/>
          <w:sz w:val="32"/>
          <w:szCs w:val="32"/>
        </w:rPr>
        <w:t>基金管理人：</w:t>
      </w:r>
      <w:bookmarkEnd w:id="0"/>
      <w:bookmarkEnd w:id="1"/>
      <w:r>
        <w:rPr>
          <w:rFonts w:ascii="宋体" w:hAnsi="宋体" w:hint="eastAsia"/>
          <w:sz w:val="32"/>
          <w:szCs w:val="32"/>
        </w:rPr>
        <w:t>宝</w:t>
      </w:r>
      <w:proofErr w:type="gramStart"/>
      <w:r>
        <w:rPr>
          <w:rFonts w:ascii="宋体" w:hAnsi="宋体" w:hint="eastAsia"/>
          <w:sz w:val="32"/>
          <w:szCs w:val="32"/>
        </w:rPr>
        <w:t>盈基金</w:t>
      </w:r>
      <w:proofErr w:type="gramEnd"/>
      <w:r>
        <w:rPr>
          <w:rFonts w:ascii="宋体" w:hAnsi="宋体" w:hint="eastAsia"/>
          <w:sz w:val="32"/>
          <w:szCs w:val="32"/>
        </w:rPr>
        <w:t>管理有限公司</w:t>
      </w:r>
      <w:bookmarkEnd w:id="2"/>
    </w:p>
    <w:p w14:paraId="2F7903A1" w14:textId="77777777" w:rsidR="00F309E5" w:rsidRDefault="004F2640">
      <w:pPr>
        <w:spacing w:line="360" w:lineRule="auto"/>
        <w:ind w:right="26" w:firstLineChars="400" w:firstLine="1280"/>
        <w:outlineLvl w:val="0"/>
        <w:rPr>
          <w:rFonts w:ascii="宋体" w:hAnsi="宋体"/>
          <w:sz w:val="32"/>
          <w:szCs w:val="32"/>
        </w:rPr>
      </w:pPr>
      <w:bookmarkStart w:id="3" w:name="_Toc382818592"/>
      <w:bookmarkStart w:id="4" w:name="_Toc382819066"/>
      <w:bookmarkStart w:id="5" w:name="_Toc84607734"/>
      <w:r>
        <w:rPr>
          <w:rFonts w:ascii="宋体" w:hAnsi="宋体" w:hint="eastAsia"/>
          <w:sz w:val="32"/>
          <w:szCs w:val="32"/>
        </w:rPr>
        <w:t>基金托管人：上海浦东发展银行股份有限公司</w:t>
      </w:r>
      <w:bookmarkEnd w:id="3"/>
      <w:bookmarkEnd w:id="4"/>
      <w:bookmarkEnd w:id="5"/>
    </w:p>
    <w:p w14:paraId="508D0590" w14:textId="77777777" w:rsidR="00F309E5" w:rsidRDefault="00F309E5">
      <w:pPr>
        <w:spacing w:line="500" w:lineRule="atLeast"/>
        <w:ind w:left="2698" w:hangingChars="896" w:hanging="2698"/>
        <w:jc w:val="center"/>
        <w:outlineLvl w:val="0"/>
        <w:rPr>
          <w:rFonts w:ascii="宋体" w:hAnsi="宋体"/>
          <w:b/>
          <w:sz w:val="30"/>
          <w:szCs w:val="30"/>
        </w:rPr>
      </w:pPr>
    </w:p>
    <w:p w14:paraId="4D1B497E" w14:textId="77777777" w:rsidR="00F309E5" w:rsidRDefault="00F309E5">
      <w:pPr>
        <w:spacing w:line="500" w:lineRule="atLeast"/>
        <w:jc w:val="center"/>
        <w:outlineLvl w:val="0"/>
        <w:rPr>
          <w:rFonts w:ascii="黑体" w:eastAsia="黑体" w:hAnsi="宋体"/>
          <w:b/>
          <w:sz w:val="28"/>
          <w:szCs w:val="28"/>
        </w:rPr>
      </w:pPr>
      <w:bookmarkStart w:id="6" w:name="_Toc382818593"/>
      <w:bookmarkStart w:id="7" w:name="_Toc382819067"/>
    </w:p>
    <w:p w14:paraId="2ADF3AFF" w14:textId="77777777" w:rsidR="00F309E5" w:rsidRDefault="00F309E5">
      <w:pPr>
        <w:spacing w:line="500" w:lineRule="atLeast"/>
        <w:jc w:val="center"/>
        <w:outlineLvl w:val="0"/>
        <w:rPr>
          <w:rFonts w:ascii="黑体" w:eastAsia="黑体" w:hAnsi="宋体"/>
          <w:b/>
          <w:sz w:val="28"/>
          <w:szCs w:val="28"/>
        </w:rPr>
      </w:pPr>
    </w:p>
    <w:p w14:paraId="50E70268" w14:textId="77777777" w:rsidR="00F309E5" w:rsidRDefault="00F309E5">
      <w:pPr>
        <w:spacing w:line="500" w:lineRule="atLeast"/>
        <w:jc w:val="center"/>
        <w:outlineLvl w:val="0"/>
        <w:rPr>
          <w:rFonts w:ascii="黑体" w:eastAsia="黑体" w:hAnsi="宋体"/>
          <w:b/>
          <w:sz w:val="28"/>
          <w:szCs w:val="28"/>
        </w:rPr>
      </w:pPr>
    </w:p>
    <w:p w14:paraId="49542B58" w14:textId="77777777" w:rsidR="00F309E5" w:rsidRDefault="00F309E5">
      <w:pPr>
        <w:spacing w:line="500" w:lineRule="atLeast"/>
        <w:jc w:val="center"/>
        <w:outlineLvl w:val="0"/>
        <w:rPr>
          <w:rFonts w:ascii="黑体" w:eastAsia="黑体" w:hAnsi="宋体"/>
          <w:b/>
          <w:sz w:val="28"/>
          <w:szCs w:val="28"/>
        </w:rPr>
      </w:pPr>
    </w:p>
    <w:p w14:paraId="3D0FA776" w14:textId="77777777" w:rsidR="00F309E5" w:rsidRDefault="00F309E5">
      <w:pPr>
        <w:spacing w:line="500" w:lineRule="atLeast"/>
        <w:jc w:val="center"/>
        <w:outlineLvl w:val="0"/>
        <w:rPr>
          <w:rFonts w:ascii="黑体" w:eastAsia="黑体" w:hAnsi="宋体"/>
          <w:b/>
          <w:sz w:val="28"/>
          <w:szCs w:val="28"/>
        </w:rPr>
      </w:pPr>
    </w:p>
    <w:p w14:paraId="1C982134" w14:textId="77777777" w:rsidR="00F309E5" w:rsidRDefault="00F309E5">
      <w:pPr>
        <w:spacing w:line="500" w:lineRule="atLeast"/>
        <w:jc w:val="center"/>
        <w:outlineLvl w:val="0"/>
        <w:rPr>
          <w:rFonts w:ascii="黑体" w:eastAsia="黑体" w:hAnsi="宋体"/>
          <w:b/>
          <w:sz w:val="28"/>
          <w:szCs w:val="28"/>
        </w:rPr>
      </w:pPr>
    </w:p>
    <w:p w14:paraId="133E785F" w14:textId="77777777" w:rsidR="00F309E5" w:rsidRDefault="004F2640">
      <w:pPr>
        <w:spacing w:line="500" w:lineRule="atLeast"/>
        <w:jc w:val="center"/>
        <w:outlineLvl w:val="0"/>
        <w:rPr>
          <w:rFonts w:ascii="宋体" w:hAnsi="宋体"/>
          <w:b/>
          <w:sz w:val="36"/>
          <w:szCs w:val="28"/>
        </w:rPr>
      </w:pPr>
      <w:bookmarkStart w:id="8" w:name="_Toc84607735"/>
      <w:r>
        <w:rPr>
          <w:rFonts w:ascii="宋体" w:hAnsi="宋体" w:hint="eastAsia"/>
          <w:b/>
          <w:sz w:val="32"/>
          <w:szCs w:val="28"/>
        </w:rPr>
        <w:lastRenderedPageBreak/>
        <w:t>目 录</w:t>
      </w:r>
      <w:bookmarkEnd w:id="6"/>
      <w:bookmarkEnd w:id="7"/>
      <w:bookmarkEnd w:id="8"/>
    </w:p>
    <w:p w14:paraId="5E9C9BFE" w14:textId="77777777" w:rsidR="00F309E5" w:rsidRDefault="004F2640">
      <w:pPr>
        <w:pStyle w:val="TOC1"/>
        <w:tabs>
          <w:tab w:val="right" w:leader="dot" w:pos="8296"/>
        </w:tabs>
        <w:spacing w:line="360" w:lineRule="auto"/>
        <w:rPr>
          <w:rFonts w:ascii="Calibri" w:hAnsi="Calibri" w:cs="Calibri"/>
          <w:noProof/>
          <w:sz w:val="24"/>
        </w:rPr>
      </w:pPr>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14:paraId="3919440E" w14:textId="33CD714F" w:rsidR="00F309E5" w:rsidRDefault="009061EA">
      <w:pPr>
        <w:pStyle w:val="TOC1"/>
        <w:tabs>
          <w:tab w:val="right" w:leader="dot" w:pos="8296"/>
        </w:tabs>
        <w:spacing w:line="360" w:lineRule="auto"/>
        <w:rPr>
          <w:rFonts w:ascii="Calibri" w:hAnsi="Calibri" w:cs="Calibri"/>
          <w:noProof/>
          <w:sz w:val="24"/>
        </w:rPr>
      </w:pPr>
      <w:hyperlink w:anchor="_Toc84607739" w:history="1">
        <w:r w:rsidR="004F2640">
          <w:rPr>
            <w:rStyle w:val="aff2"/>
            <w:rFonts w:ascii="宋体" w:hAnsi="宋体" w:cs="Arial"/>
            <w:noProof/>
            <w:sz w:val="24"/>
          </w:rPr>
          <w:t>一、 基金托管协议的依据、目的、原则和解释</w:t>
        </w:r>
        <w:r w:rsidR="004F2640">
          <w:rPr>
            <w:noProof/>
            <w:sz w:val="24"/>
          </w:rPr>
          <w:tab/>
        </w:r>
        <w:r w:rsidR="004F2640">
          <w:rPr>
            <w:noProof/>
            <w:sz w:val="24"/>
          </w:rPr>
          <w:fldChar w:fldCharType="begin"/>
        </w:r>
        <w:r w:rsidR="004F2640">
          <w:rPr>
            <w:noProof/>
            <w:sz w:val="24"/>
          </w:rPr>
          <w:instrText xml:space="preserve"> PAGEREF _Toc84607739 \h </w:instrText>
        </w:r>
        <w:r w:rsidR="004F2640">
          <w:rPr>
            <w:noProof/>
            <w:sz w:val="24"/>
          </w:rPr>
        </w:r>
        <w:r w:rsidR="004F2640">
          <w:rPr>
            <w:noProof/>
            <w:sz w:val="24"/>
          </w:rPr>
          <w:fldChar w:fldCharType="separate"/>
        </w:r>
        <w:r w:rsidR="00FF1E61">
          <w:rPr>
            <w:noProof/>
            <w:sz w:val="24"/>
          </w:rPr>
          <w:t>2</w:t>
        </w:r>
        <w:r w:rsidR="004F2640">
          <w:rPr>
            <w:noProof/>
            <w:sz w:val="24"/>
          </w:rPr>
          <w:fldChar w:fldCharType="end"/>
        </w:r>
      </w:hyperlink>
    </w:p>
    <w:p w14:paraId="19548C54" w14:textId="14E8FF32" w:rsidR="00F309E5" w:rsidRDefault="009061EA">
      <w:pPr>
        <w:pStyle w:val="TOC1"/>
        <w:tabs>
          <w:tab w:val="right" w:leader="dot" w:pos="8296"/>
        </w:tabs>
        <w:spacing w:line="360" w:lineRule="auto"/>
        <w:rPr>
          <w:rFonts w:ascii="Calibri" w:hAnsi="Calibri" w:cs="Calibri"/>
          <w:noProof/>
          <w:sz w:val="24"/>
        </w:rPr>
      </w:pPr>
      <w:hyperlink w:anchor="_Toc84607740" w:history="1">
        <w:r w:rsidR="004F2640">
          <w:rPr>
            <w:rStyle w:val="aff2"/>
            <w:rFonts w:ascii="宋体" w:hAnsi="宋体" w:cs="Arial"/>
            <w:noProof/>
            <w:sz w:val="24"/>
          </w:rPr>
          <w:t>二、 基金托管人对基金管理人的业务监督和核查</w:t>
        </w:r>
        <w:r w:rsidR="004F2640">
          <w:rPr>
            <w:noProof/>
            <w:sz w:val="24"/>
          </w:rPr>
          <w:tab/>
        </w:r>
        <w:r w:rsidR="004F2640">
          <w:rPr>
            <w:noProof/>
            <w:sz w:val="24"/>
          </w:rPr>
          <w:fldChar w:fldCharType="begin"/>
        </w:r>
        <w:r w:rsidR="004F2640">
          <w:rPr>
            <w:noProof/>
            <w:sz w:val="24"/>
          </w:rPr>
          <w:instrText xml:space="preserve"> PAGEREF _Toc84607740 \h </w:instrText>
        </w:r>
        <w:r w:rsidR="004F2640">
          <w:rPr>
            <w:noProof/>
            <w:sz w:val="24"/>
          </w:rPr>
        </w:r>
        <w:r w:rsidR="004F2640">
          <w:rPr>
            <w:noProof/>
            <w:sz w:val="24"/>
          </w:rPr>
          <w:fldChar w:fldCharType="separate"/>
        </w:r>
        <w:r w:rsidR="00FF1E61">
          <w:rPr>
            <w:noProof/>
            <w:sz w:val="24"/>
          </w:rPr>
          <w:t>2</w:t>
        </w:r>
        <w:r w:rsidR="004F2640">
          <w:rPr>
            <w:noProof/>
            <w:sz w:val="24"/>
          </w:rPr>
          <w:fldChar w:fldCharType="end"/>
        </w:r>
      </w:hyperlink>
    </w:p>
    <w:p w14:paraId="5B9831AE" w14:textId="14AF5A50" w:rsidR="00F309E5" w:rsidRDefault="009061EA">
      <w:pPr>
        <w:pStyle w:val="TOC1"/>
        <w:tabs>
          <w:tab w:val="right" w:leader="dot" w:pos="8296"/>
        </w:tabs>
        <w:spacing w:line="360" w:lineRule="auto"/>
        <w:rPr>
          <w:rFonts w:ascii="Calibri" w:hAnsi="Calibri" w:cs="Calibri"/>
          <w:noProof/>
          <w:sz w:val="24"/>
        </w:rPr>
      </w:pPr>
      <w:hyperlink w:anchor="_Toc84607744" w:history="1">
        <w:r w:rsidR="004F2640">
          <w:rPr>
            <w:rStyle w:val="aff2"/>
            <w:rFonts w:ascii="宋体" w:hAnsi="宋体" w:cs="Arial"/>
            <w:noProof/>
            <w:sz w:val="24"/>
          </w:rPr>
          <w:t>三、 基金管理人对基金托管人的业务核查</w:t>
        </w:r>
        <w:r w:rsidR="004F2640">
          <w:rPr>
            <w:noProof/>
            <w:sz w:val="24"/>
          </w:rPr>
          <w:tab/>
        </w:r>
        <w:r w:rsidR="004F2640">
          <w:rPr>
            <w:noProof/>
            <w:sz w:val="24"/>
          </w:rPr>
          <w:fldChar w:fldCharType="begin"/>
        </w:r>
        <w:r w:rsidR="004F2640">
          <w:rPr>
            <w:noProof/>
            <w:sz w:val="24"/>
          </w:rPr>
          <w:instrText xml:space="preserve"> PAGEREF _Toc84607744 \h </w:instrText>
        </w:r>
        <w:r w:rsidR="004F2640">
          <w:rPr>
            <w:noProof/>
            <w:sz w:val="24"/>
          </w:rPr>
        </w:r>
        <w:r w:rsidR="004F2640">
          <w:rPr>
            <w:noProof/>
            <w:sz w:val="24"/>
          </w:rPr>
          <w:fldChar w:fldCharType="separate"/>
        </w:r>
        <w:r w:rsidR="00FF1E61">
          <w:rPr>
            <w:noProof/>
            <w:sz w:val="24"/>
          </w:rPr>
          <w:t>7</w:t>
        </w:r>
        <w:r w:rsidR="004F2640">
          <w:rPr>
            <w:noProof/>
            <w:sz w:val="24"/>
          </w:rPr>
          <w:fldChar w:fldCharType="end"/>
        </w:r>
      </w:hyperlink>
    </w:p>
    <w:p w14:paraId="78B6BEC4" w14:textId="398D4F8A" w:rsidR="00F309E5" w:rsidRDefault="009061EA">
      <w:pPr>
        <w:pStyle w:val="TOC1"/>
        <w:tabs>
          <w:tab w:val="right" w:leader="dot" w:pos="8296"/>
        </w:tabs>
        <w:spacing w:line="360" w:lineRule="auto"/>
        <w:rPr>
          <w:rFonts w:ascii="Calibri" w:hAnsi="Calibri" w:cs="Calibri"/>
          <w:noProof/>
          <w:sz w:val="24"/>
        </w:rPr>
      </w:pPr>
      <w:hyperlink w:anchor="_Toc84607745" w:history="1">
        <w:r w:rsidR="004F2640">
          <w:rPr>
            <w:rStyle w:val="aff2"/>
            <w:rFonts w:ascii="宋体" w:hAnsi="宋体" w:cs="Arial"/>
            <w:noProof/>
            <w:sz w:val="24"/>
          </w:rPr>
          <w:t>四、 基金财产保管</w:t>
        </w:r>
        <w:r w:rsidR="004F2640">
          <w:rPr>
            <w:noProof/>
            <w:sz w:val="24"/>
          </w:rPr>
          <w:tab/>
        </w:r>
        <w:r w:rsidR="004F2640">
          <w:rPr>
            <w:noProof/>
            <w:sz w:val="24"/>
          </w:rPr>
          <w:fldChar w:fldCharType="begin"/>
        </w:r>
        <w:r w:rsidR="004F2640">
          <w:rPr>
            <w:noProof/>
            <w:sz w:val="24"/>
          </w:rPr>
          <w:instrText xml:space="preserve"> PAGEREF _Toc84607745 \h </w:instrText>
        </w:r>
        <w:r w:rsidR="004F2640">
          <w:rPr>
            <w:noProof/>
            <w:sz w:val="24"/>
          </w:rPr>
        </w:r>
        <w:r w:rsidR="004F2640">
          <w:rPr>
            <w:noProof/>
            <w:sz w:val="24"/>
          </w:rPr>
          <w:fldChar w:fldCharType="separate"/>
        </w:r>
        <w:r w:rsidR="00FF1E61">
          <w:rPr>
            <w:noProof/>
            <w:sz w:val="24"/>
          </w:rPr>
          <w:t>7</w:t>
        </w:r>
        <w:r w:rsidR="004F2640">
          <w:rPr>
            <w:noProof/>
            <w:sz w:val="24"/>
          </w:rPr>
          <w:fldChar w:fldCharType="end"/>
        </w:r>
      </w:hyperlink>
    </w:p>
    <w:p w14:paraId="15C16E40" w14:textId="7FF487C9" w:rsidR="00F309E5" w:rsidRDefault="009061EA">
      <w:pPr>
        <w:pStyle w:val="TOC1"/>
        <w:tabs>
          <w:tab w:val="right" w:leader="dot" w:pos="8296"/>
        </w:tabs>
        <w:spacing w:line="360" w:lineRule="auto"/>
        <w:rPr>
          <w:rFonts w:ascii="Calibri" w:hAnsi="Calibri" w:cs="Calibri"/>
          <w:noProof/>
          <w:sz w:val="24"/>
        </w:rPr>
      </w:pPr>
      <w:hyperlink w:anchor="_Toc84607755" w:history="1">
        <w:r w:rsidR="004F2640">
          <w:rPr>
            <w:rStyle w:val="aff2"/>
            <w:rFonts w:ascii="宋体" w:hAnsi="宋体" w:cs="Arial"/>
            <w:noProof/>
            <w:sz w:val="24"/>
          </w:rPr>
          <w:t>五、 指令的发送、确认和执行</w:t>
        </w:r>
        <w:r w:rsidR="004F2640">
          <w:rPr>
            <w:noProof/>
            <w:sz w:val="24"/>
          </w:rPr>
          <w:tab/>
        </w:r>
        <w:r w:rsidR="004F2640">
          <w:rPr>
            <w:noProof/>
            <w:sz w:val="24"/>
          </w:rPr>
          <w:fldChar w:fldCharType="begin"/>
        </w:r>
        <w:r w:rsidR="004F2640">
          <w:rPr>
            <w:noProof/>
            <w:sz w:val="24"/>
          </w:rPr>
          <w:instrText xml:space="preserve"> PAGEREF _Toc84607755 \h </w:instrText>
        </w:r>
        <w:r w:rsidR="004F2640">
          <w:rPr>
            <w:noProof/>
            <w:sz w:val="24"/>
          </w:rPr>
        </w:r>
        <w:r w:rsidR="004F2640">
          <w:rPr>
            <w:noProof/>
            <w:sz w:val="24"/>
          </w:rPr>
          <w:fldChar w:fldCharType="separate"/>
        </w:r>
        <w:r w:rsidR="00FF1E61">
          <w:rPr>
            <w:noProof/>
            <w:sz w:val="24"/>
          </w:rPr>
          <w:t>10</w:t>
        </w:r>
        <w:r w:rsidR="004F2640">
          <w:rPr>
            <w:noProof/>
            <w:sz w:val="24"/>
          </w:rPr>
          <w:fldChar w:fldCharType="end"/>
        </w:r>
      </w:hyperlink>
    </w:p>
    <w:p w14:paraId="38AF4945" w14:textId="33D9DD59" w:rsidR="00F309E5" w:rsidRDefault="009061EA">
      <w:pPr>
        <w:pStyle w:val="TOC1"/>
        <w:tabs>
          <w:tab w:val="right" w:leader="dot" w:pos="8296"/>
        </w:tabs>
        <w:spacing w:line="360" w:lineRule="auto"/>
        <w:rPr>
          <w:rFonts w:ascii="Calibri" w:hAnsi="Calibri" w:cs="Calibri"/>
          <w:noProof/>
          <w:sz w:val="24"/>
        </w:rPr>
      </w:pPr>
      <w:hyperlink w:anchor="_Toc84607762" w:history="1">
        <w:r w:rsidR="004F2640">
          <w:rPr>
            <w:rStyle w:val="aff2"/>
            <w:rFonts w:ascii="宋体" w:hAnsi="宋体" w:cs="Arial"/>
            <w:noProof/>
            <w:sz w:val="24"/>
          </w:rPr>
          <w:t>六、 交易及清算交收安排</w:t>
        </w:r>
        <w:r w:rsidR="004F2640">
          <w:rPr>
            <w:noProof/>
            <w:sz w:val="24"/>
          </w:rPr>
          <w:tab/>
        </w:r>
        <w:r w:rsidR="004F2640">
          <w:rPr>
            <w:noProof/>
            <w:sz w:val="24"/>
          </w:rPr>
          <w:fldChar w:fldCharType="begin"/>
        </w:r>
        <w:r w:rsidR="004F2640">
          <w:rPr>
            <w:noProof/>
            <w:sz w:val="24"/>
          </w:rPr>
          <w:instrText xml:space="preserve"> PAGEREF _Toc84607762 \h </w:instrText>
        </w:r>
        <w:r w:rsidR="004F2640">
          <w:rPr>
            <w:noProof/>
            <w:sz w:val="24"/>
          </w:rPr>
        </w:r>
        <w:r w:rsidR="004F2640">
          <w:rPr>
            <w:noProof/>
            <w:sz w:val="24"/>
          </w:rPr>
          <w:fldChar w:fldCharType="separate"/>
        </w:r>
        <w:r w:rsidR="00FF1E61">
          <w:rPr>
            <w:noProof/>
            <w:sz w:val="24"/>
          </w:rPr>
          <w:t>13</w:t>
        </w:r>
        <w:r w:rsidR="004F2640">
          <w:rPr>
            <w:noProof/>
            <w:sz w:val="24"/>
          </w:rPr>
          <w:fldChar w:fldCharType="end"/>
        </w:r>
      </w:hyperlink>
    </w:p>
    <w:p w14:paraId="379AA280" w14:textId="7F0CC854" w:rsidR="00F309E5" w:rsidRDefault="009061EA">
      <w:pPr>
        <w:pStyle w:val="TOC1"/>
        <w:tabs>
          <w:tab w:val="right" w:leader="dot" w:pos="8296"/>
        </w:tabs>
        <w:spacing w:line="360" w:lineRule="auto"/>
        <w:rPr>
          <w:rFonts w:ascii="Calibri" w:hAnsi="Calibri" w:cs="Calibri"/>
          <w:noProof/>
          <w:sz w:val="24"/>
        </w:rPr>
      </w:pPr>
      <w:hyperlink w:anchor="_Toc84607768" w:history="1">
        <w:r w:rsidR="004F2640">
          <w:rPr>
            <w:rStyle w:val="aff2"/>
            <w:rFonts w:ascii="宋体" w:hAnsi="宋体" w:cs="Arial"/>
            <w:noProof/>
            <w:sz w:val="24"/>
          </w:rPr>
          <w:t>七、 基金资产净值计算和会计核算</w:t>
        </w:r>
        <w:r w:rsidR="004F2640">
          <w:rPr>
            <w:noProof/>
            <w:sz w:val="24"/>
          </w:rPr>
          <w:tab/>
        </w:r>
        <w:r w:rsidR="004F2640">
          <w:rPr>
            <w:noProof/>
            <w:sz w:val="24"/>
          </w:rPr>
          <w:fldChar w:fldCharType="begin"/>
        </w:r>
        <w:r w:rsidR="004F2640">
          <w:rPr>
            <w:noProof/>
            <w:sz w:val="24"/>
          </w:rPr>
          <w:instrText xml:space="preserve"> PAGEREF _Toc84607768 \h </w:instrText>
        </w:r>
        <w:r w:rsidR="004F2640">
          <w:rPr>
            <w:noProof/>
            <w:sz w:val="24"/>
          </w:rPr>
        </w:r>
        <w:r w:rsidR="004F2640">
          <w:rPr>
            <w:noProof/>
            <w:sz w:val="24"/>
          </w:rPr>
          <w:fldChar w:fldCharType="separate"/>
        </w:r>
        <w:r w:rsidR="00FF1E61">
          <w:rPr>
            <w:noProof/>
            <w:sz w:val="24"/>
          </w:rPr>
          <w:t>17</w:t>
        </w:r>
        <w:r w:rsidR="004F2640">
          <w:rPr>
            <w:noProof/>
            <w:sz w:val="24"/>
          </w:rPr>
          <w:fldChar w:fldCharType="end"/>
        </w:r>
      </w:hyperlink>
    </w:p>
    <w:p w14:paraId="4258D873" w14:textId="6C4E898E" w:rsidR="00F309E5" w:rsidRDefault="009061EA">
      <w:pPr>
        <w:pStyle w:val="TOC1"/>
        <w:tabs>
          <w:tab w:val="right" w:leader="dot" w:pos="8296"/>
        </w:tabs>
        <w:spacing w:line="360" w:lineRule="auto"/>
        <w:rPr>
          <w:rFonts w:ascii="Calibri" w:hAnsi="Calibri" w:cs="Calibri"/>
          <w:noProof/>
          <w:sz w:val="24"/>
        </w:rPr>
      </w:pPr>
      <w:hyperlink w:anchor="_Toc84607774" w:history="1">
        <w:r w:rsidR="004F2640">
          <w:rPr>
            <w:rStyle w:val="aff2"/>
            <w:rFonts w:ascii="宋体" w:hAnsi="宋体" w:cs="Arial"/>
            <w:noProof/>
            <w:sz w:val="24"/>
          </w:rPr>
          <w:t>八、 基金收益分配</w:t>
        </w:r>
        <w:r w:rsidR="004F2640">
          <w:rPr>
            <w:noProof/>
            <w:sz w:val="24"/>
          </w:rPr>
          <w:tab/>
        </w:r>
        <w:r w:rsidR="004F2640">
          <w:rPr>
            <w:noProof/>
            <w:sz w:val="24"/>
          </w:rPr>
          <w:fldChar w:fldCharType="begin"/>
        </w:r>
        <w:r w:rsidR="004F2640">
          <w:rPr>
            <w:noProof/>
            <w:sz w:val="24"/>
          </w:rPr>
          <w:instrText xml:space="preserve"> PAGEREF _Toc84607774 \h </w:instrText>
        </w:r>
        <w:r w:rsidR="004F2640">
          <w:rPr>
            <w:noProof/>
            <w:sz w:val="24"/>
          </w:rPr>
        </w:r>
        <w:r w:rsidR="004F2640">
          <w:rPr>
            <w:noProof/>
            <w:sz w:val="24"/>
          </w:rPr>
          <w:fldChar w:fldCharType="separate"/>
        </w:r>
        <w:r w:rsidR="00FF1E61">
          <w:rPr>
            <w:noProof/>
            <w:sz w:val="24"/>
          </w:rPr>
          <w:t>21</w:t>
        </w:r>
        <w:r w:rsidR="004F2640">
          <w:rPr>
            <w:noProof/>
            <w:sz w:val="24"/>
          </w:rPr>
          <w:fldChar w:fldCharType="end"/>
        </w:r>
      </w:hyperlink>
    </w:p>
    <w:p w14:paraId="65748659" w14:textId="292C14BF" w:rsidR="00F309E5" w:rsidRDefault="009061EA">
      <w:pPr>
        <w:pStyle w:val="TOC1"/>
        <w:tabs>
          <w:tab w:val="right" w:leader="dot" w:pos="8296"/>
        </w:tabs>
        <w:spacing w:line="360" w:lineRule="auto"/>
        <w:rPr>
          <w:rFonts w:ascii="Calibri" w:hAnsi="Calibri" w:cs="Calibri"/>
          <w:noProof/>
          <w:sz w:val="24"/>
        </w:rPr>
      </w:pPr>
      <w:hyperlink w:anchor="_Toc84607775" w:history="1">
        <w:r w:rsidR="004F2640">
          <w:rPr>
            <w:rStyle w:val="aff2"/>
            <w:rFonts w:ascii="宋体" w:hAnsi="宋体" w:cs="Arial"/>
            <w:noProof/>
            <w:sz w:val="24"/>
          </w:rPr>
          <w:t>九、 信息披露</w:t>
        </w:r>
        <w:r w:rsidR="004F2640">
          <w:rPr>
            <w:noProof/>
            <w:sz w:val="24"/>
          </w:rPr>
          <w:tab/>
        </w:r>
        <w:r w:rsidR="004F2640">
          <w:rPr>
            <w:noProof/>
            <w:sz w:val="24"/>
          </w:rPr>
          <w:fldChar w:fldCharType="begin"/>
        </w:r>
        <w:r w:rsidR="004F2640">
          <w:rPr>
            <w:noProof/>
            <w:sz w:val="24"/>
          </w:rPr>
          <w:instrText xml:space="preserve"> PAGEREF _Toc84607775 \h </w:instrText>
        </w:r>
        <w:r w:rsidR="004F2640">
          <w:rPr>
            <w:noProof/>
            <w:sz w:val="24"/>
          </w:rPr>
        </w:r>
        <w:r w:rsidR="004F2640">
          <w:rPr>
            <w:noProof/>
            <w:sz w:val="24"/>
          </w:rPr>
          <w:fldChar w:fldCharType="separate"/>
        </w:r>
        <w:r w:rsidR="00FF1E61">
          <w:rPr>
            <w:noProof/>
            <w:sz w:val="24"/>
          </w:rPr>
          <w:t>21</w:t>
        </w:r>
        <w:r w:rsidR="004F2640">
          <w:rPr>
            <w:noProof/>
            <w:sz w:val="24"/>
          </w:rPr>
          <w:fldChar w:fldCharType="end"/>
        </w:r>
      </w:hyperlink>
    </w:p>
    <w:p w14:paraId="4252E49D" w14:textId="4F3D0D67" w:rsidR="00F309E5" w:rsidRDefault="009061EA">
      <w:pPr>
        <w:pStyle w:val="TOC1"/>
        <w:tabs>
          <w:tab w:val="right" w:leader="dot" w:pos="8296"/>
        </w:tabs>
        <w:spacing w:line="360" w:lineRule="auto"/>
        <w:rPr>
          <w:rFonts w:ascii="Calibri" w:hAnsi="Calibri" w:cs="Calibri"/>
          <w:noProof/>
          <w:sz w:val="24"/>
        </w:rPr>
      </w:pPr>
      <w:hyperlink w:anchor="_Toc84607779" w:history="1">
        <w:r w:rsidR="004F2640">
          <w:rPr>
            <w:rStyle w:val="aff2"/>
            <w:rFonts w:ascii="宋体" w:hAnsi="宋体" w:cs="Arial"/>
            <w:noProof/>
            <w:sz w:val="24"/>
          </w:rPr>
          <w:t>十、 基金费用</w:t>
        </w:r>
        <w:r w:rsidR="004F2640">
          <w:rPr>
            <w:noProof/>
            <w:sz w:val="24"/>
          </w:rPr>
          <w:tab/>
        </w:r>
        <w:r w:rsidR="004F2640">
          <w:rPr>
            <w:noProof/>
            <w:sz w:val="24"/>
          </w:rPr>
          <w:fldChar w:fldCharType="begin"/>
        </w:r>
        <w:r w:rsidR="004F2640">
          <w:rPr>
            <w:noProof/>
            <w:sz w:val="24"/>
          </w:rPr>
          <w:instrText xml:space="preserve"> PAGEREF _Toc84607779 \h </w:instrText>
        </w:r>
        <w:r w:rsidR="004F2640">
          <w:rPr>
            <w:noProof/>
            <w:sz w:val="24"/>
          </w:rPr>
        </w:r>
        <w:r w:rsidR="004F2640">
          <w:rPr>
            <w:noProof/>
            <w:sz w:val="24"/>
          </w:rPr>
          <w:fldChar w:fldCharType="separate"/>
        </w:r>
        <w:r w:rsidR="00FF1E61">
          <w:rPr>
            <w:noProof/>
            <w:sz w:val="24"/>
          </w:rPr>
          <w:t>23</w:t>
        </w:r>
        <w:r w:rsidR="004F2640">
          <w:rPr>
            <w:noProof/>
            <w:sz w:val="24"/>
          </w:rPr>
          <w:fldChar w:fldCharType="end"/>
        </w:r>
      </w:hyperlink>
    </w:p>
    <w:p w14:paraId="0119448A" w14:textId="6A7ED3B9" w:rsidR="00F309E5" w:rsidRDefault="009061EA">
      <w:pPr>
        <w:pStyle w:val="TOC1"/>
        <w:tabs>
          <w:tab w:val="right" w:leader="dot" w:pos="8296"/>
        </w:tabs>
        <w:spacing w:line="360" w:lineRule="auto"/>
        <w:rPr>
          <w:rFonts w:ascii="Calibri" w:hAnsi="Calibri" w:cs="Calibri"/>
          <w:noProof/>
          <w:sz w:val="24"/>
        </w:rPr>
      </w:pPr>
      <w:hyperlink w:anchor="_Toc84607780" w:history="1">
        <w:r w:rsidR="004F2640">
          <w:rPr>
            <w:rStyle w:val="aff2"/>
            <w:rFonts w:ascii="宋体" w:hAnsi="宋体" w:cs="Arial"/>
            <w:noProof/>
            <w:sz w:val="24"/>
          </w:rPr>
          <w:t>十一、 基金份额持有人名册的保管</w:t>
        </w:r>
        <w:r w:rsidR="004F2640">
          <w:rPr>
            <w:noProof/>
            <w:sz w:val="24"/>
          </w:rPr>
          <w:tab/>
        </w:r>
        <w:r w:rsidR="004F2640">
          <w:rPr>
            <w:noProof/>
            <w:sz w:val="24"/>
          </w:rPr>
          <w:fldChar w:fldCharType="begin"/>
        </w:r>
        <w:r w:rsidR="004F2640">
          <w:rPr>
            <w:noProof/>
            <w:sz w:val="24"/>
          </w:rPr>
          <w:instrText xml:space="preserve"> PAGEREF _Toc84607780 \h </w:instrText>
        </w:r>
        <w:r w:rsidR="004F2640">
          <w:rPr>
            <w:noProof/>
            <w:sz w:val="24"/>
          </w:rPr>
        </w:r>
        <w:r w:rsidR="004F2640">
          <w:rPr>
            <w:noProof/>
            <w:sz w:val="24"/>
          </w:rPr>
          <w:fldChar w:fldCharType="separate"/>
        </w:r>
        <w:r w:rsidR="00FF1E61">
          <w:rPr>
            <w:noProof/>
            <w:sz w:val="24"/>
          </w:rPr>
          <w:t>23</w:t>
        </w:r>
        <w:r w:rsidR="004F2640">
          <w:rPr>
            <w:noProof/>
            <w:sz w:val="24"/>
          </w:rPr>
          <w:fldChar w:fldCharType="end"/>
        </w:r>
      </w:hyperlink>
    </w:p>
    <w:p w14:paraId="41670C05" w14:textId="755F39DB" w:rsidR="00F309E5" w:rsidRDefault="009061EA">
      <w:pPr>
        <w:pStyle w:val="TOC1"/>
        <w:tabs>
          <w:tab w:val="right" w:leader="dot" w:pos="8296"/>
        </w:tabs>
        <w:spacing w:line="360" w:lineRule="auto"/>
        <w:rPr>
          <w:rFonts w:ascii="Calibri" w:hAnsi="Calibri" w:cs="Calibri"/>
          <w:noProof/>
          <w:sz w:val="24"/>
        </w:rPr>
      </w:pPr>
      <w:hyperlink w:anchor="_Toc84607781" w:history="1">
        <w:r w:rsidR="004F2640">
          <w:rPr>
            <w:rStyle w:val="aff2"/>
            <w:rFonts w:ascii="宋体" w:hAnsi="宋体" w:cs="Arial"/>
            <w:noProof/>
            <w:sz w:val="24"/>
          </w:rPr>
          <w:t>十二、 基金有关文件和档案的保存</w:t>
        </w:r>
        <w:r w:rsidR="004F2640">
          <w:rPr>
            <w:noProof/>
            <w:sz w:val="24"/>
          </w:rPr>
          <w:tab/>
        </w:r>
        <w:r w:rsidR="004F2640">
          <w:rPr>
            <w:noProof/>
            <w:sz w:val="24"/>
          </w:rPr>
          <w:fldChar w:fldCharType="begin"/>
        </w:r>
        <w:r w:rsidR="004F2640">
          <w:rPr>
            <w:noProof/>
            <w:sz w:val="24"/>
          </w:rPr>
          <w:instrText xml:space="preserve"> PAGEREF _Toc84607781 \h </w:instrText>
        </w:r>
        <w:r w:rsidR="004F2640">
          <w:rPr>
            <w:noProof/>
            <w:sz w:val="24"/>
          </w:rPr>
        </w:r>
        <w:r w:rsidR="004F2640">
          <w:rPr>
            <w:noProof/>
            <w:sz w:val="24"/>
          </w:rPr>
          <w:fldChar w:fldCharType="separate"/>
        </w:r>
        <w:r w:rsidR="00FF1E61">
          <w:rPr>
            <w:noProof/>
            <w:sz w:val="24"/>
          </w:rPr>
          <w:t>23</w:t>
        </w:r>
        <w:r w:rsidR="004F2640">
          <w:rPr>
            <w:noProof/>
            <w:sz w:val="24"/>
          </w:rPr>
          <w:fldChar w:fldCharType="end"/>
        </w:r>
      </w:hyperlink>
    </w:p>
    <w:p w14:paraId="2944E3E6" w14:textId="25DC298A" w:rsidR="00F309E5" w:rsidRDefault="009061EA">
      <w:pPr>
        <w:pStyle w:val="TOC1"/>
        <w:tabs>
          <w:tab w:val="right" w:leader="dot" w:pos="8296"/>
        </w:tabs>
        <w:spacing w:line="360" w:lineRule="auto"/>
        <w:rPr>
          <w:rFonts w:ascii="Calibri" w:hAnsi="Calibri" w:cs="Calibri"/>
          <w:noProof/>
          <w:sz w:val="24"/>
        </w:rPr>
      </w:pPr>
      <w:hyperlink w:anchor="_Toc84607782" w:history="1">
        <w:r w:rsidR="004F2640">
          <w:rPr>
            <w:rStyle w:val="aff2"/>
            <w:rFonts w:ascii="宋体" w:hAnsi="宋体" w:cs="Arial"/>
            <w:noProof/>
            <w:sz w:val="24"/>
          </w:rPr>
          <w:t>十三、 基金管理人和基金托管人的更换</w:t>
        </w:r>
        <w:r w:rsidR="004F2640">
          <w:rPr>
            <w:noProof/>
            <w:sz w:val="24"/>
          </w:rPr>
          <w:tab/>
        </w:r>
        <w:r w:rsidR="004F2640">
          <w:rPr>
            <w:noProof/>
            <w:sz w:val="24"/>
          </w:rPr>
          <w:fldChar w:fldCharType="begin"/>
        </w:r>
        <w:r w:rsidR="004F2640">
          <w:rPr>
            <w:noProof/>
            <w:sz w:val="24"/>
          </w:rPr>
          <w:instrText xml:space="preserve"> PAGEREF _Toc84607782 \h </w:instrText>
        </w:r>
        <w:r w:rsidR="004F2640">
          <w:rPr>
            <w:noProof/>
            <w:sz w:val="24"/>
          </w:rPr>
        </w:r>
        <w:r w:rsidR="004F2640">
          <w:rPr>
            <w:noProof/>
            <w:sz w:val="24"/>
          </w:rPr>
          <w:fldChar w:fldCharType="separate"/>
        </w:r>
        <w:r w:rsidR="00FF1E61">
          <w:rPr>
            <w:noProof/>
            <w:sz w:val="24"/>
          </w:rPr>
          <w:t>24</w:t>
        </w:r>
        <w:r w:rsidR="004F2640">
          <w:rPr>
            <w:noProof/>
            <w:sz w:val="24"/>
          </w:rPr>
          <w:fldChar w:fldCharType="end"/>
        </w:r>
      </w:hyperlink>
    </w:p>
    <w:p w14:paraId="52E7C9D1" w14:textId="1F64E5C8" w:rsidR="00F309E5" w:rsidRDefault="009061EA">
      <w:pPr>
        <w:pStyle w:val="TOC1"/>
        <w:tabs>
          <w:tab w:val="right" w:leader="dot" w:pos="8296"/>
        </w:tabs>
        <w:spacing w:line="360" w:lineRule="auto"/>
        <w:rPr>
          <w:rFonts w:ascii="Calibri" w:hAnsi="Calibri" w:cs="Calibri"/>
          <w:noProof/>
          <w:sz w:val="24"/>
        </w:rPr>
      </w:pPr>
      <w:hyperlink w:anchor="_Toc84607785" w:history="1">
        <w:r w:rsidR="004F2640">
          <w:rPr>
            <w:rStyle w:val="aff2"/>
            <w:rFonts w:ascii="宋体" w:hAnsi="宋体" w:cs="Arial"/>
            <w:noProof/>
            <w:sz w:val="24"/>
          </w:rPr>
          <w:t>十四、 禁止行为</w:t>
        </w:r>
        <w:r w:rsidR="004F2640">
          <w:rPr>
            <w:noProof/>
            <w:sz w:val="24"/>
          </w:rPr>
          <w:tab/>
        </w:r>
        <w:r w:rsidR="004F2640">
          <w:rPr>
            <w:noProof/>
            <w:sz w:val="24"/>
          </w:rPr>
          <w:fldChar w:fldCharType="begin"/>
        </w:r>
        <w:r w:rsidR="004F2640">
          <w:rPr>
            <w:noProof/>
            <w:sz w:val="24"/>
          </w:rPr>
          <w:instrText xml:space="preserve"> PAGEREF _Toc84607785 \h </w:instrText>
        </w:r>
        <w:r w:rsidR="004F2640">
          <w:rPr>
            <w:noProof/>
            <w:sz w:val="24"/>
          </w:rPr>
        </w:r>
        <w:r w:rsidR="004F2640">
          <w:rPr>
            <w:noProof/>
            <w:sz w:val="24"/>
          </w:rPr>
          <w:fldChar w:fldCharType="separate"/>
        </w:r>
        <w:r w:rsidR="00FF1E61">
          <w:rPr>
            <w:noProof/>
            <w:sz w:val="24"/>
          </w:rPr>
          <w:t>26</w:t>
        </w:r>
        <w:r w:rsidR="004F2640">
          <w:rPr>
            <w:noProof/>
            <w:sz w:val="24"/>
          </w:rPr>
          <w:fldChar w:fldCharType="end"/>
        </w:r>
      </w:hyperlink>
    </w:p>
    <w:p w14:paraId="213639E9" w14:textId="34647FA2" w:rsidR="00F309E5" w:rsidRDefault="009061EA">
      <w:pPr>
        <w:pStyle w:val="TOC1"/>
        <w:tabs>
          <w:tab w:val="right" w:leader="dot" w:pos="8296"/>
        </w:tabs>
        <w:spacing w:line="360" w:lineRule="auto"/>
        <w:rPr>
          <w:rFonts w:ascii="Calibri" w:hAnsi="Calibri" w:cs="Calibri"/>
          <w:noProof/>
          <w:sz w:val="24"/>
        </w:rPr>
      </w:pPr>
      <w:hyperlink w:anchor="_Toc84607786" w:history="1">
        <w:r w:rsidR="004F2640">
          <w:rPr>
            <w:rStyle w:val="aff2"/>
            <w:rFonts w:ascii="宋体" w:hAnsi="宋体" w:cs="Arial"/>
            <w:noProof/>
            <w:sz w:val="24"/>
          </w:rPr>
          <w:t>十五、 基金托管协议的变更、终止与基金财产的清算</w:t>
        </w:r>
        <w:r w:rsidR="004F2640">
          <w:rPr>
            <w:noProof/>
            <w:sz w:val="24"/>
          </w:rPr>
          <w:tab/>
        </w:r>
        <w:r w:rsidR="004F2640">
          <w:rPr>
            <w:noProof/>
            <w:sz w:val="24"/>
          </w:rPr>
          <w:fldChar w:fldCharType="begin"/>
        </w:r>
        <w:r w:rsidR="004F2640">
          <w:rPr>
            <w:noProof/>
            <w:sz w:val="24"/>
          </w:rPr>
          <w:instrText xml:space="preserve"> PAGEREF _Toc84607786 \h </w:instrText>
        </w:r>
        <w:r w:rsidR="004F2640">
          <w:rPr>
            <w:noProof/>
            <w:sz w:val="24"/>
          </w:rPr>
        </w:r>
        <w:r w:rsidR="004F2640">
          <w:rPr>
            <w:noProof/>
            <w:sz w:val="24"/>
          </w:rPr>
          <w:fldChar w:fldCharType="separate"/>
        </w:r>
        <w:r w:rsidR="00FF1E61">
          <w:rPr>
            <w:noProof/>
            <w:sz w:val="24"/>
          </w:rPr>
          <w:t>27</w:t>
        </w:r>
        <w:r w:rsidR="004F2640">
          <w:rPr>
            <w:noProof/>
            <w:sz w:val="24"/>
          </w:rPr>
          <w:fldChar w:fldCharType="end"/>
        </w:r>
      </w:hyperlink>
    </w:p>
    <w:p w14:paraId="38585119" w14:textId="2A220F8D" w:rsidR="00F309E5" w:rsidRDefault="009061EA">
      <w:pPr>
        <w:pStyle w:val="TOC1"/>
        <w:tabs>
          <w:tab w:val="right" w:leader="dot" w:pos="8296"/>
        </w:tabs>
        <w:spacing w:line="360" w:lineRule="auto"/>
        <w:rPr>
          <w:rFonts w:ascii="Calibri" w:hAnsi="Calibri" w:cs="Calibri"/>
          <w:noProof/>
          <w:sz w:val="24"/>
        </w:rPr>
      </w:pPr>
      <w:hyperlink w:anchor="_Toc84607787" w:history="1">
        <w:r w:rsidR="004F2640">
          <w:rPr>
            <w:rStyle w:val="aff2"/>
            <w:rFonts w:ascii="宋体" w:hAnsi="宋体" w:cs="Arial"/>
            <w:noProof/>
            <w:sz w:val="24"/>
          </w:rPr>
          <w:t>十六、 违约责任</w:t>
        </w:r>
        <w:r w:rsidR="004F2640">
          <w:rPr>
            <w:noProof/>
            <w:sz w:val="24"/>
          </w:rPr>
          <w:tab/>
        </w:r>
        <w:r w:rsidR="004F2640">
          <w:rPr>
            <w:noProof/>
            <w:sz w:val="24"/>
          </w:rPr>
          <w:fldChar w:fldCharType="begin"/>
        </w:r>
        <w:r w:rsidR="004F2640">
          <w:rPr>
            <w:noProof/>
            <w:sz w:val="24"/>
          </w:rPr>
          <w:instrText xml:space="preserve"> PAGEREF _Toc84607787 \h </w:instrText>
        </w:r>
        <w:r w:rsidR="004F2640">
          <w:rPr>
            <w:noProof/>
            <w:sz w:val="24"/>
          </w:rPr>
        </w:r>
        <w:r w:rsidR="004F2640">
          <w:rPr>
            <w:noProof/>
            <w:sz w:val="24"/>
          </w:rPr>
          <w:fldChar w:fldCharType="separate"/>
        </w:r>
        <w:r w:rsidR="00FF1E61">
          <w:rPr>
            <w:noProof/>
            <w:sz w:val="24"/>
          </w:rPr>
          <w:t>29</w:t>
        </w:r>
        <w:r w:rsidR="004F2640">
          <w:rPr>
            <w:noProof/>
            <w:sz w:val="24"/>
          </w:rPr>
          <w:fldChar w:fldCharType="end"/>
        </w:r>
      </w:hyperlink>
    </w:p>
    <w:p w14:paraId="2F2C016D" w14:textId="1C6F18E8" w:rsidR="00F309E5" w:rsidRDefault="009061EA">
      <w:pPr>
        <w:pStyle w:val="TOC1"/>
        <w:tabs>
          <w:tab w:val="right" w:leader="dot" w:pos="8296"/>
        </w:tabs>
        <w:spacing w:line="360" w:lineRule="auto"/>
        <w:rPr>
          <w:rFonts w:ascii="Calibri" w:hAnsi="Calibri" w:cs="Calibri"/>
          <w:noProof/>
          <w:sz w:val="24"/>
        </w:rPr>
      </w:pPr>
      <w:hyperlink w:anchor="_Toc84607788" w:history="1">
        <w:r w:rsidR="004F2640">
          <w:rPr>
            <w:rStyle w:val="aff2"/>
            <w:rFonts w:ascii="宋体" w:hAnsi="宋体" w:cs="Arial"/>
            <w:noProof/>
            <w:sz w:val="24"/>
          </w:rPr>
          <w:t>十七、 适用法律及争议解决方式</w:t>
        </w:r>
        <w:r w:rsidR="004F2640">
          <w:rPr>
            <w:noProof/>
            <w:sz w:val="24"/>
          </w:rPr>
          <w:tab/>
        </w:r>
        <w:r w:rsidR="004F2640">
          <w:rPr>
            <w:noProof/>
            <w:sz w:val="24"/>
          </w:rPr>
          <w:fldChar w:fldCharType="begin"/>
        </w:r>
        <w:r w:rsidR="004F2640">
          <w:rPr>
            <w:noProof/>
            <w:sz w:val="24"/>
          </w:rPr>
          <w:instrText xml:space="preserve"> PAGEREF _Toc84607788 \h </w:instrText>
        </w:r>
        <w:r w:rsidR="004F2640">
          <w:rPr>
            <w:noProof/>
            <w:sz w:val="24"/>
          </w:rPr>
        </w:r>
        <w:r w:rsidR="004F2640">
          <w:rPr>
            <w:noProof/>
            <w:sz w:val="24"/>
          </w:rPr>
          <w:fldChar w:fldCharType="separate"/>
        </w:r>
        <w:r w:rsidR="00FF1E61">
          <w:rPr>
            <w:noProof/>
            <w:sz w:val="24"/>
          </w:rPr>
          <w:t>29</w:t>
        </w:r>
        <w:r w:rsidR="004F2640">
          <w:rPr>
            <w:noProof/>
            <w:sz w:val="24"/>
          </w:rPr>
          <w:fldChar w:fldCharType="end"/>
        </w:r>
      </w:hyperlink>
    </w:p>
    <w:p w14:paraId="463F882A" w14:textId="03E1F28A" w:rsidR="00F309E5" w:rsidRDefault="009061EA">
      <w:pPr>
        <w:pStyle w:val="TOC1"/>
        <w:tabs>
          <w:tab w:val="right" w:leader="dot" w:pos="8296"/>
        </w:tabs>
        <w:spacing w:line="360" w:lineRule="auto"/>
        <w:rPr>
          <w:rFonts w:ascii="Calibri" w:hAnsi="Calibri" w:cs="Calibri"/>
          <w:noProof/>
          <w:sz w:val="24"/>
        </w:rPr>
      </w:pPr>
      <w:hyperlink w:anchor="_Toc84607789" w:history="1">
        <w:r w:rsidR="004F2640">
          <w:rPr>
            <w:rStyle w:val="aff2"/>
            <w:rFonts w:ascii="宋体" w:hAnsi="宋体" w:cs="Arial"/>
            <w:noProof/>
            <w:sz w:val="24"/>
          </w:rPr>
          <w:t xml:space="preserve">十八、 </w:t>
        </w:r>
        <w:r w:rsidR="004F2640">
          <w:rPr>
            <w:rStyle w:val="aff2"/>
            <w:rFonts w:ascii="宋体" w:hAnsi="宋体" w:cs="Arial" w:hint="eastAsia"/>
            <w:noProof/>
            <w:sz w:val="24"/>
          </w:rPr>
          <w:t>侧袋机制</w:t>
        </w:r>
        <w:r w:rsidR="004F2640">
          <w:rPr>
            <w:noProof/>
            <w:sz w:val="24"/>
          </w:rPr>
          <w:tab/>
        </w:r>
        <w:r w:rsidR="004F2640">
          <w:rPr>
            <w:noProof/>
            <w:sz w:val="24"/>
          </w:rPr>
          <w:fldChar w:fldCharType="begin"/>
        </w:r>
        <w:r w:rsidR="004F2640">
          <w:rPr>
            <w:noProof/>
            <w:sz w:val="24"/>
          </w:rPr>
          <w:instrText xml:space="preserve"> PAGEREF _Toc84607789 \h </w:instrText>
        </w:r>
        <w:r w:rsidR="004F2640">
          <w:rPr>
            <w:noProof/>
            <w:sz w:val="24"/>
          </w:rPr>
        </w:r>
        <w:r w:rsidR="004F2640">
          <w:rPr>
            <w:noProof/>
            <w:sz w:val="24"/>
          </w:rPr>
          <w:fldChar w:fldCharType="separate"/>
        </w:r>
        <w:r w:rsidR="00FF1E61">
          <w:rPr>
            <w:noProof/>
            <w:sz w:val="24"/>
          </w:rPr>
          <w:t>30</w:t>
        </w:r>
        <w:r w:rsidR="004F2640">
          <w:rPr>
            <w:noProof/>
            <w:sz w:val="24"/>
          </w:rPr>
          <w:fldChar w:fldCharType="end"/>
        </w:r>
      </w:hyperlink>
    </w:p>
    <w:p w14:paraId="0E579DBC" w14:textId="20327DE9" w:rsidR="00F309E5" w:rsidRDefault="009061EA">
      <w:pPr>
        <w:pStyle w:val="TOC1"/>
        <w:tabs>
          <w:tab w:val="right" w:leader="dot" w:pos="8296"/>
        </w:tabs>
        <w:spacing w:line="360" w:lineRule="auto"/>
        <w:rPr>
          <w:rFonts w:ascii="Calibri" w:hAnsi="Calibri" w:cs="Calibri"/>
          <w:noProof/>
          <w:sz w:val="24"/>
        </w:rPr>
      </w:pPr>
      <w:hyperlink w:anchor="_Toc84607790" w:history="1">
        <w:r w:rsidR="004F2640">
          <w:rPr>
            <w:rStyle w:val="aff2"/>
            <w:rFonts w:ascii="宋体" w:hAnsi="宋体" w:cs="Arial"/>
            <w:noProof/>
            <w:sz w:val="24"/>
          </w:rPr>
          <w:t xml:space="preserve">十九、 </w:t>
        </w:r>
        <w:r w:rsidR="004F2640">
          <w:rPr>
            <w:rStyle w:val="aff2"/>
            <w:rFonts w:ascii="宋体" w:hAnsi="宋体" w:cs="Arial" w:hint="eastAsia"/>
            <w:noProof/>
            <w:sz w:val="24"/>
          </w:rPr>
          <w:t>基金托管协议的效力和文本</w:t>
        </w:r>
        <w:r w:rsidR="004F2640">
          <w:rPr>
            <w:noProof/>
            <w:sz w:val="24"/>
          </w:rPr>
          <w:tab/>
        </w:r>
        <w:r w:rsidR="004F2640">
          <w:rPr>
            <w:noProof/>
            <w:sz w:val="24"/>
          </w:rPr>
          <w:fldChar w:fldCharType="begin"/>
        </w:r>
        <w:r w:rsidR="004F2640">
          <w:rPr>
            <w:noProof/>
            <w:sz w:val="24"/>
          </w:rPr>
          <w:instrText xml:space="preserve"> PAGEREF _Toc84607790 \h </w:instrText>
        </w:r>
        <w:r w:rsidR="004F2640">
          <w:rPr>
            <w:noProof/>
            <w:sz w:val="24"/>
          </w:rPr>
        </w:r>
        <w:r w:rsidR="004F2640">
          <w:rPr>
            <w:noProof/>
            <w:sz w:val="24"/>
          </w:rPr>
          <w:fldChar w:fldCharType="separate"/>
        </w:r>
        <w:r w:rsidR="00FF1E61">
          <w:rPr>
            <w:noProof/>
            <w:sz w:val="24"/>
          </w:rPr>
          <w:t>30</w:t>
        </w:r>
        <w:r w:rsidR="004F2640">
          <w:rPr>
            <w:noProof/>
            <w:sz w:val="24"/>
          </w:rPr>
          <w:fldChar w:fldCharType="end"/>
        </w:r>
      </w:hyperlink>
    </w:p>
    <w:p w14:paraId="524AED0B" w14:textId="523BEFE8" w:rsidR="00F309E5" w:rsidRDefault="009061EA">
      <w:pPr>
        <w:pStyle w:val="TOC1"/>
        <w:tabs>
          <w:tab w:val="right" w:leader="dot" w:pos="8296"/>
        </w:tabs>
        <w:spacing w:line="360" w:lineRule="auto"/>
        <w:rPr>
          <w:rFonts w:ascii="Calibri" w:hAnsi="Calibri" w:cs="Calibri"/>
          <w:noProof/>
          <w:sz w:val="24"/>
        </w:rPr>
      </w:pPr>
      <w:hyperlink w:anchor="_Toc84607791" w:history="1">
        <w:r w:rsidR="004F2640">
          <w:rPr>
            <w:rStyle w:val="aff2"/>
            <w:rFonts w:ascii="宋体" w:hAnsi="宋体" w:cs="Arial"/>
            <w:noProof/>
            <w:sz w:val="24"/>
          </w:rPr>
          <w:t>二十、 其他事项</w:t>
        </w:r>
        <w:r w:rsidR="004F2640">
          <w:rPr>
            <w:noProof/>
            <w:sz w:val="24"/>
          </w:rPr>
          <w:tab/>
        </w:r>
        <w:r w:rsidR="004F2640">
          <w:rPr>
            <w:noProof/>
            <w:sz w:val="24"/>
          </w:rPr>
          <w:fldChar w:fldCharType="begin"/>
        </w:r>
        <w:r w:rsidR="004F2640">
          <w:rPr>
            <w:noProof/>
            <w:sz w:val="24"/>
          </w:rPr>
          <w:instrText xml:space="preserve"> PAGEREF _Toc84607791 \h </w:instrText>
        </w:r>
        <w:r w:rsidR="004F2640">
          <w:rPr>
            <w:noProof/>
            <w:sz w:val="24"/>
          </w:rPr>
        </w:r>
        <w:r w:rsidR="004F2640">
          <w:rPr>
            <w:noProof/>
            <w:sz w:val="24"/>
          </w:rPr>
          <w:fldChar w:fldCharType="separate"/>
        </w:r>
        <w:r w:rsidR="00FF1E61">
          <w:rPr>
            <w:noProof/>
            <w:sz w:val="24"/>
          </w:rPr>
          <w:t>30</w:t>
        </w:r>
        <w:r w:rsidR="004F2640">
          <w:rPr>
            <w:noProof/>
            <w:sz w:val="24"/>
          </w:rPr>
          <w:fldChar w:fldCharType="end"/>
        </w:r>
      </w:hyperlink>
    </w:p>
    <w:p w14:paraId="1F749E3B" w14:textId="77777777" w:rsidR="00F309E5" w:rsidRDefault="004F2640">
      <w:pPr>
        <w:spacing w:line="360" w:lineRule="auto"/>
        <w:rPr>
          <w:rFonts w:ascii="仿宋_GB2312" w:eastAsia="仿宋_GB2312"/>
          <w:sz w:val="24"/>
        </w:rPr>
      </w:pPr>
      <w:r>
        <w:rPr>
          <w:rFonts w:ascii="宋体" w:hAnsi="宋体"/>
          <w:sz w:val="24"/>
        </w:rPr>
        <w:fldChar w:fldCharType="end"/>
      </w:r>
    </w:p>
    <w:p w14:paraId="68AF89B5" w14:textId="77777777" w:rsidR="00F309E5" w:rsidRDefault="00F309E5">
      <w:pPr>
        <w:widowControl/>
        <w:jc w:val="left"/>
        <w:rPr>
          <w:rFonts w:ascii="仿宋_GB2312" w:eastAsia="仿宋_GB2312"/>
          <w:sz w:val="24"/>
        </w:rPr>
        <w:sectPr w:rsidR="00F309E5">
          <w:headerReference w:type="default" r:id="rId9"/>
          <w:footerReference w:type="default" r:id="rId10"/>
          <w:pgSz w:w="11906" w:h="16838"/>
          <w:pgMar w:top="1440" w:right="1800" w:bottom="1440" w:left="1800" w:header="851" w:footer="992" w:gutter="0"/>
          <w:pgNumType w:start="1"/>
          <w:cols w:space="720"/>
          <w:docGrid w:type="lines" w:linePitch="312"/>
        </w:sectPr>
      </w:pPr>
    </w:p>
    <w:p w14:paraId="43F784C4" w14:textId="138AB521" w:rsidR="00C73F83" w:rsidRDefault="00DA5613">
      <w:pPr>
        <w:pStyle w:val="1"/>
        <w:keepNext w:val="0"/>
        <w:keepLines w:val="0"/>
        <w:numPr>
          <w:ilvl w:val="0"/>
          <w:numId w:val="0"/>
        </w:numPr>
        <w:tabs>
          <w:tab w:val="left" w:pos="420"/>
        </w:tabs>
        <w:autoSpaceDE w:val="0"/>
        <w:autoSpaceDN w:val="0"/>
        <w:spacing w:before="360" w:after="360"/>
        <w:rPr>
          <w:rFonts w:hAnsi="黑体"/>
          <w:b w:val="0"/>
          <w:szCs w:val="32"/>
        </w:rPr>
      </w:pPr>
      <w:bookmarkStart w:id="9" w:name="_Toc382818594"/>
      <w:bookmarkStart w:id="10" w:name="_Toc382819068"/>
      <w:bookmarkStart w:id="11" w:name="_Toc84607736"/>
      <w:r>
        <w:rPr>
          <w:rFonts w:hAnsi="黑体" w:hint="eastAsia"/>
          <w:b w:val="0"/>
          <w:szCs w:val="32"/>
        </w:rPr>
        <w:lastRenderedPageBreak/>
        <w:t>宝盈中债绿色普</w:t>
      </w:r>
      <w:proofErr w:type="gramStart"/>
      <w:r>
        <w:rPr>
          <w:rFonts w:hAnsi="黑体" w:hint="eastAsia"/>
          <w:b w:val="0"/>
          <w:szCs w:val="32"/>
        </w:rPr>
        <w:t>惠主题</w:t>
      </w:r>
      <w:proofErr w:type="gramEnd"/>
      <w:r>
        <w:rPr>
          <w:rFonts w:hAnsi="黑体" w:hint="eastAsia"/>
          <w:b w:val="0"/>
          <w:szCs w:val="32"/>
        </w:rPr>
        <w:t>金融债券优选指数证券投资基金</w:t>
      </w:r>
    </w:p>
    <w:p w14:paraId="3142DFCA" w14:textId="3A32A52D" w:rsidR="00F309E5" w:rsidRDefault="004F2640">
      <w:pPr>
        <w:pStyle w:val="1"/>
        <w:keepNext w:val="0"/>
        <w:keepLines w:val="0"/>
        <w:numPr>
          <w:ilvl w:val="0"/>
          <w:numId w:val="0"/>
        </w:numPr>
        <w:tabs>
          <w:tab w:val="left" w:pos="420"/>
        </w:tabs>
        <w:autoSpaceDE w:val="0"/>
        <w:autoSpaceDN w:val="0"/>
        <w:spacing w:before="360" w:after="360"/>
        <w:rPr>
          <w:rFonts w:hAnsi="黑体"/>
          <w:b w:val="0"/>
          <w:szCs w:val="32"/>
        </w:rPr>
      </w:pPr>
      <w:r>
        <w:rPr>
          <w:rFonts w:hAnsi="黑体" w:hint="eastAsia"/>
          <w:b w:val="0"/>
          <w:szCs w:val="32"/>
        </w:rPr>
        <w:t>托管协议</w:t>
      </w:r>
      <w:bookmarkEnd w:id="9"/>
      <w:bookmarkEnd w:id="10"/>
      <w:bookmarkEnd w:id="11"/>
    </w:p>
    <w:p w14:paraId="6D900599" w14:textId="77777777" w:rsidR="00F309E5" w:rsidRDefault="00F309E5">
      <w:pPr>
        <w:rPr>
          <w:lang w:val="zh-CN"/>
        </w:rPr>
      </w:pPr>
    </w:p>
    <w:p w14:paraId="4933A7C8" w14:textId="77777777" w:rsidR="00F309E5" w:rsidRDefault="00F309E5">
      <w:pPr>
        <w:rPr>
          <w:lang w:val="zh-CN"/>
        </w:rPr>
      </w:pPr>
    </w:p>
    <w:p w14:paraId="5DB87E65" w14:textId="42AE5EB0" w:rsidR="00F309E5" w:rsidRDefault="004F2640">
      <w:pPr>
        <w:pStyle w:val="2"/>
        <w:keepNext w:val="0"/>
        <w:keepLines w:val="0"/>
        <w:autoSpaceDE w:val="0"/>
        <w:autoSpaceDN w:val="0"/>
        <w:spacing w:before="0" w:after="0" w:line="360" w:lineRule="auto"/>
        <w:ind w:firstLineChars="196" w:firstLine="472"/>
        <w:rPr>
          <w:rFonts w:ascii="宋体" w:eastAsia="宋体" w:hAnsi="宋体"/>
          <w:sz w:val="24"/>
        </w:rPr>
      </w:pPr>
      <w:bookmarkStart w:id="12" w:name="_Toc382819069"/>
      <w:bookmarkStart w:id="13" w:name="_Toc84607737"/>
      <w:r>
        <w:rPr>
          <w:rFonts w:ascii="宋体" w:eastAsia="宋体" w:hAnsi="宋体" w:cs="Arial" w:hint="eastAsia"/>
          <w:sz w:val="24"/>
          <w:szCs w:val="24"/>
        </w:rPr>
        <w:t>基金管理人：</w:t>
      </w:r>
      <w:bookmarkEnd w:id="12"/>
      <w:r>
        <w:rPr>
          <w:rFonts w:ascii="宋体" w:eastAsia="宋体" w:hAnsi="宋体" w:cs="Arial" w:hint="eastAsia"/>
          <w:sz w:val="24"/>
          <w:szCs w:val="24"/>
        </w:rPr>
        <w:t>宝</w:t>
      </w:r>
      <w:proofErr w:type="gramStart"/>
      <w:r>
        <w:rPr>
          <w:rFonts w:ascii="宋体" w:eastAsia="宋体" w:hAnsi="宋体" w:cs="Arial" w:hint="eastAsia"/>
          <w:sz w:val="24"/>
          <w:szCs w:val="24"/>
        </w:rPr>
        <w:t>盈</w:t>
      </w:r>
      <w:r>
        <w:rPr>
          <w:rFonts w:ascii="宋体" w:eastAsia="宋体" w:hAnsi="宋体" w:hint="eastAsia"/>
          <w:sz w:val="24"/>
        </w:rPr>
        <w:t>基金</w:t>
      </w:r>
      <w:proofErr w:type="gramEnd"/>
      <w:r>
        <w:rPr>
          <w:rFonts w:ascii="宋体" w:eastAsia="宋体" w:hAnsi="宋体" w:hint="eastAsia"/>
          <w:sz w:val="24"/>
        </w:rPr>
        <w:t>管理有限公司</w:t>
      </w:r>
      <w:bookmarkEnd w:id="13"/>
    </w:p>
    <w:p w14:paraId="09D5C143" w14:textId="77777777" w:rsidR="00F309E5" w:rsidRDefault="004F2640">
      <w:pPr>
        <w:spacing w:line="360" w:lineRule="auto"/>
        <w:ind w:firstLineChars="200" w:firstLine="480"/>
        <w:rPr>
          <w:bCs/>
          <w:sz w:val="24"/>
        </w:rPr>
      </w:pPr>
      <w:r>
        <w:rPr>
          <w:rFonts w:hint="eastAsia"/>
          <w:bCs/>
          <w:sz w:val="24"/>
        </w:rPr>
        <w:t>住所：深圳市福田区莲花街道紫荆社区深南大道</w:t>
      </w:r>
      <w:r>
        <w:rPr>
          <w:rFonts w:hint="eastAsia"/>
          <w:bCs/>
          <w:sz w:val="24"/>
        </w:rPr>
        <w:t>6008</w:t>
      </w:r>
      <w:r>
        <w:rPr>
          <w:rFonts w:hint="eastAsia"/>
          <w:bCs/>
          <w:sz w:val="24"/>
        </w:rPr>
        <w:t>号深圳特区报业大厦</w:t>
      </w:r>
      <w:r>
        <w:rPr>
          <w:rFonts w:hint="eastAsia"/>
          <w:bCs/>
          <w:sz w:val="24"/>
        </w:rPr>
        <w:t>15</w:t>
      </w:r>
      <w:r>
        <w:rPr>
          <w:rFonts w:hint="eastAsia"/>
          <w:bCs/>
          <w:sz w:val="24"/>
        </w:rPr>
        <w:t>层</w:t>
      </w:r>
    </w:p>
    <w:p w14:paraId="6863CF46" w14:textId="77777777" w:rsidR="00F309E5" w:rsidRDefault="004F2640">
      <w:pPr>
        <w:spacing w:line="360" w:lineRule="auto"/>
        <w:ind w:firstLineChars="200" w:firstLine="480"/>
        <w:rPr>
          <w:bCs/>
          <w:sz w:val="24"/>
        </w:rPr>
      </w:pPr>
      <w:r>
        <w:rPr>
          <w:rFonts w:hint="eastAsia"/>
          <w:bCs/>
          <w:sz w:val="24"/>
        </w:rPr>
        <w:t>法定代表人：严震</w:t>
      </w:r>
    </w:p>
    <w:p w14:paraId="5813A983" w14:textId="77777777" w:rsidR="00F309E5" w:rsidRDefault="004F2640">
      <w:pPr>
        <w:spacing w:line="360" w:lineRule="auto"/>
        <w:ind w:firstLineChars="200" w:firstLine="480"/>
        <w:rPr>
          <w:bCs/>
          <w:sz w:val="24"/>
        </w:rPr>
      </w:pPr>
      <w:r>
        <w:rPr>
          <w:rFonts w:hint="eastAsia"/>
          <w:bCs/>
          <w:sz w:val="24"/>
        </w:rPr>
        <w:t>设立日期：</w:t>
      </w:r>
      <w:r>
        <w:rPr>
          <w:rFonts w:hint="eastAsia"/>
          <w:bCs/>
          <w:sz w:val="24"/>
        </w:rPr>
        <w:t>2001</w:t>
      </w:r>
      <w:r>
        <w:rPr>
          <w:rFonts w:hint="eastAsia"/>
          <w:bCs/>
          <w:sz w:val="24"/>
        </w:rPr>
        <w:t>年</w:t>
      </w:r>
      <w:r>
        <w:rPr>
          <w:rFonts w:hint="eastAsia"/>
          <w:bCs/>
          <w:sz w:val="24"/>
        </w:rPr>
        <w:t>5</w:t>
      </w:r>
      <w:r>
        <w:rPr>
          <w:rFonts w:hint="eastAsia"/>
          <w:bCs/>
          <w:sz w:val="24"/>
        </w:rPr>
        <w:t>月</w:t>
      </w:r>
      <w:r>
        <w:rPr>
          <w:rFonts w:hint="eastAsia"/>
          <w:bCs/>
          <w:sz w:val="24"/>
        </w:rPr>
        <w:t>18</w:t>
      </w:r>
      <w:r>
        <w:rPr>
          <w:rFonts w:hint="eastAsia"/>
          <w:bCs/>
          <w:sz w:val="24"/>
        </w:rPr>
        <w:t>日</w:t>
      </w:r>
    </w:p>
    <w:p w14:paraId="055AF4D0" w14:textId="77777777" w:rsidR="00F309E5" w:rsidRDefault="004F2640">
      <w:pPr>
        <w:spacing w:line="360" w:lineRule="auto"/>
        <w:ind w:firstLineChars="200" w:firstLine="480"/>
        <w:rPr>
          <w:bCs/>
          <w:sz w:val="24"/>
        </w:rPr>
      </w:pPr>
      <w:r>
        <w:rPr>
          <w:rFonts w:hint="eastAsia"/>
          <w:bCs/>
          <w:sz w:val="24"/>
        </w:rPr>
        <w:t>批准设立机关及批准设立文号：中国证券监督管理委员会证</w:t>
      </w:r>
      <w:proofErr w:type="gramStart"/>
      <w:r>
        <w:rPr>
          <w:rFonts w:hint="eastAsia"/>
          <w:bCs/>
          <w:sz w:val="24"/>
        </w:rPr>
        <w:t>监基金字</w:t>
      </w:r>
      <w:proofErr w:type="gramEnd"/>
      <w:r>
        <w:rPr>
          <w:rFonts w:hint="eastAsia"/>
          <w:bCs/>
          <w:sz w:val="24"/>
        </w:rPr>
        <w:t>〔</w:t>
      </w:r>
      <w:r>
        <w:rPr>
          <w:rFonts w:hint="eastAsia"/>
          <w:bCs/>
          <w:sz w:val="24"/>
        </w:rPr>
        <w:t>2001</w:t>
      </w:r>
      <w:r>
        <w:rPr>
          <w:rFonts w:hint="eastAsia"/>
          <w:bCs/>
          <w:sz w:val="24"/>
        </w:rPr>
        <w:t>〕</w:t>
      </w:r>
      <w:r>
        <w:rPr>
          <w:rFonts w:hint="eastAsia"/>
          <w:bCs/>
          <w:sz w:val="24"/>
        </w:rPr>
        <w:t>9</w:t>
      </w:r>
      <w:r>
        <w:rPr>
          <w:rFonts w:hint="eastAsia"/>
          <w:bCs/>
          <w:sz w:val="24"/>
        </w:rPr>
        <w:t>号</w:t>
      </w:r>
    </w:p>
    <w:p w14:paraId="0D6E8A76" w14:textId="77777777" w:rsidR="00F309E5" w:rsidRDefault="004F2640">
      <w:pPr>
        <w:spacing w:line="360" w:lineRule="auto"/>
        <w:ind w:firstLineChars="200" w:firstLine="480"/>
        <w:rPr>
          <w:bCs/>
          <w:sz w:val="24"/>
        </w:rPr>
      </w:pPr>
      <w:r>
        <w:rPr>
          <w:rFonts w:hint="eastAsia"/>
          <w:bCs/>
          <w:sz w:val="24"/>
        </w:rPr>
        <w:t>组织形式：有限责任公司</w:t>
      </w:r>
    </w:p>
    <w:p w14:paraId="64C27B80" w14:textId="77777777" w:rsidR="00F309E5" w:rsidRDefault="004F2640">
      <w:pPr>
        <w:spacing w:line="360" w:lineRule="auto"/>
        <w:ind w:firstLineChars="200" w:firstLine="480"/>
        <w:rPr>
          <w:bCs/>
          <w:sz w:val="24"/>
        </w:rPr>
      </w:pPr>
      <w:r>
        <w:rPr>
          <w:rFonts w:hint="eastAsia"/>
          <w:bCs/>
          <w:sz w:val="24"/>
        </w:rPr>
        <w:t>注册资本：</w:t>
      </w:r>
      <w:r>
        <w:rPr>
          <w:rFonts w:hint="eastAsia"/>
          <w:bCs/>
          <w:sz w:val="24"/>
        </w:rPr>
        <w:t>10000</w:t>
      </w:r>
      <w:r>
        <w:rPr>
          <w:rFonts w:hint="eastAsia"/>
          <w:bCs/>
          <w:sz w:val="24"/>
        </w:rPr>
        <w:t>万元人民币</w:t>
      </w:r>
    </w:p>
    <w:p w14:paraId="1408C4E7" w14:textId="77777777" w:rsidR="00F309E5" w:rsidRDefault="004F2640">
      <w:pPr>
        <w:spacing w:line="360" w:lineRule="auto"/>
        <w:ind w:firstLineChars="200" w:firstLine="480"/>
        <w:rPr>
          <w:bCs/>
          <w:sz w:val="24"/>
        </w:rPr>
      </w:pPr>
      <w:r>
        <w:rPr>
          <w:rFonts w:hint="eastAsia"/>
          <w:bCs/>
          <w:sz w:val="24"/>
        </w:rPr>
        <w:t>存续期限：持续经营</w:t>
      </w:r>
    </w:p>
    <w:p w14:paraId="68C5CAEA" w14:textId="42BA755C" w:rsidR="00F309E5" w:rsidRDefault="004F2640">
      <w:pPr>
        <w:tabs>
          <w:tab w:val="left" w:pos="1320"/>
        </w:tabs>
        <w:spacing w:line="360" w:lineRule="auto"/>
        <w:ind w:firstLineChars="200" w:firstLine="480"/>
        <w:rPr>
          <w:rFonts w:ascii="宋体" w:hAnsi="宋体"/>
          <w:sz w:val="24"/>
        </w:rPr>
      </w:pPr>
      <w:r>
        <w:rPr>
          <w:rFonts w:hint="eastAsia"/>
          <w:bCs/>
          <w:sz w:val="24"/>
        </w:rPr>
        <w:t>联系电话：</w:t>
      </w:r>
      <w:r>
        <w:rPr>
          <w:bCs/>
          <w:sz w:val="24"/>
        </w:rPr>
        <w:t>0755-83276688</w:t>
      </w:r>
    </w:p>
    <w:p w14:paraId="0706571E" w14:textId="77777777" w:rsidR="00F309E5" w:rsidRDefault="00F309E5">
      <w:pPr>
        <w:ind w:firstLine="630"/>
      </w:pPr>
    </w:p>
    <w:p w14:paraId="1948C0CA" w14:textId="77777777" w:rsidR="00F309E5" w:rsidRDefault="00F309E5">
      <w:pPr>
        <w:ind w:firstLine="630"/>
      </w:pPr>
    </w:p>
    <w:p w14:paraId="1718C347" w14:textId="77777777" w:rsidR="00F309E5" w:rsidRDefault="00F309E5">
      <w:pPr>
        <w:ind w:firstLine="630"/>
      </w:pPr>
    </w:p>
    <w:p w14:paraId="2C082F9E" w14:textId="77777777" w:rsidR="00F309E5" w:rsidRDefault="00F309E5">
      <w:pPr>
        <w:spacing w:line="360" w:lineRule="auto"/>
        <w:ind w:firstLineChars="200" w:firstLine="482"/>
        <w:rPr>
          <w:rFonts w:ascii="宋体" w:hAnsi="宋体"/>
          <w:b/>
          <w:sz w:val="24"/>
        </w:rPr>
      </w:pPr>
    </w:p>
    <w:p w14:paraId="51179C69" w14:textId="77777777" w:rsidR="00F309E5" w:rsidRDefault="004F2640">
      <w:pPr>
        <w:pStyle w:val="2"/>
        <w:keepNext w:val="0"/>
        <w:keepLines w:val="0"/>
        <w:autoSpaceDE w:val="0"/>
        <w:autoSpaceDN w:val="0"/>
        <w:spacing w:before="0" w:after="0" w:line="360" w:lineRule="auto"/>
        <w:ind w:firstLineChars="196" w:firstLine="472"/>
        <w:rPr>
          <w:rFonts w:ascii="宋体" w:eastAsia="宋体" w:hAnsi="宋体"/>
          <w:bCs w:val="0"/>
          <w:sz w:val="24"/>
          <w:szCs w:val="24"/>
        </w:rPr>
      </w:pPr>
      <w:bookmarkStart w:id="14" w:name="_Toc382819070"/>
      <w:bookmarkStart w:id="15" w:name="_Toc84607738"/>
      <w:r>
        <w:rPr>
          <w:rFonts w:ascii="宋体" w:eastAsia="宋体" w:hAnsi="宋体" w:cs="Arial" w:hint="eastAsia"/>
          <w:sz w:val="24"/>
          <w:szCs w:val="24"/>
        </w:rPr>
        <w:t>基金托管人：</w:t>
      </w:r>
      <w:r>
        <w:rPr>
          <w:rFonts w:ascii="宋体" w:eastAsia="宋体" w:hAnsi="宋体" w:hint="eastAsia"/>
          <w:bCs w:val="0"/>
          <w:sz w:val="24"/>
          <w:szCs w:val="24"/>
        </w:rPr>
        <w:t>上海浦东发展银行股份有限公司</w:t>
      </w:r>
      <w:bookmarkEnd w:id="14"/>
      <w:bookmarkEnd w:id="15"/>
    </w:p>
    <w:p w14:paraId="11D84416" w14:textId="77777777" w:rsidR="00F309E5" w:rsidRDefault="004F2640">
      <w:pPr>
        <w:spacing w:line="360" w:lineRule="auto"/>
        <w:ind w:firstLineChars="200" w:firstLine="480"/>
        <w:rPr>
          <w:rFonts w:ascii="宋体" w:hAnsi="宋体"/>
          <w:sz w:val="24"/>
        </w:rPr>
      </w:pPr>
      <w:r>
        <w:rPr>
          <w:rFonts w:ascii="宋体" w:hAnsi="宋体" w:hint="eastAsia"/>
          <w:sz w:val="24"/>
        </w:rPr>
        <w:t>办公地址：上海市中山东一路12号</w:t>
      </w:r>
    </w:p>
    <w:p w14:paraId="5A0AFDCE" w14:textId="41D397F5" w:rsidR="005F4A7E" w:rsidRPr="005F4A7E" w:rsidRDefault="004F2640">
      <w:pPr>
        <w:spacing w:line="360" w:lineRule="auto"/>
        <w:ind w:firstLineChars="200" w:firstLine="480"/>
        <w:rPr>
          <w:rFonts w:ascii="宋体" w:hAnsi="宋体"/>
          <w:sz w:val="24"/>
        </w:rPr>
      </w:pPr>
      <w:r>
        <w:rPr>
          <w:rFonts w:ascii="宋体" w:hAnsi="宋体" w:hint="eastAsia"/>
          <w:sz w:val="24"/>
        </w:rPr>
        <w:t>法定代表人：张为忠</w:t>
      </w:r>
    </w:p>
    <w:p w14:paraId="380EFCAC" w14:textId="77777777" w:rsidR="00F309E5" w:rsidRDefault="004F2640">
      <w:pPr>
        <w:spacing w:line="360" w:lineRule="auto"/>
        <w:ind w:firstLineChars="200" w:firstLine="480"/>
        <w:rPr>
          <w:rFonts w:ascii="宋体" w:hAnsi="宋体"/>
          <w:sz w:val="24"/>
        </w:rPr>
      </w:pPr>
      <w:r>
        <w:rPr>
          <w:rFonts w:ascii="宋体" w:hAnsi="宋体" w:hint="eastAsia"/>
          <w:sz w:val="24"/>
        </w:rPr>
        <w:t>成立日期：1992年10月19日</w:t>
      </w:r>
    </w:p>
    <w:p w14:paraId="32002B33" w14:textId="77777777" w:rsidR="00F309E5" w:rsidRDefault="004F2640">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4B861FC4" w14:textId="77777777" w:rsidR="00F309E5" w:rsidRDefault="004F2640">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14:paraId="737D6CAE" w14:textId="77777777" w:rsidR="00F309E5" w:rsidRDefault="004F2640">
      <w:pPr>
        <w:spacing w:line="360" w:lineRule="auto"/>
        <w:ind w:firstLineChars="200" w:firstLine="480"/>
        <w:rPr>
          <w:rFonts w:ascii="宋体" w:hAnsi="宋体"/>
          <w:sz w:val="24"/>
        </w:rPr>
      </w:pPr>
      <w:r>
        <w:rPr>
          <w:rFonts w:ascii="宋体" w:hAnsi="宋体" w:hint="eastAsia"/>
          <w:sz w:val="24"/>
        </w:rPr>
        <w:t>组织形式：股份有限公司（上市）</w:t>
      </w:r>
    </w:p>
    <w:p w14:paraId="2DBF3E2E" w14:textId="77777777" w:rsidR="00F309E5" w:rsidRDefault="004F2640">
      <w:pPr>
        <w:spacing w:line="360" w:lineRule="auto"/>
        <w:ind w:firstLineChars="200" w:firstLine="480"/>
        <w:rPr>
          <w:rFonts w:ascii="宋体" w:hAnsi="宋体"/>
          <w:sz w:val="24"/>
        </w:rPr>
      </w:pPr>
      <w:r>
        <w:rPr>
          <w:rFonts w:ascii="宋体" w:hAnsi="宋体" w:hint="eastAsia"/>
          <w:sz w:val="24"/>
        </w:rPr>
        <w:t>注册资本：人民币2935208.0397万元</w:t>
      </w:r>
    </w:p>
    <w:p w14:paraId="3D80E61E" w14:textId="66368E9F" w:rsidR="00F309E5" w:rsidRDefault="004F2640">
      <w:pPr>
        <w:spacing w:line="360" w:lineRule="auto"/>
        <w:ind w:firstLineChars="200" w:firstLine="480"/>
        <w:rPr>
          <w:rFonts w:ascii="宋体" w:hAnsi="宋体"/>
          <w:sz w:val="24"/>
        </w:rPr>
      </w:pPr>
      <w:r>
        <w:rPr>
          <w:rFonts w:ascii="宋体" w:hAnsi="宋体" w:hint="eastAsia"/>
          <w:sz w:val="24"/>
        </w:rPr>
        <w:t>存续期间：持续经营</w:t>
      </w:r>
    </w:p>
    <w:p w14:paraId="1508F3EE" w14:textId="77777777" w:rsidR="00F309E5" w:rsidRDefault="00F309E5">
      <w:pPr>
        <w:spacing w:line="360" w:lineRule="auto"/>
        <w:ind w:firstLineChars="200" w:firstLine="480"/>
        <w:rPr>
          <w:rFonts w:ascii="宋体" w:hAnsi="宋体"/>
          <w:sz w:val="24"/>
        </w:rPr>
      </w:pPr>
    </w:p>
    <w:p w14:paraId="13829B93" w14:textId="77777777" w:rsidR="00F309E5" w:rsidRDefault="00F309E5">
      <w:pPr>
        <w:spacing w:line="360" w:lineRule="auto"/>
        <w:ind w:firstLineChars="200" w:firstLine="480"/>
        <w:rPr>
          <w:rFonts w:ascii="宋体" w:hAnsi="宋体"/>
          <w:sz w:val="24"/>
        </w:rPr>
      </w:pPr>
    </w:p>
    <w:p w14:paraId="14970D07"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6" w:name="_Toc84607739"/>
      <w:r>
        <w:rPr>
          <w:rFonts w:ascii="宋体" w:eastAsia="宋体" w:hAnsi="宋体" w:cs="Arial" w:hint="eastAsia"/>
          <w:sz w:val="30"/>
          <w:szCs w:val="30"/>
        </w:rPr>
        <w:t>基金托管协议的依据、目的、原则和解释</w:t>
      </w:r>
      <w:bookmarkEnd w:id="16"/>
    </w:p>
    <w:p w14:paraId="01DB88FC" w14:textId="77777777" w:rsidR="00F309E5" w:rsidRDefault="004F2640">
      <w:pPr>
        <w:spacing w:line="360" w:lineRule="auto"/>
        <w:ind w:firstLineChars="200" w:firstLine="420"/>
        <w:rPr>
          <w:rFonts w:ascii="宋体" w:hAnsi="宋体"/>
          <w:szCs w:val="21"/>
        </w:rPr>
      </w:pPr>
      <w:r>
        <w:rPr>
          <w:rFonts w:ascii="宋体" w:hAnsi="宋体" w:hint="eastAsia"/>
          <w:szCs w:val="21"/>
        </w:rPr>
        <w:t>（一）依据</w:t>
      </w:r>
    </w:p>
    <w:p w14:paraId="5E22CAF1" w14:textId="3183A6CB" w:rsidR="00F309E5" w:rsidRDefault="004F2640">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中华人民共和国证券法》（以下简称“《证券法》”）、《公开募集证券投资基金运作管理办法》（以下简称《运作办法》）、《公开募集证券投资基金销售机构监督管理办法》、《公开募集证券投资基金信息披露管理办法》（以下简称《信息披露办法》）、《公开募集开放式证券投资基金流动性风险管理规定》(以下简称“《流动性风险管理规定》”)、《证券投资基金托管业务管理办法》、《证券投资基金信息披露内容与格式准则第7号〈托管协议的内容与格式〉》、《</w:t>
      </w:r>
      <w:r w:rsidR="00DA5613" w:rsidRPr="00606F9E">
        <w:rPr>
          <w:rFonts w:ascii="宋体" w:hAnsi="宋体" w:hint="eastAsia"/>
          <w:szCs w:val="21"/>
        </w:rPr>
        <w:t>宝盈中债绿色普惠主题金融债券优选指数证券投资基金</w:t>
      </w:r>
      <w:r>
        <w:rPr>
          <w:rFonts w:ascii="宋体" w:hAnsi="宋体" w:hint="eastAsia"/>
          <w:szCs w:val="21"/>
        </w:rPr>
        <w:t>基金合同》（以下简称《基金合同》）及其他有关法律、法规制定。</w:t>
      </w:r>
    </w:p>
    <w:p w14:paraId="77D05D83" w14:textId="77777777" w:rsidR="00F309E5" w:rsidRDefault="004F2640">
      <w:pPr>
        <w:spacing w:line="360" w:lineRule="auto"/>
        <w:ind w:firstLineChars="200" w:firstLine="420"/>
        <w:rPr>
          <w:rFonts w:ascii="宋体" w:hAnsi="宋体"/>
          <w:szCs w:val="21"/>
        </w:rPr>
      </w:pPr>
      <w:r>
        <w:rPr>
          <w:rFonts w:ascii="宋体" w:hAnsi="宋体" w:hint="eastAsia"/>
          <w:szCs w:val="21"/>
        </w:rPr>
        <w:t>（二）目的</w:t>
      </w:r>
    </w:p>
    <w:p w14:paraId="0FA052E5" w14:textId="77777777" w:rsidR="00F309E5" w:rsidRDefault="004F2640">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1498C8AD" w14:textId="77777777" w:rsidR="00F309E5" w:rsidRDefault="004F2640">
      <w:pPr>
        <w:spacing w:line="360" w:lineRule="auto"/>
        <w:ind w:firstLineChars="200" w:firstLine="420"/>
        <w:rPr>
          <w:rFonts w:ascii="宋体" w:hAnsi="宋体"/>
          <w:szCs w:val="21"/>
        </w:rPr>
      </w:pPr>
      <w:r>
        <w:rPr>
          <w:rFonts w:ascii="宋体" w:hAnsi="宋体" w:hint="eastAsia"/>
          <w:szCs w:val="21"/>
        </w:rPr>
        <w:t>（三）原则</w:t>
      </w:r>
    </w:p>
    <w:p w14:paraId="44575224"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64F6F8E1" w14:textId="77777777" w:rsidR="00F309E5" w:rsidRDefault="004F2640">
      <w:pPr>
        <w:spacing w:after="120" w:line="360" w:lineRule="auto"/>
        <w:ind w:firstLineChars="200" w:firstLine="420"/>
        <w:rPr>
          <w:rFonts w:ascii="宋体" w:hAnsi="宋体"/>
          <w:szCs w:val="21"/>
        </w:rPr>
      </w:pPr>
      <w:r>
        <w:rPr>
          <w:rFonts w:ascii="宋体" w:hAnsi="宋体" w:hint="eastAsia"/>
          <w:szCs w:val="21"/>
        </w:rPr>
        <w:t>（四）解释</w:t>
      </w:r>
    </w:p>
    <w:p w14:paraId="71B6CCB7" w14:textId="77777777" w:rsidR="00F309E5" w:rsidRDefault="004F2640">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除非本协议另有约定，本协议所有术语与《基金合同》的相应术语具有相同含义。若有抵触，应以《基金合同》为准，并依其条款解释。</w:t>
      </w:r>
    </w:p>
    <w:p w14:paraId="0CD887C9" w14:textId="77777777" w:rsidR="00F309E5" w:rsidRDefault="004F2640">
      <w:pPr>
        <w:spacing w:after="120"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w:t>
      </w:r>
      <w:proofErr w:type="gramEnd"/>
      <w:r>
        <w:rPr>
          <w:rFonts w:ascii="宋体" w:hAnsi="宋体" w:hint="eastAsia"/>
          <w:szCs w:val="21"/>
        </w:rPr>
        <w:t>制实施期间的相关安排</w:t>
      </w:r>
      <w:proofErr w:type="gramStart"/>
      <w:r>
        <w:rPr>
          <w:rFonts w:ascii="宋体" w:hAnsi="宋体" w:hint="eastAsia"/>
          <w:szCs w:val="21"/>
        </w:rPr>
        <w:t>见基</w:t>
      </w:r>
      <w:proofErr w:type="gramEnd"/>
      <w:r>
        <w:rPr>
          <w:rFonts w:ascii="宋体" w:hAnsi="宋体" w:hint="eastAsia"/>
          <w:szCs w:val="21"/>
        </w:rPr>
        <w:t>金合同和招募说明书的规定。</w:t>
      </w:r>
    </w:p>
    <w:p w14:paraId="69DDF4DF"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7" w:name="_Toc84607740"/>
      <w:r>
        <w:rPr>
          <w:rFonts w:ascii="宋体" w:eastAsia="宋体" w:hAnsi="宋体" w:cs="Arial" w:hint="eastAsia"/>
          <w:sz w:val="30"/>
          <w:szCs w:val="30"/>
        </w:rPr>
        <w:t>基金托管人对基金管理人的业务监督和核查</w:t>
      </w:r>
      <w:bookmarkEnd w:id="17"/>
    </w:p>
    <w:p w14:paraId="0307FA77" w14:textId="77777777" w:rsidR="00F309E5" w:rsidRDefault="004F2640">
      <w:pPr>
        <w:pStyle w:val="2"/>
        <w:keepNext w:val="0"/>
        <w:keepLines w:val="0"/>
        <w:autoSpaceDE w:val="0"/>
        <w:autoSpaceDN w:val="0"/>
        <w:spacing w:beforeLines="50" w:before="156" w:afterLines="50" w:after="156"/>
        <w:ind w:firstLineChars="150" w:firstLine="315"/>
        <w:rPr>
          <w:rFonts w:ascii="宋体" w:eastAsia="宋体" w:hAnsi="宋体"/>
          <w:b w:val="0"/>
          <w:sz w:val="21"/>
          <w:szCs w:val="21"/>
        </w:rPr>
      </w:pPr>
      <w:bookmarkStart w:id="18" w:name="_Toc382819073"/>
      <w:bookmarkStart w:id="19" w:name="_Toc84607741"/>
      <w:r>
        <w:rPr>
          <w:rFonts w:ascii="宋体" w:eastAsia="宋体" w:hAnsi="宋体" w:hint="eastAsia"/>
          <w:b w:val="0"/>
          <w:sz w:val="21"/>
          <w:szCs w:val="21"/>
        </w:rPr>
        <w:lastRenderedPageBreak/>
        <w:t>（一）基金托管人对基金管理人的投资行为行使监督权</w:t>
      </w:r>
      <w:bookmarkEnd w:id="18"/>
      <w:bookmarkEnd w:id="19"/>
    </w:p>
    <w:p w14:paraId="64204679" w14:textId="77777777" w:rsidR="00F309E5" w:rsidRDefault="004F2640">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453C8659" w14:textId="77777777" w:rsidR="00F309E5" w:rsidRDefault="004F2640">
      <w:pPr>
        <w:widowControl/>
        <w:spacing w:line="324" w:lineRule="auto"/>
        <w:ind w:firstLineChars="200" w:firstLine="420"/>
        <w:jc w:val="left"/>
        <w:rPr>
          <w:rFonts w:ascii="宋体" w:hAnsi="宋体" w:cs="宋体"/>
          <w:szCs w:val="21"/>
        </w:rPr>
      </w:pPr>
      <w:r>
        <w:rPr>
          <w:rFonts w:ascii="宋体" w:hAnsi="宋体" w:hint="eastAsia"/>
          <w:szCs w:val="21"/>
        </w:rPr>
        <w:t>本</w:t>
      </w:r>
      <w:r>
        <w:rPr>
          <w:rFonts w:ascii="宋体" w:hAnsi="宋体" w:cs="宋体" w:hint="eastAsia"/>
          <w:szCs w:val="21"/>
        </w:rPr>
        <w:t>基金将投资于以下金融工具：</w:t>
      </w:r>
    </w:p>
    <w:p w14:paraId="156248AE" w14:textId="7F465591" w:rsidR="00DA5613" w:rsidRDefault="00DA5613">
      <w:pPr>
        <w:widowControl/>
        <w:spacing w:line="324" w:lineRule="auto"/>
        <w:ind w:firstLineChars="200" w:firstLine="420"/>
        <w:rPr>
          <w:rFonts w:ascii="宋体" w:hAnsi="宋体"/>
          <w:szCs w:val="21"/>
        </w:rPr>
      </w:pPr>
      <w:r w:rsidRPr="00DA5613">
        <w:rPr>
          <w:rFonts w:ascii="宋体" w:hAnsi="宋体" w:hint="eastAsia"/>
          <w:szCs w:val="21"/>
        </w:rPr>
        <w:t>本基金主要投资于标的指数成份</w:t>
      </w:r>
      <w:proofErr w:type="gramStart"/>
      <w:r w:rsidRPr="00DA5613">
        <w:rPr>
          <w:rFonts w:ascii="宋体" w:hAnsi="宋体" w:hint="eastAsia"/>
          <w:szCs w:val="21"/>
        </w:rPr>
        <w:t>券</w:t>
      </w:r>
      <w:proofErr w:type="gramEnd"/>
      <w:r w:rsidRPr="00DA5613">
        <w:rPr>
          <w:rFonts w:ascii="宋体" w:hAnsi="宋体" w:hint="eastAsia"/>
          <w:szCs w:val="21"/>
        </w:rPr>
        <w:t>及其备选成份券。为更好实现投资目标</w:t>
      </w:r>
      <w:r w:rsidR="00D27A3C">
        <w:rPr>
          <w:rFonts w:ascii="宋体" w:hAnsi="宋体" w:hint="eastAsia"/>
          <w:szCs w:val="21"/>
        </w:rPr>
        <w:t>，</w:t>
      </w:r>
      <w:r w:rsidRPr="00DA5613">
        <w:rPr>
          <w:rFonts w:ascii="宋体" w:hAnsi="宋体" w:hint="eastAsia"/>
          <w:szCs w:val="21"/>
        </w:rPr>
        <w:t>本基金还可以投资于标的指数成份</w:t>
      </w:r>
      <w:proofErr w:type="gramStart"/>
      <w:r w:rsidRPr="00DA5613">
        <w:rPr>
          <w:rFonts w:ascii="宋体" w:hAnsi="宋体" w:hint="eastAsia"/>
          <w:szCs w:val="21"/>
        </w:rPr>
        <w:t>券</w:t>
      </w:r>
      <w:proofErr w:type="gramEnd"/>
      <w:r w:rsidRPr="00DA5613">
        <w:rPr>
          <w:rFonts w:ascii="宋体" w:hAnsi="宋体" w:hint="eastAsia"/>
          <w:szCs w:val="21"/>
        </w:rPr>
        <w:t>及备选成份券以外的国内依法发行的债券（包括金融债券、国债、央行票据、地方政府债券、政府机构债券</w:t>
      </w:r>
      <w:r w:rsidR="00AD63E1" w:rsidRPr="00AD63E1">
        <w:rPr>
          <w:rFonts w:ascii="宋体" w:hAnsi="宋体" w:hint="eastAsia"/>
          <w:szCs w:val="21"/>
        </w:rPr>
        <w:t>、可分离交易可转债</w:t>
      </w:r>
      <w:proofErr w:type="gramStart"/>
      <w:r w:rsidR="00AD63E1" w:rsidRPr="00AD63E1">
        <w:rPr>
          <w:rFonts w:ascii="宋体" w:hAnsi="宋体" w:hint="eastAsia"/>
          <w:szCs w:val="21"/>
        </w:rPr>
        <w:t>的纯债部</w:t>
      </w:r>
      <w:proofErr w:type="gramEnd"/>
      <w:r w:rsidR="00AD63E1" w:rsidRPr="00AD63E1">
        <w:rPr>
          <w:rFonts w:ascii="宋体" w:hAnsi="宋体" w:hint="eastAsia"/>
          <w:szCs w:val="21"/>
        </w:rPr>
        <w:t>分</w:t>
      </w:r>
      <w:r w:rsidRPr="00DA5613">
        <w:rPr>
          <w:rFonts w:ascii="宋体" w:hAnsi="宋体" w:hint="eastAsia"/>
          <w:szCs w:val="21"/>
        </w:rPr>
        <w:t>）、债券回购、银行存款以及法律法规或中国证监会允许基金投资的其他金融工具，但须符合中国证监会相关规定。</w:t>
      </w:r>
    </w:p>
    <w:p w14:paraId="59D14AAF" w14:textId="3FC76565" w:rsidR="00F309E5" w:rsidRDefault="00DA5613">
      <w:pPr>
        <w:widowControl/>
        <w:spacing w:line="324" w:lineRule="auto"/>
        <w:ind w:firstLineChars="200" w:firstLine="420"/>
        <w:rPr>
          <w:rFonts w:ascii="宋体" w:hAnsi="宋体"/>
          <w:szCs w:val="21"/>
        </w:rPr>
      </w:pPr>
      <w:r w:rsidRPr="00DA5613">
        <w:rPr>
          <w:rFonts w:ascii="宋体" w:hAnsi="宋体" w:hint="eastAsia"/>
          <w:szCs w:val="21"/>
        </w:rPr>
        <w:t>本基金不投资股票等权益类资产</w:t>
      </w:r>
      <w:r w:rsidR="00D27A3C">
        <w:rPr>
          <w:rFonts w:ascii="宋体" w:hAnsi="宋体" w:hint="eastAsia"/>
          <w:szCs w:val="21"/>
        </w:rPr>
        <w:t>，</w:t>
      </w:r>
      <w:r w:rsidR="001444CE" w:rsidRPr="001444CE">
        <w:rPr>
          <w:rFonts w:ascii="宋体" w:hAnsi="宋体" w:hint="eastAsia"/>
          <w:szCs w:val="21"/>
        </w:rPr>
        <w:t>不投资可转债（</w:t>
      </w:r>
      <w:r w:rsidR="00822834" w:rsidRPr="00822834">
        <w:rPr>
          <w:rFonts w:ascii="宋体" w:hAnsi="宋体" w:hint="eastAsia"/>
          <w:szCs w:val="21"/>
        </w:rPr>
        <w:t>可分离交易可转债的</w:t>
      </w:r>
      <w:proofErr w:type="gramStart"/>
      <w:r w:rsidR="00822834" w:rsidRPr="00822834">
        <w:rPr>
          <w:rFonts w:ascii="宋体" w:hAnsi="宋体" w:hint="eastAsia"/>
          <w:szCs w:val="21"/>
        </w:rPr>
        <w:t>纯债部分</w:t>
      </w:r>
      <w:proofErr w:type="gramEnd"/>
      <w:r w:rsidR="00822834" w:rsidRPr="00822834">
        <w:rPr>
          <w:rFonts w:ascii="宋体" w:hAnsi="宋体" w:hint="eastAsia"/>
          <w:szCs w:val="21"/>
        </w:rPr>
        <w:t>除外</w:t>
      </w:r>
      <w:r w:rsidR="001444CE" w:rsidRPr="001444CE">
        <w:rPr>
          <w:rFonts w:ascii="宋体" w:hAnsi="宋体" w:hint="eastAsia"/>
          <w:szCs w:val="21"/>
        </w:rPr>
        <w:t>）、可交债，</w:t>
      </w:r>
      <w:r w:rsidRPr="00DA5613">
        <w:rPr>
          <w:rFonts w:ascii="宋体" w:hAnsi="宋体" w:hint="eastAsia"/>
          <w:szCs w:val="21"/>
        </w:rPr>
        <w:t>也不投资国债期货等衍生品工具。</w:t>
      </w:r>
    </w:p>
    <w:p w14:paraId="3BB79080" w14:textId="7C46C8E4" w:rsidR="00F309E5" w:rsidRDefault="004F2640">
      <w:pPr>
        <w:widowControl/>
        <w:spacing w:line="324" w:lineRule="auto"/>
        <w:ind w:firstLineChars="200" w:firstLine="420"/>
        <w:jc w:val="left"/>
        <w:rPr>
          <w:rFonts w:ascii="宋体" w:hAnsi="宋体"/>
          <w:szCs w:val="21"/>
        </w:rPr>
      </w:pPr>
      <w:r>
        <w:rPr>
          <w:rFonts w:ascii="宋体" w:hAnsi="宋体" w:hint="eastAsia"/>
          <w:szCs w:val="21"/>
        </w:rPr>
        <w:t>如法律法规或监管机构以后允许基金投资其他品种，基金管理人在履行适当程序后，可以将其纳入投资范围。</w:t>
      </w:r>
    </w:p>
    <w:p w14:paraId="0C2F544C" w14:textId="77777777" w:rsidR="00F309E5" w:rsidRDefault="004F2640">
      <w:pPr>
        <w:widowControl/>
        <w:spacing w:line="324" w:lineRule="auto"/>
        <w:ind w:firstLineChars="200" w:firstLine="420"/>
        <w:jc w:val="left"/>
        <w:rPr>
          <w:rFonts w:ascii="宋体" w:hAnsi="宋体"/>
          <w:szCs w:val="21"/>
        </w:rPr>
      </w:pPr>
      <w:r>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合理疑义的事项进行核查。</w:t>
      </w:r>
    </w:p>
    <w:p w14:paraId="0EC19A44" w14:textId="77777777" w:rsidR="00F309E5" w:rsidRDefault="004F2640">
      <w:pPr>
        <w:widowControl/>
        <w:spacing w:line="324" w:lineRule="auto"/>
        <w:ind w:firstLineChars="200" w:firstLine="420"/>
        <w:jc w:val="left"/>
        <w:rPr>
          <w:rFonts w:ascii="宋体" w:hAnsi="宋体"/>
          <w:szCs w:val="21"/>
        </w:rPr>
      </w:pPr>
      <w:r>
        <w:rPr>
          <w:rFonts w:ascii="宋体" w:hAnsi="宋体" w:hint="eastAsia"/>
          <w:szCs w:val="21"/>
        </w:rPr>
        <w:t>本基金不得投资于相关法律、法规、部门规章及《基金合同》禁止投资的投资工具。</w:t>
      </w:r>
    </w:p>
    <w:p w14:paraId="3447CE16" w14:textId="4295BE0D" w:rsidR="00F309E5" w:rsidRDefault="004F2640">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2.基金托管人根据有关法律法规的规定及《基金合同》的约定对下述基金投资比例进行监督：</w:t>
      </w:r>
    </w:p>
    <w:p w14:paraId="41BA025A" w14:textId="77777777" w:rsidR="00F309E5" w:rsidRDefault="004F2640">
      <w:pPr>
        <w:spacing w:line="324" w:lineRule="auto"/>
        <w:ind w:firstLine="480"/>
        <w:rPr>
          <w:rFonts w:ascii="宋体" w:hAnsi="宋体"/>
          <w:szCs w:val="21"/>
        </w:rPr>
      </w:pPr>
      <w:r>
        <w:rPr>
          <w:rFonts w:ascii="宋体" w:hAnsi="宋体" w:hint="eastAsia"/>
          <w:szCs w:val="21"/>
        </w:rPr>
        <w:t>（1）按法律法规的规定及《基金合同》的约定，本基金的投资资产配置比例为：</w:t>
      </w:r>
    </w:p>
    <w:p w14:paraId="17F900CD" w14:textId="4CEB6B46" w:rsidR="00F309E5" w:rsidRDefault="00DA5613">
      <w:pPr>
        <w:spacing w:line="360" w:lineRule="auto"/>
        <w:ind w:firstLine="420"/>
        <w:rPr>
          <w:rFonts w:ascii="宋体" w:hAnsi="宋体"/>
          <w:szCs w:val="21"/>
        </w:rPr>
      </w:pPr>
      <w:r w:rsidRPr="00DA5613">
        <w:rPr>
          <w:rFonts w:ascii="宋体" w:hAnsi="宋体" w:hint="eastAsia"/>
          <w:szCs w:val="21"/>
        </w:rPr>
        <w:t>基金的投资组合比例为：本基金投资于债券资产的比例不低于基金资产的80%；其中</w:t>
      </w:r>
      <w:r w:rsidR="00CF578E" w:rsidRPr="00CF578E">
        <w:rPr>
          <w:rFonts w:ascii="宋体" w:hAnsi="宋体" w:hint="eastAsia"/>
          <w:szCs w:val="21"/>
        </w:rPr>
        <w:t>投资于</w:t>
      </w:r>
      <w:r w:rsidRPr="00DA5613">
        <w:rPr>
          <w:rFonts w:ascii="宋体" w:hAnsi="宋体" w:hint="eastAsia"/>
          <w:szCs w:val="21"/>
        </w:rPr>
        <w:t>标的指数成份</w:t>
      </w:r>
      <w:proofErr w:type="gramStart"/>
      <w:r w:rsidRPr="00DA5613">
        <w:rPr>
          <w:rFonts w:ascii="宋体" w:hAnsi="宋体" w:hint="eastAsia"/>
          <w:szCs w:val="21"/>
        </w:rPr>
        <w:t>券</w:t>
      </w:r>
      <w:proofErr w:type="gramEnd"/>
      <w:r w:rsidRPr="00DA5613">
        <w:rPr>
          <w:rFonts w:ascii="宋体" w:hAnsi="宋体" w:hint="eastAsia"/>
          <w:szCs w:val="21"/>
        </w:rPr>
        <w:t>及其备选成份券的比例不低于本基金非现金基金资产的80%；每个交易日日</w:t>
      </w:r>
      <w:proofErr w:type="gramStart"/>
      <w:r w:rsidRPr="00DA5613">
        <w:rPr>
          <w:rFonts w:ascii="宋体" w:hAnsi="宋体" w:hint="eastAsia"/>
          <w:szCs w:val="21"/>
        </w:rPr>
        <w:t>终应当</w:t>
      </w:r>
      <w:proofErr w:type="gramEnd"/>
      <w:r w:rsidRPr="00DA5613">
        <w:rPr>
          <w:rFonts w:ascii="宋体" w:hAnsi="宋体" w:hint="eastAsia"/>
          <w:szCs w:val="21"/>
        </w:rPr>
        <w:t>保持不低于基金资产净值5%的现金或者到期日在一年以内的政府债券，其中现金不包括结算备付金、存出保证金、应收申购款等。</w:t>
      </w:r>
    </w:p>
    <w:p w14:paraId="46A0849A" w14:textId="77777777" w:rsidR="00F309E5" w:rsidRDefault="004F2640">
      <w:pPr>
        <w:spacing w:line="360" w:lineRule="auto"/>
        <w:ind w:firstLine="420"/>
        <w:rPr>
          <w:rFonts w:ascii="宋体" w:hAnsi="宋体"/>
          <w:szCs w:val="21"/>
        </w:rPr>
      </w:pPr>
      <w:bookmarkStart w:id="20" w:name="_Hlk164865679"/>
      <w:r>
        <w:rPr>
          <w:rFonts w:ascii="宋体" w:hAnsi="宋体" w:hint="eastAsia"/>
          <w:szCs w:val="21"/>
        </w:rPr>
        <w:t>如法律法规或中国证监会变更投资品种的投资比例限制，基金管理人在履行适当程序后，可以调整上述投资品种的投资比例</w:t>
      </w:r>
      <w:bookmarkEnd w:id="20"/>
      <w:r>
        <w:rPr>
          <w:rFonts w:ascii="宋体" w:hAnsi="宋体" w:hint="eastAsia"/>
          <w:szCs w:val="21"/>
        </w:rPr>
        <w:t>。</w:t>
      </w:r>
    </w:p>
    <w:p w14:paraId="170BD067" w14:textId="77777777" w:rsidR="00F309E5" w:rsidRDefault="004F2640">
      <w:pPr>
        <w:spacing w:line="324" w:lineRule="auto"/>
        <w:ind w:firstLine="480"/>
        <w:rPr>
          <w:rFonts w:ascii="宋体" w:hAnsi="宋体"/>
          <w:szCs w:val="21"/>
        </w:rPr>
      </w:pPr>
      <w:r>
        <w:rPr>
          <w:rFonts w:ascii="宋体" w:hAnsi="宋体" w:hint="eastAsia"/>
          <w:szCs w:val="21"/>
        </w:rPr>
        <w:t xml:space="preserve">（2）根据法律法规的规定及《基金合同》的约定，本基金投资组合遵循以下投资限制： </w:t>
      </w:r>
    </w:p>
    <w:p w14:paraId="492AA2E4" w14:textId="4C0630C6"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1）本基金投资于债券资产的比例不低于基金资产的80%，其中</w:t>
      </w:r>
      <w:r w:rsidR="005169CF" w:rsidRPr="005169CF">
        <w:rPr>
          <w:rFonts w:ascii="宋体" w:hAnsi="宋体" w:cs="宋体" w:hint="eastAsia"/>
          <w:szCs w:val="21"/>
        </w:rPr>
        <w:t>投资于</w:t>
      </w:r>
      <w:r w:rsidRPr="00DA5613">
        <w:rPr>
          <w:rFonts w:ascii="宋体" w:hAnsi="宋体" w:cs="宋体" w:hint="eastAsia"/>
          <w:szCs w:val="21"/>
        </w:rPr>
        <w:t>标的指数成份</w:t>
      </w:r>
      <w:proofErr w:type="gramStart"/>
      <w:r w:rsidRPr="00DA5613">
        <w:rPr>
          <w:rFonts w:ascii="宋体" w:hAnsi="宋体" w:cs="宋体" w:hint="eastAsia"/>
          <w:szCs w:val="21"/>
        </w:rPr>
        <w:t>券</w:t>
      </w:r>
      <w:proofErr w:type="gramEnd"/>
      <w:r w:rsidRPr="00DA5613">
        <w:rPr>
          <w:rFonts w:ascii="宋体" w:hAnsi="宋体" w:cs="宋体" w:hint="eastAsia"/>
          <w:szCs w:val="21"/>
        </w:rPr>
        <w:t>及其备选成份券的比例不低于本基金非现金基金资产的80%；</w:t>
      </w:r>
    </w:p>
    <w:p w14:paraId="03B7DEBF" w14:textId="026D9489"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2）本基金每个交易日日</w:t>
      </w:r>
      <w:proofErr w:type="gramStart"/>
      <w:r w:rsidRPr="00DA5613">
        <w:rPr>
          <w:rFonts w:ascii="宋体" w:hAnsi="宋体" w:cs="宋体" w:hint="eastAsia"/>
          <w:szCs w:val="21"/>
        </w:rPr>
        <w:t>终应当</w:t>
      </w:r>
      <w:proofErr w:type="gramEnd"/>
      <w:r w:rsidRPr="00DA5613">
        <w:rPr>
          <w:rFonts w:ascii="宋体" w:hAnsi="宋体" w:cs="宋体" w:hint="eastAsia"/>
          <w:szCs w:val="21"/>
        </w:rPr>
        <w:t>保持不低于基金资产净值5%的现金或者到期日在一年以内的政府债券，其中现金不包括结算备付金、存出保证金、应收申购款等；</w:t>
      </w:r>
    </w:p>
    <w:p w14:paraId="3FE8F7AA" w14:textId="25D858C0"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lastRenderedPageBreak/>
        <w:t>3）本基金持有一家公司发行的证券，其市值不超过基金资产净值的10%，</w:t>
      </w:r>
      <w:r w:rsidR="00822834" w:rsidRPr="00822834">
        <w:rPr>
          <w:rFonts w:ascii="宋体" w:hAnsi="宋体" w:cs="宋体" w:hint="eastAsia"/>
          <w:szCs w:val="21"/>
        </w:rPr>
        <w:t>但完全按照有关指数的构成比例进行投资的部分不受此限制</w:t>
      </w:r>
      <w:r w:rsidRPr="00DA5613">
        <w:rPr>
          <w:rFonts w:ascii="宋体" w:hAnsi="宋体" w:cs="宋体" w:hint="eastAsia"/>
          <w:szCs w:val="21"/>
        </w:rPr>
        <w:t>；</w:t>
      </w:r>
    </w:p>
    <w:p w14:paraId="67720A06" w14:textId="416C319B"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4）本基金管理人管理的全部基金持有一家公司发行的证券，不超过该证券的10%，</w:t>
      </w:r>
      <w:r w:rsidR="00822834" w:rsidRPr="00822834">
        <w:rPr>
          <w:rFonts w:ascii="宋体" w:hAnsi="宋体" w:cs="宋体" w:hint="eastAsia"/>
          <w:szCs w:val="21"/>
        </w:rPr>
        <w:t>但完全按照有关指数的构成比例进行投资的部分不受此限制</w:t>
      </w:r>
      <w:r w:rsidRPr="00DA5613">
        <w:rPr>
          <w:rFonts w:ascii="宋体" w:hAnsi="宋体" w:cs="宋体" w:hint="eastAsia"/>
          <w:szCs w:val="21"/>
        </w:rPr>
        <w:t>；</w:t>
      </w:r>
    </w:p>
    <w:p w14:paraId="1CF77D25" w14:textId="7E7F3E0F"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D88BCAC" w14:textId="727CB949"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6）本基金与私募类</w:t>
      </w:r>
      <w:proofErr w:type="gramStart"/>
      <w:r w:rsidRPr="00DA5613">
        <w:rPr>
          <w:rFonts w:ascii="宋体" w:hAnsi="宋体" w:cs="宋体" w:hint="eastAsia"/>
          <w:szCs w:val="21"/>
        </w:rPr>
        <w:t>证券资管产品</w:t>
      </w:r>
      <w:proofErr w:type="gramEnd"/>
      <w:r w:rsidRPr="00DA5613">
        <w:rPr>
          <w:rFonts w:ascii="宋体" w:hAnsi="宋体" w:cs="宋体" w:hint="eastAsia"/>
          <w:szCs w:val="21"/>
        </w:rPr>
        <w:t>及中国证监会认定的其他主体为交易对手开展逆回购交易的，可接受质押品的资质要求应当与基金合同约定的投资范围保持一致；</w:t>
      </w:r>
    </w:p>
    <w:p w14:paraId="61BAF038" w14:textId="6038FB17"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7）本基金资产总值不超过基金资产净值的140%；</w:t>
      </w:r>
    </w:p>
    <w:p w14:paraId="5B9E7719" w14:textId="05058876"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8）法律法规及中国证监会规定的和《基金合同》约定的其他投资限制。</w:t>
      </w:r>
    </w:p>
    <w:p w14:paraId="694BE35B" w14:textId="61812777"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除上述第2）、5）、6）项另有约定外，因证券市场波动、证券发行人合并、基金规模变动、标的指数成份</w:t>
      </w:r>
      <w:proofErr w:type="gramStart"/>
      <w:r w:rsidRPr="00DA5613">
        <w:rPr>
          <w:rFonts w:ascii="宋体" w:hAnsi="宋体" w:cs="宋体" w:hint="eastAsia"/>
          <w:szCs w:val="21"/>
        </w:rPr>
        <w:t>券</w:t>
      </w:r>
      <w:proofErr w:type="gramEnd"/>
      <w:r w:rsidRPr="00DA5613">
        <w:rPr>
          <w:rFonts w:ascii="宋体" w:hAnsi="宋体" w:cs="宋体" w:hint="eastAsia"/>
          <w:szCs w:val="21"/>
        </w:rPr>
        <w:t>调整、标的指数成份券流动性限制等基金管理人之外的因素致使基金投资比例不符合上述规定投资比例的，基金管理人应当在10个交易日内进行调整，但中国证监会规定的特殊情形除外。法律法规另有规定的，从其规定。</w:t>
      </w:r>
    </w:p>
    <w:p w14:paraId="1F5DFBC4" w14:textId="35DD1ED4" w:rsidR="00DA5613" w:rsidRPr="00DA5613" w:rsidRDefault="00DA5613" w:rsidP="00DA5613">
      <w:pPr>
        <w:spacing w:line="324" w:lineRule="auto"/>
        <w:ind w:firstLine="480"/>
        <w:rPr>
          <w:rFonts w:ascii="宋体" w:hAnsi="宋体" w:cs="宋体"/>
          <w:szCs w:val="21"/>
        </w:rPr>
      </w:pPr>
      <w:r w:rsidRPr="00DA5613">
        <w:rPr>
          <w:rFonts w:ascii="宋体" w:hAnsi="宋体" w:cs="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0818800" w14:textId="318C0A60" w:rsidR="00F309E5" w:rsidRDefault="00DA5613">
      <w:pPr>
        <w:spacing w:line="440" w:lineRule="atLeast"/>
        <w:ind w:right="28" w:firstLineChars="200" w:firstLine="420"/>
        <w:rPr>
          <w:rFonts w:ascii="宋体" w:hAnsi="宋体"/>
          <w:szCs w:val="21"/>
        </w:rPr>
      </w:pPr>
      <w:r w:rsidRPr="00DA5613">
        <w:rPr>
          <w:rFonts w:ascii="宋体" w:hAnsi="宋体" w:cs="宋体" w:hint="eastAsia"/>
          <w:szCs w:val="21"/>
        </w:rPr>
        <w:t>如法律法规或监管部门对上述投资组合比例限制进行变更的，以变更后的规定为准。法律法规或监管部门取消上述限制，如适用于本基金，基金管理人在履行适当程序后，则本基金投资不再受相关限制</w:t>
      </w:r>
      <w:r w:rsidR="004F2640">
        <w:rPr>
          <w:rFonts w:ascii="宋体" w:hAnsi="宋体" w:hint="eastAsia"/>
          <w:szCs w:val="21"/>
        </w:rPr>
        <w:t>。</w:t>
      </w:r>
    </w:p>
    <w:p w14:paraId="444B3028" w14:textId="6476BFC4" w:rsidR="00F309E5" w:rsidRDefault="004F2640">
      <w:pPr>
        <w:widowControl/>
        <w:spacing w:line="440" w:lineRule="atLeast"/>
        <w:ind w:firstLineChars="200" w:firstLine="420"/>
        <w:jc w:val="left"/>
        <w:rPr>
          <w:rFonts w:ascii="宋体" w:hAnsi="宋体" w:cs="宋体"/>
          <w:szCs w:val="21"/>
        </w:rPr>
      </w:pPr>
      <w:r>
        <w:rPr>
          <w:rFonts w:ascii="宋体" w:hAnsi="宋体" w:cs="宋体" w:hint="eastAsia"/>
          <w:szCs w:val="21"/>
        </w:rPr>
        <w:t>（</w:t>
      </w:r>
      <w:r w:rsidR="00DA5613">
        <w:rPr>
          <w:rFonts w:ascii="宋体" w:hAnsi="宋体" w:cs="宋体"/>
          <w:szCs w:val="21"/>
        </w:rPr>
        <w:t>3</w:t>
      </w:r>
      <w:r>
        <w:rPr>
          <w:rFonts w:ascii="宋体" w:hAnsi="宋体" w:cs="宋体" w:hint="eastAsia"/>
          <w:szCs w:val="21"/>
        </w:rPr>
        <w:t>）相关法律、法规或部门规章规定的其他比例限制。</w:t>
      </w:r>
    </w:p>
    <w:p w14:paraId="1383454D"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3</w:t>
      </w:r>
      <w:r>
        <w:rPr>
          <w:rFonts w:ascii="宋体" w:hAnsi="宋体"/>
          <w:szCs w:val="21"/>
        </w:rPr>
        <w:t>.</w:t>
      </w:r>
      <w:proofErr w:type="gramStart"/>
      <w:r>
        <w:rPr>
          <w:rFonts w:ascii="宋体" w:hAnsi="宋体" w:hint="eastAsia"/>
          <w:szCs w:val="21"/>
        </w:rPr>
        <w:t>侧袋机制</w:t>
      </w:r>
      <w:proofErr w:type="gramEnd"/>
      <w:r>
        <w:rPr>
          <w:rFonts w:ascii="宋体" w:hAnsi="宋体" w:hint="eastAsia"/>
          <w:szCs w:val="21"/>
        </w:rPr>
        <w:t>的实施和投资运作安排</w:t>
      </w:r>
    </w:p>
    <w:p w14:paraId="2E065B7D"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Cs w:val="21"/>
        </w:rPr>
        <w:t>启用侧袋机制</w:t>
      </w:r>
      <w:proofErr w:type="gramEnd"/>
      <w:r>
        <w:rPr>
          <w:rFonts w:ascii="宋体" w:hAnsi="宋体" w:hint="eastAsia"/>
          <w:szCs w:val="21"/>
        </w:rPr>
        <w:t>，无需召开基金份额持有人大会审议。</w:t>
      </w:r>
    </w:p>
    <w:p w14:paraId="44F08CF2" w14:textId="77777777" w:rsidR="00F309E5" w:rsidRDefault="004F2640">
      <w:pPr>
        <w:spacing w:line="440" w:lineRule="atLeast"/>
        <w:ind w:right="28" w:firstLineChars="200" w:firstLine="420"/>
        <w:rPr>
          <w:rFonts w:ascii="宋体" w:hAnsi="宋体"/>
          <w:szCs w:val="21"/>
        </w:rPr>
      </w:pPr>
      <w:proofErr w:type="gramStart"/>
      <w:r>
        <w:rPr>
          <w:rFonts w:ascii="宋体" w:hAnsi="宋体" w:hint="eastAsia"/>
          <w:szCs w:val="21"/>
        </w:rPr>
        <w:t>侧袋机制</w:t>
      </w:r>
      <w:proofErr w:type="gramEnd"/>
      <w:r>
        <w:rPr>
          <w:rFonts w:ascii="宋体" w:hAnsi="宋体" w:hint="eastAsia"/>
          <w:szCs w:val="21"/>
        </w:rPr>
        <w:t>实施期间，本部分约定的投资组合比例、组合限制等约定仅</w:t>
      </w:r>
      <w:proofErr w:type="gramStart"/>
      <w:r>
        <w:rPr>
          <w:rFonts w:ascii="宋体" w:hAnsi="宋体" w:hint="eastAsia"/>
          <w:szCs w:val="21"/>
        </w:rPr>
        <w:t>适用于主袋账</w:t>
      </w:r>
      <w:proofErr w:type="gramEnd"/>
      <w:r>
        <w:rPr>
          <w:rFonts w:ascii="宋体" w:hAnsi="宋体" w:hint="eastAsia"/>
          <w:szCs w:val="21"/>
        </w:rPr>
        <w:t>户。</w:t>
      </w:r>
    </w:p>
    <w:p w14:paraId="5B5C0524" w14:textId="77777777" w:rsidR="00F309E5" w:rsidRDefault="004F2640">
      <w:pPr>
        <w:spacing w:line="440" w:lineRule="atLeast"/>
        <w:ind w:right="28" w:firstLineChars="200" w:firstLine="420"/>
        <w:rPr>
          <w:rFonts w:ascii="宋体" w:hAnsi="宋体"/>
          <w:szCs w:val="21"/>
        </w:rPr>
      </w:pPr>
      <w:proofErr w:type="gramStart"/>
      <w:r>
        <w:rPr>
          <w:rFonts w:ascii="宋体" w:hAnsi="宋体" w:hint="eastAsia"/>
          <w:szCs w:val="21"/>
        </w:rPr>
        <w:t>侧袋账户</w:t>
      </w:r>
      <w:proofErr w:type="gramEnd"/>
      <w:r>
        <w:rPr>
          <w:rFonts w:ascii="宋体" w:hAnsi="宋体" w:hint="eastAsia"/>
          <w:szCs w:val="21"/>
        </w:rPr>
        <w:t>的实施条件、实施程序、运作安排、投资安排、特定资产的处置变现和支付等对投资者权益有重大影响的事项详见招募说明书的规定。</w:t>
      </w:r>
    </w:p>
    <w:p w14:paraId="743E1F20" w14:textId="77777777" w:rsidR="00F309E5" w:rsidRDefault="004F2640">
      <w:pPr>
        <w:spacing w:line="440" w:lineRule="atLeast"/>
        <w:ind w:right="28" w:firstLineChars="200" w:firstLine="420"/>
        <w:rPr>
          <w:rFonts w:ascii="宋体" w:hAnsi="宋体"/>
          <w:szCs w:val="21"/>
        </w:rPr>
      </w:pPr>
      <w:r>
        <w:rPr>
          <w:rFonts w:ascii="宋体" w:hAnsi="宋体"/>
          <w:szCs w:val="21"/>
        </w:rPr>
        <w:t>4</w:t>
      </w:r>
      <w:r>
        <w:rPr>
          <w:rFonts w:ascii="宋体" w:hAnsi="宋体" w:hint="eastAsia"/>
          <w:szCs w:val="21"/>
        </w:rPr>
        <w:t xml:space="preserve">.基金托管人根据有关法律法规的规定及《基金合同》的约定对下述基金投资禁止行为进行监督： </w:t>
      </w:r>
    </w:p>
    <w:p w14:paraId="0E3D01CB"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根据法律法规的规定及《基金合同》的约定，本基金禁止从事下列行为：</w:t>
      </w:r>
    </w:p>
    <w:p w14:paraId="557A8344"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lastRenderedPageBreak/>
        <w:t>（1）承销证券；</w:t>
      </w:r>
    </w:p>
    <w:p w14:paraId="580A9C39"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（2）违反规定向他人贷款或者提供担保；</w:t>
      </w:r>
    </w:p>
    <w:p w14:paraId="2A180C5A"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（3）从事承担无限责任的投资；</w:t>
      </w:r>
    </w:p>
    <w:p w14:paraId="779EA3C5"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（4）买卖其他基金份额，但法律法规或中国证监会另有规定的除外；</w:t>
      </w:r>
    </w:p>
    <w:p w14:paraId="1BFDBCEC"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（5）向本</w:t>
      </w:r>
      <w:proofErr w:type="gramStart"/>
      <w:r>
        <w:rPr>
          <w:rFonts w:ascii="宋体" w:hAnsi="宋体" w:hint="eastAsia"/>
          <w:szCs w:val="21"/>
        </w:rPr>
        <w:t>基金基金</w:t>
      </w:r>
      <w:proofErr w:type="gramEnd"/>
      <w:r>
        <w:rPr>
          <w:rFonts w:ascii="宋体" w:hAnsi="宋体" w:hint="eastAsia"/>
          <w:szCs w:val="21"/>
        </w:rPr>
        <w:t>管理人、基金托管人出资；</w:t>
      </w:r>
    </w:p>
    <w:p w14:paraId="7045630D" w14:textId="05A8CFDE" w:rsidR="00F309E5" w:rsidRDefault="004F264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）从事内幕交易、操纵证券交易价格及其他不正当的证券交易活动；</w:t>
      </w:r>
    </w:p>
    <w:p w14:paraId="30F5E834" w14:textId="383B34A4" w:rsidR="00F309E5" w:rsidRDefault="004F2640">
      <w:pPr>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）法律、行政法规和中国证监会规定禁止的其他活动。</w:t>
      </w:r>
    </w:p>
    <w:p w14:paraId="64D9DDBE"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法律、行政法规或监管部门取消或变更上述限制，如适用于本基金，基金管理人在履行适当程序后，则本基金投资不再受上述相关限制或按变更后的规定执行。</w:t>
      </w:r>
    </w:p>
    <w:p w14:paraId="151CAD79" w14:textId="77777777" w:rsidR="00F309E5" w:rsidRDefault="004F2640">
      <w:pPr>
        <w:spacing w:line="440" w:lineRule="atLeast"/>
        <w:ind w:right="28" w:firstLineChars="200" w:firstLine="420"/>
        <w:rPr>
          <w:rFonts w:ascii="宋体" w:hAnsi="宋体"/>
          <w:szCs w:val="21"/>
        </w:rPr>
      </w:pPr>
      <w:r>
        <w:rPr>
          <w:rFonts w:ascii="宋体" w:hAnsi="宋体"/>
          <w:szCs w:val="21"/>
        </w:rPr>
        <w:t>5.基金托管人依据有关法律法规的规定和《基金合同》的约定对于基金关联投资限制进行监督。</w:t>
      </w:r>
    </w:p>
    <w:p w14:paraId="0837C092"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3B58E90" w14:textId="22411186" w:rsidR="00F309E5" w:rsidRDefault="004F2640">
      <w:pPr>
        <w:spacing w:after="120" w:line="440" w:lineRule="exact"/>
        <w:ind w:firstLineChars="200" w:firstLine="420"/>
        <w:rPr>
          <w:rFonts w:ascii="宋体" w:hAnsi="宋体"/>
          <w:szCs w:val="21"/>
        </w:rPr>
      </w:pPr>
      <w:r>
        <w:rPr>
          <w:rFonts w:ascii="宋体" w:hAnsi="宋体" w:hint="eastAsia"/>
          <w:szCs w:val="21"/>
        </w:rPr>
        <w:t>如法律、法规或《基金合同》有关于基金从事关联交易的规定，基金管理人和基金托管人事先相互提供关联方清单及关联关系。双方有责任确保关联交易名单的真实性、准确性、完整性，并负责及时将更新后的名单发送给对方。名单变更后一方应及时发送另一方，经对方确认后，新的关联交易名单开始生效。基金托管人仅按基金管理人提供的基金关联方名单为限，进行监督。基金管理人或基金托管人隐瞒其关联方及关联</w:t>
      </w:r>
      <w:proofErr w:type="gramStart"/>
      <w:r>
        <w:rPr>
          <w:rFonts w:ascii="宋体" w:hAnsi="宋体" w:hint="eastAsia"/>
          <w:szCs w:val="21"/>
        </w:rPr>
        <w:t>方发行</w:t>
      </w:r>
      <w:proofErr w:type="gramEnd"/>
      <w:r>
        <w:rPr>
          <w:rFonts w:ascii="宋体" w:hAnsi="宋体" w:hint="eastAsia"/>
          <w:szCs w:val="21"/>
        </w:rPr>
        <w:t>的证券，导致基金违规进行关联交易，并造成基金资产损失的，由隐瞒方承担责任。</w:t>
      </w:r>
    </w:p>
    <w:p w14:paraId="172B2CD7" w14:textId="77777777" w:rsidR="00F309E5" w:rsidRDefault="004F2640">
      <w:pPr>
        <w:spacing w:line="440" w:lineRule="exact"/>
        <w:ind w:firstLineChars="200" w:firstLine="420"/>
        <w:rPr>
          <w:rFonts w:ascii="宋体" w:hAnsi="宋体"/>
          <w:szCs w:val="21"/>
        </w:rPr>
      </w:pPr>
      <w:r>
        <w:rPr>
          <w:rFonts w:ascii="宋体" w:hAnsi="宋体"/>
          <w:szCs w:val="21"/>
        </w:rPr>
        <w:t>6</w:t>
      </w:r>
      <w:r>
        <w:rPr>
          <w:rFonts w:ascii="宋体" w:hAnsi="宋体" w:hint="eastAsia"/>
          <w:szCs w:val="21"/>
        </w:rPr>
        <w:t>.基金托管人</w:t>
      </w:r>
      <w:r>
        <w:rPr>
          <w:rFonts w:ascii="宋体" w:hAnsi="宋体" w:cs="宋体" w:hint="eastAsia"/>
          <w:szCs w:val="21"/>
        </w:rPr>
        <w:t>依据有关法律法规的规定和《基金合同》的约定</w:t>
      </w:r>
      <w:r>
        <w:rPr>
          <w:rFonts w:ascii="宋体" w:hAnsi="宋体" w:hint="eastAsia"/>
          <w:szCs w:val="21"/>
        </w:rPr>
        <w:t>对基金管理人参与银行间债券市场进行监督。</w:t>
      </w:r>
    </w:p>
    <w:p w14:paraId="6E63F7C3" w14:textId="77777777" w:rsidR="00F309E5" w:rsidRDefault="004F2640">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如基金管理人在基金投资运作之前未向基金托管人提供银行间债券市场交易对手名单的，视为基金管理人认可全市场交易对手。基金管理人有责任控制交易对手的资信风险，由于交易对手的资信风险引起的损失，基金管理人应当负责向相关责任人追偿，基金托管人应提供必要的配合。</w:t>
      </w:r>
    </w:p>
    <w:p w14:paraId="0C24F4DF" w14:textId="77777777" w:rsidR="00F309E5" w:rsidRDefault="004F2640">
      <w:pPr>
        <w:spacing w:line="440" w:lineRule="exact"/>
        <w:ind w:firstLineChars="200" w:firstLine="420"/>
        <w:rPr>
          <w:rFonts w:ascii="宋体" w:hAnsi="宋体"/>
          <w:szCs w:val="21"/>
        </w:rPr>
      </w:pPr>
      <w:r>
        <w:rPr>
          <w:rFonts w:ascii="宋体" w:hAnsi="宋体"/>
          <w:szCs w:val="21"/>
        </w:rPr>
        <w:t>7</w:t>
      </w:r>
      <w:r>
        <w:rPr>
          <w:rFonts w:ascii="宋体" w:hAnsi="宋体" w:hint="eastAsia"/>
          <w:szCs w:val="21"/>
        </w:rPr>
        <w:t>. 基金托管人依据有关法律法规的规定和《基金合同》的约定，对基金银行存款业务</w:t>
      </w:r>
      <w:r>
        <w:rPr>
          <w:rFonts w:ascii="宋体" w:hAnsi="宋体" w:hint="eastAsia"/>
          <w:szCs w:val="21"/>
        </w:rPr>
        <w:lastRenderedPageBreak/>
        <w:t>进行监督。</w:t>
      </w:r>
    </w:p>
    <w:p w14:paraId="00D2BA66" w14:textId="77777777" w:rsidR="00F309E5" w:rsidRDefault="004F2640">
      <w:pPr>
        <w:widowControl/>
        <w:spacing w:line="360" w:lineRule="auto"/>
        <w:ind w:firstLineChars="200" w:firstLine="420"/>
        <w:jc w:val="left"/>
        <w:rPr>
          <w:rFonts w:ascii="宋体" w:hAnsi="宋体"/>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基金管理人应当加强对基金投资银行存款风险的评估与研究，严格测算与控制投资银行存款的风险敞口，针对不同类型存款银行建立相关投资限制制度。如果基金托管人在运作过程中遵循</w:t>
      </w:r>
      <w:r>
        <w:rPr>
          <w:rFonts w:ascii="宋体" w:hAnsi="宋体" w:cs="宋体" w:hint="eastAsia"/>
          <w:szCs w:val="21"/>
        </w:rPr>
        <w:t>有关法律法规的规定和《基金合同》的约定</w:t>
      </w:r>
      <w:r>
        <w:rPr>
          <w:rFonts w:ascii="宋体" w:hAnsi="宋体" w:hint="eastAsia"/>
          <w:szCs w:val="21"/>
        </w:rPr>
        <w:t>监督流程，则对于由于存款银行信用风险引起的损失，不承担赔偿责任。</w:t>
      </w:r>
    </w:p>
    <w:p w14:paraId="2F45950D" w14:textId="77777777" w:rsidR="00F309E5" w:rsidRDefault="004F2640">
      <w:pPr>
        <w:pStyle w:val="2"/>
        <w:keepNext w:val="0"/>
        <w:keepLines w:val="0"/>
        <w:autoSpaceDE w:val="0"/>
        <w:autoSpaceDN w:val="0"/>
        <w:spacing w:before="0" w:after="0" w:line="360" w:lineRule="auto"/>
        <w:ind w:firstLineChars="150" w:firstLine="315"/>
        <w:rPr>
          <w:rFonts w:ascii="宋体" w:eastAsia="宋体" w:hAnsi="宋体"/>
          <w:b w:val="0"/>
          <w:sz w:val="21"/>
          <w:szCs w:val="21"/>
        </w:rPr>
      </w:pPr>
      <w:bookmarkStart w:id="21" w:name="_Toc382819074"/>
      <w:bookmarkStart w:id="22" w:name="_Toc84607742"/>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21"/>
      <w:bookmarkEnd w:id="22"/>
    </w:p>
    <w:p w14:paraId="1B73DDD5" w14:textId="77777777" w:rsidR="00F309E5" w:rsidRDefault="004F2640">
      <w:pPr>
        <w:pStyle w:val="2"/>
        <w:keepNext w:val="0"/>
        <w:keepLines w:val="0"/>
        <w:autoSpaceDE w:val="0"/>
        <w:autoSpaceDN w:val="0"/>
        <w:spacing w:before="0" w:after="0" w:line="360" w:lineRule="auto"/>
        <w:ind w:firstLineChars="150" w:firstLine="315"/>
        <w:rPr>
          <w:rFonts w:ascii="宋体" w:eastAsia="宋体" w:hAnsi="宋体"/>
          <w:b w:val="0"/>
          <w:sz w:val="21"/>
          <w:szCs w:val="21"/>
        </w:rPr>
      </w:pPr>
      <w:bookmarkStart w:id="23" w:name="_Toc382819075"/>
      <w:bookmarkStart w:id="24" w:name="_Toc84607743"/>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及时核对，并以书面形式向基金托管人发出回函，进行解释或举证。</w:t>
      </w:r>
      <w:bookmarkEnd w:id="23"/>
      <w:bookmarkEnd w:id="24"/>
    </w:p>
    <w:p w14:paraId="4711E5A5" w14:textId="77777777" w:rsidR="00F309E5" w:rsidRDefault="004F2640">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14A3C20C" w14:textId="77777777" w:rsidR="00F309E5" w:rsidRDefault="004F2640">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合理疑义进行解释或举证，对基金托管人按照法律法规、《基金合同》和本托管协议的要求需向中国证监会报送基金监督报告的，基金管理人应积极配合提供相关数据资料和制度等。</w:t>
      </w:r>
    </w:p>
    <w:p w14:paraId="69581315" w14:textId="5EF42F0A" w:rsidR="00F309E5" w:rsidRDefault="004F2640">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w:t>
      </w:r>
    </w:p>
    <w:p w14:paraId="72E10CD4" w14:textId="77777777" w:rsidR="00F309E5" w:rsidRDefault="004F2640">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3EB6190D" w14:textId="77777777" w:rsidR="00F309E5" w:rsidRDefault="004F2640">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6AEBE142" w14:textId="77777777" w:rsidR="00F309E5" w:rsidRDefault="004F2640">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62DA380" w14:textId="77777777" w:rsidR="00F309E5" w:rsidRDefault="004F2640">
      <w:pPr>
        <w:spacing w:line="440" w:lineRule="exact"/>
        <w:ind w:firstLineChars="200" w:firstLine="420"/>
        <w:rPr>
          <w:rFonts w:ascii="宋体" w:hAnsi="宋体"/>
          <w:szCs w:val="21"/>
        </w:rPr>
      </w:pPr>
      <w:r>
        <w:rPr>
          <w:rFonts w:ascii="宋体" w:hAnsi="宋体" w:hint="eastAsia"/>
          <w:szCs w:val="21"/>
        </w:rPr>
        <w:t>基金管理人的上述违规失信行为给基金财产或基金份额持有人造成的损失，由基金管理</w:t>
      </w:r>
      <w:r>
        <w:rPr>
          <w:rFonts w:ascii="宋体" w:hAnsi="宋体" w:hint="eastAsia"/>
          <w:szCs w:val="21"/>
        </w:rPr>
        <w:lastRenderedPageBreak/>
        <w:t>人承担。</w:t>
      </w:r>
    </w:p>
    <w:p w14:paraId="4FE64F86"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25" w:name="_Toc84607744"/>
      <w:r>
        <w:rPr>
          <w:rFonts w:ascii="宋体" w:eastAsia="宋体" w:hAnsi="宋体" w:cs="Arial" w:hint="eastAsia"/>
          <w:sz w:val="30"/>
          <w:szCs w:val="30"/>
        </w:rPr>
        <w:t>基金管理人对基金托管人的业务核查</w:t>
      </w:r>
      <w:bookmarkEnd w:id="25"/>
    </w:p>
    <w:p w14:paraId="5185A26B"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各类基金份额净值、是否根据基金管理人指令办理清算交收、进行相关信息披露和监督基金投资运作等行为。</w:t>
      </w:r>
    </w:p>
    <w:p w14:paraId="0EB4BB71"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468785FD" w14:textId="77777777" w:rsidR="00F309E5" w:rsidRDefault="004F2640">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582C0DA1" w14:textId="77777777" w:rsidR="00F309E5" w:rsidRDefault="004F2640">
      <w:pPr>
        <w:spacing w:line="360" w:lineRule="auto"/>
        <w:ind w:firstLineChars="200" w:firstLine="420"/>
        <w:rPr>
          <w:rFonts w:ascii="宋体" w:hAnsi="宋体"/>
          <w:szCs w:val="21"/>
        </w:rPr>
      </w:pPr>
      <w:bookmarkStart w:id="26" w:name="_Toc382819077"/>
      <w:bookmarkStart w:id="27"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6"/>
      <w:bookmarkEnd w:id="27"/>
    </w:p>
    <w:p w14:paraId="2D13C7B6"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28" w:name="_Toc84607745"/>
      <w:r>
        <w:rPr>
          <w:rFonts w:ascii="宋体" w:eastAsia="宋体" w:hAnsi="宋体" w:cs="Arial" w:hint="eastAsia"/>
          <w:sz w:val="30"/>
          <w:szCs w:val="30"/>
        </w:rPr>
        <w:t>基金财产保管</w:t>
      </w:r>
      <w:bookmarkEnd w:id="28"/>
    </w:p>
    <w:p w14:paraId="6AE14C02" w14:textId="77777777" w:rsidR="00F309E5" w:rsidRDefault="004F2640">
      <w:pPr>
        <w:pStyle w:val="2"/>
        <w:keepNext w:val="0"/>
        <w:keepLines w:val="0"/>
        <w:autoSpaceDE w:val="0"/>
        <w:autoSpaceDN w:val="0"/>
        <w:spacing w:before="0" w:after="0" w:line="360" w:lineRule="auto"/>
        <w:ind w:firstLineChars="150" w:firstLine="315"/>
        <w:rPr>
          <w:rFonts w:ascii="宋体" w:eastAsia="宋体" w:hAnsi="宋体"/>
          <w:b w:val="0"/>
          <w:bCs w:val="0"/>
          <w:sz w:val="21"/>
          <w:szCs w:val="21"/>
        </w:rPr>
      </w:pPr>
      <w:bookmarkStart w:id="29" w:name="_Toc382819079"/>
      <w:bookmarkStart w:id="30" w:name="_Toc84607746"/>
      <w:r>
        <w:rPr>
          <w:rFonts w:ascii="宋体" w:eastAsia="宋体" w:hAnsi="宋体" w:hint="eastAsia"/>
          <w:b w:val="0"/>
          <w:bCs w:val="0"/>
          <w:sz w:val="21"/>
          <w:szCs w:val="21"/>
        </w:rPr>
        <w:t>（一）基金财产保管的原则</w:t>
      </w:r>
      <w:bookmarkEnd w:id="29"/>
      <w:bookmarkEnd w:id="30"/>
    </w:p>
    <w:p w14:paraId="602DE016" w14:textId="77777777" w:rsidR="00F309E5" w:rsidRDefault="004F2640">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5AFA9378" w14:textId="77777777" w:rsidR="00F309E5" w:rsidRDefault="004F2640">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14:paraId="59F83683" w14:textId="77777777" w:rsidR="00F309E5" w:rsidRDefault="004F2640">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3.基金托管人按照规定为托管的基金财产开设资金账户和证券账户及投资所需其他账</w:t>
      </w:r>
      <w:r>
        <w:rPr>
          <w:rFonts w:ascii="宋体" w:hAnsi="宋体" w:hint="eastAsia"/>
          <w:szCs w:val="21"/>
        </w:rPr>
        <w:lastRenderedPageBreak/>
        <w:t>户。</w:t>
      </w:r>
    </w:p>
    <w:p w14:paraId="22502A37" w14:textId="77777777" w:rsidR="00F309E5" w:rsidRDefault="004F2640">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787045A9" w14:textId="77777777" w:rsidR="00F309E5" w:rsidRDefault="004F2640">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相应责任，基金托管人存在过错的除外。</w:t>
      </w:r>
    </w:p>
    <w:p w14:paraId="062D61C1"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1" w:name="_Toc382819080"/>
      <w:bookmarkStart w:id="32" w:name="_Toc84607747"/>
      <w:r>
        <w:rPr>
          <w:rFonts w:ascii="宋体" w:eastAsia="宋体" w:hAnsi="宋体" w:hint="eastAsia"/>
          <w:b w:val="0"/>
          <w:bCs w:val="0"/>
          <w:sz w:val="21"/>
          <w:szCs w:val="21"/>
        </w:rPr>
        <w:t>（二）募集资金的验证</w:t>
      </w:r>
      <w:bookmarkEnd w:id="31"/>
      <w:bookmarkEnd w:id="32"/>
    </w:p>
    <w:p w14:paraId="72B53CC5" w14:textId="34BC69A8" w:rsidR="00F309E5" w:rsidRDefault="004F2640">
      <w:pPr>
        <w:spacing w:line="360" w:lineRule="auto"/>
        <w:ind w:firstLineChars="200" w:firstLine="420"/>
        <w:rPr>
          <w:rFonts w:ascii="宋体" w:hAnsi="宋体"/>
          <w:szCs w:val="21"/>
        </w:rPr>
      </w:pPr>
      <w:r>
        <w:rPr>
          <w:rFonts w:ascii="宋体" w:hAnsi="宋体" w:hint="eastAsia"/>
          <w:szCs w:val="21"/>
        </w:rPr>
        <w:t>基金募集期间募集的资金应开立基金募集专户，该账户由基金管理人开立并管理。</w:t>
      </w:r>
    </w:p>
    <w:p w14:paraId="2DE956CA" w14:textId="3EFDF410" w:rsidR="00F309E5" w:rsidRDefault="004F2640">
      <w:pPr>
        <w:spacing w:line="360" w:lineRule="auto"/>
        <w:ind w:firstLineChars="200" w:firstLine="420"/>
        <w:rPr>
          <w:rFonts w:ascii="宋体" w:hAnsi="宋体"/>
          <w:szCs w:val="21"/>
        </w:rPr>
      </w:pPr>
      <w:r>
        <w:rPr>
          <w:rFonts w:ascii="宋体" w:hAnsi="宋体" w:hint="eastAsia"/>
          <w:szCs w:val="21"/>
        </w:rPr>
        <w:t>基金募集期满或基金停止募集时，募集的基金份额总额、基金认购金额、基金份额持有人人数符合《基金法》、《运作办法》等有关规定后，基金管理人应将募集的属于本基金财产的全部资金划入基金托管人为基金开立的资产托管专户中，同时在规定时间内，由基金管理人聘请符合《证券法》规定的会计师事务所进行验资，出具验资报告，出具的验资报告应由参加验资的2名以上（含2名）中国注册会计师签字方为有效。</w:t>
      </w:r>
    </w:p>
    <w:p w14:paraId="6BB35BB9" w14:textId="2F88F08A" w:rsidR="00F309E5" w:rsidRDefault="004F2640">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募集期限届满，未能达到《基金合同》备案的条件，由基金管理人按规定办理退款事宜，基金托管人应提供必要的配合。</w:t>
      </w:r>
    </w:p>
    <w:p w14:paraId="5AD2A7F7"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3" w:name="_Toc382819081"/>
      <w:bookmarkStart w:id="34" w:name="_Toc84607748"/>
      <w:r>
        <w:rPr>
          <w:rFonts w:ascii="宋体" w:eastAsia="宋体" w:hAnsi="宋体" w:hint="eastAsia"/>
          <w:b w:val="0"/>
          <w:bCs w:val="0"/>
          <w:sz w:val="21"/>
          <w:szCs w:val="21"/>
        </w:rPr>
        <w:t>（三）基金资产托管专户的开立和管理</w:t>
      </w:r>
      <w:bookmarkEnd w:id="33"/>
      <w:bookmarkEnd w:id="34"/>
    </w:p>
    <w:p w14:paraId="5E828DF6" w14:textId="77777777" w:rsidR="00F309E5" w:rsidRDefault="004F2640">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518D1166" w14:textId="77777777" w:rsidR="00F309E5" w:rsidRDefault="004F2640">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2BE159A3" w14:textId="77777777" w:rsidR="00F309E5" w:rsidRDefault="004F2640">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7F38850C"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5" w:name="_Toc382819082"/>
      <w:bookmarkStart w:id="36" w:name="_Toc84607749"/>
      <w:r>
        <w:rPr>
          <w:rFonts w:ascii="宋体" w:eastAsia="宋体" w:hAnsi="宋体" w:hint="eastAsia"/>
          <w:b w:val="0"/>
          <w:bCs w:val="0"/>
          <w:sz w:val="21"/>
          <w:szCs w:val="21"/>
        </w:rPr>
        <w:t>（四）基金证券账户与结算备付金账户的开设和管理</w:t>
      </w:r>
      <w:bookmarkEnd w:id="35"/>
      <w:bookmarkEnd w:id="36"/>
    </w:p>
    <w:p w14:paraId="36551E76"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lastRenderedPageBreak/>
        <w:t>基金托管人以基金托管人和本基金联名的方式在中国证券登记结算有限责任公司开立专门的证券账户。</w:t>
      </w:r>
    </w:p>
    <w:p w14:paraId="7A7E6D81" w14:textId="77777777" w:rsidR="00F309E5" w:rsidRDefault="004F2640">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F3BE97E" w14:textId="77777777" w:rsidR="00F309E5" w:rsidRDefault="004F2640">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18797BE4"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37" w:name="_Toc382819083"/>
      <w:bookmarkStart w:id="38" w:name="_Toc84607750"/>
      <w:r>
        <w:rPr>
          <w:rFonts w:ascii="宋体" w:eastAsia="宋体" w:hAnsi="宋体" w:hint="eastAsia"/>
          <w:b w:val="0"/>
          <w:bCs w:val="0"/>
          <w:sz w:val="21"/>
          <w:szCs w:val="21"/>
        </w:rPr>
        <w:t>（五）银行间市场债券托管和资金结算专户的开立和管理及市场准入备案</w:t>
      </w:r>
      <w:bookmarkEnd w:id="37"/>
      <w:bookmarkEnd w:id="38"/>
    </w:p>
    <w:p w14:paraId="079289A3" w14:textId="77777777" w:rsidR="00F309E5" w:rsidRDefault="004F2640">
      <w:pPr>
        <w:spacing w:line="360" w:lineRule="auto"/>
        <w:ind w:firstLineChars="200" w:firstLine="420"/>
        <w:rPr>
          <w:rFonts w:ascii="宋体" w:hAnsi="宋体"/>
          <w:szCs w:val="21"/>
        </w:rPr>
      </w:pPr>
      <w:bookmarkStart w:id="39"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39"/>
    </w:p>
    <w:p w14:paraId="1BB6E159" w14:textId="77777777" w:rsidR="00F309E5" w:rsidRDefault="004F2640">
      <w:pPr>
        <w:spacing w:line="360" w:lineRule="auto"/>
        <w:ind w:firstLineChars="200" w:firstLine="420"/>
        <w:rPr>
          <w:rFonts w:ascii="宋体" w:hAnsi="宋体"/>
          <w:szCs w:val="21"/>
        </w:rPr>
      </w:pPr>
      <w:r>
        <w:rPr>
          <w:rFonts w:ascii="宋体" w:hAnsi="宋体" w:hint="eastAsia"/>
          <w:szCs w:val="21"/>
        </w:rPr>
        <w:t>（六）其他账户的开设和管理</w:t>
      </w:r>
    </w:p>
    <w:p w14:paraId="51EFD079"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1.因业务发展而需要开立的其他账户，可以根据《基金合同》或有关法律法规的规定，经基金管理人和基金托管人协商一致后，由基金托管人负责为基金开立。新账户按有关规则使用并管理。</w:t>
      </w:r>
    </w:p>
    <w:p w14:paraId="781D942F"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21CAD44D"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0" w:name="_Toc382819085"/>
      <w:bookmarkStart w:id="41" w:name="_Toc84607751"/>
      <w:r>
        <w:rPr>
          <w:rFonts w:ascii="宋体" w:eastAsia="宋体" w:hAnsi="宋体" w:hint="eastAsia"/>
          <w:b w:val="0"/>
          <w:bCs w:val="0"/>
          <w:sz w:val="21"/>
          <w:szCs w:val="21"/>
        </w:rPr>
        <w:t>（七）基金投资银行存款账户的开立和管理</w:t>
      </w:r>
      <w:bookmarkEnd w:id="40"/>
      <w:bookmarkEnd w:id="41"/>
    </w:p>
    <w:p w14:paraId="7D3F3FF2"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14:paraId="7E852D08"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561D9181"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4763D69B"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lastRenderedPageBreak/>
        <w:t>本基金投资银行存款时，基金管理人应当与存款银行签订具体存款协议，明确存款的类型、期限、利率、金额、账号、对账方式、支取方式、账户管理等细则。</w:t>
      </w:r>
    </w:p>
    <w:p w14:paraId="5C2CE2DB"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4107D0A3"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2" w:name="_Toc382819086"/>
      <w:bookmarkStart w:id="43" w:name="_Toc84607752"/>
      <w:r>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42"/>
      <w:bookmarkEnd w:id="43"/>
    </w:p>
    <w:p w14:paraId="63DBD853"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4" w:name="_Toc382819087"/>
      <w:bookmarkStart w:id="45" w:name="_Toc84607753"/>
      <w:r>
        <w:rPr>
          <w:rFonts w:ascii="宋体" w:eastAsia="宋体" w:hAnsi="宋体" w:hint="eastAsia"/>
          <w:b w:val="0"/>
          <w:bCs w:val="0"/>
          <w:sz w:val="21"/>
          <w:szCs w:val="21"/>
        </w:rPr>
        <w:t>（八）基金财产投资的有关实物证券、银行定期存款存单等有价凭证的保管</w:t>
      </w:r>
      <w:bookmarkEnd w:id="44"/>
      <w:bookmarkEnd w:id="45"/>
    </w:p>
    <w:p w14:paraId="0406E390" w14:textId="77777777" w:rsidR="00F309E5" w:rsidRDefault="004F2640">
      <w:pPr>
        <w:spacing w:line="360" w:lineRule="auto"/>
        <w:ind w:firstLineChars="200" w:firstLine="420"/>
        <w:rPr>
          <w:rFonts w:ascii="宋体" w:hAnsi="宋体"/>
          <w:szCs w:val="21"/>
        </w:rPr>
      </w:pPr>
      <w:r>
        <w:rPr>
          <w:rFonts w:ascii="宋体" w:hAnsi="宋体" w:hint="eastAsia"/>
          <w:szCs w:val="21"/>
        </w:rPr>
        <w:t>基金财产投资的有关实物证券、银行定期存款存单由基金托管人存放于基金托管人的保管库；其中实物证券也可存入中央国债登记结算有限责任公司、中国证券登记结算有限责任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1754C503" w14:textId="77777777" w:rsidR="00F309E5" w:rsidRDefault="004F2640">
      <w:pPr>
        <w:pStyle w:val="2"/>
        <w:keepNext w:val="0"/>
        <w:keepLines w:val="0"/>
        <w:autoSpaceDE w:val="0"/>
        <w:autoSpaceDN w:val="0"/>
        <w:spacing w:before="0" w:after="0" w:line="360" w:lineRule="auto"/>
        <w:ind w:firstLineChars="200" w:firstLine="420"/>
        <w:rPr>
          <w:rFonts w:ascii="宋体" w:hAnsi="宋体"/>
          <w:b w:val="0"/>
          <w:bCs w:val="0"/>
          <w:szCs w:val="21"/>
        </w:rPr>
      </w:pPr>
      <w:bookmarkStart w:id="46" w:name="_Toc84607754"/>
      <w:r>
        <w:rPr>
          <w:rFonts w:ascii="宋体" w:eastAsia="宋体" w:hAnsi="宋体" w:hint="eastAsia"/>
          <w:b w:val="0"/>
          <w:bCs w:val="0"/>
          <w:sz w:val="21"/>
          <w:szCs w:val="21"/>
        </w:rPr>
        <w:t>（九）与基金财产有关的重大合同的保管</w:t>
      </w:r>
      <w:bookmarkEnd w:id="46"/>
    </w:p>
    <w:p w14:paraId="2A16B253" w14:textId="77777777" w:rsidR="00F309E5" w:rsidRDefault="004F2640">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保存期限不低于法律法规规定的最低期限。</w:t>
      </w:r>
    </w:p>
    <w:p w14:paraId="43C3D067" w14:textId="77777777" w:rsidR="00F309E5" w:rsidRDefault="004F2640">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4A1EC660"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47" w:name="_Toc84607755"/>
      <w:r>
        <w:rPr>
          <w:rFonts w:ascii="宋体" w:eastAsia="宋体" w:hAnsi="宋体" w:cs="Arial" w:hint="eastAsia"/>
          <w:sz w:val="30"/>
          <w:szCs w:val="30"/>
        </w:rPr>
        <w:t>指令的发送、确认和执行</w:t>
      </w:r>
      <w:bookmarkEnd w:id="47"/>
    </w:p>
    <w:p w14:paraId="19AD2B3E" w14:textId="77777777" w:rsidR="00F309E5" w:rsidRDefault="004F2640">
      <w:pPr>
        <w:autoSpaceDE w:val="0"/>
        <w:autoSpaceDN w:val="0"/>
        <w:spacing w:line="360" w:lineRule="auto"/>
        <w:ind w:firstLineChars="200" w:firstLine="420"/>
        <w:rPr>
          <w:rFonts w:ascii="宋体" w:hAnsi="宋体"/>
          <w:szCs w:val="21"/>
        </w:rPr>
      </w:pPr>
      <w:bookmarkStart w:id="48" w:name="_Toc382819089"/>
      <w:r>
        <w:rPr>
          <w:rFonts w:ascii="宋体" w:hAnsi="宋体" w:hint="eastAsia"/>
          <w:szCs w:val="21"/>
        </w:rPr>
        <w:t>基金管理人在运用基金财产时向基金托管人发送资金划拨及其他款项付款指令，基金托管人执行基金管理人合法合</w:t>
      </w:r>
      <w:proofErr w:type="gramStart"/>
      <w:r>
        <w:rPr>
          <w:rFonts w:ascii="宋体" w:hAnsi="宋体" w:hint="eastAsia"/>
          <w:szCs w:val="21"/>
        </w:rPr>
        <w:t>规</w:t>
      </w:r>
      <w:proofErr w:type="gramEnd"/>
      <w:r>
        <w:rPr>
          <w:rFonts w:ascii="宋体" w:hAnsi="宋体" w:hint="eastAsia"/>
          <w:szCs w:val="21"/>
        </w:rPr>
        <w:t>且符合本协议相关约定的指令、办理基金名下的资金往来等有关事项。</w:t>
      </w:r>
      <w:bookmarkEnd w:id="48"/>
    </w:p>
    <w:p w14:paraId="23609F40" w14:textId="77777777" w:rsidR="00F309E5" w:rsidRDefault="004F2640">
      <w:pPr>
        <w:autoSpaceDE w:val="0"/>
        <w:autoSpaceDN w:val="0"/>
        <w:spacing w:line="360" w:lineRule="auto"/>
        <w:ind w:firstLineChars="200" w:firstLine="420"/>
        <w:rPr>
          <w:rFonts w:ascii="宋体" w:hAnsi="宋体"/>
          <w:szCs w:val="21"/>
        </w:rPr>
      </w:pPr>
      <w:r>
        <w:rPr>
          <w:rFonts w:ascii="宋体" w:hAnsi="宋体" w:hint="eastAsia"/>
          <w:szCs w:val="21"/>
        </w:rPr>
        <w:t>基金管理人发送的指令包括电子指令和纸质指令。</w:t>
      </w:r>
    </w:p>
    <w:p w14:paraId="4CCA16CB" w14:textId="77777777" w:rsidR="00F309E5" w:rsidRDefault="004F2640">
      <w:pPr>
        <w:autoSpaceDE w:val="0"/>
        <w:autoSpaceDN w:val="0"/>
        <w:spacing w:line="360" w:lineRule="auto"/>
        <w:ind w:firstLineChars="200" w:firstLine="420"/>
        <w:rPr>
          <w:rFonts w:ascii="宋体" w:hAnsi="宋体"/>
          <w:szCs w:val="21"/>
        </w:rPr>
      </w:pPr>
      <w:r>
        <w:rPr>
          <w:rFonts w:ascii="宋体" w:hAnsi="宋体" w:hint="eastAsia"/>
          <w:szCs w:val="21"/>
        </w:rPr>
        <w:t>管理人在启用电子指令前，应与托管人另行签署托管电子指令直</w:t>
      </w:r>
      <w:proofErr w:type="gramStart"/>
      <w:r>
        <w:rPr>
          <w:rFonts w:ascii="宋体" w:hAnsi="宋体" w:hint="eastAsia"/>
          <w:szCs w:val="21"/>
        </w:rPr>
        <w:t>连协议</w:t>
      </w:r>
      <w:proofErr w:type="gramEnd"/>
      <w:r>
        <w:rPr>
          <w:rFonts w:ascii="宋体" w:hAnsi="宋体" w:hint="eastAsia"/>
          <w:szCs w:val="21"/>
        </w:rPr>
        <w:t>或网上托管服务</w:t>
      </w:r>
      <w:r>
        <w:rPr>
          <w:rFonts w:ascii="宋体" w:hAnsi="宋体" w:hint="eastAsia"/>
          <w:szCs w:val="21"/>
        </w:rPr>
        <w:lastRenderedPageBreak/>
        <w:t>协议。管理人在发送纸质指令前，应根据双方约定的方式提供传真号、发送指令附件的邮箱地址以及指令确认人员及其联系方式。</w:t>
      </w:r>
    </w:p>
    <w:p w14:paraId="7FD93A97"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49" w:name="_Toc382819090"/>
      <w:bookmarkStart w:id="50" w:name="_Toc84607756"/>
      <w:r>
        <w:rPr>
          <w:rFonts w:ascii="宋体" w:eastAsia="宋体" w:hAnsi="宋体" w:hint="eastAsia"/>
          <w:b w:val="0"/>
          <w:bCs w:val="0"/>
          <w:sz w:val="21"/>
          <w:szCs w:val="21"/>
        </w:rPr>
        <w:t>（一）基金管理人对发送指令人员的书面授权</w:t>
      </w:r>
      <w:bookmarkEnd w:id="49"/>
      <w:bookmarkEnd w:id="50"/>
    </w:p>
    <w:p w14:paraId="4BA9B2AF" w14:textId="6C49BB30" w:rsidR="00F309E5" w:rsidRDefault="004F2640">
      <w:pPr>
        <w:spacing w:line="360" w:lineRule="auto"/>
        <w:ind w:firstLineChars="200" w:firstLine="420"/>
        <w:rPr>
          <w:rFonts w:ascii="宋体" w:hAnsi="宋体"/>
          <w:szCs w:val="21"/>
        </w:rPr>
      </w:pPr>
      <w:bookmarkStart w:id="51" w:name="_Toc382818601"/>
      <w:bookmarkStart w:id="52" w:name="_Toc382819091"/>
      <w:r>
        <w:rPr>
          <w:rFonts w:ascii="宋体" w:hAnsi="宋体" w:hint="eastAsia"/>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授权文件。基金托管人在收到授权通知当日回函或回电向基金管理人确认。划款指令授权书无论</w:t>
      </w:r>
      <w:r>
        <w:rPr>
          <w:rFonts w:ascii="宋体" w:hAnsi="宋体"/>
          <w:szCs w:val="21"/>
        </w:rPr>
        <w:t>基金</w:t>
      </w:r>
      <w:r>
        <w:rPr>
          <w:rFonts w:ascii="宋体" w:hAnsi="宋体" w:hint="eastAsia"/>
          <w:szCs w:val="21"/>
        </w:rPr>
        <w:t>成立时或后续更新，原件未按时送达基金托管人的，基金托管人有权拒绝执行该授权书对应的划款指令，基金托管人不承担由此造成的损失，但应及时通知基金管理人。基金管理人和基金托管人对授权文件负有保密义务，其内容不得向授权人、被授权人及相关操作人员以外的任何人泄露</w:t>
      </w:r>
      <w:bookmarkEnd w:id="51"/>
      <w:bookmarkEnd w:id="52"/>
      <w:r>
        <w:rPr>
          <w:rFonts w:ascii="宋体" w:hAnsi="宋体" w:hint="eastAsia"/>
          <w:szCs w:val="21"/>
        </w:rPr>
        <w:t>，但法律法规另有规定或有权机关另有要求的除外。</w:t>
      </w:r>
    </w:p>
    <w:p w14:paraId="4838B8EB"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3" w:name="_Toc382819092"/>
      <w:bookmarkStart w:id="54" w:name="_Toc84607757"/>
      <w:r>
        <w:rPr>
          <w:rFonts w:ascii="宋体" w:eastAsia="宋体" w:hAnsi="宋体" w:hint="eastAsia"/>
          <w:b w:val="0"/>
          <w:bCs w:val="0"/>
          <w:sz w:val="21"/>
          <w:szCs w:val="21"/>
        </w:rPr>
        <w:t>（二）指令的内容</w:t>
      </w:r>
      <w:bookmarkEnd w:id="53"/>
      <w:bookmarkEnd w:id="54"/>
    </w:p>
    <w:p w14:paraId="431AE4F0"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他资金划拨的指令等，证券交易所证券投资的资金结算不需要基金管理人发送指令，基金托管人根据相关登记结算公司向基金托管人发送的结算数据进行资金结算。</w:t>
      </w:r>
    </w:p>
    <w:p w14:paraId="79CDB5A8"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63BEF281"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5" w:name="_Toc382819093"/>
      <w:bookmarkStart w:id="56" w:name="_Toc84607758"/>
      <w:r>
        <w:rPr>
          <w:rFonts w:ascii="宋体" w:eastAsia="宋体" w:hAnsi="宋体" w:hint="eastAsia"/>
          <w:b w:val="0"/>
          <w:bCs w:val="0"/>
          <w:sz w:val="21"/>
          <w:szCs w:val="21"/>
        </w:rPr>
        <w:t>（三）指令的发送、确认和执行的时间和程序</w:t>
      </w:r>
      <w:bookmarkEnd w:id="55"/>
      <w:bookmarkEnd w:id="56"/>
    </w:p>
    <w:p w14:paraId="2F6A1E19" w14:textId="08ACE90C" w:rsidR="00F309E5" w:rsidRDefault="004F2640">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相应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w:t>
      </w:r>
      <w:r>
        <w:rPr>
          <w:rFonts w:ascii="宋体" w:hAnsi="宋体" w:hint="eastAsia"/>
          <w:szCs w:val="21"/>
        </w:rPr>
        <w:lastRenderedPageBreak/>
        <w:t>由一般划款指令（不含非担保交收指令、新债等申购指令）应在15点（指令截止时间）前提交托管人，如基金管理人要求当天某一时点到账，则指令需提前2个工作小时(工作时间9点至11点30分,13点至17点)提交托管人。</w:t>
      </w:r>
    </w:p>
    <w:p w14:paraId="151179C1" w14:textId="6C751C4A" w:rsidR="00F309E5" w:rsidRDefault="004F2640">
      <w:pPr>
        <w:spacing w:after="120" w:line="360" w:lineRule="auto"/>
        <w:ind w:firstLineChars="200" w:firstLine="420"/>
        <w:rPr>
          <w:rFonts w:ascii="宋体" w:hAnsi="宋体"/>
          <w:szCs w:val="21"/>
        </w:rPr>
      </w:pPr>
      <w:r>
        <w:rPr>
          <w:rFonts w:ascii="宋体" w:hAnsi="宋体" w:hint="eastAsia"/>
          <w:szCs w:val="21"/>
        </w:rPr>
        <w:t>新债等申购指令，基金管理人须在申购前1个工作日向基金托管人发送指令，如需在申购当日下达指令，基金管理人应为基金托管人留出执行指令所必需的时间，指令最迟不得晚于上午11：00点（指令截止时间）提交基金托管人。</w:t>
      </w:r>
    </w:p>
    <w:p w14:paraId="5A789E54" w14:textId="084F4F5E" w:rsidR="00F309E5" w:rsidRDefault="004F2640">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如划款指令中给予基金托管人的划拨时间小于2个工作小时或晚于前述指令截止时间的，基金托管人应尽力在指定时间内完成资金划拨，但不承担因时间不足导致执行失败的责任。</w:t>
      </w:r>
    </w:p>
    <w:p w14:paraId="605EE5B7" w14:textId="77777777" w:rsidR="00F309E5" w:rsidRDefault="004F2640">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造成的指令传输不及时、未能留出足够划款所需时间，致使资金未能及时到账所造成的损失由基金管理人承担。</w:t>
      </w:r>
    </w:p>
    <w:p w14:paraId="339F7838" w14:textId="77777777" w:rsidR="00F309E5" w:rsidRDefault="004F2640">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07D3D4EA"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相应责任。</w:t>
      </w:r>
    </w:p>
    <w:p w14:paraId="649BBCF1"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7" w:name="_Toc382819094"/>
      <w:bookmarkStart w:id="58" w:name="_Toc84607759"/>
      <w:r>
        <w:rPr>
          <w:rFonts w:ascii="宋体" w:eastAsia="宋体" w:hAnsi="宋体" w:hint="eastAsia"/>
          <w:b w:val="0"/>
          <w:bCs w:val="0"/>
          <w:sz w:val="21"/>
          <w:szCs w:val="21"/>
        </w:rPr>
        <w:t>（四）基金管理人发送错误指令的情形和处理程序</w:t>
      </w:r>
      <w:bookmarkEnd w:id="57"/>
      <w:bookmarkEnd w:id="58"/>
    </w:p>
    <w:p w14:paraId="45AC62A3" w14:textId="65A46CAA" w:rsidR="00F309E5" w:rsidRDefault="004F2640">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0150CF13" w14:textId="77777777" w:rsidR="00F309E5" w:rsidRDefault="004F2640">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视情况暂缓或拒绝执行，并及时以书面形式通知基金管理人改正，基金管理人收到通知后应及时核对，并以书面形式对基金托管人发出回函确认。如需撤销指令，基金管理人应出具书面说明，并加盖预留印鉴。</w:t>
      </w:r>
    </w:p>
    <w:p w14:paraId="1424C6CD"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59" w:name="_Toc382819095"/>
      <w:bookmarkStart w:id="60" w:name="_Toc84607760"/>
      <w:r>
        <w:rPr>
          <w:rFonts w:ascii="宋体" w:eastAsia="宋体" w:hAnsi="宋体" w:hint="eastAsia"/>
          <w:b w:val="0"/>
          <w:bCs w:val="0"/>
          <w:sz w:val="21"/>
          <w:szCs w:val="21"/>
        </w:rPr>
        <w:t>（五）基金托管人未按照基金管理人指令执行的处理方法</w:t>
      </w:r>
      <w:bookmarkEnd w:id="59"/>
      <w:bookmarkEnd w:id="60"/>
    </w:p>
    <w:p w14:paraId="61EB511B" w14:textId="77777777" w:rsidR="00F309E5" w:rsidRDefault="004F2640">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除本协议另有约定外，基金托管人由于自身原因造成未按照或者未及时按照基金管理人发送的符合本协议约定的、按照正常交易程序已经生效的指令执行，给基金份额持有人、基</w:t>
      </w:r>
      <w:r>
        <w:rPr>
          <w:rFonts w:ascii="宋体" w:hAnsi="宋体" w:hint="eastAsia"/>
          <w:szCs w:val="21"/>
        </w:rPr>
        <w:lastRenderedPageBreak/>
        <w:t>金财产、基金管理人造成损失的，应负责赔偿相应的直接损失。</w:t>
      </w:r>
    </w:p>
    <w:p w14:paraId="1B936BB7"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1" w:name="_Toc382819096"/>
      <w:bookmarkStart w:id="62" w:name="_Toc84607761"/>
      <w:r>
        <w:rPr>
          <w:rFonts w:ascii="宋体" w:eastAsia="宋体" w:hAnsi="宋体" w:hint="eastAsia"/>
          <w:b w:val="0"/>
          <w:bCs w:val="0"/>
          <w:sz w:val="21"/>
          <w:szCs w:val="21"/>
        </w:rPr>
        <w:t>（六）更换被授权人的程序</w:t>
      </w:r>
      <w:bookmarkEnd w:id="61"/>
      <w:bookmarkEnd w:id="62"/>
    </w:p>
    <w:p w14:paraId="019800AF"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字样本而导致基金份额持有人受损的，基金托管人不承担相应责任。基金托管人更换接</w:t>
      </w:r>
      <w:r>
        <w:rPr>
          <w:rFonts w:ascii="宋体" w:hAnsi="宋体"/>
          <w:szCs w:val="21"/>
        </w:rPr>
        <w:t>收</w:t>
      </w:r>
      <w:r>
        <w:rPr>
          <w:rFonts w:ascii="宋体" w:hAnsi="宋体" w:hint="eastAsia"/>
          <w:szCs w:val="21"/>
        </w:rPr>
        <w:t>基金管理人指令的人员，应提前通过邮件、传真或录音电话等方式通知基金管理人。</w:t>
      </w:r>
    </w:p>
    <w:p w14:paraId="3F5EEBB4" w14:textId="77777777" w:rsidR="00F309E5" w:rsidRDefault="004F2640">
      <w:pPr>
        <w:spacing w:line="360" w:lineRule="auto"/>
        <w:ind w:firstLineChars="200" w:firstLine="420"/>
        <w:rPr>
          <w:rFonts w:ascii="宋体" w:hAnsi="宋体"/>
          <w:szCs w:val="21"/>
        </w:rPr>
      </w:pPr>
      <w:r>
        <w:rPr>
          <w:rFonts w:ascii="宋体" w:hAnsi="宋体" w:hint="eastAsia"/>
          <w:szCs w:val="21"/>
        </w:rPr>
        <w:t>（七）其他事项</w:t>
      </w:r>
    </w:p>
    <w:p w14:paraId="37851FB9"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除基金托管人存在过错外，基金托管人对正确执行基金管理人的按照正常交易程序已经生效的指令对基金财产造成的损失不承担赔偿责任，基金托管人存在过错的除外。</w:t>
      </w:r>
    </w:p>
    <w:p w14:paraId="091EDE84"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63" w:name="_Toc84607762"/>
      <w:r>
        <w:rPr>
          <w:rFonts w:ascii="宋体" w:eastAsia="宋体" w:hAnsi="宋体" w:cs="Arial" w:hint="eastAsia"/>
          <w:sz w:val="30"/>
          <w:szCs w:val="30"/>
        </w:rPr>
        <w:t>交易及清算交收安排</w:t>
      </w:r>
      <w:bookmarkEnd w:id="63"/>
    </w:p>
    <w:p w14:paraId="004B2D6C" w14:textId="77777777" w:rsidR="00F309E5" w:rsidRDefault="004F2640">
      <w:pPr>
        <w:pStyle w:val="2"/>
        <w:keepNext w:val="0"/>
        <w:keepLines w:val="0"/>
        <w:spacing w:before="0" w:after="0"/>
        <w:ind w:firstLineChars="200" w:firstLine="420"/>
        <w:jc w:val="left"/>
        <w:rPr>
          <w:rFonts w:ascii="宋体" w:eastAsia="宋体" w:hAnsi="宋体"/>
          <w:b w:val="0"/>
          <w:sz w:val="21"/>
          <w:szCs w:val="21"/>
        </w:rPr>
      </w:pPr>
      <w:bookmarkStart w:id="64" w:name="_Toc382819098"/>
      <w:bookmarkStart w:id="65" w:name="_Toc84607763"/>
      <w:r>
        <w:rPr>
          <w:rFonts w:ascii="宋体" w:eastAsia="宋体" w:hAnsi="宋体" w:hint="eastAsia"/>
          <w:b w:val="0"/>
          <w:sz w:val="21"/>
          <w:szCs w:val="21"/>
        </w:rPr>
        <w:t>（一）选择代理证券买卖的证券经营机构的标准和程序</w:t>
      </w:r>
      <w:bookmarkEnd w:id="64"/>
      <w:bookmarkEnd w:id="65"/>
    </w:p>
    <w:p w14:paraId="5F1A35F0"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基金管理人负责选择代理本基金证券买卖的证券经营机构。</w:t>
      </w:r>
    </w:p>
    <w:p w14:paraId="0B9430C1" w14:textId="6FE99357" w:rsidR="00F309E5" w:rsidRDefault="004F2640">
      <w:pPr>
        <w:spacing w:line="360" w:lineRule="auto"/>
        <w:ind w:firstLineChars="200" w:firstLine="420"/>
        <w:rPr>
          <w:rFonts w:ascii="宋体" w:hAnsi="宋体"/>
          <w:szCs w:val="21"/>
        </w:rPr>
      </w:pPr>
      <w:r>
        <w:rPr>
          <w:rFonts w:ascii="宋体" w:hAnsi="宋体" w:hint="eastAsia"/>
          <w:szCs w:val="21"/>
        </w:rPr>
        <w:t>基金管理人负责根据相关标准以及内部管理制度对有关证券经营机构进行考察后确定代理本基金证券买卖证券经营机构，并承担相应责任。基金管理人和被选择的证券经营机构签订交易单元</w:t>
      </w:r>
      <w:r>
        <w:rPr>
          <w:rFonts w:ascii="宋体" w:hAnsi="宋体"/>
          <w:szCs w:val="21"/>
        </w:rPr>
        <w:t>租</w:t>
      </w:r>
      <w:r>
        <w:rPr>
          <w:rFonts w:ascii="宋体" w:hAnsi="宋体" w:hint="eastAsia"/>
          <w:szCs w:val="21"/>
        </w:rPr>
        <w:t>用协议，由基金管理人通知基金托管人，并在法定信息披露报告中披露有关内容。</w:t>
      </w:r>
    </w:p>
    <w:p w14:paraId="4F1F0194"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14:paraId="738C5DB5" w14:textId="77777777" w:rsidR="00F309E5" w:rsidRDefault="004F2640">
      <w:pPr>
        <w:pStyle w:val="2"/>
        <w:keepNext w:val="0"/>
        <w:keepLines w:val="0"/>
        <w:spacing w:before="0" w:after="0"/>
        <w:ind w:firstLineChars="200" w:firstLine="420"/>
        <w:jc w:val="left"/>
        <w:rPr>
          <w:rFonts w:ascii="宋体" w:eastAsia="宋体" w:hAnsi="宋体"/>
          <w:b w:val="0"/>
          <w:sz w:val="21"/>
          <w:szCs w:val="21"/>
        </w:rPr>
      </w:pPr>
      <w:bookmarkStart w:id="66" w:name="_Toc382819099"/>
      <w:bookmarkStart w:id="67" w:name="_Toc84607764"/>
      <w:r>
        <w:rPr>
          <w:rFonts w:ascii="宋体" w:eastAsia="宋体" w:hAnsi="宋体" w:hint="eastAsia"/>
          <w:b w:val="0"/>
          <w:sz w:val="21"/>
          <w:szCs w:val="21"/>
        </w:rPr>
        <w:lastRenderedPageBreak/>
        <w:t>（二）基金投资证券后的清算交收安排</w:t>
      </w:r>
      <w:bookmarkStart w:id="68" w:name="_Toc382819100"/>
      <w:bookmarkEnd w:id="66"/>
      <w:bookmarkEnd w:id="67"/>
    </w:p>
    <w:p w14:paraId="6AF3EBE0"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69" w:name="_Toc84607765"/>
      <w:r>
        <w:rPr>
          <w:rFonts w:ascii="宋体" w:eastAsia="宋体" w:hAnsi="宋体" w:hint="eastAsia"/>
          <w:b w:val="0"/>
          <w:bCs w:val="0"/>
          <w:sz w:val="21"/>
          <w:szCs w:val="21"/>
        </w:rPr>
        <w:t>1.本基金投资于证券发生的所有场内、场外交易的资金清算交割，全部由基金托管人负责办理。</w:t>
      </w:r>
      <w:bookmarkStart w:id="70" w:name="_Toc382819101"/>
      <w:bookmarkEnd w:id="68"/>
      <w:bookmarkEnd w:id="69"/>
    </w:p>
    <w:p w14:paraId="2AACEBC9"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71" w:name="_Toc84607766"/>
      <w:r>
        <w:rPr>
          <w:rFonts w:ascii="宋体" w:eastAsia="宋体" w:hAnsi="宋体" w:hint="eastAsia"/>
          <w:b w:val="0"/>
          <w:bCs w:val="0"/>
          <w:sz w:val="21"/>
          <w:szCs w:val="21"/>
        </w:rPr>
        <w:t>2.本基金投资于场内交易的投资品种前，基金管理人和基金托管人应当另行签署托管银行证券资金结算协议。</w:t>
      </w:r>
      <w:bookmarkEnd w:id="70"/>
      <w:bookmarkEnd w:id="71"/>
    </w:p>
    <w:p w14:paraId="46DE37CA" w14:textId="77777777" w:rsidR="00F309E5" w:rsidRDefault="004F2640">
      <w:pPr>
        <w:pStyle w:val="a0"/>
        <w:spacing w:line="360" w:lineRule="auto"/>
        <w:jc w:val="left"/>
        <w:rPr>
          <w:rFonts w:ascii="宋体" w:hAnsi="宋体"/>
          <w:szCs w:val="21"/>
        </w:rPr>
      </w:pPr>
      <w:r>
        <w:rPr>
          <w:rFonts w:ascii="宋体" w:hAnsi="宋体" w:hint="eastAsia"/>
          <w:szCs w:val="21"/>
        </w:rPr>
        <w:t>3.本基金投资于非担保交收的投资品种时，基金管理人应遵守基金托管人提前以告客户书形式提供的书面通知。</w:t>
      </w:r>
    </w:p>
    <w:p w14:paraId="560F1BF2" w14:textId="6EC66BC9" w:rsidR="00F309E5" w:rsidRDefault="004F2640">
      <w:pPr>
        <w:spacing w:line="360" w:lineRule="auto"/>
        <w:ind w:firstLineChars="200" w:firstLine="420"/>
        <w:rPr>
          <w:rFonts w:ascii="宋体" w:hAnsi="宋体"/>
          <w:szCs w:val="21"/>
        </w:rPr>
      </w:pPr>
      <w:r>
        <w:rPr>
          <w:rFonts w:ascii="宋体" w:hAnsi="宋体" w:hint="eastAsia"/>
          <w:szCs w:val="21"/>
        </w:rPr>
        <w:t>4.银行间债券券款</w:t>
      </w:r>
      <w:r>
        <w:rPr>
          <w:rFonts w:ascii="宋体" w:hAnsi="宋体"/>
          <w:szCs w:val="21"/>
        </w:rPr>
        <w:t>兑</w:t>
      </w:r>
      <w:r>
        <w:rPr>
          <w:rFonts w:ascii="宋体" w:hAnsi="宋体" w:hint="eastAsia"/>
          <w:szCs w:val="21"/>
        </w:rPr>
        <w:t>付结算</w:t>
      </w:r>
    </w:p>
    <w:p w14:paraId="1CAFEB68"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基金管理人应及时将银行间上清所、</w:t>
      </w:r>
      <w:proofErr w:type="gramStart"/>
      <w:r>
        <w:rPr>
          <w:rFonts w:ascii="宋体" w:hAnsi="宋体" w:hint="eastAsia"/>
          <w:szCs w:val="21"/>
        </w:rPr>
        <w:t>中债登划款</w:t>
      </w:r>
      <w:proofErr w:type="gramEnd"/>
      <w:r>
        <w:rPr>
          <w:rFonts w:ascii="宋体" w:hAnsi="宋体" w:hint="eastAsia"/>
          <w:szCs w:val="21"/>
        </w:rPr>
        <w:t>指令按相关规定提交基金托管人，基金管理人应为基金托管人留出执行指令所必需的时间。</w:t>
      </w:r>
    </w:p>
    <w:p w14:paraId="23E6BC1D"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基金管理人应根据中债登、上清所提供的查询功能，实时跟踪交易结算情况、证券与资金到账与余额变动情况，便于监控结算过程，做好资金与交易匹配的前端控制。</w:t>
      </w:r>
    </w:p>
    <w:p w14:paraId="65CB7B60" w14:textId="77777777" w:rsidR="00F309E5" w:rsidRDefault="004F2640">
      <w:pPr>
        <w:spacing w:line="360" w:lineRule="auto"/>
        <w:ind w:firstLineChars="200" w:firstLine="420"/>
        <w:rPr>
          <w:rFonts w:ascii="宋体" w:hAnsi="宋体"/>
          <w:szCs w:val="21"/>
        </w:rPr>
      </w:pPr>
      <w:r>
        <w:rPr>
          <w:rFonts w:ascii="宋体" w:hAnsi="宋体" w:hint="eastAsia"/>
          <w:szCs w:val="21"/>
        </w:rPr>
        <w:t>5.定期存款投资</w:t>
      </w:r>
    </w:p>
    <w:p w14:paraId="4A48FFB8"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w:t>
      </w:r>
      <w:proofErr w:type="gramStart"/>
      <w:r>
        <w:rPr>
          <w:rFonts w:ascii="宋体" w:hAnsi="宋体" w:hint="eastAsia"/>
          <w:szCs w:val="21"/>
        </w:rPr>
        <w:t>及</w:t>
      </w:r>
      <w:r>
        <w:rPr>
          <w:rFonts w:ascii="宋体" w:hAnsi="宋体"/>
          <w:szCs w:val="21"/>
        </w:rPr>
        <w:t>之</w:t>
      </w:r>
      <w:r>
        <w:rPr>
          <w:rFonts w:ascii="宋体" w:hAnsi="宋体" w:hint="eastAsia"/>
          <w:szCs w:val="21"/>
        </w:rPr>
        <w:t>前</w:t>
      </w:r>
      <w:proofErr w:type="gramEnd"/>
      <w:r>
        <w:rPr>
          <w:rFonts w:ascii="宋体" w:hAnsi="宋体" w:hint="eastAsia"/>
          <w:szCs w:val="21"/>
        </w:rPr>
        <w:t>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向基金托管人确认。对于基金管理人依约定程序发出的指令，基金管理人不得否认其效力。</w:t>
      </w:r>
    </w:p>
    <w:p w14:paraId="6D871A9F"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基金管理人在发送投资指令时，应为基金托管人执行投资指令留出执行指令所必需的时间。因基金管理</w:t>
      </w:r>
      <w:proofErr w:type="gramStart"/>
      <w:r>
        <w:rPr>
          <w:rFonts w:ascii="宋体" w:hAnsi="宋体" w:hint="eastAsia"/>
          <w:szCs w:val="21"/>
        </w:rPr>
        <w:t>人原因</w:t>
      </w:r>
      <w:proofErr w:type="gramEnd"/>
      <w:r>
        <w:rPr>
          <w:rFonts w:ascii="宋体" w:hAnsi="宋体" w:hint="eastAsia"/>
          <w:szCs w:val="21"/>
        </w:rPr>
        <w:t>导致投资指令传输不及时、未能留出足够的划款时间，导致资金未能及时到账所造成的损失由基金管理人承担（不可抗力或基金管理人无过错的情形除外）。</w:t>
      </w:r>
    </w:p>
    <w:p w14:paraId="73152B5D" w14:textId="77777777" w:rsidR="00F309E5" w:rsidRDefault="004F2640">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书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0E2D7451" w14:textId="77777777" w:rsidR="00F309E5" w:rsidRDefault="004F2640">
      <w:pPr>
        <w:pStyle w:val="2"/>
        <w:keepNext w:val="0"/>
        <w:keepLines w:val="0"/>
        <w:spacing w:before="0" w:after="0"/>
        <w:ind w:firstLineChars="200" w:firstLine="420"/>
        <w:jc w:val="left"/>
        <w:rPr>
          <w:rFonts w:ascii="宋体" w:eastAsia="宋体" w:hAnsi="宋体"/>
          <w:b w:val="0"/>
          <w:sz w:val="21"/>
          <w:szCs w:val="21"/>
        </w:rPr>
      </w:pPr>
      <w:bookmarkStart w:id="72" w:name="_Toc382819102"/>
      <w:bookmarkStart w:id="73" w:name="_Toc84607767"/>
      <w:r>
        <w:rPr>
          <w:rFonts w:ascii="宋体" w:eastAsia="宋体" w:hAnsi="宋体" w:hint="eastAsia"/>
          <w:b w:val="0"/>
          <w:sz w:val="21"/>
          <w:szCs w:val="21"/>
        </w:rPr>
        <w:t>（三）可用资金余额的确认</w:t>
      </w:r>
      <w:bookmarkEnd w:id="72"/>
      <w:bookmarkEnd w:id="73"/>
    </w:p>
    <w:p w14:paraId="00D3FFB3" w14:textId="77777777" w:rsidR="00F309E5" w:rsidRDefault="004F2640">
      <w:pPr>
        <w:spacing w:line="360" w:lineRule="auto"/>
        <w:ind w:firstLineChars="200" w:firstLine="420"/>
      </w:pPr>
      <w:r>
        <w:rPr>
          <w:rFonts w:ascii="宋体" w:hAnsi="宋体" w:hint="eastAsia"/>
          <w:szCs w:val="21"/>
        </w:rPr>
        <w:t>基金托管人应于每个工作日上午9：30前将托管账户的可用资金余额以双方认可的方式提供给基金管理人。</w:t>
      </w:r>
    </w:p>
    <w:p w14:paraId="60053950" w14:textId="77777777" w:rsidR="00F309E5" w:rsidRDefault="004F2640">
      <w:pPr>
        <w:tabs>
          <w:tab w:val="left" w:pos="4680"/>
        </w:tabs>
        <w:spacing w:line="360" w:lineRule="auto"/>
        <w:ind w:firstLineChars="200" w:firstLine="420"/>
        <w:jc w:val="left"/>
        <w:rPr>
          <w:rFonts w:ascii="宋体" w:hAnsi="宋体"/>
          <w:bCs/>
          <w:szCs w:val="21"/>
        </w:rPr>
      </w:pPr>
      <w:r>
        <w:rPr>
          <w:rFonts w:ascii="宋体" w:hAnsi="宋体" w:hint="eastAsia"/>
          <w:bCs/>
          <w:szCs w:val="21"/>
        </w:rPr>
        <w:t>（四）交易记录、资金、证券账目的核对</w:t>
      </w:r>
    </w:p>
    <w:p w14:paraId="43749040"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交易记录的核对</w:t>
      </w:r>
    </w:p>
    <w:p w14:paraId="69CEB28D"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基金管理人和基金托管人按日进行交易记录的核对。对外披露净值之前，必须保证当天所有实际交易记录与基金会计账簿上的交易记录一致。</w:t>
      </w:r>
    </w:p>
    <w:p w14:paraId="39A4BA1E"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资金账目的核对</w:t>
      </w:r>
    </w:p>
    <w:p w14:paraId="7F84E424"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283131B7"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证券账目的核对</w:t>
      </w:r>
    </w:p>
    <w:p w14:paraId="024CFE0B"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5EBAA730"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（五）基金申购、赎回、转换业务处理的基本规定</w:t>
      </w:r>
    </w:p>
    <w:p w14:paraId="39ACC950" w14:textId="29EF3BCE"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b/>
          <w:bCs/>
          <w:szCs w:val="21"/>
        </w:rPr>
        <w:t>.</w:t>
      </w:r>
      <w:r>
        <w:rPr>
          <w:rFonts w:hint="eastAsia"/>
        </w:rPr>
        <w:t xml:space="preserve"> </w:t>
      </w:r>
      <w:r>
        <w:rPr>
          <w:rFonts w:ascii="宋体" w:hAnsi="宋体" w:hint="eastAsia"/>
          <w:szCs w:val="21"/>
        </w:rPr>
        <w:t>基金管理人可根据实际情况依法决定本基金开始办理申购的具体日期，具体业务办理时间在申购开始公告中规定。基金管理人自基金合同生效之日起不超过3个月开始办理赎回，具体业务办理时间在赎回开始公告中规定。基金份额申购、赎回、转换的确认、清算由基金管理人或其委托的注册登记机构负责。</w:t>
      </w:r>
    </w:p>
    <w:p w14:paraId="34B3C99F"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基金管理人应在每个交易日按本协议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注册登记机构每个工作日15:00 前向基金托管人发送前一开放日的上述有关数据，并保证相关数据的准确、完整。</w:t>
      </w:r>
    </w:p>
    <w:p w14:paraId="704A9E25"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79A1D2EC"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b/>
          <w:bCs/>
          <w:szCs w:val="21"/>
        </w:rPr>
        <w:t>.</w:t>
      </w:r>
      <w:r>
        <w:rPr>
          <w:rFonts w:ascii="宋体" w:hAnsi="宋体" w:hint="eastAsia"/>
          <w:szCs w:val="21"/>
        </w:rPr>
        <w:t>基金管理人应保证其发送的注册登记数据的接口规范与基金托管人的接口规范保持一致。</w:t>
      </w:r>
    </w:p>
    <w:p w14:paraId="50258DB6"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b/>
          <w:bCs/>
          <w:szCs w:val="21"/>
        </w:rPr>
        <w:t>.</w:t>
      </w:r>
      <w:r>
        <w:rPr>
          <w:rFonts w:ascii="宋体" w:hAnsi="宋体" w:hint="eastAsia"/>
          <w:szCs w:val="21"/>
        </w:rPr>
        <w:t>基金注册登记清算专用账户的开立和管理</w:t>
      </w:r>
    </w:p>
    <w:p w14:paraId="4BBA6133"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482FB273"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lastRenderedPageBreak/>
        <w:t>6</w:t>
      </w:r>
      <w:r>
        <w:rPr>
          <w:rFonts w:ascii="宋体" w:hAnsi="宋体" w:hint="eastAsia"/>
          <w:b/>
          <w:bCs/>
          <w:szCs w:val="21"/>
        </w:rPr>
        <w:t>.</w:t>
      </w:r>
      <w:r>
        <w:rPr>
          <w:rFonts w:ascii="宋体" w:hAnsi="宋体" w:hint="eastAsia"/>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基金托管人在及时履行通知义务的前提下不承担相应责任，但应提供必要的配合。</w:t>
      </w:r>
    </w:p>
    <w:p w14:paraId="68DDC635"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b/>
          <w:bCs/>
          <w:szCs w:val="21"/>
        </w:rPr>
        <w:t>.</w:t>
      </w:r>
      <w:r>
        <w:rPr>
          <w:rFonts w:ascii="宋体" w:hAnsi="宋体" w:hint="eastAsia"/>
          <w:szCs w:val="21"/>
        </w:rPr>
        <w:t>赎回资金的支付</w:t>
      </w:r>
    </w:p>
    <w:p w14:paraId="1F09D6B1"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规的指令的，责任由基金托管人承担，但不可抗力导致的情形除外。因托管专户中本基金没有足够的资金，导致基金托管人不能按时支付，基金托管人应及时通知基金管理人，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577E0C4E"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b/>
          <w:bCs/>
          <w:szCs w:val="21"/>
        </w:rPr>
        <w:t>.</w:t>
      </w:r>
      <w:r>
        <w:rPr>
          <w:rFonts w:ascii="宋体" w:hAnsi="宋体" w:hint="eastAsia"/>
          <w:szCs w:val="21"/>
        </w:rPr>
        <w:t>资金支付执行和责任界定</w:t>
      </w:r>
    </w:p>
    <w:p w14:paraId="19AAFB88"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4F805929"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09E9620C"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b/>
          <w:bCs/>
          <w:szCs w:val="21"/>
        </w:rPr>
        <w:t>.</w:t>
      </w:r>
      <w:r>
        <w:rPr>
          <w:rFonts w:ascii="宋体" w:hAnsi="宋体" w:hint="eastAsia"/>
          <w:szCs w:val="21"/>
        </w:rPr>
        <w:t>暂停赎回和巨额赎回处理</w:t>
      </w:r>
    </w:p>
    <w:p w14:paraId="59632C44"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4CA61899"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（六）申购赎回资金结算</w:t>
      </w:r>
    </w:p>
    <w:p w14:paraId="1B0A9501" w14:textId="67F3C83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基金资金账户与“基金清算账户”间的资金结算遵循“全额清算、净额交收”的原</w:t>
      </w:r>
      <w:r>
        <w:rPr>
          <w:rFonts w:ascii="宋体" w:hAnsi="宋体" w:hint="eastAsia"/>
          <w:szCs w:val="21"/>
        </w:rPr>
        <w:lastRenderedPageBreak/>
        <w:t>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w:t>
      </w:r>
      <w:proofErr w:type="gramStart"/>
      <w:r>
        <w:rPr>
          <w:rFonts w:ascii="宋体" w:hAnsi="宋体" w:hint="eastAsia"/>
          <w:szCs w:val="21"/>
        </w:rPr>
        <w:t>交收日</w:t>
      </w:r>
      <w:proofErr w:type="gramEnd"/>
      <w:r>
        <w:rPr>
          <w:rFonts w:ascii="宋体" w:hAnsi="宋体" w:hint="eastAsia"/>
          <w:szCs w:val="21"/>
        </w:rPr>
        <w:t>15:00时之前从基金清算账户</w:t>
      </w:r>
      <w:proofErr w:type="gramStart"/>
      <w:r>
        <w:rPr>
          <w:rFonts w:ascii="宋体" w:hAnsi="宋体" w:hint="eastAsia"/>
          <w:szCs w:val="21"/>
        </w:rPr>
        <w:t>划往基金</w:t>
      </w:r>
      <w:proofErr w:type="gramEnd"/>
      <w:r w:rsidR="00F44EDB">
        <w:rPr>
          <w:rFonts w:ascii="宋体" w:hAnsi="宋体" w:hint="eastAsia"/>
          <w:szCs w:val="21"/>
        </w:rPr>
        <w:t>托管</w:t>
      </w:r>
      <w:r>
        <w:rPr>
          <w:rFonts w:ascii="宋体" w:hAnsi="宋体" w:hint="eastAsia"/>
          <w:szCs w:val="21"/>
        </w:rPr>
        <w:t>账户，基金管理人通过基金托管人提供的方式查询结果；当存在资金账户净应付额时，基金托管人按照基金管理人的划款指令将托管账户净应付额在交</w:t>
      </w:r>
      <w:proofErr w:type="gramStart"/>
      <w:r>
        <w:rPr>
          <w:rFonts w:ascii="宋体" w:hAnsi="宋体" w:hint="eastAsia"/>
          <w:szCs w:val="21"/>
        </w:rPr>
        <w:t>收日及时划往基金</w:t>
      </w:r>
      <w:proofErr w:type="gramEnd"/>
      <w:r>
        <w:rPr>
          <w:rFonts w:ascii="宋体" w:hAnsi="宋体" w:hint="eastAsia"/>
          <w:szCs w:val="21"/>
        </w:rPr>
        <w:t>清算账户，基金管理人通过基金托管人提供的方式查询结果。</w:t>
      </w:r>
    </w:p>
    <w:p w14:paraId="0002FEAA"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当存在托管账户净应付额时，如基金银行账户有足够的资金，基金托管人应在12:00之前拨付；因基金银行账户没有足够的资金，导致基金托管人不能按时拨付，基金托管人应及时通知基金管理人，如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0DF0752F" w14:textId="77777777" w:rsidR="00F309E5" w:rsidRDefault="004F2640">
      <w:pPr>
        <w:tabs>
          <w:tab w:val="left" w:pos="4680"/>
        </w:tabs>
        <w:spacing w:line="360" w:lineRule="auto"/>
        <w:ind w:firstLineChars="200" w:firstLine="420"/>
        <w:jc w:val="left"/>
        <w:rPr>
          <w:rFonts w:ascii="宋体" w:hAnsi="宋体"/>
          <w:bCs/>
          <w:szCs w:val="21"/>
        </w:rPr>
      </w:pPr>
      <w:r>
        <w:rPr>
          <w:rFonts w:ascii="宋体" w:hAnsi="宋体" w:hint="eastAsia"/>
          <w:bCs/>
          <w:szCs w:val="21"/>
        </w:rPr>
        <w:t>（七）基金转换</w:t>
      </w:r>
    </w:p>
    <w:p w14:paraId="5CCC531B" w14:textId="77777777" w:rsidR="00F309E5" w:rsidRDefault="004F2640">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259D21F7" w14:textId="0347BCDE" w:rsidR="00F309E5" w:rsidRDefault="004F2640">
      <w:pPr>
        <w:tabs>
          <w:tab w:val="left" w:pos="4680"/>
        </w:tabs>
        <w:spacing w:line="360" w:lineRule="auto"/>
        <w:ind w:firstLineChars="200" w:firstLine="420"/>
        <w:jc w:val="left"/>
        <w:rPr>
          <w:rFonts w:ascii="宋体" w:hAnsi="宋体"/>
          <w:bCs/>
          <w:szCs w:val="21"/>
        </w:rPr>
      </w:pPr>
      <w:r>
        <w:rPr>
          <w:rFonts w:ascii="宋体" w:hAnsi="宋体" w:hint="eastAsia"/>
          <w:bCs/>
          <w:szCs w:val="21"/>
        </w:rPr>
        <w:t>（八）基金出现超买或超卖的责任认定及处理程序</w:t>
      </w:r>
    </w:p>
    <w:p w14:paraId="182CD926" w14:textId="77777777" w:rsidR="00F309E5" w:rsidRDefault="004F2640">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w:t>
      </w:r>
      <w:r>
        <w:rPr>
          <w:rFonts w:ascii="宋体" w:hAnsi="宋体"/>
          <w:szCs w:val="21"/>
        </w:rPr>
        <w:t>处理</w:t>
      </w:r>
      <w:r>
        <w:rPr>
          <w:rFonts w:ascii="宋体" w:hAnsi="宋体" w:hint="eastAsia"/>
          <w:szCs w:val="21"/>
        </w:rPr>
        <w:t>，如因基金管理人过错给基金及基金托管人造成的损失由基金管理人承担。如果非因基金托管</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14:paraId="0B93472C"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74" w:name="_Toc84607768"/>
      <w:r>
        <w:rPr>
          <w:rFonts w:ascii="宋体" w:eastAsia="宋体" w:hAnsi="宋体" w:cs="Arial" w:hint="eastAsia"/>
          <w:sz w:val="30"/>
          <w:szCs w:val="30"/>
        </w:rPr>
        <w:t>基金资产净值计算和会计核算</w:t>
      </w:r>
      <w:bookmarkEnd w:id="74"/>
    </w:p>
    <w:p w14:paraId="2C1E1796"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75" w:name="_Toc382819104"/>
      <w:bookmarkStart w:id="76" w:name="_Toc84607769"/>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75"/>
      <w:bookmarkEnd w:id="76"/>
    </w:p>
    <w:p w14:paraId="197B9C9A" w14:textId="6CA36E43" w:rsidR="00F309E5" w:rsidRDefault="004F2640">
      <w:pPr>
        <w:spacing w:line="440" w:lineRule="atLeast"/>
        <w:ind w:right="28" w:firstLineChars="200" w:firstLine="420"/>
        <w:rPr>
          <w:rFonts w:ascii="宋体" w:hAnsi="宋体"/>
          <w:szCs w:val="21"/>
        </w:rPr>
      </w:pPr>
      <w:r>
        <w:rPr>
          <w:rFonts w:ascii="宋体" w:hAnsi="宋体" w:hint="eastAsia"/>
          <w:szCs w:val="21"/>
        </w:rPr>
        <w:t>基金资产净值是指基金资产总值减去基金负债后的价值。各类基金份额净值是按照每个估值日闭市后，该类基金份额的基金资产净值除以当日该类基金份额的余额数量计算，各类基金份额净值均精确到0.0001元，小数点后第5位四舍五入，由此产生的收益或损失由基金财产承担。基金管理人可以设立大额赎回情形下的净值精度应急调整机制，具体可参见基金管理人届时发布的相关公告。国家另有规定的，从其规定。</w:t>
      </w:r>
    </w:p>
    <w:p w14:paraId="363381E2" w14:textId="1899C97C" w:rsidR="00F309E5" w:rsidRDefault="004F2640">
      <w:pPr>
        <w:spacing w:line="440" w:lineRule="atLeast"/>
        <w:ind w:right="28" w:firstLineChars="200" w:firstLine="420"/>
        <w:rPr>
          <w:rFonts w:ascii="宋体" w:hAnsi="宋体"/>
          <w:szCs w:val="21"/>
        </w:rPr>
      </w:pPr>
      <w:r w:rsidRPr="00903B9F">
        <w:rPr>
          <w:rFonts w:ascii="宋体" w:hAnsi="宋体" w:hint="eastAsia"/>
          <w:szCs w:val="21"/>
        </w:rPr>
        <w:t>基金管理人于每个估值日计算基金资产净值及各类基金份额净值，并按规定公告。如遇特殊情况，经履行适当程序，可以适当延迟计算或公告</w:t>
      </w:r>
      <w:r>
        <w:rPr>
          <w:rFonts w:ascii="宋体" w:hAnsi="宋体" w:hint="eastAsia"/>
          <w:szCs w:val="21"/>
        </w:rPr>
        <w:t>。</w:t>
      </w:r>
    </w:p>
    <w:p w14:paraId="710A8EF2" w14:textId="77777777" w:rsidR="00F309E5" w:rsidRPr="00903B9F" w:rsidRDefault="004F2640">
      <w:pPr>
        <w:spacing w:line="440" w:lineRule="atLeast"/>
        <w:ind w:right="28" w:firstLineChars="200" w:firstLine="420"/>
        <w:rPr>
          <w:rFonts w:ascii="宋体" w:hAnsi="宋体"/>
          <w:szCs w:val="21"/>
        </w:rPr>
      </w:pPr>
      <w:r>
        <w:rPr>
          <w:rFonts w:ascii="宋体" w:hAnsi="宋体" w:hint="eastAsia"/>
          <w:szCs w:val="21"/>
        </w:rPr>
        <w:t>基金管理人</w:t>
      </w:r>
      <w:proofErr w:type="gramStart"/>
      <w:r>
        <w:rPr>
          <w:rFonts w:ascii="宋体" w:hAnsi="宋体" w:hint="eastAsia"/>
          <w:szCs w:val="21"/>
        </w:rPr>
        <w:t>应每个</w:t>
      </w:r>
      <w:proofErr w:type="gramEnd"/>
      <w:r>
        <w:rPr>
          <w:rFonts w:ascii="宋体" w:hAnsi="宋体" w:hint="eastAsia"/>
          <w:szCs w:val="21"/>
        </w:rPr>
        <w:t>估值日对基金资产估值。但基金管理人根据法律法规或基金合同的</w:t>
      </w:r>
      <w:r>
        <w:rPr>
          <w:rFonts w:ascii="宋体" w:hAnsi="宋体" w:hint="eastAsia"/>
          <w:szCs w:val="21"/>
        </w:rPr>
        <w:lastRenderedPageBreak/>
        <w:t>规定暂停估值时除外。</w:t>
      </w:r>
      <w:r w:rsidRPr="00903B9F">
        <w:rPr>
          <w:rFonts w:ascii="宋体" w:hAnsi="宋体" w:hint="eastAsia"/>
          <w:szCs w:val="21"/>
        </w:rPr>
        <w:t>基金管理人每个估值日对基金资产估值后，将各类基金份额净值结果发送基金托管人，经基金托管人复核无误后，由基金管理人按规定对外公布。</w:t>
      </w:r>
    </w:p>
    <w:p w14:paraId="3D1ABD92" w14:textId="6795FE38" w:rsidR="00F309E5" w:rsidRDefault="004F2640">
      <w:pPr>
        <w:spacing w:line="440" w:lineRule="atLeast"/>
        <w:ind w:right="28" w:firstLineChars="200" w:firstLine="420"/>
        <w:rPr>
          <w:rFonts w:ascii="宋体" w:hAnsi="宋体"/>
          <w:szCs w:val="21"/>
        </w:rPr>
      </w:pPr>
      <w:r>
        <w:rPr>
          <w:rFonts w:ascii="宋体" w:hAnsi="宋体" w:hint="eastAsia"/>
          <w:szCs w:val="21"/>
        </w:rPr>
        <w:t>根据有关法律法规，基金净值</w:t>
      </w:r>
      <w:r w:rsidR="009906FB">
        <w:rPr>
          <w:rFonts w:ascii="宋体" w:hAnsi="宋体" w:hint="eastAsia"/>
          <w:szCs w:val="21"/>
        </w:rPr>
        <w:t>信息</w:t>
      </w:r>
      <w:r>
        <w:rPr>
          <w:rFonts w:ascii="宋体" w:hAnsi="宋体" w:hint="eastAsia"/>
          <w:szCs w:val="21"/>
        </w:rPr>
        <w:t>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9906FB">
        <w:rPr>
          <w:rFonts w:ascii="宋体" w:hAnsi="宋体" w:hint="eastAsia"/>
          <w:szCs w:val="21"/>
        </w:rPr>
        <w:t>信息</w:t>
      </w:r>
      <w:r>
        <w:rPr>
          <w:rFonts w:ascii="宋体" w:hAnsi="宋体" w:hint="eastAsia"/>
          <w:szCs w:val="21"/>
        </w:rPr>
        <w:t>的计算结果对外予以公布。</w:t>
      </w:r>
    </w:p>
    <w:p w14:paraId="45E753FE" w14:textId="77777777" w:rsidR="00F309E5" w:rsidRDefault="004F2640">
      <w:pPr>
        <w:tabs>
          <w:tab w:val="left" w:pos="900"/>
        </w:tabs>
        <w:spacing w:line="360" w:lineRule="auto"/>
        <w:ind w:right="28" w:firstLineChars="200" w:firstLine="420"/>
        <w:rPr>
          <w:rFonts w:ascii="宋体" w:hAnsi="宋体"/>
          <w:szCs w:val="21"/>
        </w:rPr>
      </w:pPr>
      <w:r>
        <w:rPr>
          <w:rFonts w:ascii="宋体" w:hAnsi="宋体" w:hint="eastAsia"/>
          <w:szCs w:val="21"/>
        </w:rPr>
        <w:t>法律法规以及监管部门有强制规定的，从其规定。如有新增事项，按国家最新规定估值。</w:t>
      </w:r>
    </w:p>
    <w:p w14:paraId="568E1BD3" w14:textId="77777777" w:rsidR="00F309E5" w:rsidRDefault="004F2640">
      <w:pPr>
        <w:pStyle w:val="2"/>
        <w:keepNext w:val="0"/>
        <w:keepLines w:val="0"/>
        <w:autoSpaceDE w:val="0"/>
        <w:autoSpaceDN w:val="0"/>
        <w:spacing w:before="0" w:after="0" w:line="440" w:lineRule="atLeast"/>
        <w:ind w:firstLineChars="200" w:firstLine="420"/>
        <w:rPr>
          <w:rFonts w:ascii="宋体" w:eastAsia="宋体" w:hAnsi="宋体"/>
          <w:b w:val="0"/>
          <w:bCs w:val="0"/>
          <w:sz w:val="21"/>
          <w:szCs w:val="21"/>
        </w:rPr>
      </w:pPr>
      <w:bookmarkStart w:id="77" w:name="_Toc382819105"/>
      <w:bookmarkStart w:id="78" w:name="_Toc84607770"/>
      <w:r>
        <w:rPr>
          <w:rFonts w:ascii="宋体" w:eastAsia="宋体" w:hAnsi="宋体" w:hint="eastAsia"/>
          <w:b w:val="0"/>
          <w:bCs w:val="0"/>
          <w:sz w:val="21"/>
          <w:szCs w:val="21"/>
        </w:rPr>
        <w:t>（二）基金资产估值</w:t>
      </w:r>
      <w:bookmarkEnd w:id="77"/>
      <w:bookmarkEnd w:id="78"/>
    </w:p>
    <w:p w14:paraId="24CE64B7" w14:textId="77777777" w:rsidR="00F309E5" w:rsidRDefault="004F2640">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w:t>
      </w:r>
    </w:p>
    <w:p w14:paraId="1CFA8C03" w14:textId="77777777" w:rsidR="00F309E5" w:rsidRDefault="004F2640">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52DA0629"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79" w:name="_Toc382819106"/>
      <w:bookmarkStart w:id="80" w:name="_Toc84607771"/>
      <w:r>
        <w:rPr>
          <w:rFonts w:ascii="宋体" w:eastAsia="宋体" w:hAnsi="宋体" w:hint="eastAsia"/>
          <w:b w:val="0"/>
          <w:bCs w:val="0"/>
          <w:sz w:val="21"/>
          <w:szCs w:val="21"/>
        </w:rPr>
        <w:t>（三）估值错误处理</w:t>
      </w:r>
      <w:bookmarkEnd w:id="79"/>
      <w:bookmarkEnd w:id="80"/>
    </w:p>
    <w:p w14:paraId="112B4025" w14:textId="77777777" w:rsidR="00F309E5" w:rsidRDefault="004F2640">
      <w:pPr>
        <w:autoSpaceDE w:val="0"/>
        <w:autoSpaceDN w:val="0"/>
        <w:spacing w:line="440" w:lineRule="atLeast"/>
        <w:ind w:right="28" w:firstLineChars="200" w:firstLine="420"/>
        <w:rPr>
          <w:rFonts w:ascii="宋体" w:hAnsi="宋体"/>
          <w:szCs w:val="21"/>
        </w:rPr>
      </w:pPr>
      <w:bookmarkStart w:id="81" w:name="_Toc382819107"/>
      <w:r>
        <w:rPr>
          <w:rFonts w:ascii="宋体" w:hAnsi="宋体" w:hint="eastAsia"/>
          <w:szCs w:val="21"/>
        </w:rPr>
        <w:t>基金管理人和基金托管人将采取必要、适当、合理的措施确保基金资产估值的准确性、及时性。当任一类基金份额净值小数点后</w:t>
      </w:r>
      <w:r>
        <w:rPr>
          <w:rFonts w:ascii="宋体" w:hAnsi="宋体"/>
          <w:szCs w:val="21"/>
        </w:rPr>
        <w:t>4</w:t>
      </w:r>
      <w:r>
        <w:rPr>
          <w:rFonts w:ascii="宋体" w:hAnsi="宋体" w:hint="eastAsia"/>
          <w:szCs w:val="21"/>
        </w:rPr>
        <w:t>位以内（含第</w:t>
      </w:r>
      <w:r>
        <w:rPr>
          <w:rFonts w:ascii="宋体" w:hAnsi="宋体"/>
          <w:szCs w:val="21"/>
        </w:rPr>
        <w:t>4</w:t>
      </w:r>
      <w:r>
        <w:rPr>
          <w:rFonts w:ascii="宋体" w:hAnsi="宋体" w:hint="eastAsia"/>
          <w:szCs w:val="21"/>
        </w:rPr>
        <w:t>位）发生估值错误时，视为该类基金份额净值错误。</w:t>
      </w:r>
    </w:p>
    <w:p w14:paraId="43487879"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基金合同的当事人应按照以下约定处理：</w:t>
      </w:r>
    </w:p>
    <w:p w14:paraId="4E429A2A"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估值错误类型</w:t>
      </w:r>
    </w:p>
    <w:p w14:paraId="6C211FC9"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DCD5CC0"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上述估值错误的主要类型包括但不限于：资料申报差错、数据传输差错、数据计算差错、系统故障差错、下达指令差错等。</w:t>
      </w:r>
    </w:p>
    <w:p w14:paraId="5A6C1FF8"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估值错误处理原则</w:t>
      </w:r>
    </w:p>
    <w:p w14:paraId="01134E5B"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CB1A3B1"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lastRenderedPageBreak/>
        <w:t>（2）估值错误的责任方对有关当事人的直接损失负责，不对间接损失负责，并且仅对估值错误的有关直接当事人负责，不对第三方负责。</w:t>
      </w:r>
    </w:p>
    <w:p w14:paraId="25E1A4B4"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（3）因估值错误而获得不当得利的当事人负有及时返还不当得利的义务。但估值错误责任方仍应对估值错误负责。如果由于获得不当得利的当事人</w:t>
      </w:r>
      <w:proofErr w:type="gramStart"/>
      <w:r>
        <w:rPr>
          <w:rFonts w:ascii="宋体" w:hAnsi="宋体" w:hint="eastAsia"/>
          <w:szCs w:val="21"/>
        </w:rPr>
        <w:t>不</w:t>
      </w:r>
      <w:proofErr w:type="gramEnd"/>
      <w:r>
        <w:rPr>
          <w:rFonts w:ascii="宋体" w:hAnsi="宋体" w:hint="eastAsia"/>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C7865CE"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（4）估值错误调整采用尽量恢复至假设未发生估值错误的正确情形的方式。</w:t>
      </w:r>
    </w:p>
    <w:p w14:paraId="11E67691" w14:textId="3DE26EA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（5）按法律法规规定的其他原则处理估值错误。</w:t>
      </w:r>
    </w:p>
    <w:p w14:paraId="515F4D46"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估值错误处理程序</w:t>
      </w:r>
    </w:p>
    <w:p w14:paraId="502463E6"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估值错误被发现后，有关的当事人应当及时进行处理，处理的程序如下：</w:t>
      </w:r>
    </w:p>
    <w:p w14:paraId="1F1956DB"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（1）查明估值错误发生的原因，列明所有的当事人，并根据估值错误发生的原因确定估值错误的责任方；</w:t>
      </w:r>
    </w:p>
    <w:p w14:paraId="2A25E368"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（2）根据估值错误处理原则或当事人协商的方法对因估值错误造成的损失进行评估；</w:t>
      </w:r>
    </w:p>
    <w:p w14:paraId="0A91CA14"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（3）根据估值错误处理原则或当事人协商的方法由估值错误的责任方进行更正和赔偿损失；</w:t>
      </w:r>
    </w:p>
    <w:p w14:paraId="160204B6"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（4）根据估值错误处理的方法，需要修改基金登记机构交易数据的，由基金登记机构进行更正，并就估值错误的更正向有关当事人进行确认。</w:t>
      </w:r>
    </w:p>
    <w:p w14:paraId="667B6A5E"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4</w:t>
      </w:r>
      <w:r>
        <w:rPr>
          <w:rFonts w:ascii="宋体" w:hAnsi="宋体" w:hint="eastAsia"/>
          <w:b/>
          <w:bCs/>
          <w:szCs w:val="21"/>
        </w:rPr>
        <w:t>.</w:t>
      </w:r>
      <w:r>
        <w:rPr>
          <w:rFonts w:ascii="宋体" w:hAnsi="宋体" w:hint="eastAsia"/>
          <w:szCs w:val="21"/>
        </w:rPr>
        <w:t>基金份额净值估值错误处理的方法如下：</w:t>
      </w:r>
    </w:p>
    <w:p w14:paraId="27AC9774"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（1）基金份额净值计算出现错误时，基金管理人应当立即予以纠正，通报基金托管人，并采取合理的措施防止损失进一步扩大。</w:t>
      </w:r>
    </w:p>
    <w:p w14:paraId="233B07EC"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2）基金份额净值计算错误偏差达到该类基金份额净值的0.25%时，基金管理人应当通报基金托管人并报中国证监会备案；错误偏差达到该类基金份额净值的0.5%时，基金管理人应当通报基金托管人并报中国证监会备案，同时进行公告。</w:t>
      </w:r>
    </w:p>
    <w:p w14:paraId="2AABA6DA"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（3）基金管理人和基金托管人由于各自技术系统设置而产生的净值计算尾差，以基金管理人计算结果为准。</w:t>
      </w:r>
    </w:p>
    <w:p w14:paraId="162CC2ED" w14:textId="32BBDBC1"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）前述内容如法律法规或监管机关另有规定的，从其规定处理。</w:t>
      </w:r>
      <w:bookmarkStart w:id="82" w:name="_Toc382819116"/>
      <w:bookmarkEnd w:id="81"/>
    </w:p>
    <w:p w14:paraId="4E3ECDBF" w14:textId="77777777" w:rsidR="00F309E5" w:rsidRDefault="004F2640">
      <w:pPr>
        <w:autoSpaceDE w:val="0"/>
        <w:autoSpaceDN w:val="0"/>
        <w:spacing w:line="440" w:lineRule="atLeast"/>
        <w:ind w:right="28" w:firstLineChars="200" w:firstLine="420"/>
        <w:rPr>
          <w:rFonts w:ascii="宋体" w:hAnsi="宋体"/>
          <w:szCs w:val="21"/>
        </w:rPr>
      </w:pPr>
      <w:r>
        <w:rPr>
          <w:rFonts w:ascii="宋体" w:hAnsi="宋体" w:hint="eastAsia"/>
          <w:szCs w:val="21"/>
        </w:rPr>
        <w:t>如果行业另有通行做法，基金管理人和基金托管人应本着平等和保护基金份额持有人利益的原则进行协商。</w:t>
      </w:r>
    </w:p>
    <w:p w14:paraId="5A67F572" w14:textId="77777777" w:rsidR="00F309E5" w:rsidRDefault="004F2640">
      <w:pPr>
        <w:spacing w:line="360" w:lineRule="auto"/>
        <w:ind w:firstLineChars="200" w:firstLine="420"/>
        <w:rPr>
          <w:bCs/>
          <w:szCs w:val="21"/>
        </w:rPr>
      </w:pPr>
      <w:bookmarkStart w:id="83" w:name="_Toc84607772"/>
      <w:r>
        <w:rPr>
          <w:rFonts w:ascii="宋体" w:hAnsi="宋体" w:hint="eastAsia"/>
          <w:szCs w:val="21"/>
        </w:rPr>
        <w:lastRenderedPageBreak/>
        <w:t>（四）</w:t>
      </w:r>
      <w:r>
        <w:rPr>
          <w:rFonts w:hint="eastAsia"/>
          <w:bCs/>
          <w:szCs w:val="21"/>
        </w:rPr>
        <w:t>暂停估值的情形</w:t>
      </w:r>
    </w:p>
    <w:p w14:paraId="6140072E" w14:textId="77777777" w:rsidR="00F309E5" w:rsidRDefault="004F2640">
      <w:pPr>
        <w:spacing w:line="360" w:lineRule="auto"/>
        <w:ind w:firstLineChars="200" w:firstLine="420"/>
        <w:rPr>
          <w:bCs/>
          <w:szCs w:val="21"/>
        </w:rPr>
      </w:pPr>
      <w:r>
        <w:rPr>
          <w:bCs/>
          <w:szCs w:val="21"/>
        </w:rPr>
        <w:t>1</w:t>
      </w:r>
      <w:r>
        <w:rPr>
          <w:rFonts w:hint="eastAsia"/>
          <w:bCs/>
          <w:szCs w:val="21"/>
        </w:rPr>
        <w:t>.</w:t>
      </w:r>
      <w:r>
        <w:rPr>
          <w:rFonts w:hint="eastAsia"/>
          <w:bCs/>
          <w:szCs w:val="21"/>
        </w:rPr>
        <w:t>基金投资所涉及的证券交易市场遇法定节假日或因其他原因暂停营业时；</w:t>
      </w:r>
    </w:p>
    <w:p w14:paraId="706057B5" w14:textId="77777777" w:rsidR="00F309E5" w:rsidRDefault="004F2640">
      <w:pPr>
        <w:spacing w:line="360" w:lineRule="auto"/>
        <w:ind w:firstLineChars="200" w:firstLine="420"/>
        <w:rPr>
          <w:bCs/>
          <w:szCs w:val="21"/>
        </w:rPr>
      </w:pPr>
      <w:r>
        <w:rPr>
          <w:bCs/>
          <w:szCs w:val="21"/>
        </w:rPr>
        <w:t>2</w:t>
      </w:r>
      <w:r>
        <w:rPr>
          <w:rFonts w:hint="eastAsia"/>
          <w:bCs/>
          <w:szCs w:val="21"/>
        </w:rPr>
        <w:t>.</w:t>
      </w:r>
      <w:r>
        <w:rPr>
          <w:rFonts w:hint="eastAsia"/>
          <w:bCs/>
          <w:szCs w:val="21"/>
        </w:rPr>
        <w:t>因不可抗力致使基金管理人、基金托管人无法准确评估基金资产价值时；</w:t>
      </w:r>
    </w:p>
    <w:p w14:paraId="3B11BF74" w14:textId="77777777" w:rsidR="00F309E5" w:rsidRDefault="004F2640">
      <w:pPr>
        <w:spacing w:line="360" w:lineRule="auto"/>
        <w:ind w:firstLineChars="200" w:firstLine="420"/>
        <w:rPr>
          <w:bCs/>
          <w:szCs w:val="21"/>
        </w:rPr>
      </w:pPr>
      <w:r>
        <w:rPr>
          <w:bCs/>
          <w:szCs w:val="21"/>
        </w:rPr>
        <w:t>3</w:t>
      </w:r>
      <w:r>
        <w:rPr>
          <w:rFonts w:hint="eastAsia"/>
          <w:bCs/>
          <w:szCs w:val="21"/>
        </w:rPr>
        <w:t>.</w:t>
      </w:r>
      <w:r>
        <w:rPr>
          <w:rFonts w:hint="eastAsia"/>
          <w:bCs/>
          <w:szCs w:val="21"/>
        </w:rPr>
        <w:t>当特定资产占前一估值日基金资产净值</w:t>
      </w:r>
      <w:r>
        <w:rPr>
          <w:bCs/>
          <w:szCs w:val="21"/>
        </w:rPr>
        <w:t>50%</w:t>
      </w:r>
      <w:r>
        <w:rPr>
          <w:rFonts w:hint="eastAsia"/>
          <w:bCs/>
          <w:szCs w:val="21"/>
        </w:rPr>
        <w:t>以上的，经与基金托管人协商确认后，基金管理人应当暂停估值；</w:t>
      </w:r>
    </w:p>
    <w:p w14:paraId="32EA92FE" w14:textId="77777777" w:rsidR="00F309E5" w:rsidRDefault="004F2640">
      <w:pPr>
        <w:spacing w:line="360" w:lineRule="auto"/>
        <w:ind w:firstLineChars="200" w:firstLine="420"/>
        <w:rPr>
          <w:bCs/>
          <w:sz w:val="24"/>
        </w:rPr>
      </w:pPr>
      <w:r>
        <w:rPr>
          <w:bCs/>
          <w:szCs w:val="21"/>
        </w:rPr>
        <w:t>4</w:t>
      </w:r>
      <w:r>
        <w:rPr>
          <w:rFonts w:hint="eastAsia"/>
          <w:bCs/>
          <w:szCs w:val="21"/>
        </w:rPr>
        <w:t>.</w:t>
      </w:r>
      <w:r>
        <w:rPr>
          <w:rFonts w:hint="eastAsia"/>
          <w:bCs/>
          <w:szCs w:val="21"/>
        </w:rPr>
        <w:t>法律法规、中国证监会和基金合同认定的其他情形。</w:t>
      </w:r>
    </w:p>
    <w:p w14:paraId="6C15E98C" w14:textId="77777777"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r>
        <w:rPr>
          <w:rFonts w:ascii="宋体" w:eastAsia="宋体" w:hAnsi="宋体" w:hint="eastAsia"/>
          <w:b w:val="0"/>
          <w:bCs w:val="0"/>
          <w:sz w:val="21"/>
          <w:szCs w:val="21"/>
        </w:rPr>
        <w:t>（五）基金账册的建立</w:t>
      </w:r>
      <w:bookmarkEnd w:id="82"/>
      <w:bookmarkEnd w:id="83"/>
    </w:p>
    <w:p w14:paraId="1FAD8072"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5E254E22" w14:textId="77777777" w:rsidR="00F309E5" w:rsidRDefault="004F2640">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58335B72" w14:textId="1A75040F" w:rsidR="00F309E5" w:rsidRDefault="004F2640">
      <w:pPr>
        <w:pStyle w:val="2"/>
        <w:keepNext w:val="0"/>
        <w:keepLines w:val="0"/>
        <w:autoSpaceDE w:val="0"/>
        <w:autoSpaceDN w:val="0"/>
        <w:spacing w:before="0" w:after="0" w:line="360" w:lineRule="auto"/>
        <w:ind w:firstLineChars="200" w:firstLine="420"/>
        <w:rPr>
          <w:rFonts w:ascii="宋体" w:eastAsia="宋体" w:hAnsi="宋体"/>
          <w:b w:val="0"/>
          <w:bCs w:val="0"/>
          <w:sz w:val="21"/>
          <w:szCs w:val="21"/>
        </w:rPr>
      </w:pPr>
      <w:bookmarkStart w:id="84" w:name="_Toc382819117"/>
      <w:bookmarkStart w:id="85" w:name="_Toc84607773"/>
      <w:r>
        <w:rPr>
          <w:rFonts w:ascii="宋体" w:eastAsia="宋体" w:hAnsi="宋体" w:hint="eastAsia"/>
          <w:b w:val="0"/>
          <w:bCs w:val="0"/>
          <w:sz w:val="21"/>
          <w:szCs w:val="21"/>
        </w:rPr>
        <w:t>（六）基金定期报告的编制和复核</w:t>
      </w:r>
      <w:bookmarkEnd w:id="84"/>
      <w:bookmarkEnd w:id="85"/>
    </w:p>
    <w:p w14:paraId="4548103C" w14:textId="77777777" w:rsidR="00F309E5" w:rsidRDefault="004F2640">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w:t>
      </w:r>
      <w:proofErr w:type="gramEnd"/>
      <w:r>
        <w:rPr>
          <w:rFonts w:ascii="宋体" w:hAnsi="宋体" w:hint="eastAsia"/>
          <w:szCs w:val="21"/>
        </w:rPr>
        <w:t>立编制。月度报表的编制，应于每月终了后5个工作日内完成。</w:t>
      </w:r>
    </w:p>
    <w:p w14:paraId="3C23B030" w14:textId="3871B042" w:rsidR="005F595B" w:rsidRDefault="004F2640">
      <w:pPr>
        <w:spacing w:line="360" w:lineRule="auto"/>
        <w:ind w:firstLineChars="200" w:firstLine="420"/>
        <w:rPr>
          <w:rFonts w:ascii="宋体" w:hAnsi="宋体"/>
          <w:szCs w:val="21"/>
        </w:rPr>
      </w:pPr>
      <w:r>
        <w:rPr>
          <w:rFonts w:ascii="宋体" w:hAnsi="宋体" w:hint="eastAsia"/>
          <w:szCs w:val="21"/>
        </w:rPr>
        <w:t>基金合同生效后，基金招募说明书的信息发生重大变更的，基金管理人应当在3个工作日内，更新基金招募说明书并登载在规定网站上；除重大变更事项之外，基金招募说明书其他信息发生变更的，基金管理人至少每年更新一次。基金终止运作的，基金管理人不再更新基金招募说明书。基金管理人应在每个季度结束之日起1</w:t>
      </w:r>
      <w:r>
        <w:rPr>
          <w:rFonts w:ascii="宋体" w:hAnsi="宋体"/>
          <w:szCs w:val="21"/>
        </w:rPr>
        <w:t>5</w:t>
      </w:r>
      <w:r>
        <w:rPr>
          <w:rFonts w:ascii="宋体" w:hAnsi="宋体" w:hint="eastAsia"/>
          <w:szCs w:val="21"/>
        </w:rPr>
        <w:t>个工作日内，编制完成基金季度报告并公告；在上半年结束之日起2个月内，编制完成基金中期报告并公告；在每年结束之日起3个月内，编制完成基金年度报告并公告。基金合同生效不足2个月的，基金管理人可以不编制当期季度报告、中期报告或者年度报告。</w:t>
      </w:r>
    </w:p>
    <w:p w14:paraId="22562B9C" w14:textId="3A718041" w:rsidR="00F309E5" w:rsidRDefault="003F5B01">
      <w:pPr>
        <w:spacing w:line="360" w:lineRule="auto"/>
        <w:ind w:firstLineChars="200" w:firstLine="420"/>
        <w:rPr>
          <w:rFonts w:ascii="宋体" w:hAnsi="宋体"/>
          <w:szCs w:val="21"/>
        </w:rPr>
      </w:pPr>
      <w:r>
        <w:rPr>
          <w:rFonts w:ascii="宋体" w:hAnsi="宋体" w:hint="eastAsia"/>
          <w:szCs w:val="21"/>
        </w:rPr>
        <w:t>基金托管人应当及时复核基金管理人提供的定期报告。</w:t>
      </w:r>
      <w:r w:rsidR="004F2640">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或进行电子确认，相关各方各自留存一份。如果基金管理人与基金托管人不能</w:t>
      </w:r>
      <w:proofErr w:type="gramStart"/>
      <w:r w:rsidR="004F2640">
        <w:rPr>
          <w:rFonts w:ascii="宋体" w:hAnsi="宋体" w:hint="eastAsia"/>
          <w:szCs w:val="21"/>
        </w:rPr>
        <w:t>于应当</w:t>
      </w:r>
      <w:proofErr w:type="gramEnd"/>
      <w:r w:rsidR="004F2640">
        <w:rPr>
          <w:rFonts w:ascii="宋体" w:hAnsi="宋体" w:hint="eastAsia"/>
          <w:szCs w:val="21"/>
        </w:rPr>
        <w:t>发布公告之日之前就相关报表达成一致，基金管理人有权按照其编制的报表对外发布公告，基金托管人有权就相关情况报中国证监会备</w:t>
      </w:r>
      <w:r w:rsidR="004F2640">
        <w:rPr>
          <w:rFonts w:ascii="宋体" w:hAnsi="宋体" w:hint="eastAsia"/>
          <w:szCs w:val="21"/>
        </w:rPr>
        <w:lastRenderedPageBreak/>
        <w:t>案。</w:t>
      </w:r>
    </w:p>
    <w:p w14:paraId="5ED3D131" w14:textId="77777777" w:rsidR="00F309E5" w:rsidRDefault="004F2640">
      <w:pPr>
        <w:spacing w:line="360" w:lineRule="auto"/>
        <w:ind w:firstLineChars="200" w:firstLine="420"/>
        <w:rPr>
          <w:rFonts w:ascii="宋体" w:hAnsi="宋体"/>
          <w:szCs w:val="21"/>
        </w:rPr>
      </w:pPr>
      <w:r>
        <w:rPr>
          <w:rFonts w:ascii="宋体" w:hAnsi="宋体" w:hint="eastAsia"/>
          <w:szCs w:val="21"/>
        </w:rPr>
        <w:t>基金托管人在对财务会计报告、基金季度报告、基金中期报告或基金年度报告复核完毕后，需盖章确认或出具相应的复核确认书或进行电子确认，以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7F0D369D"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86" w:name="_Toc84607774"/>
      <w:r>
        <w:rPr>
          <w:rFonts w:ascii="宋体" w:eastAsia="宋体" w:hAnsi="宋体" w:cs="Arial" w:hint="eastAsia"/>
          <w:sz w:val="30"/>
          <w:szCs w:val="30"/>
        </w:rPr>
        <w:t>基金收益分配</w:t>
      </w:r>
      <w:bookmarkEnd w:id="86"/>
    </w:p>
    <w:p w14:paraId="38F521DE" w14:textId="77777777" w:rsidR="00F309E5" w:rsidRDefault="004F2640">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87" w:name="_Toc382819120"/>
    </w:p>
    <w:p w14:paraId="2F210CCE"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88" w:name="_Toc84607775"/>
      <w:bookmarkEnd w:id="87"/>
      <w:r>
        <w:rPr>
          <w:rFonts w:ascii="宋体" w:eastAsia="宋体" w:hAnsi="宋体" w:cs="Arial" w:hint="eastAsia"/>
          <w:sz w:val="30"/>
          <w:szCs w:val="30"/>
        </w:rPr>
        <w:t>信息披露</w:t>
      </w:r>
      <w:bookmarkEnd w:id="88"/>
    </w:p>
    <w:p w14:paraId="21F4F56F" w14:textId="77777777" w:rsidR="00F309E5" w:rsidRDefault="004F2640">
      <w:pPr>
        <w:pStyle w:val="2"/>
        <w:keepNext w:val="0"/>
        <w:keepLines w:val="0"/>
        <w:tabs>
          <w:tab w:val="left" w:pos="1080"/>
        </w:tabs>
        <w:autoSpaceDE w:val="0"/>
        <w:autoSpaceDN w:val="0"/>
        <w:spacing w:before="0" w:after="0" w:line="360" w:lineRule="auto"/>
        <w:ind w:firstLineChars="196" w:firstLine="412"/>
        <w:rPr>
          <w:rFonts w:ascii="宋体" w:eastAsia="宋体" w:hAnsi="宋体" w:cs="Arial"/>
          <w:b w:val="0"/>
          <w:sz w:val="21"/>
          <w:szCs w:val="21"/>
        </w:rPr>
      </w:pPr>
      <w:bookmarkStart w:id="89" w:name="_Toc382819122"/>
      <w:bookmarkStart w:id="90" w:name="_Toc84607776"/>
      <w:r>
        <w:rPr>
          <w:rFonts w:ascii="宋体" w:eastAsia="宋体" w:hAnsi="宋体" w:hint="eastAsia"/>
          <w:b w:val="0"/>
          <w:sz w:val="21"/>
          <w:szCs w:val="21"/>
        </w:rPr>
        <w:t>（一）</w:t>
      </w:r>
      <w:r>
        <w:rPr>
          <w:rFonts w:ascii="宋体" w:eastAsia="宋体" w:hAnsi="宋体" w:cs="Arial" w:hint="eastAsia"/>
          <w:b w:val="0"/>
          <w:sz w:val="21"/>
          <w:szCs w:val="21"/>
        </w:rPr>
        <w:t>保密义务</w:t>
      </w:r>
      <w:bookmarkEnd w:id="89"/>
      <w:bookmarkEnd w:id="90"/>
    </w:p>
    <w:p w14:paraId="4D785873" w14:textId="77777777" w:rsidR="00F309E5" w:rsidRDefault="004F2640">
      <w:pPr>
        <w:spacing w:line="360" w:lineRule="auto"/>
        <w:ind w:right="28" w:firstLineChars="200" w:firstLine="420"/>
        <w:rPr>
          <w:rFonts w:ascii="宋体" w:hAnsi="宋体"/>
          <w:szCs w:val="21"/>
        </w:rPr>
      </w:pPr>
      <w:r>
        <w:rPr>
          <w:rFonts w:ascii="宋体" w:hAnsi="宋体" w:hint="eastAsia"/>
          <w:szCs w:val="21"/>
        </w:rPr>
        <w:t>除按照《基金法》、《运作办法》、《信息披露办法》、《流动性风险管理规定》、《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1CE6054D" w14:textId="77777777" w:rsidR="00F309E5" w:rsidRDefault="004F2640">
      <w:pPr>
        <w:pStyle w:val="af9"/>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3F66266D" w14:textId="77777777" w:rsidR="00F309E5" w:rsidRDefault="004F2640">
      <w:pPr>
        <w:spacing w:line="360" w:lineRule="auto"/>
        <w:ind w:firstLineChars="200" w:firstLine="420"/>
        <w:rPr>
          <w:rFonts w:ascii="宋体" w:hAnsi="宋体"/>
          <w:szCs w:val="21"/>
        </w:rPr>
      </w:pPr>
      <w:r>
        <w:rPr>
          <w:rFonts w:ascii="宋体" w:hAnsi="宋体" w:hint="eastAsia"/>
          <w:szCs w:val="21"/>
        </w:rPr>
        <w:t>2.基金管理人和基金托管人为遵守和服从法院判决或裁定、仲裁裁决或中国证监会等监管机构的命令、决定所做出的信息披露或公开。</w:t>
      </w:r>
    </w:p>
    <w:p w14:paraId="4CDCFA10" w14:textId="77777777" w:rsidR="00F309E5" w:rsidRDefault="004F2640">
      <w:pPr>
        <w:spacing w:line="360" w:lineRule="auto"/>
        <w:ind w:firstLineChars="200" w:firstLine="420"/>
        <w:rPr>
          <w:rFonts w:ascii="宋体" w:hAnsi="宋体"/>
          <w:szCs w:val="21"/>
        </w:rPr>
      </w:pPr>
      <w:r>
        <w:rPr>
          <w:rFonts w:ascii="宋体" w:hAnsi="宋体" w:hint="eastAsia"/>
          <w:szCs w:val="21"/>
        </w:rPr>
        <w:t>3</w:t>
      </w:r>
      <w:r>
        <w:rPr>
          <w:rFonts w:ascii="宋体" w:hAnsi="宋体"/>
          <w:szCs w:val="21"/>
        </w:rPr>
        <w:t>.</w:t>
      </w:r>
      <w:r>
        <w:rPr>
          <w:rFonts w:hint="eastAsia"/>
        </w:rPr>
        <w:t xml:space="preserve"> </w:t>
      </w:r>
      <w:r>
        <w:rPr>
          <w:rFonts w:ascii="宋体" w:hAnsi="宋体" w:hint="eastAsia"/>
          <w:szCs w:val="21"/>
        </w:rPr>
        <w:t>基金管理人或基金托管人在要求保密的前提下对自身聘请的外部法律顾问、财务顾问、审计人员、技术顾问等做出的必要信息披露。</w:t>
      </w:r>
    </w:p>
    <w:p w14:paraId="5472292E" w14:textId="77777777" w:rsidR="00F309E5" w:rsidRDefault="004F2640">
      <w:pPr>
        <w:pStyle w:val="2"/>
        <w:keepNext w:val="0"/>
        <w:keepLines w:val="0"/>
        <w:tabs>
          <w:tab w:val="left" w:pos="1080"/>
        </w:tabs>
        <w:autoSpaceDE w:val="0"/>
        <w:autoSpaceDN w:val="0"/>
        <w:spacing w:before="0" w:after="0" w:line="360" w:lineRule="auto"/>
        <w:ind w:firstLineChars="196" w:firstLine="412"/>
        <w:rPr>
          <w:rFonts w:ascii="宋体" w:hAnsi="宋体"/>
          <w:szCs w:val="21"/>
        </w:rPr>
      </w:pPr>
      <w:r>
        <w:rPr>
          <w:rFonts w:ascii="宋体" w:eastAsia="宋体" w:hAnsi="宋体" w:hint="eastAsia"/>
          <w:b w:val="0"/>
          <w:sz w:val="21"/>
          <w:szCs w:val="21"/>
        </w:rPr>
        <w:t>（二）信息披露的内容</w:t>
      </w:r>
    </w:p>
    <w:p w14:paraId="3AA29CBB"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0B6395AB" w14:textId="1725D178"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产品资料概要、基金份额发售公告、《基金合同》生效公告、基金净值信息、基金份额申购、赎回价格、基金定期报告（包括基金年度报告、基金中期报告和基金季度报告）、临时报告、澄清公告、基金份额持有人大会决议、清算报告、实施</w:t>
      </w:r>
      <w:proofErr w:type="gramStart"/>
      <w:r>
        <w:rPr>
          <w:rFonts w:ascii="宋体" w:hAnsi="宋体" w:hint="eastAsia"/>
          <w:szCs w:val="21"/>
        </w:rPr>
        <w:t>侧袋机制</w:t>
      </w:r>
      <w:proofErr w:type="gramEnd"/>
      <w:r>
        <w:rPr>
          <w:rFonts w:ascii="宋体" w:hAnsi="宋体" w:hint="eastAsia"/>
          <w:szCs w:val="21"/>
        </w:rPr>
        <w:t>期间的信息披露、中国证监</w:t>
      </w:r>
      <w:r>
        <w:rPr>
          <w:rFonts w:ascii="宋体" w:hAnsi="宋体" w:hint="eastAsia"/>
          <w:szCs w:val="21"/>
        </w:rPr>
        <w:lastRenderedPageBreak/>
        <w:t>会规定的其他信息等必要的公告文件，由基金管理人拟定并负责公布。</w:t>
      </w:r>
    </w:p>
    <w:p w14:paraId="06716B89" w14:textId="20E1A97C"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净值信息、基金份额申购赎回价格、基金定期报告、更新的招募说明书、基金产品资料概要、基金清算报告等公开披露的相关基金信息按有关规定需经基金托管人复核的，须由基金托管人进行复核、审查，并向基金管理人进行书面或电子确认。相关信息经基金托管人复核无误后方可公布。其他不需经基金托管人复核的信息披露内容，应及时告知基金托管人。</w:t>
      </w:r>
    </w:p>
    <w:p w14:paraId="483712E7" w14:textId="0C2FB911"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基金年度报告中的财务会计报告部分，需</w:t>
      </w:r>
      <w:proofErr w:type="gramStart"/>
      <w:r>
        <w:rPr>
          <w:rFonts w:ascii="宋体" w:hAnsi="宋体" w:hint="eastAsia"/>
          <w:szCs w:val="21"/>
        </w:rPr>
        <w:t>经符合</w:t>
      </w:r>
      <w:proofErr w:type="gramEnd"/>
      <w:r>
        <w:rPr>
          <w:rFonts w:ascii="宋体" w:hAnsi="宋体" w:hint="eastAsia"/>
          <w:szCs w:val="21"/>
        </w:rPr>
        <w:t>《证券法》规定的会计师事务所审计后，方可披露。</w:t>
      </w:r>
    </w:p>
    <w:p w14:paraId="03DD013D" w14:textId="05B56C40" w:rsidR="00F309E5" w:rsidRDefault="004F2640">
      <w:pPr>
        <w:pStyle w:val="2"/>
        <w:keepNext w:val="0"/>
        <w:keepLines w:val="0"/>
        <w:tabs>
          <w:tab w:val="left" w:pos="1080"/>
        </w:tabs>
        <w:autoSpaceDE w:val="0"/>
        <w:autoSpaceDN w:val="0"/>
        <w:spacing w:before="0" w:after="0" w:line="360" w:lineRule="auto"/>
        <w:ind w:firstLineChars="200" w:firstLine="420"/>
        <w:rPr>
          <w:rFonts w:ascii="宋体" w:eastAsia="宋体" w:hAnsi="宋体"/>
          <w:b w:val="0"/>
          <w:bCs w:val="0"/>
          <w:sz w:val="21"/>
          <w:szCs w:val="21"/>
        </w:rPr>
      </w:pPr>
      <w:bookmarkStart w:id="91" w:name="_Toc382819123"/>
      <w:bookmarkStart w:id="92" w:name="_Toc84607777"/>
      <w:r>
        <w:rPr>
          <w:rFonts w:ascii="宋体" w:eastAsia="宋体" w:hAnsi="宋体" w:hint="eastAsia"/>
          <w:b w:val="0"/>
          <w:bCs w:val="0"/>
          <w:sz w:val="21"/>
          <w:szCs w:val="21"/>
        </w:rPr>
        <w:t>基金管理人应当在中国证监会规定的时间内，将应予披露的基金信息通过规定媒介披露。根据法律法规应由基金托管人公开披露的信息，基金托管人将通过规定媒介公开披露。</w:t>
      </w:r>
      <w:bookmarkEnd w:id="91"/>
      <w:bookmarkEnd w:id="92"/>
    </w:p>
    <w:p w14:paraId="5085220E" w14:textId="77777777" w:rsidR="00F309E5" w:rsidRDefault="004F2640">
      <w:pPr>
        <w:pStyle w:val="2"/>
        <w:keepNext w:val="0"/>
        <w:keepLines w:val="0"/>
        <w:tabs>
          <w:tab w:val="left" w:pos="1080"/>
        </w:tabs>
        <w:autoSpaceDE w:val="0"/>
        <w:autoSpaceDN w:val="0"/>
        <w:spacing w:before="0" w:after="0" w:line="360" w:lineRule="auto"/>
        <w:ind w:firstLineChars="200" w:firstLine="420"/>
        <w:rPr>
          <w:rFonts w:ascii="宋体" w:eastAsia="宋体" w:hAnsi="宋体"/>
          <w:b w:val="0"/>
          <w:bCs w:val="0"/>
          <w:sz w:val="21"/>
          <w:szCs w:val="21"/>
        </w:rPr>
      </w:pPr>
      <w:bookmarkStart w:id="93" w:name="_Toc382819124"/>
      <w:bookmarkStart w:id="94" w:name="_Toc84607778"/>
      <w:r>
        <w:rPr>
          <w:rFonts w:ascii="宋体" w:eastAsia="宋体" w:hAnsi="宋体" w:hint="eastAsia"/>
          <w:b w:val="0"/>
          <w:bCs w:val="0"/>
          <w:sz w:val="21"/>
          <w:szCs w:val="21"/>
        </w:rPr>
        <w:t>（三）基金管理人和基金托管人在信息披露中的职责和信息披露程序</w:t>
      </w:r>
      <w:bookmarkEnd w:id="93"/>
      <w:bookmarkEnd w:id="94"/>
    </w:p>
    <w:p w14:paraId="1E7842F6"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职责</w:t>
      </w:r>
    </w:p>
    <w:p w14:paraId="06ADA2F9"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4E51E87F"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程序</w:t>
      </w:r>
    </w:p>
    <w:p w14:paraId="37513943"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420E931C"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442E75DC" w14:textId="77777777" w:rsidR="00F309E5" w:rsidRDefault="004F2640">
      <w:pPr>
        <w:tabs>
          <w:tab w:val="left" w:pos="4680"/>
        </w:tabs>
        <w:spacing w:line="360" w:lineRule="auto"/>
        <w:ind w:firstLineChars="200" w:firstLine="420"/>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信息文本的存放</w:t>
      </w:r>
    </w:p>
    <w:p w14:paraId="456C46D9" w14:textId="77777777" w:rsidR="00F309E5" w:rsidRDefault="004F2640">
      <w:pPr>
        <w:autoSpaceDE w:val="0"/>
        <w:autoSpaceDN w:val="0"/>
        <w:spacing w:line="360" w:lineRule="auto"/>
        <w:ind w:firstLineChars="200" w:firstLine="420"/>
        <w:rPr>
          <w:rFonts w:ascii="宋体" w:hAnsi="宋体"/>
          <w:szCs w:val="21"/>
        </w:rPr>
      </w:pPr>
      <w:r>
        <w:rPr>
          <w:rFonts w:ascii="宋体" w:hAnsi="宋体" w:hint="eastAsia"/>
          <w:szCs w:val="21"/>
        </w:rPr>
        <w:t>依法必须披露的信息发布后，基金管理人、基金托管人应当按照相关法律法规规定将信息置备于各自住所，供社会公众查阅、复制。</w:t>
      </w:r>
    </w:p>
    <w:p w14:paraId="65E6C913" w14:textId="77777777" w:rsidR="00F309E5" w:rsidRDefault="004F2640">
      <w:pPr>
        <w:autoSpaceDE w:val="0"/>
        <w:autoSpaceDN w:val="0"/>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61BCBA5D" w14:textId="77777777" w:rsidR="00F309E5" w:rsidRDefault="004F2640">
      <w:pPr>
        <w:spacing w:line="360" w:lineRule="auto"/>
        <w:ind w:firstLineChars="200" w:firstLine="420"/>
        <w:rPr>
          <w:rFonts w:ascii="宋体" w:hAnsi="宋体"/>
          <w:szCs w:val="21"/>
        </w:rPr>
      </w:pPr>
      <w:r>
        <w:rPr>
          <w:rFonts w:ascii="宋体" w:hAnsi="宋体" w:hint="eastAsia"/>
          <w:szCs w:val="21"/>
        </w:rPr>
        <w:t>4</w:t>
      </w:r>
      <w:r>
        <w:rPr>
          <w:rFonts w:ascii="宋体" w:hAnsi="宋体" w:hint="eastAsia"/>
          <w:b/>
          <w:bCs/>
          <w:szCs w:val="21"/>
        </w:rPr>
        <w:t>.</w:t>
      </w:r>
      <w:r>
        <w:rPr>
          <w:rFonts w:ascii="宋体" w:hAnsi="宋体" w:hint="eastAsia"/>
          <w:szCs w:val="21"/>
        </w:rPr>
        <w:t>暂停</w:t>
      </w:r>
      <w:r>
        <w:rPr>
          <w:rFonts w:ascii="宋体" w:hAnsi="宋体" w:cs="Arial" w:hint="eastAsia"/>
          <w:szCs w:val="21"/>
        </w:rPr>
        <w:t>或延迟披露基金相关信息</w:t>
      </w:r>
      <w:r>
        <w:rPr>
          <w:rFonts w:ascii="宋体" w:hAnsi="宋体" w:hint="eastAsia"/>
          <w:szCs w:val="21"/>
        </w:rPr>
        <w:t>的情形</w:t>
      </w:r>
    </w:p>
    <w:p w14:paraId="2046612C" w14:textId="77777777" w:rsidR="00F309E5" w:rsidRDefault="004F2640">
      <w:pPr>
        <w:spacing w:line="360" w:lineRule="auto"/>
        <w:ind w:firstLineChars="200" w:firstLine="420"/>
        <w:rPr>
          <w:rFonts w:ascii="宋体" w:hAnsi="宋体"/>
          <w:szCs w:val="21"/>
        </w:rPr>
      </w:pPr>
      <w:r>
        <w:rPr>
          <w:rFonts w:ascii="宋体" w:hAnsi="宋体" w:hint="eastAsia"/>
          <w:szCs w:val="21"/>
        </w:rPr>
        <w:t>当出现下述情况时，基金管理人和基金托管人可暂停或延迟披露基金相关信息：</w:t>
      </w:r>
    </w:p>
    <w:p w14:paraId="470A913A" w14:textId="77777777" w:rsidR="00F309E5" w:rsidRDefault="004F264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）不可抗力；</w:t>
      </w:r>
    </w:p>
    <w:p w14:paraId="7B723968" w14:textId="77777777" w:rsidR="00F309E5" w:rsidRDefault="004F264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）基金投资所涉及的证券交易市场遇法定节假日或因其他原因暂停营业时；</w:t>
      </w:r>
    </w:p>
    <w:p w14:paraId="681134BA" w14:textId="77777777" w:rsidR="00F309E5" w:rsidRDefault="004F2640">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）发生基金合同约定的暂停估值的情形；</w:t>
      </w:r>
    </w:p>
    <w:p w14:paraId="7720BDC6" w14:textId="77777777" w:rsidR="00F309E5" w:rsidRDefault="004F2640">
      <w:pPr>
        <w:spacing w:line="360" w:lineRule="auto"/>
        <w:ind w:right="28" w:firstLineChars="200" w:firstLine="420"/>
        <w:rPr>
          <w:rFonts w:ascii="宋体" w:hAnsi="宋体"/>
          <w:szCs w:val="21"/>
        </w:rPr>
      </w:pPr>
      <w:r>
        <w:rPr>
          <w:rFonts w:ascii="宋体" w:hAnsi="宋体" w:hint="eastAsia"/>
          <w:szCs w:val="21"/>
        </w:rPr>
        <w:t>（4）法律法规、基金合同或中国证监会规定的情况。</w:t>
      </w:r>
    </w:p>
    <w:p w14:paraId="3E1D5EF3"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95" w:name="_Toc84607779"/>
      <w:r>
        <w:rPr>
          <w:rFonts w:ascii="宋体" w:eastAsia="宋体" w:hAnsi="宋体" w:cs="Arial" w:hint="eastAsia"/>
          <w:sz w:val="30"/>
          <w:szCs w:val="30"/>
        </w:rPr>
        <w:lastRenderedPageBreak/>
        <w:t>基金费用</w:t>
      </w:r>
      <w:bookmarkEnd w:id="95"/>
    </w:p>
    <w:p w14:paraId="07D05A3C" w14:textId="77777777" w:rsidR="00F309E5" w:rsidRDefault="004F2640">
      <w:pPr>
        <w:spacing w:line="360" w:lineRule="auto"/>
        <w:ind w:firstLineChars="200" w:firstLine="420"/>
        <w:rPr>
          <w:rFonts w:ascii="宋体" w:hAnsi="宋体"/>
          <w:szCs w:val="21"/>
        </w:rPr>
      </w:pPr>
      <w:r>
        <w:rPr>
          <w:rFonts w:ascii="宋体" w:hAnsi="宋体" w:hint="eastAsia"/>
          <w:szCs w:val="21"/>
        </w:rPr>
        <w:t>（一）基金托管人的托管费</w:t>
      </w:r>
    </w:p>
    <w:p w14:paraId="46E2539C" w14:textId="77777777" w:rsidR="00F309E5" w:rsidRDefault="004F2640">
      <w:pPr>
        <w:spacing w:line="360" w:lineRule="auto"/>
        <w:ind w:firstLineChars="200" w:firstLine="420"/>
        <w:rPr>
          <w:rFonts w:ascii="宋体" w:hAnsi="宋体"/>
          <w:szCs w:val="21"/>
        </w:rPr>
      </w:pPr>
      <w:r>
        <w:rPr>
          <w:rFonts w:ascii="宋体" w:hAnsi="宋体" w:hint="eastAsia"/>
          <w:szCs w:val="21"/>
        </w:rPr>
        <w:t>本基金的托管费按前一日基金资产净值的0.05%年费率计提。托管费的计算方法如下：</w:t>
      </w:r>
    </w:p>
    <w:p w14:paraId="73AE5332" w14:textId="77777777" w:rsidR="00F309E5" w:rsidRDefault="004F2640">
      <w:pPr>
        <w:spacing w:line="360" w:lineRule="auto"/>
        <w:ind w:firstLineChars="200" w:firstLine="420"/>
        <w:rPr>
          <w:rFonts w:ascii="宋体" w:hAnsi="宋体"/>
          <w:szCs w:val="21"/>
        </w:rPr>
      </w:pPr>
      <w:r>
        <w:rPr>
          <w:rFonts w:ascii="宋体" w:hAnsi="宋体" w:hint="eastAsia"/>
          <w:szCs w:val="21"/>
        </w:rPr>
        <w:t>H＝E×0.05%÷当年天数</w:t>
      </w:r>
    </w:p>
    <w:p w14:paraId="01BAA8F8" w14:textId="77777777" w:rsidR="00F309E5" w:rsidRDefault="004F2640">
      <w:pPr>
        <w:spacing w:line="360" w:lineRule="auto"/>
        <w:ind w:firstLineChars="200" w:firstLine="420"/>
        <w:rPr>
          <w:rFonts w:ascii="宋体" w:hAnsi="宋体"/>
          <w:szCs w:val="21"/>
        </w:rPr>
      </w:pPr>
      <w:r>
        <w:rPr>
          <w:rFonts w:ascii="宋体" w:hAnsi="宋体" w:hint="eastAsia"/>
          <w:szCs w:val="21"/>
        </w:rPr>
        <w:t>H为每日应计提的基金托管费</w:t>
      </w:r>
    </w:p>
    <w:p w14:paraId="70F0D2AF" w14:textId="77777777" w:rsidR="00F309E5" w:rsidRDefault="004F2640">
      <w:pPr>
        <w:spacing w:line="360" w:lineRule="auto"/>
        <w:ind w:firstLineChars="200" w:firstLine="420"/>
        <w:rPr>
          <w:rFonts w:ascii="宋体" w:hAnsi="宋体"/>
          <w:szCs w:val="21"/>
        </w:rPr>
      </w:pPr>
      <w:r>
        <w:rPr>
          <w:rFonts w:ascii="宋体" w:hAnsi="宋体" w:hint="eastAsia"/>
          <w:szCs w:val="21"/>
        </w:rPr>
        <w:t>E为前一日的基金资产净值</w:t>
      </w:r>
    </w:p>
    <w:p w14:paraId="61CF844D" w14:textId="4C940D6F" w:rsidR="00F309E5" w:rsidRDefault="004F2640">
      <w:pPr>
        <w:spacing w:line="360" w:lineRule="auto"/>
        <w:ind w:firstLineChars="200" w:firstLine="420"/>
        <w:rPr>
          <w:rFonts w:ascii="宋体" w:hAnsi="宋体"/>
          <w:szCs w:val="21"/>
        </w:rPr>
      </w:pPr>
      <w:r>
        <w:rPr>
          <w:rFonts w:ascii="宋体" w:hAnsi="宋体" w:hint="eastAsia"/>
          <w:szCs w:val="21"/>
        </w:rPr>
        <w:t>基金托管费每日计提，逐日累计至每月月末，按月支付，经基金管理人与基金托管人双方核对无误后，基金托管人按照与基金管理人协商一致的方式于次月初5</w:t>
      </w:r>
      <w:proofErr w:type="gramStart"/>
      <w:r>
        <w:rPr>
          <w:rFonts w:ascii="宋体" w:hAnsi="宋体" w:hint="eastAsia"/>
          <w:szCs w:val="21"/>
        </w:rPr>
        <w:t>个</w:t>
      </w:r>
      <w:proofErr w:type="gramEnd"/>
      <w:r>
        <w:rPr>
          <w:rFonts w:ascii="宋体" w:hAnsi="宋体" w:hint="eastAsia"/>
          <w:szCs w:val="21"/>
        </w:rPr>
        <w:t>工作日内从基金财产中一次性支取。若遇法定节假日、公休日等，支付日期顺延。</w:t>
      </w:r>
    </w:p>
    <w:p w14:paraId="71137123" w14:textId="77777777" w:rsidR="00F309E5" w:rsidRDefault="004F2640">
      <w:pPr>
        <w:ind w:firstLineChars="200" w:firstLine="420"/>
        <w:rPr>
          <w:lang w:val="zh-CN"/>
        </w:rPr>
      </w:pPr>
      <w:r>
        <w:rPr>
          <w:rFonts w:ascii="宋体" w:hAnsi="宋体" w:hint="eastAsia"/>
          <w:szCs w:val="21"/>
        </w:rPr>
        <w:t>（二）基金其他费用按照《基金合同》的约定计提和支付。</w:t>
      </w:r>
    </w:p>
    <w:p w14:paraId="11E82C86"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96" w:name="_Toc84607780"/>
      <w:r>
        <w:rPr>
          <w:rFonts w:ascii="宋体" w:eastAsia="宋体" w:hAnsi="宋体" w:cs="Arial" w:hint="eastAsia"/>
          <w:sz w:val="30"/>
          <w:szCs w:val="30"/>
        </w:rPr>
        <w:t>基金份额持有人名册的保管</w:t>
      </w:r>
      <w:bookmarkEnd w:id="96"/>
    </w:p>
    <w:p w14:paraId="1300DE3C" w14:textId="77777777" w:rsidR="00F309E5" w:rsidRDefault="004F2640">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235A5733" w14:textId="77777777" w:rsidR="00F309E5" w:rsidRDefault="004F2640">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，基金管理人应按照目前相关规则保管基金份额持有人名册。保管方式可以采用电子或文档的形式。保管期限不低于法律法规规定的最低期限。</w:t>
      </w:r>
    </w:p>
    <w:p w14:paraId="5BD00A3B" w14:textId="28234E78" w:rsidR="00F309E5" w:rsidRDefault="004F2640">
      <w:pPr>
        <w:spacing w:line="360" w:lineRule="auto"/>
        <w:ind w:firstLineChars="200" w:firstLine="420"/>
        <w:rPr>
          <w:rFonts w:ascii="宋体" w:hAnsi="宋体" w:cs="Arial"/>
          <w:szCs w:val="21"/>
        </w:rPr>
      </w:pPr>
      <w:r>
        <w:rPr>
          <w:rFonts w:ascii="宋体" w:hAnsi="宋体" w:hint="eastAsia"/>
          <w:szCs w:val="21"/>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572556F1"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97" w:name="_Toc84607781"/>
      <w:r>
        <w:rPr>
          <w:rFonts w:ascii="宋体" w:eastAsia="宋体" w:hAnsi="宋体" w:cs="Arial" w:hint="eastAsia"/>
          <w:sz w:val="30"/>
          <w:szCs w:val="30"/>
        </w:rPr>
        <w:t>基金有关文件和档案的保存</w:t>
      </w:r>
      <w:bookmarkEnd w:id="97"/>
    </w:p>
    <w:p w14:paraId="4E854FC4"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（一）档案保存</w:t>
      </w:r>
    </w:p>
    <w:p w14:paraId="6B51E17A"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w:t>
      </w:r>
      <w:r>
        <w:rPr>
          <w:rFonts w:ascii="宋体" w:hAnsi="宋体" w:cs="Arial" w:hint="eastAsia"/>
          <w:szCs w:val="21"/>
        </w:rPr>
        <w:lastRenderedPageBreak/>
        <w:t>人应保存基金财产管理业务活动的记录、账册、报表和其他相关资料，基金托管人应保存基金托管业务活动的记录、账册、报表和其他相关资料。保存期限不低于法律法规规定的最低期限。</w:t>
      </w:r>
    </w:p>
    <w:p w14:paraId="3F43E5E7"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（二）合同档案的建立</w:t>
      </w:r>
    </w:p>
    <w:p w14:paraId="2AD7AE01"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1</w:t>
      </w:r>
      <w:r>
        <w:rPr>
          <w:rFonts w:ascii="宋体" w:hAnsi="宋体" w:hint="eastAsia"/>
          <w:b/>
          <w:bCs/>
          <w:szCs w:val="21"/>
        </w:rPr>
        <w:t>.</w:t>
      </w:r>
      <w:r>
        <w:rPr>
          <w:rFonts w:ascii="宋体" w:hAnsi="宋体" w:cs="Arial" w:hint="eastAsia"/>
          <w:szCs w:val="21"/>
        </w:rPr>
        <w:t>基金管理人或基金托管人在签署与本基金有关的合同文本后，应及时按相关法律法规及本协议的规定将合同正本或副本提交对方。</w:t>
      </w:r>
    </w:p>
    <w:p w14:paraId="2F3B2319"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2</w:t>
      </w:r>
      <w:r>
        <w:rPr>
          <w:rFonts w:ascii="宋体" w:hAnsi="宋体" w:hint="eastAsia"/>
          <w:b/>
          <w:bCs/>
          <w:szCs w:val="21"/>
        </w:rPr>
        <w:t>.</w:t>
      </w:r>
      <w:r>
        <w:rPr>
          <w:rFonts w:ascii="宋体" w:hAnsi="宋体" w:cs="Arial" w:hint="eastAsia"/>
          <w:szCs w:val="21"/>
        </w:rPr>
        <w:t>基金管理人和基金托管人应按各自职责保管就基金资产对外签署的全部合同的正本。</w:t>
      </w:r>
    </w:p>
    <w:p w14:paraId="0ABE3B8B" w14:textId="77777777" w:rsidR="00F309E5" w:rsidRDefault="004F2640">
      <w:pPr>
        <w:spacing w:line="360" w:lineRule="auto"/>
        <w:ind w:firstLineChars="200" w:firstLine="420"/>
        <w:rPr>
          <w:rFonts w:ascii="宋体" w:hAnsi="宋体" w:cs="Arial"/>
          <w:szCs w:val="21"/>
        </w:rPr>
      </w:pPr>
      <w:r>
        <w:rPr>
          <w:rFonts w:ascii="宋体" w:hAnsi="宋体" w:cs="Arial" w:hint="eastAsia"/>
          <w:szCs w:val="21"/>
        </w:rPr>
        <w:t>（三）变更与协助</w:t>
      </w:r>
    </w:p>
    <w:p w14:paraId="3EFF0595" w14:textId="77777777" w:rsidR="00F309E5" w:rsidRDefault="004F2640">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588606E9"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98" w:name="_Toc84607782"/>
      <w:r>
        <w:rPr>
          <w:rFonts w:ascii="宋体" w:eastAsia="宋体" w:hAnsi="宋体" w:cs="Arial" w:hint="eastAsia"/>
          <w:sz w:val="30"/>
          <w:szCs w:val="30"/>
        </w:rPr>
        <w:t>基金管理人和基金托管人的更换</w:t>
      </w:r>
      <w:bookmarkEnd w:id="98"/>
    </w:p>
    <w:p w14:paraId="28C3F40F" w14:textId="77777777" w:rsidR="00F309E5" w:rsidRDefault="004F2640">
      <w:pPr>
        <w:pStyle w:val="2"/>
        <w:keepNext w:val="0"/>
        <w:keepLines w:val="0"/>
        <w:autoSpaceDE w:val="0"/>
        <w:autoSpaceDN w:val="0"/>
        <w:spacing w:before="0" w:after="0" w:line="360" w:lineRule="auto"/>
        <w:ind w:firstLineChars="147" w:firstLine="309"/>
        <w:rPr>
          <w:rFonts w:ascii="宋体" w:eastAsia="宋体" w:hAnsi="宋体" w:cs="Arial"/>
          <w:b w:val="0"/>
          <w:bCs w:val="0"/>
          <w:sz w:val="21"/>
          <w:szCs w:val="21"/>
        </w:rPr>
      </w:pPr>
      <w:bookmarkStart w:id="99" w:name="_Toc382819129"/>
      <w:bookmarkStart w:id="100" w:name="_Toc84607783"/>
      <w:r>
        <w:rPr>
          <w:rFonts w:ascii="宋体" w:eastAsia="宋体" w:hAnsi="宋体" w:cs="Arial" w:hint="eastAsia"/>
          <w:b w:val="0"/>
          <w:bCs w:val="0"/>
          <w:sz w:val="21"/>
          <w:szCs w:val="21"/>
        </w:rPr>
        <w:t>（一）基金管理人的更换</w:t>
      </w:r>
      <w:bookmarkEnd w:id="99"/>
      <w:bookmarkEnd w:id="100"/>
    </w:p>
    <w:p w14:paraId="0076AE02" w14:textId="77777777" w:rsidR="00F309E5" w:rsidRDefault="004F2640">
      <w:pPr>
        <w:spacing w:line="360" w:lineRule="auto"/>
        <w:ind w:firstLineChars="200" w:firstLine="420"/>
        <w:rPr>
          <w:rFonts w:ascii="宋体" w:hAnsi="宋体"/>
          <w:szCs w:val="21"/>
        </w:rPr>
      </w:pPr>
      <w:r>
        <w:rPr>
          <w:rFonts w:ascii="宋体" w:hAnsi="宋体" w:hint="eastAsia"/>
          <w:szCs w:val="21"/>
        </w:rPr>
        <w:t>1.基金管理人的更换条件</w:t>
      </w:r>
    </w:p>
    <w:p w14:paraId="63FE2BEF" w14:textId="77777777" w:rsidR="00F309E5" w:rsidRDefault="004F2640">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28E86C48" w14:textId="77777777" w:rsidR="00F309E5" w:rsidRDefault="004F2640">
      <w:pPr>
        <w:spacing w:line="360" w:lineRule="auto"/>
        <w:ind w:firstLineChars="200" w:firstLine="420"/>
        <w:rPr>
          <w:rFonts w:ascii="宋体" w:hAnsi="宋体"/>
          <w:szCs w:val="21"/>
        </w:rPr>
      </w:pPr>
      <w:r>
        <w:rPr>
          <w:rFonts w:ascii="宋体" w:hAnsi="宋体" w:hint="eastAsia"/>
          <w:szCs w:val="21"/>
        </w:rPr>
        <w:t>(1) 被依法取消基金管理资格；</w:t>
      </w:r>
    </w:p>
    <w:p w14:paraId="778EE024" w14:textId="77777777" w:rsidR="00F309E5" w:rsidRDefault="004F2640">
      <w:pPr>
        <w:spacing w:line="360" w:lineRule="auto"/>
        <w:ind w:firstLineChars="200" w:firstLine="420"/>
        <w:rPr>
          <w:rFonts w:ascii="宋体" w:hAnsi="宋体"/>
          <w:szCs w:val="21"/>
        </w:rPr>
      </w:pPr>
      <w:r>
        <w:rPr>
          <w:rFonts w:ascii="宋体" w:hAnsi="宋体" w:hint="eastAsia"/>
          <w:szCs w:val="21"/>
        </w:rPr>
        <w:t>(2) 被基金份额持有人大会解任；</w:t>
      </w:r>
    </w:p>
    <w:p w14:paraId="3F39CB0D" w14:textId="77777777" w:rsidR="00F309E5" w:rsidRDefault="004F2640">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72F82DF" w14:textId="77777777" w:rsidR="00F309E5" w:rsidRDefault="004F2640">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64BC73FC" w14:textId="77777777" w:rsidR="00F309E5" w:rsidRDefault="004F2640">
      <w:pPr>
        <w:spacing w:line="360" w:lineRule="auto"/>
        <w:ind w:firstLineChars="200" w:firstLine="420"/>
        <w:rPr>
          <w:rFonts w:ascii="宋体" w:hAnsi="宋体"/>
          <w:szCs w:val="21"/>
        </w:rPr>
      </w:pPr>
      <w:r>
        <w:rPr>
          <w:rFonts w:ascii="宋体" w:hAnsi="宋体" w:hint="eastAsia"/>
          <w:szCs w:val="21"/>
        </w:rPr>
        <w:t>2.更换基金管理人的程序</w:t>
      </w:r>
    </w:p>
    <w:p w14:paraId="2CBA759F"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083F1DE5"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786A9874"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2C67982C"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备案：基金份额持有人大会更换基金管理人的决议须报中国证监会备案；</w:t>
      </w:r>
    </w:p>
    <w:p w14:paraId="1D45978B"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公告：基金管理人更换后，由基金托管人在更换基金管理人的基金份额持有人大会决议生效后按照《信息披露办法》的有关规定在规定媒介公告；</w:t>
      </w:r>
    </w:p>
    <w:p w14:paraId="11D374E2"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lastRenderedPageBreak/>
        <w:t>交接：基金管理人职责终止的，基金管理人应妥善保管基金管理业务资料，及时向临时基金管理人或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w:t>
      </w:r>
      <w:proofErr w:type="gramEnd"/>
      <w:r>
        <w:rPr>
          <w:rFonts w:ascii="宋体" w:hAnsi="宋体" w:hint="eastAsia"/>
          <w:szCs w:val="21"/>
        </w:rPr>
        <w:t>金管理人应及时接收。临时基金管理人或</w:t>
      </w:r>
      <w:proofErr w:type="gramStart"/>
      <w:r>
        <w:rPr>
          <w:rFonts w:ascii="宋体" w:hAnsi="宋体" w:hint="eastAsia"/>
          <w:szCs w:val="21"/>
        </w:rPr>
        <w:t>新任基金</w:t>
      </w:r>
      <w:proofErr w:type="gramEnd"/>
      <w:r>
        <w:rPr>
          <w:rFonts w:ascii="宋体" w:hAnsi="宋体" w:hint="eastAsia"/>
          <w:szCs w:val="21"/>
        </w:rPr>
        <w:t>管理人应与基金托管人核对基金资产总值和净值；</w:t>
      </w:r>
    </w:p>
    <w:p w14:paraId="7837BD38" w14:textId="6D8622AA"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审计：基金管理人职责终止的，应当按照法律法规规定聘请会计师事务所对基金财产进行审计，并将审计结果予以公告，同时报中国证监会备案，审计费由基金财产承担；</w:t>
      </w:r>
    </w:p>
    <w:p w14:paraId="0D62F340" w14:textId="77777777" w:rsidR="00F309E5" w:rsidRDefault="004F2640">
      <w:pPr>
        <w:pStyle w:val="aff5"/>
        <w:numPr>
          <w:ilvl w:val="1"/>
          <w:numId w:val="7"/>
        </w:numPr>
        <w:tabs>
          <w:tab w:val="left" w:pos="993"/>
        </w:tabs>
        <w:spacing w:line="360" w:lineRule="auto"/>
        <w:ind w:left="0" w:firstLine="420"/>
        <w:rPr>
          <w:rFonts w:ascii="宋体" w:hAnsi="宋体"/>
          <w:szCs w:val="21"/>
        </w:rPr>
      </w:pP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w:t>
      </w:r>
      <w:proofErr w:type="gramEnd"/>
      <w:r>
        <w:rPr>
          <w:rFonts w:ascii="宋体" w:hAnsi="宋体" w:hint="eastAsia"/>
          <w:szCs w:val="21"/>
        </w:rPr>
        <w:t>金管理人有关的名称字样。</w:t>
      </w:r>
    </w:p>
    <w:p w14:paraId="281A92ED" w14:textId="77777777" w:rsidR="00F309E5" w:rsidRDefault="004F2640">
      <w:pPr>
        <w:pStyle w:val="2"/>
        <w:keepNext w:val="0"/>
        <w:keepLines w:val="0"/>
        <w:autoSpaceDE w:val="0"/>
        <w:autoSpaceDN w:val="0"/>
        <w:spacing w:before="0" w:after="0" w:line="360" w:lineRule="auto"/>
        <w:ind w:firstLineChars="147" w:firstLine="309"/>
        <w:rPr>
          <w:rFonts w:ascii="宋体" w:eastAsia="宋体" w:hAnsi="宋体" w:cs="Arial"/>
          <w:b w:val="0"/>
          <w:bCs w:val="0"/>
          <w:sz w:val="21"/>
          <w:szCs w:val="21"/>
        </w:rPr>
      </w:pPr>
      <w:bookmarkStart w:id="101" w:name="_Toc382819130"/>
      <w:bookmarkStart w:id="102" w:name="_Toc84607784"/>
      <w:r>
        <w:rPr>
          <w:rFonts w:ascii="宋体" w:eastAsia="宋体" w:hAnsi="宋体" w:cs="Arial" w:hint="eastAsia"/>
          <w:b w:val="0"/>
          <w:bCs w:val="0"/>
          <w:sz w:val="21"/>
          <w:szCs w:val="21"/>
        </w:rPr>
        <w:t>（二）基金托管人的更换</w:t>
      </w:r>
      <w:bookmarkEnd w:id="101"/>
      <w:bookmarkEnd w:id="102"/>
    </w:p>
    <w:p w14:paraId="1E835C2D" w14:textId="77777777" w:rsidR="00F309E5" w:rsidRDefault="004F2640">
      <w:pPr>
        <w:spacing w:line="360" w:lineRule="auto"/>
        <w:ind w:firstLineChars="200" w:firstLine="420"/>
        <w:rPr>
          <w:rFonts w:ascii="宋体" w:hAnsi="宋体"/>
          <w:szCs w:val="21"/>
        </w:rPr>
      </w:pPr>
      <w:r>
        <w:rPr>
          <w:rFonts w:ascii="宋体" w:hAnsi="宋体" w:hint="eastAsia"/>
          <w:szCs w:val="21"/>
        </w:rPr>
        <w:t>1.基金托管人的更换条件</w:t>
      </w:r>
    </w:p>
    <w:p w14:paraId="3073E82A" w14:textId="77777777" w:rsidR="00F309E5" w:rsidRDefault="004F2640">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699E677A" w14:textId="77777777" w:rsidR="00F309E5" w:rsidRDefault="004F2640">
      <w:pPr>
        <w:spacing w:line="360" w:lineRule="auto"/>
        <w:ind w:firstLineChars="200" w:firstLine="420"/>
        <w:rPr>
          <w:rFonts w:ascii="宋体" w:hAnsi="宋体"/>
          <w:szCs w:val="21"/>
        </w:rPr>
      </w:pPr>
      <w:r>
        <w:rPr>
          <w:rFonts w:ascii="宋体" w:hAnsi="宋体" w:hint="eastAsia"/>
          <w:szCs w:val="21"/>
        </w:rPr>
        <w:t>(1) 被依法取消基金托管资格；</w:t>
      </w:r>
    </w:p>
    <w:p w14:paraId="7CF49373" w14:textId="77777777" w:rsidR="00F309E5" w:rsidRDefault="004F2640">
      <w:pPr>
        <w:spacing w:line="360" w:lineRule="auto"/>
        <w:ind w:firstLineChars="200" w:firstLine="420"/>
        <w:rPr>
          <w:rFonts w:ascii="宋体" w:hAnsi="宋体"/>
          <w:szCs w:val="21"/>
        </w:rPr>
      </w:pPr>
      <w:r>
        <w:rPr>
          <w:rFonts w:ascii="宋体" w:hAnsi="宋体" w:hint="eastAsia"/>
          <w:szCs w:val="21"/>
        </w:rPr>
        <w:t>(2) 被基金份额持有人大会解任；</w:t>
      </w:r>
    </w:p>
    <w:p w14:paraId="4DC9A4B4" w14:textId="77777777" w:rsidR="00F309E5" w:rsidRDefault="004F2640">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4BC06608" w14:textId="77777777" w:rsidR="00F309E5" w:rsidRDefault="004F2640">
      <w:pPr>
        <w:spacing w:line="360" w:lineRule="auto"/>
        <w:ind w:firstLineChars="200" w:firstLine="420"/>
        <w:rPr>
          <w:rFonts w:ascii="宋体" w:hAnsi="宋体"/>
          <w:szCs w:val="21"/>
        </w:rPr>
      </w:pPr>
      <w:r>
        <w:rPr>
          <w:rFonts w:ascii="宋体" w:hAnsi="宋体" w:hint="eastAsia"/>
          <w:szCs w:val="21"/>
        </w:rPr>
        <w:t>(4) 法律法规及中国证监会规定的和《基金合同》约定的其他情形。</w:t>
      </w:r>
    </w:p>
    <w:p w14:paraId="2F17162D" w14:textId="77777777" w:rsidR="00F309E5" w:rsidRDefault="004F2640">
      <w:pPr>
        <w:spacing w:line="360" w:lineRule="auto"/>
        <w:ind w:firstLineChars="200" w:firstLine="420"/>
        <w:rPr>
          <w:rFonts w:ascii="宋体" w:hAnsi="宋体"/>
          <w:szCs w:val="21"/>
        </w:rPr>
      </w:pPr>
      <w:r>
        <w:rPr>
          <w:rFonts w:ascii="宋体" w:hAnsi="宋体" w:hint="eastAsia"/>
          <w:szCs w:val="21"/>
        </w:rPr>
        <w:t>2.更换基金托管人的程序</w:t>
      </w:r>
    </w:p>
    <w:p w14:paraId="23BA8AF3"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46715482"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04C3DCF7"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6900AC1F"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备案：基金份额持有人大会更换基金托管人的决议须报中国证监会备案；</w:t>
      </w:r>
    </w:p>
    <w:p w14:paraId="59D80A89"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公告：基金托管人更换后，由基金管理人在更换基金托管人的基金份额持有人大会决议生效后按照《信息披露办法》的有关规定在规定媒介公告；</w:t>
      </w:r>
    </w:p>
    <w:p w14:paraId="50190B7A" w14:textId="77777777" w:rsidR="00F309E5" w:rsidRDefault="004F2640">
      <w:pPr>
        <w:pStyle w:val="aff5"/>
        <w:numPr>
          <w:ilvl w:val="0"/>
          <w:numId w:val="8"/>
        </w:numPr>
        <w:tabs>
          <w:tab w:val="left" w:pos="993"/>
        </w:tabs>
        <w:spacing w:line="360" w:lineRule="auto"/>
        <w:ind w:left="0" w:firstLine="420"/>
        <w:rPr>
          <w:rFonts w:ascii="宋体" w:hAnsi="宋体"/>
          <w:szCs w:val="21"/>
        </w:rPr>
      </w:pPr>
      <w:r>
        <w:rPr>
          <w:rFonts w:ascii="宋体" w:hAnsi="宋体" w:hint="eastAsia"/>
          <w:szCs w:val="21"/>
        </w:rPr>
        <w:t>交接：基金托管人职责终止的，应当妥善保管基金财产和基金托管业务资料，及时向临时基金托管人或</w:t>
      </w:r>
      <w:proofErr w:type="gramStart"/>
      <w:r>
        <w:rPr>
          <w:rFonts w:ascii="宋体" w:hAnsi="宋体" w:hint="eastAsia"/>
          <w:szCs w:val="21"/>
        </w:rPr>
        <w:t>新任基金</w:t>
      </w:r>
      <w:proofErr w:type="gramEnd"/>
      <w:r>
        <w:rPr>
          <w:rFonts w:ascii="宋体" w:hAnsi="宋体" w:hint="eastAsia"/>
          <w:szCs w:val="21"/>
        </w:rPr>
        <w:t>托管人办理基金财产和基金托管业务的移交手续，</w:t>
      </w:r>
      <w:proofErr w:type="gramStart"/>
      <w:r>
        <w:rPr>
          <w:rFonts w:ascii="宋体" w:hAnsi="宋体" w:hint="eastAsia"/>
          <w:szCs w:val="21"/>
        </w:rPr>
        <w:t>新任基</w:t>
      </w:r>
      <w:proofErr w:type="gramEnd"/>
      <w:r>
        <w:rPr>
          <w:rFonts w:ascii="宋体" w:hAnsi="宋体" w:hint="eastAsia"/>
          <w:szCs w:val="21"/>
        </w:rPr>
        <w:t>金托管人或者临时基金托管人应当及时接收。</w:t>
      </w:r>
      <w:proofErr w:type="gramStart"/>
      <w:r>
        <w:rPr>
          <w:rFonts w:ascii="宋体" w:hAnsi="宋体" w:hint="eastAsia"/>
          <w:szCs w:val="21"/>
        </w:rPr>
        <w:t>新任基金</w:t>
      </w:r>
      <w:proofErr w:type="gramEnd"/>
      <w:r>
        <w:rPr>
          <w:rFonts w:ascii="宋体" w:hAnsi="宋体" w:hint="eastAsia"/>
          <w:szCs w:val="21"/>
        </w:rPr>
        <w:t>托管人或者临时基金托管人应与基金管理人核对基金资产总值和净值；</w:t>
      </w:r>
    </w:p>
    <w:p w14:paraId="6BDA1BC3" w14:textId="4DECC220" w:rsidR="00F309E5" w:rsidRDefault="004F2640">
      <w:pPr>
        <w:pStyle w:val="aff5"/>
        <w:numPr>
          <w:ilvl w:val="0"/>
          <w:numId w:val="8"/>
        </w:numPr>
        <w:tabs>
          <w:tab w:val="left" w:pos="993"/>
        </w:tabs>
        <w:spacing w:line="360" w:lineRule="auto"/>
        <w:ind w:left="0" w:firstLineChars="225" w:firstLine="473"/>
        <w:rPr>
          <w:rFonts w:ascii="宋体" w:hAnsi="宋体"/>
          <w:szCs w:val="21"/>
        </w:rPr>
      </w:pPr>
      <w:r>
        <w:rPr>
          <w:rFonts w:ascii="宋体" w:hAnsi="宋体" w:hint="eastAsia"/>
          <w:szCs w:val="21"/>
        </w:rPr>
        <w:t>审计：基金托管人职责终止的，应当按照法律法规规定聘请会计师事务所对基</w:t>
      </w:r>
      <w:r>
        <w:rPr>
          <w:rFonts w:ascii="宋体" w:hAnsi="宋体" w:hint="eastAsia"/>
          <w:szCs w:val="21"/>
        </w:rPr>
        <w:lastRenderedPageBreak/>
        <w:t>金财产进行审计，并将审计结果予以公告，同时报中国证监会备案，审计费由基金财产承担。</w:t>
      </w:r>
    </w:p>
    <w:p w14:paraId="2967FCE1" w14:textId="77777777" w:rsidR="00F309E5" w:rsidRDefault="004F2640">
      <w:pPr>
        <w:spacing w:line="360" w:lineRule="auto"/>
        <w:ind w:firstLineChars="200" w:firstLine="420"/>
        <w:rPr>
          <w:rFonts w:ascii="宋体" w:hAnsi="宋体"/>
          <w:bCs/>
          <w:szCs w:val="21"/>
        </w:rPr>
      </w:pPr>
      <w:r>
        <w:rPr>
          <w:rFonts w:ascii="宋体" w:hAnsi="宋体" w:hint="eastAsia"/>
          <w:bCs/>
          <w:szCs w:val="21"/>
        </w:rPr>
        <w:t>（三）</w:t>
      </w:r>
      <w:r>
        <w:rPr>
          <w:rFonts w:ascii="宋体" w:hAnsi="宋体" w:hint="eastAsia"/>
          <w:bCs/>
          <w:szCs w:val="21"/>
        </w:rPr>
        <w:tab/>
        <w:t>基金管理人和基金托管人同时更换的条件和程序</w:t>
      </w:r>
    </w:p>
    <w:p w14:paraId="155D1317" w14:textId="77777777" w:rsidR="00F309E5" w:rsidRDefault="004F2640">
      <w:pPr>
        <w:spacing w:line="360" w:lineRule="auto"/>
        <w:ind w:firstLineChars="200" w:firstLine="420"/>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提名：如果基金管理人和基金托管人同时更换，由单独或合计持有基金总份额10%以上（含10%）的基金份额持有人提名新的基金管理人和基金托管人；</w:t>
      </w:r>
    </w:p>
    <w:p w14:paraId="2EB21A8B" w14:textId="77777777" w:rsidR="00F309E5" w:rsidRDefault="004F2640">
      <w:pPr>
        <w:spacing w:line="360" w:lineRule="auto"/>
        <w:ind w:firstLineChars="200" w:firstLine="420"/>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基金管理人和基金托管人的更换分别按上述程序进行；</w:t>
      </w:r>
    </w:p>
    <w:p w14:paraId="01B12163" w14:textId="77777777" w:rsidR="00F309E5" w:rsidRDefault="004F2640">
      <w:pPr>
        <w:spacing w:line="360" w:lineRule="auto"/>
        <w:ind w:firstLineChars="225" w:firstLine="473"/>
        <w:rPr>
          <w:rFonts w:ascii="宋体" w:hAnsi="宋体"/>
          <w:bCs/>
          <w:szCs w:val="21"/>
        </w:rPr>
      </w:pPr>
      <w:r>
        <w:rPr>
          <w:rFonts w:ascii="宋体" w:hAnsi="宋体" w:hint="eastAsia"/>
          <w:szCs w:val="21"/>
        </w:rPr>
        <w:t>3</w:t>
      </w:r>
      <w:r>
        <w:rPr>
          <w:rFonts w:ascii="宋体" w:hAnsi="宋体" w:hint="eastAsia"/>
          <w:b/>
          <w:bCs/>
          <w:szCs w:val="21"/>
        </w:rPr>
        <w:t>.</w:t>
      </w:r>
      <w:r>
        <w:rPr>
          <w:rFonts w:ascii="宋体" w:hAnsi="宋体" w:hint="eastAsia"/>
          <w:szCs w:val="21"/>
        </w:rPr>
        <w:t>公告：</w:t>
      </w:r>
      <w:proofErr w:type="gramStart"/>
      <w:r>
        <w:rPr>
          <w:rFonts w:ascii="宋体" w:hAnsi="宋体" w:hint="eastAsia"/>
          <w:szCs w:val="21"/>
        </w:rPr>
        <w:t>新任基金</w:t>
      </w:r>
      <w:proofErr w:type="gramEnd"/>
      <w:r>
        <w:rPr>
          <w:rFonts w:ascii="宋体" w:hAnsi="宋体" w:hint="eastAsia"/>
          <w:szCs w:val="21"/>
        </w:rPr>
        <w:t>管理人和</w:t>
      </w:r>
      <w:proofErr w:type="gramStart"/>
      <w:r>
        <w:rPr>
          <w:rFonts w:ascii="宋体" w:hAnsi="宋体" w:hint="eastAsia"/>
          <w:szCs w:val="21"/>
        </w:rPr>
        <w:t>新任基</w:t>
      </w:r>
      <w:proofErr w:type="gramEnd"/>
      <w:r>
        <w:rPr>
          <w:rFonts w:ascii="宋体" w:hAnsi="宋体" w:hint="eastAsia"/>
          <w:szCs w:val="21"/>
        </w:rPr>
        <w:t>金托管人应在更换基金管理人和基金托管人的基金份额持有人大会决议生效后依照《信息披露办法》的有关规定在规定媒介上联合公告</w:t>
      </w:r>
      <w:r>
        <w:rPr>
          <w:rFonts w:ascii="宋体" w:hAnsi="宋体" w:hint="eastAsia"/>
          <w:bCs/>
          <w:szCs w:val="21"/>
        </w:rPr>
        <w:t>。</w:t>
      </w:r>
    </w:p>
    <w:p w14:paraId="035A931C" w14:textId="7A7B6909" w:rsidR="00F309E5" w:rsidRDefault="004F2640">
      <w:pPr>
        <w:spacing w:line="360" w:lineRule="auto"/>
        <w:ind w:firstLineChars="225" w:firstLine="473"/>
        <w:rPr>
          <w:rFonts w:ascii="宋体" w:hAnsi="宋体"/>
          <w:szCs w:val="21"/>
        </w:rPr>
      </w:pPr>
      <w:r>
        <w:rPr>
          <w:rFonts w:ascii="宋体" w:hAnsi="宋体" w:hint="eastAsia"/>
          <w:szCs w:val="21"/>
        </w:rPr>
        <w:t>（四）新任或临时基金管理人接收基金管理业务或新任或临时基金托管人接收基金财产和基金托管业务前，</w:t>
      </w:r>
      <w:proofErr w:type="gramStart"/>
      <w:r>
        <w:rPr>
          <w:rFonts w:ascii="宋体" w:hAnsi="宋体" w:hint="eastAsia"/>
          <w:szCs w:val="21"/>
        </w:rPr>
        <w:t>原基金</w:t>
      </w:r>
      <w:proofErr w:type="gramEnd"/>
      <w:r>
        <w:rPr>
          <w:rFonts w:ascii="宋体" w:hAnsi="宋体" w:hint="eastAsia"/>
          <w:szCs w:val="21"/>
        </w:rPr>
        <w:t>管理人或</w:t>
      </w:r>
      <w:proofErr w:type="gramStart"/>
      <w:r>
        <w:rPr>
          <w:rFonts w:ascii="宋体" w:hAnsi="宋体" w:hint="eastAsia"/>
          <w:szCs w:val="21"/>
        </w:rPr>
        <w:t>原基</w:t>
      </w:r>
      <w:proofErr w:type="gramEnd"/>
      <w:r>
        <w:rPr>
          <w:rFonts w:ascii="宋体" w:hAnsi="宋体" w:hint="eastAsia"/>
          <w:szCs w:val="21"/>
        </w:rPr>
        <w:t>金托管人应依据法律法规、《基金合同》或《托管协议》的规定继续履行相关职责，并维护基金份额持有人的合法权益。</w:t>
      </w:r>
      <w:proofErr w:type="gramStart"/>
      <w:r>
        <w:rPr>
          <w:rFonts w:ascii="宋体" w:hAnsi="宋体" w:hint="eastAsia"/>
          <w:szCs w:val="21"/>
        </w:rPr>
        <w:t>原基金</w:t>
      </w:r>
      <w:proofErr w:type="gramEnd"/>
      <w:r>
        <w:rPr>
          <w:rFonts w:ascii="宋体" w:hAnsi="宋体" w:hint="eastAsia"/>
          <w:szCs w:val="21"/>
        </w:rPr>
        <w:t>管理人或</w:t>
      </w:r>
      <w:proofErr w:type="gramStart"/>
      <w:r>
        <w:rPr>
          <w:rFonts w:ascii="宋体" w:hAnsi="宋体" w:hint="eastAsia"/>
          <w:szCs w:val="21"/>
        </w:rPr>
        <w:t>原基</w:t>
      </w:r>
      <w:proofErr w:type="gramEnd"/>
      <w:r>
        <w:rPr>
          <w:rFonts w:ascii="宋体" w:hAnsi="宋体" w:hint="eastAsia"/>
          <w:szCs w:val="21"/>
        </w:rPr>
        <w:t>金托管人在继续履行相关职责期间，仍有权按照基金合同的规定收取基金管理费或基金托管费。</w:t>
      </w:r>
    </w:p>
    <w:p w14:paraId="44CA38DE" w14:textId="77777777" w:rsidR="00F309E5" w:rsidRDefault="004F2640">
      <w:pPr>
        <w:spacing w:line="360" w:lineRule="auto"/>
        <w:ind w:firstLineChars="225" w:firstLine="473"/>
        <w:rPr>
          <w:rFonts w:ascii="宋体" w:hAnsi="宋体"/>
          <w:szCs w:val="21"/>
        </w:rPr>
      </w:pPr>
      <w:r>
        <w:rPr>
          <w:rFonts w:ascii="宋体" w:hAnsi="宋体" w:hint="eastAsia"/>
          <w:szCs w:val="21"/>
        </w:rPr>
        <w:t>（五）本部</w:t>
      </w:r>
      <w:proofErr w:type="gramStart"/>
      <w:r>
        <w:rPr>
          <w:rFonts w:ascii="宋体" w:hAnsi="宋体" w:hint="eastAsia"/>
          <w:szCs w:val="21"/>
        </w:rPr>
        <w:t>分关于</w:t>
      </w:r>
      <w:proofErr w:type="gramEnd"/>
      <w:r>
        <w:rPr>
          <w:rFonts w:ascii="宋体" w:hAnsi="宋体"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CF4871D"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3" w:name="_Toc84607785"/>
      <w:r>
        <w:rPr>
          <w:rFonts w:ascii="宋体" w:eastAsia="宋体" w:hAnsi="宋体" w:cs="Arial" w:hint="eastAsia"/>
          <w:sz w:val="30"/>
          <w:szCs w:val="30"/>
        </w:rPr>
        <w:t>禁止行为</w:t>
      </w:r>
      <w:bookmarkEnd w:id="103"/>
    </w:p>
    <w:p w14:paraId="6BF0325B" w14:textId="77777777" w:rsidR="00F309E5" w:rsidRDefault="004F2640">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78C8D08E" w14:textId="77777777" w:rsidR="00F309E5" w:rsidRDefault="004F2640">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4AF5CF65" w14:textId="77777777" w:rsidR="00F309E5" w:rsidRDefault="004F2640">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5322409D" w14:textId="77777777" w:rsidR="00F309E5" w:rsidRDefault="004F2640">
      <w:pPr>
        <w:spacing w:line="360" w:lineRule="auto"/>
        <w:ind w:firstLineChars="225" w:firstLine="473"/>
        <w:rPr>
          <w:rFonts w:ascii="宋体" w:hAnsi="宋体"/>
          <w:szCs w:val="21"/>
        </w:rPr>
      </w:pPr>
      <w:r>
        <w:rPr>
          <w:rFonts w:ascii="宋体" w:hAnsi="宋体" w:hint="eastAsia"/>
          <w:szCs w:val="21"/>
        </w:rPr>
        <w:t>（三）基金管理人、基金托管人利用基金财产或职务之便为基金份额持有人以外的第三人牟取利益。</w:t>
      </w:r>
    </w:p>
    <w:p w14:paraId="6415A897" w14:textId="77777777" w:rsidR="00F309E5" w:rsidRDefault="004F2640">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2DF195BA" w14:textId="77777777" w:rsidR="00F309E5" w:rsidRDefault="004F2640">
      <w:pPr>
        <w:spacing w:line="360" w:lineRule="auto"/>
        <w:ind w:firstLineChars="225" w:firstLine="473"/>
        <w:rPr>
          <w:rFonts w:ascii="宋体" w:hAnsi="宋体"/>
          <w:szCs w:val="21"/>
        </w:rPr>
      </w:pPr>
      <w:r>
        <w:rPr>
          <w:rFonts w:ascii="宋体" w:hAnsi="宋体" w:hint="eastAsia"/>
          <w:szCs w:val="21"/>
        </w:rPr>
        <w:t>（五）基金管理人、基金托管人对他人泄露基金经营过程中任何尚未按法律法规规定的方式公开披露的信息。</w:t>
      </w:r>
    </w:p>
    <w:p w14:paraId="2809D77D" w14:textId="77777777" w:rsidR="00F309E5" w:rsidRDefault="004F2640">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1C9CA4DD" w14:textId="77777777" w:rsidR="00F309E5" w:rsidRDefault="004F2640">
      <w:pPr>
        <w:spacing w:line="360" w:lineRule="auto"/>
        <w:ind w:firstLineChars="225" w:firstLine="473"/>
        <w:rPr>
          <w:rFonts w:ascii="宋体" w:hAnsi="宋体"/>
          <w:szCs w:val="21"/>
        </w:rPr>
      </w:pPr>
      <w:r>
        <w:rPr>
          <w:rFonts w:ascii="宋体" w:hAnsi="宋体" w:hint="eastAsia"/>
          <w:szCs w:val="21"/>
        </w:rPr>
        <w:lastRenderedPageBreak/>
        <w:t>（七）基金托管人对基金管理人的符合本协议约定的有效指令拖延或拒绝执行。</w:t>
      </w:r>
    </w:p>
    <w:p w14:paraId="406D6C94" w14:textId="77777777" w:rsidR="00F309E5" w:rsidRDefault="004F2640">
      <w:pPr>
        <w:spacing w:line="360" w:lineRule="auto"/>
        <w:ind w:firstLineChars="225" w:firstLine="473"/>
        <w:rPr>
          <w:rFonts w:ascii="宋体" w:hAnsi="宋体"/>
          <w:szCs w:val="21"/>
        </w:rPr>
      </w:pPr>
      <w:r>
        <w:rPr>
          <w:rFonts w:ascii="宋体" w:hAnsi="宋体" w:hint="eastAsia"/>
          <w:szCs w:val="21"/>
        </w:rPr>
        <w:t xml:space="preserve">（八）基金管理人、基金托管人在行政上、财务上不独立，其高级基金管理人员相互兼职。 </w:t>
      </w:r>
    </w:p>
    <w:p w14:paraId="40EB4FBE" w14:textId="77777777" w:rsidR="00F309E5" w:rsidRDefault="004F2640">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1E5F0E08" w14:textId="2C077B89" w:rsidR="00F309E5" w:rsidRDefault="004F2640">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法律法规或中国证监会另有规定的除外；（5）向本</w:t>
      </w:r>
      <w:proofErr w:type="gramStart"/>
      <w:r>
        <w:rPr>
          <w:rFonts w:ascii="宋体" w:hAnsi="宋体" w:hint="eastAsia"/>
          <w:szCs w:val="21"/>
        </w:rPr>
        <w:t>基金基金</w:t>
      </w:r>
      <w:proofErr w:type="gramEnd"/>
      <w:r>
        <w:rPr>
          <w:rFonts w:ascii="宋体" w:hAnsi="宋体" w:hint="eastAsia"/>
          <w:szCs w:val="21"/>
        </w:rPr>
        <w:t>管理人、基金托管人出资；（</w:t>
      </w:r>
      <w:r>
        <w:rPr>
          <w:rFonts w:ascii="宋体" w:hAnsi="宋体"/>
          <w:szCs w:val="21"/>
        </w:rPr>
        <w:t>6</w:t>
      </w:r>
      <w:r>
        <w:rPr>
          <w:rFonts w:ascii="宋体" w:hAnsi="宋体" w:hint="eastAsia"/>
          <w:szCs w:val="21"/>
        </w:rPr>
        <w:t>）从事内幕交易、操纵证券交易价格及其他不正当的证券交易活动；（</w:t>
      </w:r>
      <w:r>
        <w:rPr>
          <w:rFonts w:ascii="宋体" w:hAnsi="宋体"/>
          <w:szCs w:val="21"/>
        </w:rPr>
        <w:t>7</w:t>
      </w:r>
      <w:r>
        <w:rPr>
          <w:rFonts w:ascii="宋体" w:hAnsi="宋体" w:hint="eastAsia"/>
          <w:szCs w:val="21"/>
        </w:rPr>
        <w:t>）法律、行政法规和中国证监会规定禁止的其他活动。</w:t>
      </w:r>
    </w:p>
    <w:p w14:paraId="3FAA12DC" w14:textId="77777777" w:rsidR="00F309E5" w:rsidRDefault="004F2640">
      <w:pPr>
        <w:spacing w:line="360" w:lineRule="auto"/>
        <w:ind w:firstLineChars="200" w:firstLine="420"/>
        <w:rPr>
          <w:rFonts w:ascii="宋体" w:hAnsi="宋体"/>
          <w:szCs w:val="21"/>
        </w:rPr>
      </w:pPr>
      <w:r>
        <w:rPr>
          <w:rFonts w:ascii="宋体" w:hAnsi="宋体" w:hint="eastAsia"/>
          <w:szCs w:val="21"/>
        </w:rPr>
        <w:t xml:space="preserve">  （十一）法律法规和基金合同禁止的其他行为，以及依照法律法规有关规定，由中国证监会规定禁止基金管理人、基金托管人从事的其他行为。</w:t>
      </w:r>
    </w:p>
    <w:p w14:paraId="7AA26679" w14:textId="77777777" w:rsidR="00F309E5" w:rsidRDefault="004F2640">
      <w:pPr>
        <w:spacing w:line="360" w:lineRule="auto"/>
        <w:ind w:firstLineChars="200" w:firstLine="420"/>
        <w:rPr>
          <w:rFonts w:ascii="宋体" w:hAnsi="宋体"/>
          <w:szCs w:val="21"/>
        </w:rPr>
      </w:pPr>
      <w:r>
        <w:rPr>
          <w:rFonts w:ascii="宋体" w:hAnsi="宋体" w:hint="eastAsia"/>
          <w:szCs w:val="21"/>
        </w:rPr>
        <w:t xml:space="preserve">  （十二）法律、行政法规或监管部门取消或变更上述限制，如适用于本基金，在履行适当程序后，则本基金投资不再受上述相关限制或按变更后的规定执行。</w:t>
      </w:r>
    </w:p>
    <w:p w14:paraId="43422705"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4" w:name="_Toc84607786"/>
      <w:r>
        <w:rPr>
          <w:rFonts w:ascii="宋体" w:eastAsia="宋体" w:hAnsi="宋体" w:cs="Arial" w:hint="eastAsia"/>
          <w:sz w:val="30"/>
          <w:szCs w:val="30"/>
        </w:rPr>
        <w:t>基金托管协议的变更、终止与基金财产的清算</w:t>
      </w:r>
      <w:bookmarkEnd w:id="104"/>
    </w:p>
    <w:p w14:paraId="5BDFB66B" w14:textId="77777777" w:rsidR="00F309E5" w:rsidRDefault="004F2640">
      <w:pPr>
        <w:spacing w:line="360" w:lineRule="auto"/>
        <w:ind w:firstLineChars="200" w:firstLine="420"/>
        <w:rPr>
          <w:rFonts w:ascii="宋体" w:hAnsi="宋体"/>
          <w:szCs w:val="21"/>
        </w:rPr>
      </w:pPr>
      <w:r>
        <w:rPr>
          <w:rFonts w:ascii="宋体" w:hAnsi="宋体" w:hint="eastAsia"/>
          <w:szCs w:val="21"/>
        </w:rPr>
        <w:t>（一）托管协议的变更与终止</w:t>
      </w:r>
    </w:p>
    <w:p w14:paraId="30660B47" w14:textId="77777777" w:rsidR="00F309E5" w:rsidRDefault="004F2640">
      <w:pPr>
        <w:spacing w:line="360" w:lineRule="auto"/>
        <w:ind w:firstLineChars="200" w:firstLine="420"/>
        <w:rPr>
          <w:rFonts w:ascii="宋体" w:hAnsi="宋体"/>
          <w:szCs w:val="21"/>
        </w:rPr>
      </w:pPr>
      <w:r>
        <w:rPr>
          <w:rFonts w:ascii="宋体" w:hAnsi="宋体" w:hint="eastAsia"/>
          <w:szCs w:val="21"/>
        </w:rPr>
        <w:t>1.托管协议的变更程序</w:t>
      </w:r>
    </w:p>
    <w:p w14:paraId="55CB658E" w14:textId="361AF93B"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本协议双方当事人经协商一致，在履行适当程序后可以对协议的内容进行变更。变更后的托管协议，其内容不得与《基金合同》的规定有任何冲突，并需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w:t>
      </w:r>
    </w:p>
    <w:p w14:paraId="7703CC5A" w14:textId="77777777" w:rsidR="00F309E5" w:rsidRDefault="004F2640">
      <w:pPr>
        <w:spacing w:line="360" w:lineRule="auto"/>
        <w:ind w:firstLineChars="200" w:firstLine="420"/>
        <w:rPr>
          <w:rFonts w:ascii="宋体" w:hAnsi="宋体"/>
          <w:szCs w:val="21"/>
        </w:rPr>
      </w:pPr>
      <w:r>
        <w:rPr>
          <w:rFonts w:ascii="宋体" w:hAnsi="宋体" w:hint="eastAsia"/>
          <w:szCs w:val="21"/>
        </w:rPr>
        <w:t>2.基金托管协议终止的情形</w:t>
      </w:r>
    </w:p>
    <w:p w14:paraId="67C39BBE" w14:textId="77777777"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563ABC63" w14:textId="77777777"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2659FF2D" w14:textId="77777777"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659F39B0" w14:textId="77777777"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（3）基金管理人解散、依法被撤销、破产或有其他基金管理人接管基金管理权；</w:t>
      </w:r>
    </w:p>
    <w:p w14:paraId="2874F4B3" w14:textId="77777777" w:rsidR="00F309E5" w:rsidRDefault="004F2640">
      <w:pPr>
        <w:autoSpaceDE w:val="0"/>
        <w:autoSpaceDN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29DC2FC0" w14:textId="77777777" w:rsidR="00F309E5" w:rsidRDefault="004F2640">
      <w:pPr>
        <w:spacing w:line="360" w:lineRule="auto"/>
        <w:ind w:firstLineChars="200" w:firstLine="420"/>
        <w:rPr>
          <w:rFonts w:ascii="宋体" w:hAnsi="宋体"/>
          <w:szCs w:val="21"/>
        </w:rPr>
      </w:pPr>
      <w:r>
        <w:rPr>
          <w:rFonts w:ascii="宋体" w:hAnsi="宋体" w:hint="eastAsia"/>
          <w:szCs w:val="21"/>
        </w:rPr>
        <w:lastRenderedPageBreak/>
        <w:t>（二）基金财产的清算</w:t>
      </w:r>
    </w:p>
    <w:p w14:paraId="7F209F7B" w14:textId="77777777" w:rsidR="00F309E5" w:rsidRDefault="004F2640">
      <w:pPr>
        <w:spacing w:line="360" w:lineRule="auto"/>
        <w:ind w:firstLineChars="200" w:firstLine="420"/>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基金财产清算小组：自出现《基金合同》终止事由之日起30个工作日内成立基金财产清算小组，基金管理人组织基金财产清算小组并在中国证监会的监督下进行基金清算。</w:t>
      </w:r>
    </w:p>
    <w:p w14:paraId="21931D82" w14:textId="43D82AB2" w:rsidR="00F309E5" w:rsidRDefault="004F2640">
      <w:pPr>
        <w:spacing w:line="360" w:lineRule="auto"/>
        <w:ind w:firstLineChars="200" w:firstLine="420"/>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基金财产清算小组组成：基金财产清算小组成员由基金管理人、基金托管人、符合《证券法》规定的注册会计师、律师以及中国证监会指定的人员组成。基金财产清算小组可以聘用必要的工作人员。</w:t>
      </w:r>
    </w:p>
    <w:p w14:paraId="23DFC664" w14:textId="77777777" w:rsidR="00F309E5" w:rsidRDefault="004F2640">
      <w:pPr>
        <w:spacing w:line="360" w:lineRule="auto"/>
        <w:ind w:firstLineChars="200" w:firstLine="420"/>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基金财产清算小组职责：基金财产清算小组负责基金财产的保管、清理、估价、变现和分配。基金财产清算小组可以依法进行必要的民事活动。</w:t>
      </w:r>
    </w:p>
    <w:p w14:paraId="5ACAACB7" w14:textId="77777777" w:rsidR="00F309E5" w:rsidRDefault="004F2640">
      <w:pPr>
        <w:spacing w:line="360" w:lineRule="auto"/>
        <w:ind w:firstLineChars="200" w:firstLine="420"/>
        <w:rPr>
          <w:rFonts w:ascii="宋体" w:hAnsi="宋体"/>
          <w:szCs w:val="21"/>
        </w:rPr>
      </w:pPr>
      <w:r>
        <w:rPr>
          <w:rFonts w:ascii="宋体" w:hAnsi="宋体" w:hint="eastAsia"/>
          <w:szCs w:val="21"/>
        </w:rPr>
        <w:t>4</w:t>
      </w:r>
      <w:r>
        <w:rPr>
          <w:rFonts w:ascii="宋体" w:hAnsi="宋体" w:hint="eastAsia"/>
          <w:b/>
          <w:bCs/>
          <w:szCs w:val="21"/>
        </w:rPr>
        <w:t>.</w:t>
      </w:r>
      <w:r>
        <w:rPr>
          <w:rFonts w:ascii="宋体" w:hAnsi="宋体" w:hint="eastAsia"/>
          <w:szCs w:val="21"/>
        </w:rPr>
        <w:t>基金财产清算程序：</w:t>
      </w:r>
    </w:p>
    <w:p w14:paraId="2C50BFC6" w14:textId="77777777" w:rsidR="00F309E5" w:rsidRDefault="004F2640">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30D9D9DC" w14:textId="77777777" w:rsidR="00F309E5" w:rsidRDefault="004F2640">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308798FA" w14:textId="77777777" w:rsidR="00F309E5" w:rsidRDefault="004F2640">
      <w:pPr>
        <w:spacing w:line="360" w:lineRule="auto"/>
        <w:ind w:firstLineChars="200" w:firstLine="420"/>
        <w:rPr>
          <w:rFonts w:ascii="宋体" w:hAnsi="宋体"/>
          <w:szCs w:val="21"/>
        </w:rPr>
      </w:pPr>
      <w:r>
        <w:rPr>
          <w:rFonts w:ascii="宋体" w:hAnsi="宋体" w:hint="eastAsia"/>
          <w:szCs w:val="21"/>
        </w:rPr>
        <w:t>（3）对基金财产进行估值和变现；</w:t>
      </w:r>
    </w:p>
    <w:p w14:paraId="5D04704E" w14:textId="77777777" w:rsidR="00F309E5" w:rsidRDefault="004F2640">
      <w:pPr>
        <w:spacing w:line="360" w:lineRule="auto"/>
        <w:ind w:firstLineChars="200" w:firstLine="420"/>
        <w:rPr>
          <w:rFonts w:ascii="宋体" w:hAnsi="宋体"/>
          <w:szCs w:val="21"/>
        </w:rPr>
      </w:pPr>
      <w:r>
        <w:rPr>
          <w:rFonts w:ascii="宋体" w:hAnsi="宋体" w:hint="eastAsia"/>
          <w:szCs w:val="21"/>
        </w:rPr>
        <w:t>（4）制作清算报告；</w:t>
      </w:r>
    </w:p>
    <w:p w14:paraId="0E55571A" w14:textId="77777777" w:rsidR="00F309E5" w:rsidRDefault="004F2640">
      <w:pPr>
        <w:spacing w:line="360" w:lineRule="auto"/>
        <w:ind w:firstLineChars="200" w:firstLine="420"/>
        <w:rPr>
          <w:rFonts w:ascii="宋体" w:hAnsi="宋体"/>
          <w:szCs w:val="21"/>
        </w:rPr>
      </w:pPr>
      <w:r>
        <w:rPr>
          <w:rFonts w:ascii="宋体" w:hAnsi="宋体" w:hint="eastAsia"/>
          <w:szCs w:val="21"/>
        </w:rPr>
        <w:t>（5）聘请会计师事务所对清算报告进行外部审计，聘请律师事务所对清算报告出具法律意见书；</w:t>
      </w:r>
    </w:p>
    <w:p w14:paraId="7AFB3019" w14:textId="77777777" w:rsidR="00F309E5" w:rsidRDefault="004F2640">
      <w:pPr>
        <w:spacing w:line="360" w:lineRule="auto"/>
        <w:ind w:firstLineChars="200" w:firstLine="420"/>
        <w:rPr>
          <w:rFonts w:ascii="宋体" w:hAnsi="宋体"/>
          <w:szCs w:val="21"/>
        </w:rPr>
      </w:pPr>
      <w:r>
        <w:rPr>
          <w:rFonts w:ascii="宋体" w:hAnsi="宋体" w:hint="eastAsia"/>
          <w:szCs w:val="21"/>
        </w:rPr>
        <w:t>（6）将清算报告报中国证监会备案并公告；</w:t>
      </w:r>
    </w:p>
    <w:p w14:paraId="11711D01" w14:textId="77777777" w:rsidR="00F309E5" w:rsidRDefault="004F2640">
      <w:pPr>
        <w:spacing w:line="360" w:lineRule="auto"/>
        <w:ind w:firstLineChars="200" w:firstLine="420"/>
        <w:rPr>
          <w:rFonts w:ascii="宋体" w:hAnsi="宋体"/>
          <w:szCs w:val="21"/>
        </w:rPr>
      </w:pPr>
      <w:r>
        <w:rPr>
          <w:rFonts w:ascii="宋体" w:hAnsi="宋体" w:hint="eastAsia"/>
          <w:szCs w:val="21"/>
        </w:rPr>
        <w:t>（7）对基金剩余财产进行分配。</w:t>
      </w:r>
    </w:p>
    <w:p w14:paraId="3B7274D3" w14:textId="77777777" w:rsidR="00F309E5" w:rsidRDefault="004F2640">
      <w:pPr>
        <w:spacing w:line="360" w:lineRule="auto"/>
        <w:ind w:firstLineChars="200" w:firstLine="420"/>
        <w:rPr>
          <w:rFonts w:ascii="宋体" w:hAnsi="宋体"/>
          <w:szCs w:val="21"/>
        </w:rPr>
      </w:pPr>
      <w:r>
        <w:rPr>
          <w:rFonts w:ascii="宋体" w:hAnsi="宋体" w:hint="eastAsia"/>
          <w:szCs w:val="21"/>
        </w:rPr>
        <w:t>5</w:t>
      </w:r>
      <w:r>
        <w:rPr>
          <w:rFonts w:ascii="宋体" w:hAnsi="宋体" w:hint="eastAsia"/>
          <w:b/>
          <w:bCs/>
          <w:szCs w:val="21"/>
        </w:rPr>
        <w:t>.</w:t>
      </w:r>
      <w:r>
        <w:rPr>
          <w:rFonts w:ascii="宋体" w:hAnsi="宋体" w:hint="eastAsia"/>
          <w:szCs w:val="21"/>
        </w:rPr>
        <w:t>基金财产清算的期限为6个月，但因本基金所持证券的流动性受到限制而不能及时变现的，清算期限相应顺延。</w:t>
      </w:r>
    </w:p>
    <w:p w14:paraId="30F884BE" w14:textId="77777777" w:rsidR="00F309E5" w:rsidRDefault="004F2640">
      <w:pPr>
        <w:snapToGrid w:val="0"/>
        <w:spacing w:line="360" w:lineRule="auto"/>
        <w:ind w:firstLineChars="200" w:firstLine="420"/>
        <w:rPr>
          <w:rFonts w:ascii="宋体" w:hAnsi="宋体" w:cs="Arial"/>
          <w:szCs w:val="21"/>
        </w:rPr>
      </w:pPr>
      <w:r>
        <w:rPr>
          <w:rFonts w:ascii="宋体" w:hAnsi="宋体" w:cs="Arial" w:hint="eastAsia"/>
          <w:szCs w:val="21"/>
        </w:rPr>
        <w:t>（三）清算费用</w:t>
      </w:r>
    </w:p>
    <w:p w14:paraId="49092871" w14:textId="77777777" w:rsidR="00F309E5" w:rsidRDefault="004F2640">
      <w:pPr>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清算费用是指基金财产清算小组在进行基金清算过程中发生的所有合理费用，清算费用由基金财产清算小组优先从基金剩余财产中支付。</w:t>
      </w:r>
    </w:p>
    <w:p w14:paraId="7F615276" w14:textId="77777777" w:rsidR="00F309E5" w:rsidRDefault="004F2640">
      <w:pPr>
        <w:snapToGrid w:val="0"/>
        <w:spacing w:line="360" w:lineRule="auto"/>
        <w:ind w:firstLineChars="200" w:firstLine="420"/>
        <w:rPr>
          <w:rFonts w:ascii="宋体" w:hAnsi="宋体" w:cs="Arial"/>
          <w:szCs w:val="21"/>
        </w:rPr>
      </w:pPr>
      <w:r>
        <w:rPr>
          <w:rFonts w:ascii="宋体" w:hAnsi="宋体" w:cs="Arial" w:hint="eastAsia"/>
          <w:szCs w:val="21"/>
        </w:rPr>
        <w:t>（四）基金财产清算剩余资产的分配</w:t>
      </w:r>
    </w:p>
    <w:p w14:paraId="53A569C9" w14:textId="77777777" w:rsidR="00F309E5" w:rsidRDefault="004F2640">
      <w:pPr>
        <w:snapToGrid w:val="0"/>
        <w:spacing w:line="360" w:lineRule="auto"/>
        <w:ind w:firstLineChars="200" w:firstLine="420"/>
        <w:rPr>
          <w:rFonts w:ascii="宋体" w:hAnsi="宋体" w:cs="Arial"/>
          <w:szCs w:val="21"/>
        </w:rPr>
      </w:pPr>
      <w:r>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14:paraId="0BD813AC" w14:textId="77777777" w:rsidR="00F309E5" w:rsidRDefault="004F2640">
      <w:pPr>
        <w:spacing w:line="360" w:lineRule="auto"/>
        <w:ind w:firstLineChars="200" w:firstLine="420"/>
        <w:rPr>
          <w:rFonts w:ascii="宋体" w:hAnsi="宋体"/>
          <w:bCs/>
          <w:szCs w:val="21"/>
        </w:rPr>
      </w:pPr>
      <w:r>
        <w:rPr>
          <w:rFonts w:ascii="宋体" w:hAnsi="宋体" w:hint="eastAsia"/>
          <w:bCs/>
          <w:szCs w:val="21"/>
        </w:rPr>
        <w:t>（五）基金财产清算的公告</w:t>
      </w:r>
    </w:p>
    <w:p w14:paraId="7B77642E" w14:textId="56EAB578" w:rsidR="00F309E5" w:rsidRDefault="004F2640">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经符合</w:t>
      </w:r>
      <w:proofErr w:type="gramEnd"/>
      <w:r>
        <w:rPr>
          <w:rFonts w:ascii="宋体" w:hAnsi="宋体" w:hint="eastAsia"/>
          <w:szCs w:val="21"/>
        </w:rPr>
        <w:t>《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w:t>
      </w:r>
      <w:r>
        <w:rPr>
          <w:rFonts w:ascii="宋体" w:hAnsi="宋体" w:hint="eastAsia"/>
          <w:szCs w:val="21"/>
        </w:rPr>
        <w:lastRenderedPageBreak/>
        <w:t>报刊上。</w:t>
      </w:r>
    </w:p>
    <w:p w14:paraId="14831566" w14:textId="0540AF63" w:rsidR="00F309E5" w:rsidRDefault="004F2640">
      <w:pPr>
        <w:spacing w:line="360" w:lineRule="auto"/>
        <w:ind w:firstLineChars="200" w:firstLine="420"/>
        <w:rPr>
          <w:rFonts w:ascii="宋体" w:hAnsi="宋体"/>
          <w:bCs/>
          <w:szCs w:val="21"/>
        </w:rPr>
      </w:pPr>
      <w:r>
        <w:rPr>
          <w:rFonts w:ascii="宋体" w:hAnsi="宋体" w:hint="eastAsia"/>
          <w:bCs/>
          <w:szCs w:val="21"/>
        </w:rPr>
        <w:t>（六）基金财产清算账册及文件的保存</w:t>
      </w:r>
    </w:p>
    <w:p w14:paraId="03D8A900" w14:textId="77777777" w:rsidR="00F309E5" w:rsidRDefault="004F2640" w:rsidP="00903B9F">
      <w:pPr>
        <w:spacing w:line="360" w:lineRule="auto"/>
        <w:ind w:firstLineChars="200" w:firstLine="420"/>
        <w:rPr>
          <w:rFonts w:ascii="宋体" w:hAnsi="宋体"/>
          <w:szCs w:val="21"/>
        </w:rPr>
      </w:pPr>
      <w:r>
        <w:rPr>
          <w:rFonts w:ascii="宋体" w:hAnsi="宋体" w:hint="eastAsia"/>
          <w:szCs w:val="21"/>
        </w:rPr>
        <w:t>基金财产清算账册及有关文件由基金托管人保存，保存期限不低于法律法规规定的最低期限。</w:t>
      </w:r>
    </w:p>
    <w:p w14:paraId="29D8084B" w14:textId="77777777" w:rsidR="00F309E5" w:rsidRDefault="004F2640" w:rsidP="00903B9F">
      <w:pPr>
        <w:spacing w:line="360" w:lineRule="auto"/>
        <w:ind w:firstLineChars="200" w:firstLine="420"/>
        <w:rPr>
          <w:rFonts w:ascii="宋体" w:hAnsi="宋体"/>
          <w:szCs w:val="21"/>
        </w:rPr>
      </w:pPr>
      <w:r>
        <w:rPr>
          <w:rFonts w:ascii="宋体" w:hAnsi="宋体" w:hint="eastAsia"/>
          <w:szCs w:val="21"/>
        </w:rPr>
        <w:t>（七）基金合并</w:t>
      </w:r>
    </w:p>
    <w:p w14:paraId="5FC2EDED" w14:textId="77777777" w:rsidR="00F309E5" w:rsidRDefault="004F2640" w:rsidP="00903B9F">
      <w:pPr>
        <w:spacing w:line="360" w:lineRule="auto"/>
        <w:ind w:firstLineChars="200" w:firstLine="420"/>
        <w:rPr>
          <w:rFonts w:ascii="宋体" w:hAnsi="宋体"/>
          <w:szCs w:val="21"/>
        </w:rPr>
      </w:pPr>
      <w:r>
        <w:rPr>
          <w:rFonts w:ascii="宋体" w:hAnsi="宋体" w:hint="eastAsia"/>
          <w:szCs w:val="21"/>
        </w:rPr>
        <w:t>本基金与其他基金的合并应当按照法律法规规定的程序进行。</w:t>
      </w:r>
    </w:p>
    <w:p w14:paraId="542E7E47"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5" w:name="_Toc84607787"/>
      <w:r>
        <w:rPr>
          <w:rFonts w:ascii="宋体" w:eastAsia="宋体" w:hAnsi="宋体" w:cs="Arial" w:hint="eastAsia"/>
          <w:sz w:val="30"/>
          <w:szCs w:val="30"/>
        </w:rPr>
        <w:t>违约责任</w:t>
      </w:r>
      <w:bookmarkEnd w:id="105"/>
    </w:p>
    <w:p w14:paraId="16AF5A30" w14:textId="77777777" w:rsidR="00F309E5" w:rsidRDefault="004F2640">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，给基金财产或者基金份额持有人造成损害的，应当分别对各自的行为依法承担赔偿责任；因共同行为给基金财产或者基金份额持有人造成损害的，应当承担连带赔偿责任。对损失的赔偿，仅限于直接经济损失。</w:t>
      </w:r>
      <w:r>
        <w:rPr>
          <w:rFonts w:ascii="宋体" w:hAnsi="宋体" w:hint="eastAsia"/>
          <w:szCs w:val="21"/>
        </w:rPr>
        <w:t>但是发生下列情况，当事人免责：</w:t>
      </w:r>
    </w:p>
    <w:p w14:paraId="6023A898" w14:textId="77777777" w:rsidR="00F309E5" w:rsidRDefault="004F2640">
      <w:pPr>
        <w:spacing w:line="360" w:lineRule="auto"/>
        <w:ind w:firstLineChars="200" w:firstLine="420"/>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不可抗力；</w:t>
      </w:r>
    </w:p>
    <w:p w14:paraId="5307C228" w14:textId="2FA5CA48" w:rsidR="00F309E5" w:rsidRDefault="004F2640">
      <w:pPr>
        <w:spacing w:line="360" w:lineRule="auto"/>
        <w:ind w:firstLineChars="200" w:firstLine="420"/>
        <w:rPr>
          <w:rFonts w:ascii="宋体" w:hAnsi="宋体"/>
          <w:szCs w:val="21"/>
        </w:rPr>
      </w:pPr>
      <w:r>
        <w:rPr>
          <w:rFonts w:ascii="宋体" w:hAnsi="宋体" w:hint="eastAsia"/>
          <w:szCs w:val="21"/>
        </w:rPr>
        <w:t>2</w:t>
      </w:r>
      <w:r>
        <w:rPr>
          <w:rFonts w:ascii="宋体" w:hAnsi="宋体" w:hint="eastAsia"/>
          <w:b/>
          <w:bCs/>
          <w:szCs w:val="21"/>
        </w:rPr>
        <w:t>.</w:t>
      </w:r>
      <w:r>
        <w:rPr>
          <w:rFonts w:ascii="宋体" w:hAnsi="宋体" w:hint="eastAsia"/>
          <w:szCs w:val="21"/>
        </w:rPr>
        <w:t>基金管理人和/或基金托管人按照当时有效的法律法规、规章、市场交易规则或中国证监会等监管机构的规定作为或不作为而造成的损失等；</w:t>
      </w:r>
    </w:p>
    <w:p w14:paraId="6BB06ACB" w14:textId="6E0791F7" w:rsidR="00F309E5" w:rsidRDefault="004F2640">
      <w:pPr>
        <w:spacing w:line="360" w:lineRule="auto"/>
        <w:ind w:firstLineChars="200" w:firstLine="420"/>
        <w:rPr>
          <w:rFonts w:ascii="宋体" w:hAnsi="宋体"/>
          <w:szCs w:val="21"/>
        </w:rPr>
      </w:pPr>
      <w:r>
        <w:rPr>
          <w:rFonts w:ascii="宋体" w:hAnsi="宋体" w:hint="eastAsia"/>
          <w:szCs w:val="21"/>
        </w:rPr>
        <w:t>3</w:t>
      </w:r>
      <w:r>
        <w:rPr>
          <w:rFonts w:ascii="宋体" w:hAnsi="宋体" w:hint="eastAsia"/>
          <w:b/>
          <w:bCs/>
          <w:szCs w:val="21"/>
        </w:rPr>
        <w:t>.</w:t>
      </w:r>
      <w:r>
        <w:rPr>
          <w:rFonts w:ascii="宋体" w:hAnsi="宋体" w:hint="eastAsia"/>
          <w:szCs w:val="21"/>
        </w:rPr>
        <w:t>基金管理人由于按照基金合同约定的投资原则行使或不行使其投资权而造成的损失等。</w:t>
      </w:r>
    </w:p>
    <w:p w14:paraId="69FDEE05" w14:textId="77777777" w:rsidR="00F309E5" w:rsidRDefault="004F2640">
      <w:pPr>
        <w:spacing w:line="360" w:lineRule="auto"/>
        <w:ind w:firstLineChars="200" w:firstLine="420"/>
        <w:rPr>
          <w:rFonts w:ascii="宋体" w:hAnsi="宋体"/>
          <w:szCs w:val="21"/>
        </w:rPr>
      </w:pPr>
      <w:r>
        <w:rPr>
          <w:rFonts w:ascii="宋体" w:hAnsi="宋体" w:hint="eastAsia"/>
          <w:szCs w:val="21"/>
        </w:rPr>
        <w:t>（二）在发生一方或多方违约的情况下，在最大限度地保护基金份额持有人利益的前提下，《基金合同》和托管协议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DA134D2" w14:textId="77777777" w:rsidR="00F309E5" w:rsidRDefault="004F2640">
      <w:pPr>
        <w:spacing w:line="360" w:lineRule="auto"/>
        <w:ind w:firstLineChars="200" w:firstLine="420"/>
        <w:rPr>
          <w:rFonts w:ascii="宋体" w:hAnsi="宋体"/>
          <w:szCs w:val="21"/>
          <w:lang w:val="zh-CN"/>
        </w:rPr>
      </w:pPr>
      <w:r>
        <w:rPr>
          <w:rFonts w:ascii="宋体" w:hAnsi="宋体" w:hint="eastAsia"/>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C74318F"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6" w:name="_Toc84607788"/>
      <w:r>
        <w:rPr>
          <w:rFonts w:ascii="宋体" w:eastAsia="宋体" w:hAnsi="宋体" w:cs="Arial" w:hint="eastAsia"/>
          <w:sz w:val="30"/>
          <w:szCs w:val="30"/>
        </w:rPr>
        <w:t>适用法律及争议解决方式</w:t>
      </w:r>
      <w:bookmarkEnd w:id="106"/>
    </w:p>
    <w:p w14:paraId="509E098C" w14:textId="77777777" w:rsidR="00F309E5" w:rsidRDefault="004F2640">
      <w:pPr>
        <w:spacing w:line="360" w:lineRule="auto"/>
        <w:ind w:firstLineChars="200" w:firstLine="420"/>
        <w:rPr>
          <w:rFonts w:ascii="宋体" w:hAnsi="宋体"/>
          <w:szCs w:val="21"/>
          <w:lang w:val="zh-CN"/>
        </w:rPr>
      </w:pPr>
      <w:r>
        <w:rPr>
          <w:rFonts w:ascii="宋体" w:hAnsi="宋体" w:hint="eastAsia"/>
          <w:szCs w:val="21"/>
          <w:lang w:val="zh-CN"/>
        </w:rPr>
        <w:lastRenderedPageBreak/>
        <w:t>（一）</w:t>
      </w:r>
      <w:r>
        <w:rPr>
          <w:rFonts w:ascii="宋体" w:hAnsi="宋体" w:hint="eastAsia"/>
          <w:szCs w:val="21"/>
        </w:rPr>
        <w:t>本协议适用中华人民共和国法律（为本协议之目的，在此不包括香港、澳门特别行政区和台湾地区法律），并从其解释。</w:t>
      </w:r>
    </w:p>
    <w:p w14:paraId="59E12E74" w14:textId="0F6A2DFE" w:rsidR="00F309E5" w:rsidRDefault="004F2640">
      <w:pPr>
        <w:spacing w:line="360" w:lineRule="auto"/>
        <w:ind w:firstLineChars="200" w:firstLine="420"/>
        <w:rPr>
          <w:rFonts w:ascii="宋体" w:hAnsi="宋体"/>
          <w:szCs w:val="21"/>
        </w:rPr>
      </w:pPr>
      <w:r>
        <w:rPr>
          <w:rFonts w:ascii="宋体" w:hAnsi="宋体" w:hint="eastAsia"/>
          <w:szCs w:val="21"/>
        </w:rPr>
        <w:t>（二）双方当事人同意，因本协议而产生的或与本协议有关的一切争议，除经友好协商可以解决的，任何一方应当将争议提交深圳国际仲裁院（深圳仲裁委员会），根据该院届时有效的仲裁规则进行仲裁。仲裁的地点在深圳市，仲裁裁决是终局性的并对仲裁各方当事人均有约束力。除非仲裁裁决另有决定，仲裁费用由败诉方承担。</w:t>
      </w:r>
    </w:p>
    <w:p w14:paraId="2EBFF5E1" w14:textId="77777777" w:rsidR="00F309E5" w:rsidRDefault="004F2640">
      <w:pPr>
        <w:spacing w:line="360" w:lineRule="auto"/>
        <w:ind w:firstLineChars="200" w:firstLine="420"/>
        <w:rPr>
          <w:rFonts w:ascii="宋体" w:hAnsi="宋体"/>
          <w:szCs w:val="21"/>
        </w:rPr>
      </w:pPr>
      <w:r>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15487522"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7" w:name="_Toc84607790"/>
      <w:bookmarkStart w:id="108" w:name="_Toc84607789"/>
      <w:proofErr w:type="gramStart"/>
      <w:r>
        <w:rPr>
          <w:rFonts w:ascii="宋体" w:eastAsia="宋体" w:hAnsi="宋体" w:cs="Arial" w:hint="eastAsia"/>
          <w:sz w:val="30"/>
          <w:szCs w:val="30"/>
        </w:rPr>
        <w:t>侧袋机制</w:t>
      </w:r>
      <w:bookmarkEnd w:id="107"/>
      <w:proofErr w:type="gramEnd"/>
    </w:p>
    <w:p w14:paraId="17C25C44" w14:textId="77731A93" w:rsidR="00F309E5" w:rsidRDefault="004F2640">
      <w:pPr>
        <w:spacing w:line="360" w:lineRule="auto"/>
        <w:ind w:firstLineChars="200" w:firstLine="420"/>
        <w:rPr>
          <w:rFonts w:ascii="宋体" w:hAnsi="宋体"/>
          <w:szCs w:val="21"/>
        </w:rPr>
      </w:pPr>
      <w:r>
        <w:rPr>
          <w:rFonts w:ascii="宋体" w:hAnsi="宋体" w:hint="eastAsia"/>
          <w:szCs w:val="21"/>
        </w:rPr>
        <w:t>当本基金持有特定资产且存在或潜在大额赎回申请时，根据最大限度保护基金份额持有人利益的原则，基金管理人经与基金托管人协商一致，并咨询会计师事务所意见后，可以</w:t>
      </w:r>
      <w:proofErr w:type="gramStart"/>
      <w:r>
        <w:rPr>
          <w:rFonts w:ascii="宋体" w:hAnsi="宋体" w:hint="eastAsia"/>
          <w:szCs w:val="21"/>
        </w:rPr>
        <w:t>启用侧袋机制</w:t>
      </w:r>
      <w:proofErr w:type="gramEnd"/>
      <w:r>
        <w:rPr>
          <w:rFonts w:ascii="宋体" w:hAnsi="宋体" w:hint="eastAsia"/>
          <w:szCs w:val="21"/>
        </w:rPr>
        <w:t>，无需召开基金份额持有人大会审议。</w:t>
      </w:r>
      <w:proofErr w:type="gramStart"/>
      <w:r>
        <w:rPr>
          <w:rFonts w:ascii="宋体" w:hAnsi="宋体" w:hint="eastAsia"/>
          <w:szCs w:val="21"/>
        </w:rPr>
        <w:t>侧袋机制</w:t>
      </w:r>
      <w:proofErr w:type="gramEnd"/>
      <w:r>
        <w:rPr>
          <w:rFonts w:ascii="宋体" w:hAnsi="宋体" w:hint="eastAsia"/>
          <w:szCs w:val="21"/>
        </w:rPr>
        <w:t>的具体规则依照相关法律法规的规定和基金合同的约定执行。</w:t>
      </w:r>
    </w:p>
    <w:p w14:paraId="165A580D"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r>
        <w:rPr>
          <w:rFonts w:ascii="宋体" w:eastAsia="宋体" w:hAnsi="宋体" w:cs="Arial" w:hint="eastAsia"/>
          <w:sz w:val="30"/>
          <w:szCs w:val="30"/>
        </w:rPr>
        <w:t>基金托管协议的效力和文本</w:t>
      </w:r>
      <w:bookmarkEnd w:id="108"/>
    </w:p>
    <w:p w14:paraId="22F098CE" w14:textId="77777777" w:rsidR="00F309E5" w:rsidRDefault="004F2640">
      <w:pPr>
        <w:pStyle w:val="af9"/>
        <w:rPr>
          <w:rFonts w:ascii="宋体" w:hAnsi="宋体"/>
          <w:szCs w:val="21"/>
        </w:rPr>
      </w:pPr>
      <w:r>
        <w:rPr>
          <w:rFonts w:ascii="宋体" w:hAnsi="宋体" w:hint="eastAsia"/>
          <w:szCs w:val="21"/>
        </w:rPr>
        <w:t>（一）</w:t>
      </w:r>
      <w:r>
        <w:rPr>
          <w:rFonts w:ascii="宋体" w:hAnsi="宋体" w:cs="Arial" w:hint="eastAsia"/>
          <w:szCs w:val="21"/>
        </w:rPr>
        <w:t>本协议经基金管理人、基金托管人双方法定代表人或授权代理人签字（或盖章）并加盖公章（或合同专用章）后成立</w:t>
      </w:r>
      <w:r>
        <w:rPr>
          <w:rFonts w:ascii="宋体" w:hAnsi="宋体" w:hint="eastAsia"/>
          <w:szCs w:val="21"/>
        </w:rPr>
        <w:t>。本协议以中国证监会注册的文本为正式文本。</w:t>
      </w:r>
    </w:p>
    <w:p w14:paraId="0322E584" w14:textId="77777777" w:rsidR="00F309E5" w:rsidRDefault="004F2640">
      <w:pPr>
        <w:pStyle w:val="af9"/>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14:paraId="6CCBA1C9" w14:textId="77777777" w:rsidR="00F309E5" w:rsidRDefault="004F2640">
      <w:pPr>
        <w:spacing w:line="360" w:lineRule="auto"/>
        <w:ind w:firstLineChars="200" w:firstLine="420"/>
        <w:rPr>
          <w:rFonts w:ascii="宋体" w:hAnsi="宋体"/>
          <w:szCs w:val="21"/>
        </w:rPr>
      </w:pPr>
      <w:r>
        <w:rPr>
          <w:rFonts w:ascii="宋体" w:hAnsi="宋体" w:hint="eastAsia"/>
          <w:szCs w:val="21"/>
        </w:rPr>
        <w:t>（三）本协议自生效之日起对双方当事人具有同等的法律约束力。</w:t>
      </w:r>
    </w:p>
    <w:p w14:paraId="5B0A9C00" w14:textId="77777777" w:rsidR="00F309E5" w:rsidRDefault="004F2640">
      <w:pPr>
        <w:spacing w:line="360" w:lineRule="auto"/>
        <w:ind w:firstLineChars="200" w:firstLine="420"/>
        <w:rPr>
          <w:rFonts w:ascii="宋体" w:hAnsi="宋体"/>
          <w:szCs w:val="21"/>
        </w:rPr>
      </w:pPr>
      <w:r>
        <w:rPr>
          <w:rFonts w:ascii="宋体" w:hAnsi="宋体" w:hint="eastAsia"/>
          <w:szCs w:val="21"/>
        </w:rPr>
        <w:t>（四）本协议一式叁份，除上报有关监管机构壹份外，基金管理人和基金托管人分别持壹份，每份具有同等的法律效力。</w:t>
      </w:r>
    </w:p>
    <w:p w14:paraId="410F7FD8" w14:textId="77777777" w:rsidR="00F309E5" w:rsidRDefault="004F2640">
      <w:pPr>
        <w:pStyle w:val="1"/>
        <w:keepNext w:val="0"/>
        <w:keepLines w:val="0"/>
        <w:numPr>
          <w:ilvl w:val="0"/>
          <w:numId w:val="2"/>
        </w:numPr>
        <w:tabs>
          <w:tab w:val="left" w:pos="420"/>
        </w:tabs>
        <w:autoSpaceDE w:val="0"/>
        <w:autoSpaceDN w:val="0"/>
        <w:spacing w:before="360" w:after="360"/>
        <w:rPr>
          <w:rFonts w:ascii="宋体" w:eastAsia="宋体" w:hAnsi="宋体" w:cs="Arial"/>
          <w:sz w:val="30"/>
          <w:szCs w:val="30"/>
        </w:rPr>
      </w:pPr>
      <w:bookmarkStart w:id="109" w:name="_Toc84607791"/>
      <w:r>
        <w:rPr>
          <w:rFonts w:ascii="宋体" w:eastAsia="宋体" w:hAnsi="宋体" w:cs="Arial" w:hint="eastAsia"/>
          <w:sz w:val="30"/>
          <w:szCs w:val="30"/>
        </w:rPr>
        <w:t>其他事项</w:t>
      </w:r>
      <w:bookmarkEnd w:id="109"/>
    </w:p>
    <w:p w14:paraId="0AA86521" w14:textId="77777777" w:rsidR="00F309E5" w:rsidRDefault="004F2640">
      <w:pPr>
        <w:pStyle w:val="af9"/>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w:t>
      </w:r>
      <w:r>
        <w:rPr>
          <w:rFonts w:ascii="宋体" w:hAnsi="宋体" w:hint="eastAsia"/>
          <w:szCs w:val="21"/>
        </w:rPr>
        <w:lastRenderedPageBreak/>
        <w:t>形式的回扣、礼金、有价证券、贵重物品、各种奖励、私人费用补偿、私人旅游、高消费娱乐等不当利益。</w:t>
      </w:r>
    </w:p>
    <w:p w14:paraId="793C466D" w14:textId="77777777" w:rsidR="00F309E5" w:rsidRDefault="004F2640">
      <w:pPr>
        <w:pStyle w:val="af9"/>
        <w:ind w:firstLineChars="0" w:firstLine="0"/>
        <w:rPr>
          <w:rFonts w:ascii="宋体" w:hAnsi="宋体"/>
          <w:szCs w:val="21"/>
        </w:rPr>
      </w:pPr>
      <w:r>
        <w:rPr>
          <w:rFonts w:ascii="宋体" w:hAnsi="宋体" w:hint="eastAsia"/>
          <w:szCs w:val="21"/>
          <w:lang w:val="en-US"/>
        </w:rPr>
        <w:t xml:space="preserve">    </w:t>
      </w:r>
      <w:r>
        <w:rPr>
          <w:rFonts w:ascii="宋体" w:hAnsi="宋体" w:hint="eastAsia"/>
          <w:szCs w:val="21"/>
        </w:rPr>
        <w:t>（二）本协议存续期内，基金管理人和基金托管人应依据法律法规履行相应反洗钱义务，并主动配合对方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14:paraId="1866C095" w14:textId="77777777" w:rsidR="00F309E5" w:rsidRDefault="004F2640">
      <w:pPr>
        <w:pStyle w:val="af9"/>
        <w:rPr>
          <w:rFonts w:ascii="宋体" w:hAnsi="宋体"/>
          <w:szCs w:val="21"/>
        </w:rPr>
      </w:pPr>
      <w:r>
        <w:rPr>
          <w:rFonts w:ascii="宋体" w:hAnsi="宋体" w:hint="eastAsia"/>
          <w:szCs w:val="21"/>
        </w:rPr>
        <w:t>（三）本协议未尽事宜，当事人依据《基金合同》以及有关法律、法规和规定协商办理。</w:t>
      </w:r>
    </w:p>
    <w:p w14:paraId="38F6C6B5" w14:textId="77777777" w:rsidR="00F309E5" w:rsidRDefault="004F2640">
      <w:pPr>
        <w:pStyle w:val="af9"/>
        <w:ind w:firstLineChars="0" w:firstLine="0"/>
        <w:rPr>
          <w:rFonts w:ascii="宋体" w:hAnsi="宋体"/>
          <w:szCs w:val="21"/>
        </w:rPr>
      </w:pPr>
      <w:r>
        <w:rPr>
          <w:rFonts w:ascii="宋体" w:hAnsi="宋体" w:hint="eastAsia"/>
          <w:szCs w:val="21"/>
        </w:rPr>
        <w:t>（以下无正文）</w:t>
      </w:r>
    </w:p>
    <w:p w14:paraId="601D7745" w14:textId="77777777" w:rsidR="00F309E5" w:rsidRDefault="00F309E5">
      <w:pPr>
        <w:widowControl/>
        <w:spacing w:beforeAutospacing="1" w:line="360" w:lineRule="auto"/>
        <w:jc w:val="left"/>
        <w:rPr>
          <w:rFonts w:ascii="宋体" w:hAnsi="宋体"/>
          <w:szCs w:val="21"/>
          <w:lang w:val="zh-CN"/>
        </w:rPr>
        <w:sectPr w:rsidR="00F309E5">
          <w:footerReference w:type="default" r:id="rId11"/>
          <w:pgSz w:w="11906" w:h="16838"/>
          <w:pgMar w:top="1440" w:right="1800" w:bottom="1440" w:left="1800" w:header="851" w:footer="992" w:gutter="0"/>
          <w:pgNumType w:start="1"/>
          <w:cols w:space="720"/>
          <w:docGrid w:type="lines" w:linePitch="312"/>
        </w:sectPr>
      </w:pPr>
    </w:p>
    <w:p w14:paraId="657568AE" w14:textId="346D53C5" w:rsidR="00F309E5" w:rsidRDefault="004F2640">
      <w:pPr>
        <w:spacing w:after="120" w:line="360" w:lineRule="auto"/>
        <w:ind w:firstLineChars="200" w:firstLine="420"/>
        <w:rPr>
          <w:rFonts w:ascii="宋体" w:hAnsi="宋体"/>
          <w:szCs w:val="21"/>
        </w:rPr>
      </w:pPr>
      <w:r>
        <w:rPr>
          <w:rFonts w:ascii="宋体" w:hAnsi="宋体" w:hint="eastAsia"/>
          <w:szCs w:val="21"/>
        </w:rPr>
        <w:lastRenderedPageBreak/>
        <w:t>（本页为《</w:t>
      </w:r>
      <w:r w:rsidR="00DA5613">
        <w:rPr>
          <w:rFonts w:ascii="宋体" w:hAnsi="宋体" w:hint="eastAsia"/>
          <w:szCs w:val="21"/>
        </w:rPr>
        <w:t>宝盈中债绿色普惠主题金融债券优选指数证券投资基金</w:t>
      </w:r>
      <w:r>
        <w:rPr>
          <w:rFonts w:ascii="宋体" w:hAnsi="宋体" w:hint="eastAsia"/>
          <w:szCs w:val="21"/>
        </w:rPr>
        <w:t>托管协议》签署页，无正文）</w:t>
      </w:r>
    </w:p>
    <w:p w14:paraId="643DDA83" w14:textId="77777777" w:rsidR="00F309E5" w:rsidRDefault="00F309E5">
      <w:pPr>
        <w:spacing w:line="360" w:lineRule="auto"/>
        <w:ind w:right="26"/>
        <w:rPr>
          <w:rFonts w:ascii="宋体" w:hAnsi="宋体"/>
          <w:b/>
          <w:bCs/>
          <w:szCs w:val="21"/>
        </w:rPr>
      </w:pPr>
    </w:p>
    <w:p w14:paraId="33F4C4BC" w14:textId="284CE165" w:rsidR="00F309E5" w:rsidRDefault="004F2640">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w:t>
      </w:r>
      <w:bookmarkStart w:id="110" w:name="_GoBack"/>
      <w:bookmarkEnd w:id="110"/>
      <w:r>
        <w:rPr>
          <w:rFonts w:ascii="宋体" w:hAnsi="宋体" w:hint="eastAsia"/>
          <w:b/>
          <w:szCs w:val="21"/>
        </w:rPr>
        <w:t>条款均无异议，并对本协议中当事人有关权利义务和责任限制或免除条款的法律含义有准确无误的理解。</w:t>
      </w:r>
    </w:p>
    <w:p w14:paraId="502C1E69" w14:textId="77777777" w:rsidR="00F309E5" w:rsidRDefault="00F309E5">
      <w:pPr>
        <w:spacing w:line="360" w:lineRule="auto"/>
        <w:ind w:right="26"/>
        <w:rPr>
          <w:rFonts w:ascii="宋体" w:hAnsi="宋体"/>
          <w:szCs w:val="21"/>
        </w:rPr>
      </w:pPr>
    </w:p>
    <w:p w14:paraId="4797923D" w14:textId="77777777" w:rsidR="00F309E5" w:rsidRDefault="00F309E5">
      <w:pPr>
        <w:spacing w:line="360" w:lineRule="auto"/>
        <w:ind w:right="26"/>
        <w:rPr>
          <w:rFonts w:ascii="宋体" w:hAnsi="宋体"/>
          <w:szCs w:val="21"/>
        </w:rPr>
      </w:pPr>
    </w:p>
    <w:p w14:paraId="1CD1FDD0" w14:textId="77777777" w:rsidR="00F309E5" w:rsidRDefault="00F309E5">
      <w:pPr>
        <w:spacing w:line="360" w:lineRule="auto"/>
        <w:ind w:right="26"/>
        <w:rPr>
          <w:rFonts w:ascii="宋体" w:hAnsi="宋体"/>
          <w:szCs w:val="21"/>
        </w:rPr>
      </w:pPr>
    </w:p>
    <w:tbl>
      <w:tblPr>
        <w:tblStyle w:val="aff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309E5" w14:paraId="53FCC806" w14:textId="77777777" w:rsidTr="00903B9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48" w:type="dxa"/>
          </w:tcPr>
          <w:p w14:paraId="3F02CB43" w14:textId="77777777" w:rsidR="00F309E5" w:rsidRPr="00903B9F" w:rsidRDefault="004F2640">
            <w:pPr>
              <w:spacing w:line="360" w:lineRule="auto"/>
              <w:ind w:right="26"/>
              <w:rPr>
                <w:rFonts w:ascii="宋体" w:hAnsi="宋体"/>
                <w:b/>
                <w:bCs/>
                <w:szCs w:val="21"/>
              </w:rPr>
            </w:pPr>
            <w:r>
              <w:rPr>
                <w:rFonts w:ascii="宋体" w:hAnsi="宋体" w:hint="eastAsia"/>
                <w:b/>
                <w:bCs/>
                <w:szCs w:val="21"/>
              </w:rPr>
              <w:t>基金管理人：</w:t>
            </w:r>
          </w:p>
        </w:tc>
        <w:tc>
          <w:tcPr>
            <w:tcW w:w="4148" w:type="dxa"/>
          </w:tcPr>
          <w:p w14:paraId="693C93BE" w14:textId="77777777" w:rsidR="00F309E5" w:rsidRDefault="004F2640">
            <w:pPr>
              <w:spacing w:line="360" w:lineRule="auto"/>
              <w:ind w:right="26"/>
              <w:cnfStyle w:val="100000000000" w:firstRow="1" w:lastRow="0" w:firstColumn="0" w:lastColumn="0" w:oddVBand="0" w:evenVBand="0" w:oddHBand="0" w:evenHBand="0" w:firstRowFirstColumn="0" w:firstRowLastColumn="0" w:lastRowFirstColumn="0" w:lastRowLastColumn="0"/>
              <w:rPr>
                <w:rFonts w:ascii="宋体" w:hAnsi="宋体"/>
                <w:szCs w:val="21"/>
              </w:rPr>
            </w:pPr>
            <w:r>
              <w:rPr>
                <w:rFonts w:ascii="宋体" w:hAnsi="宋体" w:hint="eastAsia"/>
                <w:b/>
                <w:bCs/>
                <w:szCs w:val="21"/>
              </w:rPr>
              <w:t>基金托管人：</w:t>
            </w:r>
          </w:p>
        </w:tc>
      </w:tr>
      <w:tr w:rsidR="00F309E5" w14:paraId="67CFBB3D" w14:textId="77777777" w:rsidTr="00903B9F">
        <w:tc>
          <w:tcPr>
            <w:cnfStyle w:val="001000000000" w:firstRow="0" w:lastRow="0" w:firstColumn="1" w:lastColumn="0" w:oddVBand="0" w:evenVBand="0" w:oddHBand="0" w:evenHBand="0" w:firstRowFirstColumn="0" w:firstRowLastColumn="0" w:lastRowFirstColumn="0" w:lastRowLastColumn="0"/>
            <w:tcW w:w="4148" w:type="dxa"/>
          </w:tcPr>
          <w:p w14:paraId="23926C84" w14:textId="77777777" w:rsidR="00F309E5" w:rsidRPr="00903B9F" w:rsidRDefault="004F2640">
            <w:pPr>
              <w:spacing w:line="360" w:lineRule="auto"/>
              <w:ind w:right="26"/>
              <w:rPr>
                <w:rFonts w:ascii="宋体" w:hAnsi="宋体"/>
                <w:b/>
                <w:bCs/>
                <w:szCs w:val="21"/>
              </w:rPr>
            </w:pPr>
            <w:r>
              <w:rPr>
                <w:rFonts w:ascii="宋体" w:hAnsi="宋体" w:hint="eastAsia"/>
                <w:b/>
                <w:bCs/>
                <w:szCs w:val="21"/>
              </w:rPr>
              <w:t>宝</w:t>
            </w:r>
            <w:proofErr w:type="gramStart"/>
            <w:r>
              <w:rPr>
                <w:rFonts w:ascii="宋体" w:hAnsi="宋体" w:hint="eastAsia"/>
                <w:b/>
                <w:bCs/>
                <w:szCs w:val="21"/>
              </w:rPr>
              <w:t>盈基金</w:t>
            </w:r>
            <w:proofErr w:type="gramEnd"/>
            <w:r>
              <w:rPr>
                <w:rFonts w:ascii="宋体" w:hAnsi="宋体" w:hint="eastAsia"/>
                <w:b/>
                <w:bCs/>
                <w:szCs w:val="21"/>
              </w:rPr>
              <w:t>管理有限公司</w:t>
            </w:r>
          </w:p>
        </w:tc>
        <w:tc>
          <w:tcPr>
            <w:tcW w:w="4148" w:type="dxa"/>
          </w:tcPr>
          <w:p w14:paraId="4359D1BB" w14:textId="77777777" w:rsidR="00F309E5" w:rsidRPr="00903B9F" w:rsidRDefault="004F2640">
            <w:pPr>
              <w:spacing w:line="360" w:lineRule="auto"/>
              <w:ind w:right="26"/>
              <w:cnfStyle w:val="000000000000" w:firstRow="0" w:lastRow="0" w:firstColumn="0" w:lastColumn="0" w:oddVBand="0" w:evenVBand="0" w:oddHBand="0" w:evenHBand="0" w:firstRowFirstColumn="0" w:firstRowLastColumn="0" w:lastRowFirstColumn="0" w:lastRowLastColumn="0"/>
              <w:rPr>
                <w:rFonts w:ascii="宋体" w:hAnsi="宋体"/>
                <w:b/>
                <w:szCs w:val="21"/>
              </w:rPr>
            </w:pPr>
            <w:r w:rsidRPr="00903B9F">
              <w:rPr>
                <w:rFonts w:ascii="宋体" w:hAnsi="宋体" w:hint="eastAsia"/>
                <w:b/>
                <w:szCs w:val="21"/>
              </w:rPr>
              <w:t>上海浦东发展银行股份有限公司</w:t>
            </w:r>
          </w:p>
        </w:tc>
      </w:tr>
      <w:tr w:rsidR="00F309E5" w14:paraId="40A79C05" w14:textId="77777777" w:rsidTr="00903B9F">
        <w:tc>
          <w:tcPr>
            <w:cnfStyle w:val="001000000000" w:firstRow="0" w:lastRow="0" w:firstColumn="1" w:lastColumn="0" w:oddVBand="0" w:evenVBand="0" w:oddHBand="0" w:evenHBand="0" w:firstRowFirstColumn="0" w:firstRowLastColumn="0" w:lastRowFirstColumn="0" w:lastRowLastColumn="0"/>
            <w:tcW w:w="4148" w:type="dxa"/>
          </w:tcPr>
          <w:p w14:paraId="274EF7DE" w14:textId="77777777" w:rsidR="00F309E5" w:rsidRDefault="004F2640">
            <w:pPr>
              <w:spacing w:line="360" w:lineRule="auto"/>
              <w:ind w:right="26"/>
              <w:rPr>
                <w:rFonts w:ascii="宋体" w:hAnsi="宋体"/>
                <w:szCs w:val="21"/>
              </w:rPr>
            </w:pPr>
            <w:r>
              <w:rPr>
                <w:rFonts w:ascii="宋体" w:hAnsi="宋体" w:hint="eastAsia"/>
                <w:b/>
                <w:bCs/>
                <w:szCs w:val="21"/>
              </w:rPr>
              <w:t>（公章或合同专用章）</w:t>
            </w:r>
          </w:p>
        </w:tc>
        <w:tc>
          <w:tcPr>
            <w:tcW w:w="4148" w:type="dxa"/>
          </w:tcPr>
          <w:p w14:paraId="1B87B7EC" w14:textId="77777777" w:rsidR="00F309E5" w:rsidRDefault="004F2640">
            <w:pPr>
              <w:spacing w:line="360" w:lineRule="auto"/>
              <w:ind w:right="26"/>
              <w:cnfStyle w:val="000000000000" w:firstRow="0" w:lastRow="0" w:firstColumn="0" w:lastColumn="0" w:oddVBand="0" w:evenVBand="0" w:oddHBand="0" w:evenHBand="0" w:firstRowFirstColumn="0" w:firstRowLastColumn="0" w:lastRowFirstColumn="0" w:lastRowLastColumn="0"/>
              <w:rPr>
                <w:rFonts w:ascii="宋体" w:hAnsi="宋体"/>
                <w:szCs w:val="21"/>
              </w:rPr>
            </w:pPr>
            <w:r>
              <w:rPr>
                <w:rFonts w:ascii="宋体" w:hAnsi="宋体" w:hint="eastAsia"/>
                <w:b/>
                <w:bCs/>
                <w:szCs w:val="21"/>
              </w:rPr>
              <w:t>（公章或合同专用章）</w:t>
            </w:r>
          </w:p>
        </w:tc>
      </w:tr>
      <w:tr w:rsidR="00F309E5" w14:paraId="4F654370" w14:textId="77777777" w:rsidTr="00903B9F">
        <w:trPr>
          <w:trHeight w:val="1247"/>
        </w:trPr>
        <w:tc>
          <w:tcPr>
            <w:cnfStyle w:val="001000000000" w:firstRow="0" w:lastRow="0" w:firstColumn="1" w:lastColumn="0" w:oddVBand="0" w:evenVBand="0" w:oddHBand="0" w:evenHBand="0" w:firstRowFirstColumn="0" w:firstRowLastColumn="0" w:lastRowFirstColumn="0" w:lastRowLastColumn="0"/>
            <w:tcW w:w="4148" w:type="dxa"/>
          </w:tcPr>
          <w:p w14:paraId="79194A00" w14:textId="77777777" w:rsidR="00F309E5" w:rsidRDefault="00F309E5">
            <w:pPr>
              <w:spacing w:line="360" w:lineRule="auto"/>
              <w:ind w:right="26"/>
              <w:rPr>
                <w:rFonts w:ascii="宋体" w:hAnsi="宋体"/>
                <w:b/>
                <w:bCs/>
                <w:szCs w:val="21"/>
              </w:rPr>
            </w:pPr>
          </w:p>
        </w:tc>
        <w:tc>
          <w:tcPr>
            <w:tcW w:w="4148" w:type="dxa"/>
          </w:tcPr>
          <w:p w14:paraId="5A38C833" w14:textId="77777777" w:rsidR="00F309E5" w:rsidRDefault="00F309E5">
            <w:pPr>
              <w:spacing w:line="360" w:lineRule="auto"/>
              <w:ind w:right="26"/>
              <w:cnfStyle w:val="000000000000" w:firstRow="0" w:lastRow="0" w:firstColumn="0" w:lastColumn="0" w:oddVBand="0" w:evenVBand="0" w:oddHBand="0" w:evenHBand="0" w:firstRowFirstColumn="0" w:firstRowLastColumn="0" w:lastRowFirstColumn="0" w:lastRowLastColumn="0"/>
              <w:rPr>
                <w:rFonts w:ascii="宋体" w:hAnsi="宋体"/>
                <w:b/>
                <w:bCs/>
                <w:szCs w:val="21"/>
              </w:rPr>
            </w:pPr>
          </w:p>
        </w:tc>
      </w:tr>
      <w:tr w:rsidR="00F309E5" w14:paraId="7043FA2F" w14:textId="77777777">
        <w:tc>
          <w:tcPr>
            <w:cnfStyle w:val="001000000000" w:firstRow="0" w:lastRow="0" w:firstColumn="1" w:lastColumn="0" w:oddVBand="0" w:evenVBand="0" w:oddHBand="0" w:evenHBand="0" w:firstRowFirstColumn="0" w:firstRowLastColumn="0" w:lastRowFirstColumn="0" w:lastRowLastColumn="0"/>
            <w:tcW w:w="4148" w:type="dxa"/>
          </w:tcPr>
          <w:p w14:paraId="7AD903A3" w14:textId="77777777" w:rsidR="00F309E5" w:rsidRDefault="004F2640">
            <w:pPr>
              <w:spacing w:line="360" w:lineRule="auto"/>
              <w:ind w:right="26"/>
              <w:rPr>
                <w:rFonts w:ascii="宋体" w:hAnsi="宋体"/>
                <w:b/>
                <w:bCs/>
                <w:szCs w:val="21"/>
              </w:rPr>
            </w:pPr>
            <w:r>
              <w:rPr>
                <w:rFonts w:ascii="宋体" w:hAnsi="宋体" w:hint="eastAsia"/>
                <w:b/>
                <w:bCs/>
                <w:szCs w:val="21"/>
              </w:rPr>
              <w:t>法定代表人或授权代理人</w:t>
            </w:r>
          </w:p>
        </w:tc>
        <w:tc>
          <w:tcPr>
            <w:tcW w:w="4148" w:type="dxa"/>
          </w:tcPr>
          <w:p w14:paraId="726D9041" w14:textId="77777777" w:rsidR="00F309E5" w:rsidRDefault="004F2640">
            <w:pPr>
              <w:spacing w:line="360" w:lineRule="auto"/>
              <w:ind w:right="26"/>
              <w:cnfStyle w:val="000000000000" w:firstRow="0" w:lastRow="0" w:firstColumn="0" w:lastColumn="0" w:oddVBand="0" w:evenVBand="0" w:oddHBand="0" w:evenHBand="0" w:firstRowFirstColumn="0" w:firstRowLastColumn="0" w:lastRowFirstColumn="0" w:lastRowLastColumn="0"/>
              <w:rPr>
                <w:rFonts w:ascii="宋体" w:hAnsi="宋体"/>
                <w:b/>
                <w:bCs/>
                <w:szCs w:val="21"/>
              </w:rPr>
            </w:pPr>
            <w:r>
              <w:rPr>
                <w:rFonts w:ascii="宋体" w:hAnsi="宋体" w:hint="eastAsia"/>
                <w:b/>
                <w:bCs/>
                <w:szCs w:val="21"/>
              </w:rPr>
              <w:t>法定代表人或授权代理人</w:t>
            </w:r>
          </w:p>
        </w:tc>
      </w:tr>
      <w:tr w:rsidR="00F309E5" w14:paraId="6FBEFD64" w14:textId="77777777">
        <w:tc>
          <w:tcPr>
            <w:cnfStyle w:val="001000000000" w:firstRow="0" w:lastRow="0" w:firstColumn="1" w:lastColumn="0" w:oddVBand="0" w:evenVBand="0" w:oddHBand="0" w:evenHBand="0" w:firstRowFirstColumn="0" w:firstRowLastColumn="0" w:lastRowFirstColumn="0" w:lastRowLastColumn="0"/>
            <w:tcW w:w="4148" w:type="dxa"/>
          </w:tcPr>
          <w:p w14:paraId="7AE1BE8D" w14:textId="77777777" w:rsidR="00F309E5" w:rsidRDefault="004F2640">
            <w:pPr>
              <w:spacing w:line="360" w:lineRule="auto"/>
              <w:ind w:right="26"/>
              <w:rPr>
                <w:rFonts w:ascii="宋体" w:hAnsi="宋体"/>
                <w:b/>
                <w:bCs/>
                <w:szCs w:val="21"/>
              </w:rPr>
            </w:pPr>
            <w:r>
              <w:rPr>
                <w:rFonts w:ascii="宋体" w:hAnsi="宋体" w:hint="eastAsia"/>
                <w:b/>
                <w:bCs/>
                <w:szCs w:val="21"/>
              </w:rPr>
              <w:t>（签字或盖章）</w:t>
            </w:r>
          </w:p>
        </w:tc>
        <w:tc>
          <w:tcPr>
            <w:tcW w:w="4148" w:type="dxa"/>
          </w:tcPr>
          <w:p w14:paraId="41583390" w14:textId="77777777" w:rsidR="00F309E5" w:rsidRDefault="004F2640">
            <w:pPr>
              <w:spacing w:line="360" w:lineRule="auto"/>
              <w:ind w:right="26"/>
              <w:cnfStyle w:val="000000000000" w:firstRow="0" w:lastRow="0" w:firstColumn="0" w:lastColumn="0" w:oddVBand="0" w:evenVBand="0" w:oddHBand="0" w:evenHBand="0" w:firstRowFirstColumn="0" w:firstRowLastColumn="0" w:lastRowFirstColumn="0" w:lastRowLastColumn="0"/>
              <w:rPr>
                <w:rFonts w:ascii="宋体" w:hAnsi="宋体"/>
                <w:b/>
                <w:bCs/>
                <w:szCs w:val="21"/>
              </w:rPr>
            </w:pPr>
            <w:r>
              <w:rPr>
                <w:rFonts w:ascii="宋体" w:hAnsi="宋体" w:hint="eastAsia"/>
                <w:b/>
                <w:bCs/>
                <w:szCs w:val="21"/>
              </w:rPr>
              <w:t>（签字或盖章）</w:t>
            </w:r>
          </w:p>
        </w:tc>
      </w:tr>
    </w:tbl>
    <w:p w14:paraId="0D0BDC9E" w14:textId="77777777" w:rsidR="00F309E5" w:rsidRDefault="00F309E5">
      <w:pPr>
        <w:spacing w:line="360" w:lineRule="auto"/>
        <w:ind w:right="26"/>
        <w:rPr>
          <w:rFonts w:ascii="宋体" w:hAnsi="宋体"/>
          <w:szCs w:val="21"/>
        </w:rPr>
      </w:pPr>
    </w:p>
    <w:p w14:paraId="10D6510D" w14:textId="77777777" w:rsidR="00F309E5" w:rsidRDefault="00F309E5"/>
    <w:sectPr w:rsidR="00F309E5">
      <w:footerReference w:type="defaul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A81C72" w16cex:dateUtc="1970-01-01T00:00:00Z"/>
  <w16cex:commentExtensible w16cex:durableId="29A81931" w16cex:dateUtc="1970-01-01T0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B06BB" w14:textId="77777777" w:rsidR="009061EA" w:rsidRDefault="009061EA">
      <w:r>
        <w:separator/>
      </w:r>
    </w:p>
  </w:endnote>
  <w:endnote w:type="continuationSeparator" w:id="0">
    <w:p w14:paraId="72FA0A0E" w14:textId="77777777" w:rsidR="009061EA" w:rsidRDefault="0090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4EDF" w14:textId="77777777" w:rsidR="001444CE" w:rsidRDefault="001444CE">
    <w:pPr>
      <w:pStyle w:val="afd"/>
      <w:snapToGrid/>
      <w:jc w:val="center"/>
    </w:pPr>
  </w:p>
  <w:p w14:paraId="1D1278C3" w14:textId="77777777" w:rsidR="001444CE" w:rsidRDefault="001444CE">
    <w:pPr>
      <w:pStyle w:val="afd"/>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CBDE4" w14:textId="77777777" w:rsidR="001444CE" w:rsidRDefault="001444CE">
    <w:pPr>
      <w:pStyle w:val="afd"/>
      <w:snapToGrid/>
      <w:jc w:val="center"/>
    </w:pPr>
    <w:r>
      <w:fldChar w:fldCharType="begin"/>
    </w:r>
    <w:r>
      <w:instrText>PAGE   \* MERGEFORMAT</w:instrText>
    </w:r>
    <w:r>
      <w:fldChar w:fldCharType="separate"/>
    </w:r>
    <w:r w:rsidR="00AD63E1" w:rsidRPr="00AD63E1">
      <w:rPr>
        <w:noProof/>
        <w:lang w:val="zh-CN"/>
      </w:rPr>
      <w:t>23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69425" w14:textId="77777777" w:rsidR="001444CE" w:rsidRDefault="001444CE">
    <w:pPr>
      <w:pStyle w:val="afd"/>
      <w:snapToGri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A9540" w14:textId="77777777" w:rsidR="009061EA" w:rsidRDefault="009061EA">
      <w:r>
        <w:separator/>
      </w:r>
    </w:p>
  </w:footnote>
  <w:footnote w:type="continuationSeparator" w:id="0">
    <w:p w14:paraId="0E02BCE7" w14:textId="77777777" w:rsidR="009061EA" w:rsidRDefault="00906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FEF9" w14:textId="77777777" w:rsidR="001444CE" w:rsidRDefault="001444CE">
    <w:pPr>
      <w:pStyle w:val="aff"/>
      <w:snapToGri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188A"/>
    <w:multiLevelType w:val="hybridMultilevel"/>
    <w:tmpl w:val="22EC4406"/>
    <w:lvl w:ilvl="0" w:tplc="E952B448">
      <w:start w:val="1"/>
      <w:numFmt w:val="chineseCountingThousand"/>
      <w:suff w:val="nothing"/>
      <w:lvlText w:val="%1、"/>
      <w:lvlJc w:val="center"/>
      <w:pPr>
        <w:ind w:left="0" w:firstLine="288"/>
      </w:pPr>
      <w:rPr>
        <w:rFonts w:hint="eastAsia"/>
        <w:sz w:val="30"/>
        <w:szCs w:val="30"/>
        <w:lang w:val="en-US"/>
      </w:rPr>
    </w:lvl>
    <w:lvl w:ilvl="1" w:tplc="C018F89E">
      <w:start w:val="1"/>
      <w:numFmt w:val="chineseCounting"/>
      <w:lvlText w:val="（%2）"/>
      <w:lvlJc w:val="left"/>
      <w:pPr>
        <w:tabs>
          <w:tab w:val="left" w:pos="720"/>
        </w:tabs>
        <w:ind w:left="720" w:hanging="720"/>
      </w:pPr>
      <w:rPr>
        <w:rFonts w:hint="default"/>
      </w:rPr>
    </w:lvl>
    <w:lvl w:ilvl="2" w:tplc="67824CA0">
      <w:start w:val="1"/>
      <w:numFmt w:val="decimal"/>
      <w:lvlText w:val="%3."/>
      <w:lvlJc w:val="left"/>
      <w:pPr>
        <w:tabs>
          <w:tab w:val="left" w:pos="360"/>
        </w:tabs>
        <w:ind w:left="0" w:firstLine="0"/>
      </w:pPr>
      <w:rPr>
        <w:rFonts w:hint="eastAsia"/>
      </w:rPr>
    </w:lvl>
    <w:lvl w:ilvl="3" w:tplc="FD6CE052">
      <w:start w:val="1"/>
      <w:numFmt w:val="decimal"/>
      <w:lvlText w:val="（%4）"/>
      <w:lvlJc w:val="left"/>
      <w:pPr>
        <w:tabs>
          <w:tab w:val="left" w:pos="720"/>
        </w:tabs>
        <w:ind w:left="0" w:firstLine="0"/>
      </w:pPr>
      <w:rPr>
        <w:rFonts w:ascii="Times New Roman" w:eastAsia="宋体" w:hAnsi="Times New Roman" w:hint="default"/>
        <w:sz w:val="21"/>
      </w:rPr>
    </w:lvl>
    <w:lvl w:ilvl="4" w:tplc="6EAE7534">
      <w:start w:val="1"/>
      <w:numFmt w:val="none"/>
      <w:lvlText w:val=""/>
      <w:lvlJc w:val="left"/>
      <w:pPr>
        <w:tabs>
          <w:tab w:val="left" w:pos="360"/>
        </w:tabs>
        <w:ind w:left="0" w:firstLine="0"/>
      </w:pPr>
      <w:rPr>
        <w:rFonts w:hint="eastAsia"/>
        <w:sz w:val="24"/>
      </w:rPr>
    </w:lvl>
    <w:lvl w:ilvl="5" w:tplc="D904F074">
      <w:start w:val="1"/>
      <w:numFmt w:val="upperLetter"/>
      <w:lvlText w:val="%6."/>
      <w:lvlJc w:val="left"/>
      <w:pPr>
        <w:tabs>
          <w:tab w:val="left" w:pos="927"/>
        </w:tabs>
        <w:ind w:left="0" w:firstLine="567"/>
      </w:pPr>
      <w:rPr>
        <w:rFonts w:hint="eastAsia"/>
        <w:sz w:val="24"/>
      </w:rPr>
    </w:lvl>
    <w:lvl w:ilvl="6" w:tplc="5B6CD4D2">
      <w:start w:val="1"/>
      <w:numFmt w:val="none"/>
      <w:lvlText w:val=""/>
      <w:lvlJc w:val="left"/>
      <w:pPr>
        <w:tabs>
          <w:tab w:val="left" w:pos="3827"/>
        </w:tabs>
        <w:ind w:left="3827" w:hanging="1276"/>
      </w:pPr>
      <w:rPr>
        <w:rFonts w:hint="eastAsia"/>
      </w:rPr>
    </w:lvl>
    <w:lvl w:ilvl="7" w:tplc="F8BA797E">
      <w:start w:val="1"/>
      <w:numFmt w:val="none"/>
      <w:lvlText w:val=""/>
      <w:lvlJc w:val="left"/>
      <w:pPr>
        <w:tabs>
          <w:tab w:val="left" w:pos="4394"/>
        </w:tabs>
        <w:ind w:left="4394" w:hanging="1418"/>
      </w:pPr>
      <w:rPr>
        <w:rFonts w:hint="eastAsia"/>
      </w:rPr>
    </w:lvl>
    <w:lvl w:ilvl="8" w:tplc="77FEDB0A">
      <w:start w:val="1"/>
      <w:numFmt w:val="none"/>
      <w:lvlText w:val=""/>
      <w:lvlJc w:val="left"/>
      <w:pPr>
        <w:tabs>
          <w:tab w:val="left" w:pos="5102"/>
        </w:tabs>
        <w:ind w:left="5102" w:hanging="1700"/>
      </w:pPr>
      <w:rPr>
        <w:rFonts w:hint="eastAsia"/>
      </w:rPr>
    </w:lvl>
  </w:abstractNum>
  <w:abstractNum w:abstractNumId="1" w15:restartNumberingAfterBreak="0">
    <w:nsid w:val="1C924F52"/>
    <w:multiLevelType w:val="hybridMultilevel"/>
    <w:tmpl w:val="84923D8E"/>
    <w:lvl w:ilvl="0" w:tplc="F84655FA">
      <w:start w:val="1"/>
      <w:numFmt w:val="decimal"/>
      <w:lvlText w:val="（%1）"/>
      <w:lvlJc w:val="left"/>
      <w:pPr>
        <w:ind w:left="840" w:hanging="420"/>
      </w:pPr>
      <w:rPr>
        <w:rFonts w:hint="default"/>
        <w:lang w:val="en-US"/>
      </w:rPr>
    </w:lvl>
    <w:lvl w:ilvl="1" w:tplc="D5361048">
      <w:start w:val="1"/>
      <w:numFmt w:val="decimal"/>
      <w:lvlText w:val="（%2）"/>
      <w:lvlJc w:val="left"/>
      <w:pPr>
        <w:ind w:left="1260" w:hanging="420"/>
      </w:pPr>
      <w:rPr>
        <w:rFonts w:ascii="Times New Roman" w:eastAsia="宋体" w:hAnsi="Times New Roman" w:cs="Times New Roman" w:hint="default"/>
        <w:b w:val="0"/>
      </w:rPr>
    </w:lvl>
    <w:lvl w:ilvl="2" w:tplc="E06E69DC">
      <w:start w:val="1"/>
      <w:numFmt w:val="lowerRoman"/>
      <w:lvlText w:val="%3."/>
      <w:lvlJc w:val="right"/>
      <w:pPr>
        <w:ind w:left="1680" w:hanging="420"/>
      </w:pPr>
    </w:lvl>
    <w:lvl w:ilvl="3" w:tplc="A5AE7ED2">
      <w:start w:val="1"/>
      <w:numFmt w:val="decimal"/>
      <w:lvlText w:val="%4."/>
      <w:lvlJc w:val="left"/>
      <w:pPr>
        <w:ind w:left="2100" w:hanging="420"/>
      </w:pPr>
    </w:lvl>
    <w:lvl w:ilvl="4" w:tplc="C444F5F0">
      <w:start w:val="1"/>
      <w:numFmt w:val="lowerLetter"/>
      <w:lvlText w:val="%5)"/>
      <w:lvlJc w:val="left"/>
      <w:pPr>
        <w:ind w:left="2520" w:hanging="420"/>
      </w:pPr>
    </w:lvl>
    <w:lvl w:ilvl="5" w:tplc="B38218A8">
      <w:start w:val="1"/>
      <w:numFmt w:val="lowerRoman"/>
      <w:lvlText w:val="%6."/>
      <w:lvlJc w:val="right"/>
      <w:pPr>
        <w:ind w:left="2940" w:hanging="420"/>
      </w:pPr>
    </w:lvl>
    <w:lvl w:ilvl="6" w:tplc="3028D402">
      <w:start w:val="1"/>
      <w:numFmt w:val="decimal"/>
      <w:lvlText w:val="%7."/>
      <w:lvlJc w:val="left"/>
      <w:pPr>
        <w:ind w:left="3360" w:hanging="420"/>
      </w:pPr>
    </w:lvl>
    <w:lvl w:ilvl="7" w:tplc="FB545FD8">
      <w:start w:val="1"/>
      <w:numFmt w:val="lowerLetter"/>
      <w:lvlText w:val="%8)"/>
      <w:lvlJc w:val="left"/>
      <w:pPr>
        <w:ind w:left="3780" w:hanging="420"/>
      </w:pPr>
    </w:lvl>
    <w:lvl w:ilvl="8" w:tplc="4C94564E">
      <w:start w:val="1"/>
      <w:numFmt w:val="lowerRoman"/>
      <w:lvlText w:val="%9."/>
      <w:lvlJc w:val="right"/>
      <w:pPr>
        <w:ind w:left="4200" w:hanging="420"/>
      </w:pPr>
    </w:lvl>
  </w:abstractNum>
  <w:abstractNum w:abstractNumId="2" w15:restartNumberingAfterBreak="0">
    <w:nsid w:val="2EF647EA"/>
    <w:multiLevelType w:val="hybridMultilevel"/>
    <w:tmpl w:val="3BDCECFE"/>
    <w:lvl w:ilvl="0" w:tplc="8D30D666">
      <w:start w:val="1"/>
      <w:numFmt w:val="decimal"/>
      <w:lvlText w:val="%1)"/>
      <w:lvlJc w:val="left"/>
      <w:pPr>
        <w:ind w:left="1272" w:hanging="420"/>
      </w:pPr>
      <w:rPr>
        <w:rFonts w:hint="default"/>
      </w:rPr>
    </w:lvl>
    <w:lvl w:ilvl="1" w:tplc="8D18456A">
      <w:start w:val="1"/>
      <w:numFmt w:val="decimal"/>
      <w:lvlText w:val="%2）"/>
      <w:lvlJc w:val="left"/>
      <w:pPr>
        <w:ind w:left="1632" w:hanging="360"/>
      </w:pPr>
      <w:rPr>
        <w:rFonts w:hint="default"/>
      </w:rPr>
    </w:lvl>
    <w:lvl w:ilvl="2" w:tplc="4D923ADA">
      <w:start w:val="1"/>
      <w:numFmt w:val="lowerRoman"/>
      <w:lvlText w:val="%3."/>
      <w:lvlJc w:val="right"/>
      <w:pPr>
        <w:ind w:left="2112" w:hanging="420"/>
      </w:pPr>
    </w:lvl>
    <w:lvl w:ilvl="3" w:tplc="4196A0D8">
      <w:start w:val="1"/>
      <w:numFmt w:val="decimal"/>
      <w:lvlText w:val="%4."/>
      <w:lvlJc w:val="left"/>
      <w:pPr>
        <w:ind w:left="2532" w:hanging="420"/>
      </w:pPr>
    </w:lvl>
    <w:lvl w:ilvl="4" w:tplc="2132FB26">
      <w:start w:val="1"/>
      <w:numFmt w:val="lowerLetter"/>
      <w:lvlText w:val="%5)"/>
      <w:lvlJc w:val="left"/>
      <w:pPr>
        <w:ind w:left="2952" w:hanging="420"/>
      </w:pPr>
    </w:lvl>
    <w:lvl w:ilvl="5" w:tplc="7D76B314">
      <w:start w:val="1"/>
      <w:numFmt w:val="lowerRoman"/>
      <w:lvlText w:val="%6."/>
      <w:lvlJc w:val="right"/>
      <w:pPr>
        <w:ind w:left="3372" w:hanging="420"/>
      </w:pPr>
    </w:lvl>
    <w:lvl w:ilvl="6" w:tplc="B50408CC">
      <w:start w:val="1"/>
      <w:numFmt w:val="decimal"/>
      <w:lvlText w:val="%7."/>
      <w:lvlJc w:val="left"/>
      <w:pPr>
        <w:ind w:left="3792" w:hanging="420"/>
      </w:pPr>
    </w:lvl>
    <w:lvl w:ilvl="7" w:tplc="D5966FCE">
      <w:start w:val="1"/>
      <w:numFmt w:val="lowerLetter"/>
      <w:lvlText w:val="%8)"/>
      <w:lvlJc w:val="left"/>
      <w:pPr>
        <w:ind w:left="4212" w:hanging="420"/>
      </w:pPr>
    </w:lvl>
    <w:lvl w:ilvl="8" w:tplc="C484B888">
      <w:start w:val="1"/>
      <w:numFmt w:val="lowerRoman"/>
      <w:lvlText w:val="%9."/>
      <w:lvlJc w:val="right"/>
      <w:pPr>
        <w:ind w:left="4632" w:hanging="420"/>
      </w:pPr>
    </w:lvl>
  </w:abstractNum>
  <w:abstractNum w:abstractNumId="3" w15:restartNumberingAfterBreak="0">
    <w:nsid w:val="308757D0"/>
    <w:multiLevelType w:val="hybridMultilevel"/>
    <w:tmpl w:val="3B8279E0"/>
    <w:lvl w:ilvl="0" w:tplc="F03827B2">
      <w:start w:val="1"/>
      <w:numFmt w:val="chineseCountingThousand"/>
      <w:pStyle w:val="1"/>
      <w:lvlText w:val="第%1章  "/>
      <w:lvlJc w:val="left"/>
      <w:pPr>
        <w:tabs>
          <w:tab w:val="left" w:pos="1922"/>
        </w:tabs>
        <w:ind w:left="0" w:firstLine="482"/>
      </w:pPr>
      <w:rPr>
        <w:rFonts w:hint="eastAsia"/>
      </w:rPr>
    </w:lvl>
    <w:lvl w:ilvl="1" w:tplc="33FA8C00">
      <w:start w:val="1"/>
      <w:numFmt w:val="chineseCountingThousand"/>
      <w:lvlText w:val="第%2节  "/>
      <w:lvlJc w:val="left"/>
      <w:pPr>
        <w:tabs>
          <w:tab w:val="left" w:pos="1922"/>
        </w:tabs>
        <w:ind w:left="0" w:firstLine="482"/>
      </w:pPr>
      <w:rPr>
        <w:rFonts w:hint="eastAsia"/>
      </w:rPr>
    </w:lvl>
    <w:lvl w:ilvl="2" w:tplc="4E94070E">
      <w:start w:val="1"/>
      <w:numFmt w:val="chineseCountingThousand"/>
      <w:pStyle w:val="3"/>
      <w:suff w:val="nothing"/>
      <w:lvlText w:val="%3、"/>
      <w:lvlJc w:val="left"/>
      <w:pPr>
        <w:ind w:left="0" w:firstLine="482"/>
      </w:pPr>
      <w:rPr>
        <w:rFonts w:ascii="黑体" w:eastAsia="黑体" w:hint="eastAsia"/>
        <w:b/>
        <w:i w:val="0"/>
        <w:sz w:val="24"/>
      </w:rPr>
    </w:lvl>
    <w:lvl w:ilvl="3" w:tplc="0FA238F8">
      <w:start w:val="1"/>
      <w:numFmt w:val="chineseCountingThousand"/>
      <w:pStyle w:val="4"/>
      <w:suff w:val="nothing"/>
      <w:lvlText w:val="(%4)"/>
      <w:lvlJc w:val="left"/>
      <w:pPr>
        <w:ind w:left="0" w:firstLine="482"/>
      </w:pPr>
      <w:rPr>
        <w:rFonts w:ascii="仿宋_GB2312" w:eastAsia="仿宋_GB2312" w:hint="eastAsia"/>
        <w:b w:val="0"/>
        <w:i w:val="0"/>
        <w:sz w:val="24"/>
      </w:rPr>
    </w:lvl>
    <w:lvl w:ilvl="4" w:tplc="000666AC">
      <w:start w:val="1"/>
      <w:numFmt w:val="decimal"/>
      <w:pStyle w:val="5"/>
      <w:suff w:val="nothing"/>
      <w:lvlText w:val="%5."/>
      <w:lvlJc w:val="left"/>
      <w:pPr>
        <w:ind w:left="0" w:firstLine="527"/>
      </w:pPr>
      <w:rPr>
        <w:rFonts w:ascii="仿宋_GB2312" w:eastAsia="仿宋_GB2312" w:hint="eastAsia"/>
        <w:b w:val="0"/>
        <w:i w:val="0"/>
        <w:sz w:val="24"/>
      </w:rPr>
    </w:lvl>
    <w:lvl w:ilvl="5" w:tplc="7518A926">
      <w:start w:val="1"/>
      <w:numFmt w:val="decimal"/>
      <w:pStyle w:val="6"/>
      <w:suff w:val="nothing"/>
      <w:lvlText w:val="(%6)"/>
      <w:lvlJc w:val="left"/>
      <w:pPr>
        <w:ind w:left="0" w:firstLine="482"/>
      </w:pPr>
      <w:rPr>
        <w:rFonts w:ascii="仿宋_GB2312" w:eastAsia="仿宋_GB2312" w:hint="eastAsia"/>
        <w:b w:val="0"/>
        <w:i w:val="0"/>
        <w:sz w:val="24"/>
      </w:rPr>
    </w:lvl>
    <w:lvl w:ilvl="6" w:tplc="A6221A18">
      <w:start w:val="1"/>
      <w:numFmt w:val="bullet"/>
      <w:pStyle w:val="7"/>
      <w:lvlText w:val="①"/>
      <w:lvlJc w:val="left"/>
      <w:pPr>
        <w:tabs>
          <w:tab w:val="left" w:pos="2835"/>
        </w:tabs>
        <w:ind w:left="2835" w:hanging="426"/>
      </w:pPr>
      <w:rPr>
        <w:rFonts w:ascii="宋体" w:eastAsia="宋体" w:hint="eastAsia"/>
      </w:rPr>
    </w:lvl>
    <w:lvl w:ilvl="7" w:tplc="92D21D00">
      <w:start w:val="1"/>
      <w:numFmt w:val="lowerLetter"/>
      <w:lvlText w:val="%8."/>
      <w:lvlJc w:val="left"/>
      <w:pPr>
        <w:tabs>
          <w:tab w:val="left" w:pos="3260"/>
        </w:tabs>
        <w:ind w:left="3260" w:hanging="425"/>
      </w:pPr>
      <w:rPr>
        <w:rFonts w:hint="eastAsia"/>
      </w:rPr>
    </w:lvl>
    <w:lvl w:ilvl="8" w:tplc="0646FFC2">
      <w:start w:val="1"/>
      <w:numFmt w:val="lowerRoman"/>
      <w:lvlText w:val="%9."/>
      <w:lvlJc w:val="left"/>
      <w:pPr>
        <w:tabs>
          <w:tab w:val="left" w:pos="3685"/>
        </w:tabs>
        <w:ind w:left="3685" w:hanging="425"/>
      </w:pPr>
      <w:rPr>
        <w:rFonts w:hint="eastAsia"/>
      </w:rPr>
    </w:lvl>
  </w:abstractNum>
  <w:abstractNum w:abstractNumId="4" w15:restartNumberingAfterBreak="0">
    <w:nsid w:val="3CB23CCA"/>
    <w:multiLevelType w:val="hybridMultilevel"/>
    <w:tmpl w:val="C4C413B4"/>
    <w:lvl w:ilvl="0" w:tplc="60BEC212">
      <w:start w:val="1"/>
      <w:numFmt w:val="decimalEnclosedCircle"/>
      <w:lvlText w:val="%1"/>
      <w:lvlJc w:val="left"/>
      <w:pPr>
        <w:ind w:left="1320" w:hanging="420"/>
      </w:pPr>
      <w:rPr>
        <w:rFonts w:hint="default"/>
      </w:rPr>
    </w:lvl>
    <w:lvl w:ilvl="1" w:tplc="B7945A80">
      <w:start w:val="1"/>
      <w:numFmt w:val="lowerLetter"/>
      <w:lvlText w:val="%2)"/>
      <w:lvlJc w:val="left"/>
      <w:pPr>
        <w:ind w:left="1740" w:hanging="420"/>
      </w:pPr>
    </w:lvl>
    <w:lvl w:ilvl="2" w:tplc="67F6BA70">
      <w:start w:val="1"/>
      <w:numFmt w:val="lowerRoman"/>
      <w:lvlText w:val="%3."/>
      <w:lvlJc w:val="right"/>
      <w:pPr>
        <w:ind w:left="2160" w:hanging="420"/>
      </w:pPr>
    </w:lvl>
    <w:lvl w:ilvl="3" w:tplc="CA360C3E">
      <w:start w:val="1"/>
      <w:numFmt w:val="decimal"/>
      <w:lvlText w:val="%4."/>
      <w:lvlJc w:val="left"/>
      <w:pPr>
        <w:ind w:left="2580" w:hanging="420"/>
      </w:pPr>
    </w:lvl>
    <w:lvl w:ilvl="4" w:tplc="ED2EB29C">
      <w:start w:val="1"/>
      <w:numFmt w:val="lowerLetter"/>
      <w:lvlText w:val="%5)"/>
      <w:lvlJc w:val="left"/>
      <w:pPr>
        <w:ind w:left="3000" w:hanging="420"/>
      </w:pPr>
    </w:lvl>
    <w:lvl w:ilvl="5" w:tplc="84008F86">
      <w:start w:val="1"/>
      <w:numFmt w:val="lowerRoman"/>
      <w:lvlText w:val="%6."/>
      <w:lvlJc w:val="right"/>
      <w:pPr>
        <w:ind w:left="3420" w:hanging="420"/>
      </w:pPr>
    </w:lvl>
    <w:lvl w:ilvl="6" w:tplc="955A3EF2">
      <w:start w:val="1"/>
      <w:numFmt w:val="decimal"/>
      <w:lvlText w:val="%7."/>
      <w:lvlJc w:val="left"/>
      <w:pPr>
        <w:ind w:left="3840" w:hanging="420"/>
      </w:pPr>
    </w:lvl>
    <w:lvl w:ilvl="7" w:tplc="14CE7EDC">
      <w:start w:val="1"/>
      <w:numFmt w:val="lowerLetter"/>
      <w:lvlText w:val="%8)"/>
      <w:lvlJc w:val="left"/>
      <w:pPr>
        <w:ind w:left="4260" w:hanging="420"/>
      </w:pPr>
    </w:lvl>
    <w:lvl w:ilvl="8" w:tplc="5E5C8E32">
      <w:start w:val="1"/>
      <w:numFmt w:val="lowerRoman"/>
      <w:lvlText w:val="%9."/>
      <w:lvlJc w:val="right"/>
      <w:pPr>
        <w:ind w:left="4680" w:hanging="420"/>
      </w:pPr>
    </w:lvl>
  </w:abstractNum>
  <w:abstractNum w:abstractNumId="5" w15:restartNumberingAfterBreak="0">
    <w:nsid w:val="4D591C12"/>
    <w:multiLevelType w:val="hybridMultilevel"/>
    <w:tmpl w:val="046E3E2E"/>
    <w:lvl w:ilvl="0" w:tplc="C3261A6A">
      <w:start w:val="1"/>
      <w:numFmt w:val="decimalEnclosedCircle"/>
      <w:lvlText w:val="%1"/>
      <w:lvlJc w:val="left"/>
      <w:pPr>
        <w:ind w:left="1320" w:hanging="420"/>
      </w:pPr>
      <w:rPr>
        <w:rFonts w:hint="default"/>
      </w:rPr>
    </w:lvl>
    <w:lvl w:ilvl="1" w:tplc="D8D617AE">
      <w:start w:val="1"/>
      <w:numFmt w:val="decimal"/>
      <w:lvlText w:val="%2、"/>
      <w:lvlJc w:val="left"/>
      <w:pPr>
        <w:ind w:left="1680" w:hanging="360"/>
      </w:pPr>
      <w:rPr>
        <w:rFonts w:hint="default"/>
      </w:rPr>
    </w:lvl>
    <w:lvl w:ilvl="2" w:tplc="B72A6B84">
      <w:start w:val="1"/>
      <w:numFmt w:val="lowerRoman"/>
      <w:lvlText w:val="%3."/>
      <w:lvlJc w:val="right"/>
      <w:pPr>
        <w:ind w:left="2160" w:hanging="420"/>
      </w:pPr>
    </w:lvl>
    <w:lvl w:ilvl="3" w:tplc="1952DB86">
      <w:start w:val="1"/>
      <w:numFmt w:val="decimal"/>
      <w:lvlText w:val="%4."/>
      <w:lvlJc w:val="left"/>
      <w:pPr>
        <w:ind w:left="2580" w:hanging="420"/>
      </w:pPr>
    </w:lvl>
    <w:lvl w:ilvl="4" w:tplc="225A639C">
      <w:start w:val="1"/>
      <w:numFmt w:val="lowerLetter"/>
      <w:lvlText w:val="%5)"/>
      <w:lvlJc w:val="left"/>
      <w:pPr>
        <w:ind w:left="3000" w:hanging="420"/>
      </w:pPr>
    </w:lvl>
    <w:lvl w:ilvl="5" w:tplc="D206CB5A">
      <w:start w:val="1"/>
      <w:numFmt w:val="lowerRoman"/>
      <w:lvlText w:val="%6."/>
      <w:lvlJc w:val="right"/>
      <w:pPr>
        <w:ind w:left="3420" w:hanging="420"/>
      </w:pPr>
    </w:lvl>
    <w:lvl w:ilvl="6" w:tplc="CB7ABB8A">
      <w:start w:val="1"/>
      <w:numFmt w:val="decimal"/>
      <w:lvlText w:val="%7."/>
      <w:lvlJc w:val="left"/>
      <w:pPr>
        <w:ind w:left="3840" w:hanging="420"/>
      </w:pPr>
    </w:lvl>
    <w:lvl w:ilvl="7" w:tplc="1C287246">
      <w:start w:val="1"/>
      <w:numFmt w:val="lowerLetter"/>
      <w:lvlText w:val="%8)"/>
      <w:lvlJc w:val="left"/>
      <w:pPr>
        <w:ind w:left="4260" w:hanging="420"/>
      </w:pPr>
    </w:lvl>
    <w:lvl w:ilvl="8" w:tplc="88FC935E">
      <w:start w:val="1"/>
      <w:numFmt w:val="lowerRoman"/>
      <w:lvlText w:val="%9."/>
      <w:lvlJc w:val="right"/>
      <w:pPr>
        <w:ind w:left="4680" w:hanging="420"/>
      </w:pPr>
    </w:lvl>
  </w:abstractNum>
  <w:abstractNum w:abstractNumId="6" w15:restartNumberingAfterBreak="0">
    <w:nsid w:val="5FC43232"/>
    <w:multiLevelType w:val="hybridMultilevel"/>
    <w:tmpl w:val="DBA6FE1A"/>
    <w:lvl w:ilvl="0" w:tplc="D1985CDA">
      <w:start w:val="1"/>
      <w:numFmt w:val="decimalEnclosedCircle"/>
      <w:lvlText w:val="%1"/>
      <w:lvlJc w:val="left"/>
      <w:pPr>
        <w:ind w:left="900" w:hanging="420"/>
      </w:pPr>
      <w:rPr>
        <w:rFonts w:hint="default"/>
      </w:rPr>
    </w:lvl>
    <w:lvl w:ilvl="1" w:tplc="B1EE8E0A">
      <w:start w:val="1"/>
      <w:numFmt w:val="decimalEnclosedCircle"/>
      <w:lvlText w:val="%2"/>
      <w:lvlJc w:val="left"/>
      <w:pPr>
        <w:ind w:left="1320" w:hanging="420"/>
      </w:pPr>
      <w:rPr>
        <w:rFonts w:hint="default"/>
      </w:rPr>
    </w:lvl>
    <w:lvl w:ilvl="2" w:tplc="C07AAB64">
      <w:start w:val="1"/>
      <w:numFmt w:val="lowerRoman"/>
      <w:lvlText w:val="%3."/>
      <w:lvlJc w:val="right"/>
      <w:pPr>
        <w:ind w:left="1740" w:hanging="420"/>
      </w:pPr>
    </w:lvl>
    <w:lvl w:ilvl="3" w:tplc="9D428100">
      <w:start w:val="1"/>
      <w:numFmt w:val="decimal"/>
      <w:lvlText w:val="%4."/>
      <w:lvlJc w:val="left"/>
      <w:pPr>
        <w:ind w:left="2160" w:hanging="420"/>
      </w:pPr>
    </w:lvl>
    <w:lvl w:ilvl="4" w:tplc="689813E0">
      <w:start w:val="1"/>
      <w:numFmt w:val="lowerLetter"/>
      <w:lvlText w:val="%5)"/>
      <w:lvlJc w:val="left"/>
      <w:pPr>
        <w:ind w:left="2580" w:hanging="420"/>
      </w:pPr>
    </w:lvl>
    <w:lvl w:ilvl="5" w:tplc="BA480298">
      <w:start w:val="1"/>
      <w:numFmt w:val="lowerRoman"/>
      <w:lvlText w:val="%6."/>
      <w:lvlJc w:val="right"/>
      <w:pPr>
        <w:ind w:left="3000" w:hanging="420"/>
      </w:pPr>
    </w:lvl>
    <w:lvl w:ilvl="6" w:tplc="EF7605B4">
      <w:start w:val="1"/>
      <w:numFmt w:val="decimal"/>
      <w:lvlText w:val="%7."/>
      <w:lvlJc w:val="left"/>
      <w:pPr>
        <w:ind w:left="3420" w:hanging="420"/>
      </w:pPr>
    </w:lvl>
    <w:lvl w:ilvl="7" w:tplc="12AA413A">
      <w:start w:val="1"/>
      <w:numFmt w:val="lowerLetter"/>
      <w:lvlText w:val="%8)"/>
      <w:lvlJc w:val="left"/>
      <w:pPr>
        <w:ind w:left="3840" w:hanging="420"/>
      </w:pPr>
    </w:lvl>
    <w:lvl w:ilvl="8" w:tplc="ACFA9F88">
      <w:start w:val="1"/>
      <w:numFmt w:val="lowerRoman"/>
      <w:lvlText w:val="%9."/>
      <w:lvlJc w:val="right"/>
      <w:pPr>
        <w:ind w:left="4260" w:hanging="420"/>
      </w:pPr>
    </w:lvl>
  </w:abstractNum>
  <w:abstractNum w:abstractNumId="7" w15:restartNumberingAfterBreak="0">
    <w:nsid w:val="647E0154"/>
    <w:multiLevelType w:val="hybridMultilevel"/>
    <w:tmpl w:val="5922F63E"/>
    <w:lvl w:ilvl="0" w:tplc="3D18174C">
      <w:start w:val="1"/>
      <w:numFmt w:val="decimal"/>
      <w:lvlText w:val="（%1）"/>
      <w:lvlJc w:val="left"/>
      <w:pPr>
        <w:ind w:left="1260" w:hanging="420"/>
      </w:pPr>
      <w:rPr>
        <w:rFonts w:ascii="Times New Roman" w:eastAsia="宋体" w:hAnsi="Times New Roman" w:cs="Times New Roman" w:hint="default"/>
        <w:b w:val="0"/>
      </w:rPr>
    </w:lvl>
    <w:lvl w:ilvl="1" w:tplc="101A0EF4">
      <w:start w:val="1"/>
      <w:numFmt w:val="lowerLetter"/>
      <w:lvlText w:val="%2)"/>
      <w:lvlJc w:val="left"/>
      <w:pPr>
        <w:ind w:left="1680" w:hanging="420"/>
      </w:pPr>
    </w:lvl>
    <w:lvl w:ilvl="2" w:tplc="0AE8CB72">
      <w:start w:val="1"/>
      <w:numFmt w:val="lowerRoman"/>
      <w:lvlText w:val="%3."/>
      <w:lvlJc w:val="right"/>
      <w:pPr>
        <w:ind w:left="2100" w:hanging="420"/>
      </w:pPr>
    </w:lvl>
    <w:lvl w:ilvl="3" w:tplc="7F56698A">
      <w:start w:val="1"/>
      <w:numFmt w:val="decimal"/>
      <w:lvlText w:val="%4."/>
      <w:lvlJc w:val="left"/>
      <w:pPr>
        <w:ind w:left="2520" w:hanging="420"/>
      </w:pPr>
    </w:lvl>
    <w:lvl w:ilvl="4" w:tplc="28EEA364">
      <w:start w:val="1"/>
      <w:numFmt w:val="lowerLetter"/>
      <w:lvlText w:val="%5)"/>
      <w:lvlJc w:val="left"/>
      <w:pPr>
        <w:ind w:left="2940" w:hanging="420"/>
      </w:pPr>
    </w:lvl>
    <w:lvl w:ilvl="5" w:tplc="CD4435E6">
      <w:start w:val="1"/>
      <w:numFmt w:val="lowerRoman"/>
      <w:lvlText w:val="%6."/>
      <w:lvlJc w:val="right"/>
      <w:pPr>
        <w:ind w:left="3360" w:hanging="420"/>
      </w:pPr>
    </w:lvl>
    <w:lvl w:ilvl="6" w:tplc="06347154">
      <w:start w:val="1"/>
      <w:numFmt w:val="decimal"/>
      <w:lvlText w:val="%7."/>
      <w:lvlJc w:val="left"/>
      <w:pPr>
        <w:ind w:left="3780" w:hanging="420"/>
      </w:pPr>
    </w:lvl>
    <w:lvl w:ilvl="7" w:tplc="1A7EC1A8">
      <w:start w:val="1"/>
      <w:numFmt w:val="lowerLetter"/>
      <w:lvlText w:val="%8)"/>
      <w:lvlJc w:val="left"/>
      <w:pPr>
        <w:ind w:left="4200" w:hanging="420"/>
      </w:pPr>
    </w:lvl>
    <w:lvl w:ilvl="8" w:tplc="EC2006C2">
      <w:start w:val="1"/>
      <w:numFmt w:val="lowerRoman"/>
      <w:lvlText w:val="%9."/>
      <w:lvlJc w:val="right"/>
      <w:pPr>
        <w:ind w:left="4620" w:hanging="4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4"/>
  </w:num>
  <w:num w:numId="6">
    <w:abstractNumId w:val="5"/>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9E5"/>
    <w:rsid w:val="00002FA2"/>
    <w:rsid w:val="0000755A"/>
    <w:rsid w:val="00056115"/>
    <w:rsid w:val="0010545D"/>
    <w:rsid w:val="001444CE"/>
    <w:rsid w:val="0021796C"/>
    <w:rsid w:val="00262009"/>
    <w:rsid w:val="00292DC3"/>
    <w:rsid w:val="002B3EFD"/>
    <w:rsid w:val="002D380F"/>
    <w:rsid w:val="00312B9C"/>
    <w:rsid w:val="00354AA7"/>
    <w:rsid w:val="003C6658"/>
    <w:rsid w:val="003F5B01"/>
    <w:rsid w:val="0040514D"/>
    <w:rsid w:val="004237C4"/>
    <w:rsid w:val="004C6F63"/>
    <w:rsid w:val="004F2640"/>
    <w:rsid w:val="005169CF"/>
    <w:rsid w:val="00557CF7"/>
    <w:rsid w:val="005F4A7E"/>
    <w:rsid w:val="005F595B"/>
    <w:rsid w:val="00600902"/>
    <w:rsid w:val="00601A19"/>
    <w:rsid w:val="00606F9E"/>
    <w:rsid w:val="00642813"/>
    <w:rsid w:val="006C0F61"/>
    <w:rsid w:val="00700174"/>
    <w:rsid w:val="0077045C"/>
    <w:rsid w:val="00822834"/>
    <w:rsid w:val="00862C1C"/>
    <w:rsid w:val="008A292F"/>
    <w:rsid w:val="00903B9F"/>
    <w:rsid w:val="009061EA"/>
    <w:rsid w:val="00971E4F"/>
    <w:rsid w:val="009906FB"/>
    <w:rsid w:val="009C0CC5"/>
    <w:rsid w:val="00AB11C9"/>
    <w:rsid w:val="00AD63E1"/>
    <w:rsid w:val="00B929BD"/>
    <w:rsid w:val="00BB2641"/>
    <w:rsid w:val="00BF22E5"/>
    <w:rsid w:val="00C01C71"/>
    <w:rsid w:val="00C73F83"/>
    <w:rsid w:val="00CF578E"/>
    <w:rsid w:val="00D27A3C"/>
    <w:rsid w:val="00D7006C"/>
    <w:rsid w:val="00DA5613"/>
    <w:rsid w:val="00DE5647"/>
    <w:rsid w:val="00E00627"/>
    <w:rsid w:val="00E44A73"/>
    <w:rsid w:val="00E5352D"/>
    <w:rsid w:val="00E6539B"/>
    <w:rsid w:val="00E83D94"/>
    <w:rsid w:val="00EE12DA"/>
    <w:rsid w:val="00F309E5"/>
    <w:rsid w:val="00F44EDB"/>
    <w:rsid w:val="00FD6EE7"/>
    <w:rsid w:val="00FF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83F6D"/>
  <w15:docId w15:val="{81F0250C-F823-4ABB-B957-991484274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cs="Times New Roman"/>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basedOn w:val="a1"/>
    <w:uiPriority w:val="9"/>
    <w:rPr>
      <w:rFonts w:ascii="Arial" w:eastAsia="Arial" w:hAnsi="Arial" w:cs="Arial"/>
      <w:sz w:val="40"/>
      <w:szCs w:val="40"/>
    </w:rPr>
  </w:style>
  <w:style w:type="character" w:customStyle="1" w:styleId="Heading2Char">
    <w:name w:val="Heading 2 Char"/>
    <w:basedOn w:val="a1"/>
    <w:uiPriority w:val="9"/>
    <w:rPr>
      <w:rFonts w:ascii="Arial" w:eastAsia="Arial" w:hAnsi="Arial" w:cs="Arial"/>
      <w:sz w:val="34"/>
    </w:rPr>
  </w:style>
  <w:style w:type="character" w:customStyle="1" w:styleId="Heading3Char">
    <w:name w:val="Heading 3 Char"/>
    <w:basedOn w:val="a1"/>
    <w:uiPriority w:val="9"/>
    <w:rPr>
      <w:rFonts w:ascii="Arial" w:eastAsia="Arial" w:hAnsi="Arial" w:cs="Arial"/>
      <w:sz w:val="30"/>
      <w:szCs w:val="30"/>
    </w:rPr>
  </w:style>
  <w:style w:type="character" w:customStyle="1" w:styleId="Heading4Char">
    <w:name w:val="Heading 4 Char"/>
    <w:basedOn w:val="a1"/>
    <w:uiPriority w:val="9"/>
    <w:rPr>
      <w:rFonts w:ascii="Arial" w:eastAsia="Arial" w:hAnsi="Arial" w:cs="Arial"/>
      <w:b/>
      <w:bCs/>
      <w:sz w:val="26"/>
      <w:szCs w:val="26"/>
    </w:rPr>
  </w:style>
  <w:style w:type="character" w:customStyle="1" w:styleId="Heading5Char">
    <w:name w:val="Heading 5 Char"/>
    <w:basedOn w:val="a1"/>
    <w:uiPriority w:val="9"/>
    <w:rPr>
      <w:rFonts w:ascii="Arial" w:eastAsia="Arial" w:hAnsi="Arial" w:cs="Arial"/>
      <w:b/>
      <w:bCs/>
      <w:sz w:val="24"/>
      <w:szCs w:val="24"/>
    </w:rPr>
  </w:style>
  <w:style w:type="character" w:customStyle="1" w:styleId="Heading6Char">
    <w:name w:val="Heading 6 Char"/>
    <w:basedOn w:val="a1"/>
    <w:uiPriority w:val="9"/>
    <w:rPr>
      <w:rFonts w:ascii="Arial" w:eastAsia="Arial" w:hAnsi="Arial" w:cs="Arial"/>
      <w:b/>
      <w:bCs/>
      <w:sz w:val="22"/>
      <w:szCs w:val="22"/>
    </w:rPr>
  </w:style>
  <w:style w:type="character" w:customStyle="1" w:styleId="Heading7Char">
    <w:name w:val="Heading 7 Char"/>
    <w:basedOn w:val="a1"/>
    <w:uiPriority w:val="9"/>
    <w:rPr>
      <w:rFonts w:ascii="Arial" w:eastAsia="Arial" w:hAnsi="Arial" w:cs="Arial"/>
      <w:b/>
      <w:bCs/>
      <w:i/>
      <w:iCs/>
      <w:sz w:val="22"/>
      <w:szCs w:val="22"/>
    </w:rPr>
  </w:style>
  <w:style w:type="character" w:customStyle="1" w:styleId="80">
    <w:name w:val="标题 8 字符"/>
    <w:basedOn w:val="a1"/>
    <w:link w:val="8"/>
    <w:uiPriority w:val="9"/>
    <w:rPr>
      <w:rFonts w:ascii="Arial" w:eastAsia="Arial" w:hAnsi="Arial" w:cs="Arial"/>
      <w:i/>
      <w:iCs/>
      <w:sz w:val="22"/>
      <w:szCs w:val="22"/>
    </w:rPr>
  </w:style>
  <w:style w:type="character" w:customStyle="1" w:styleId="90">
    <w:name w:val="标题 9 字符"/>
    <w:basedOn w:val="a1"/>
    <w:link w:val="9"/>
    <w:uiPriority w:val="9"/>
    <w:rPr>
      <w:rFonts w:ascii="Arial" w:eastAsia="Arial" w:hAnsi="Arial" w:cs="Arial"/>
      <w:i/>
      <w:iCs/>
      <w:sz w:val="21"/>
      <w:szCs w:val="21"/>
    </w:r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标题 字符"/>
    <w:basedOn w:val="a1"/>
    <w:link w:val="a5"/>
    <w:uiPriority w:val="10"/>
    <w:rPr>
      <w:sz w:val="48"/>
      <w:szCs w:val="48"/>
    </w:rPr>
  </w:style>
  <w:style w:type="paragraph" w:styleId="a7">
    <w:name w:val="Subtitle"/>
    <w:basedOn w:val="a"/>
    <w:next w:val="a"/>
    <w:link w:val="a8"/>
    <w:uiPriority w:val="11"/>
    <w:qFormat/>
    <w:pPr>
      <w:spacing w:before="200" w:after="200"/>
    </w:pPr>
    <w:rPr>
      <w:sz w:val="24"/>
    </w:rPr>
  </w:style>
  <w:style w:type="character" w:customStyle="1" w:styleId="a8">
    <w:name w:val="副标题 字符"/>
    <w:basedOn w:val="a1"/>
    <w:link w:val="a7"/>
    <w:uiPriority w:val="11"/>
    <w:rPr>
      <w:sz w:val="24"/>
      <w:szCs w:val="24"/>
    </w:rPr>
  </w:style>
  <w:style w:type="paragraph" w:styleId="a9">
    <w:name w:val="Quote"/>
    <w:basedOn w:val="a"/>
    <w:next w:val="a"/>
    <w:link w:val="aa"/>
    <w:uiPriority w:val="29"/>
    <w:qFormat/>
    <w:pPr>
      <w:ind w:left="720" w:right="720"/>
    </w:pPr>
    <w:rPr>
      <w:i/>
    </w:rPr>
  </w:style>
  <w:style w:type="character" w:customStyle="1" w:styleId="aa">
    <w:name w:val="引用 字符"/>
    <w:link w:val="a9"/>
    <w:uiPriority w:val="29"/>
    <w:rPr>
      <w:i/>
    </w:rPr>
  </w:style>
  <w:style w:type="paragraph" w:styleId="ab">
    <w:name w:val="Intense Quote"/>
    <w:basedOn w:val="a"/>
    <w:next w:val="a"/>
    <w:link w:val="ac"/>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明显引用 字符"/>
    <w:link w:val="ab"/>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1">
    <w:name w:val="Plain Table 1"/>
    <w:basedOn w:val="a2"/>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0D"/>
      </w:tcPr>
    </w:tblStylePr>
    <w:tblStylePr w:type="band2Vert">
      <w:pPr>
        <w:snapToGrid/>
      </w:pPr>
    </w:tblStylePr>
    <w:tblStylePr w:type="band1Horz">
      <w:pPr>
        <w:snapToGrid/>
      </w:p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1">
    <w:name w:val="Plain Table 2"/>
    <w:basedOn w:val="a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1">
    <w:name w:val="Plain Table 3"/>
    <w:basedOn w:val="a2"/>
    <w:uiPriority w:val="99"/>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1">
    <w:name w:val="Plain Table 4"/>
    <w:basedOn w:val="a2"/>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1">
    <w:name w:val="Plain Table 5"/>
    <w:basedOn w:val="a2"/>
    <w:uiPriority w:val="99"/>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0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2">
    <w:name w:val="Grid Table 1 Light"/>
    <w:basedOn w:val="a2"/>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b/>
        <w:color w:val="404040"/>
      </w:rPr>
      <w:tblPr/>
      <w:tcPr>
        <w:tcBorders>
          <w:bottom w:val="single" w:sz="12" w:space="0" w:color="97B4D8"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b/>
        <w:color w:val="404040"/>
      </w:rPr>
      <w:tblPr/>
      <w:tcPr>
        <w:tcBorders>
          <w:bottom w:val="single" w:sz="12" w:space="0" w:color="DA989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b/>
        <w:color w:val="404040"/>
      </w:rPr>
      <w:tblPr/>
      <w:tcPr>
        <w:tcBorders>
          <w:bottom w:val="single" w:sz="12" w:space="0" w:color="C4D79D"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b/>
        <w:color w:val="404040"/>
      </w:rPr>
      <w:tblPr/>
      <w:tcPr>
        <w:tcBorders>
          <w:bottom w:val="single" w:sz="12" w:space="0" w:color="B4A4C8"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b/>
        <w:color w:val="404040"/>
      </w:rPr>
      <w:tblPr/>
      <w:tcPr>
        <w:tcBorders>
          <w:bottom w:val="single" w:sz="12" w:space="0" w:color="95CEDD"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b/>
        <w:color w:val="404040"/>
      </w:rPr>
      <w:tblPr/>
      <w:tcPr>
        <w:tcBorders>
          <w:bottom w:val="single" w:sz="12" w:space="0" w:color="FAC192"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2">
    <w:name w:val="Grid Table 2"/>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2">
    <w:name w:val="Grid Table 3"/>
    <w:basedOn w:val="a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2"/>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5F1" w:themeFill="accent1" w:themeFillTint="34"/>
      </w:tcPr>
    </w:tblStylePr>
    <w:tblStylePr w:type="band2Vert">
      <w:pPr>
        <w:snapToGrid/>
      </w:pPr>
    </w:tblStylePr>
    <w:tblStylePr w:type="band1Horz">
      <w:pPr>
        <w:snapToGrid/>
      </w:pPr>
      <w:rPr>
        <w:rFonts w:ascii="Arial" w:hAnsi="Arial"/>
        <w:color w:val="404040"/>
        <w:sz w:val="22"/>
      </w:rPr>
      <w:tblPr/>
      <w:tcPr>
        <w:shd w:val="clear" w:color="FFFFFF" w:fill="DAE5F1"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2"/>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2"/>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2"/>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2"/>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2"/>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2">
    <w:name w:val="Grid Table 4"/>
    <w:basedOn w:val="a2"/>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2"/>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pPr>
        <w:snapToGrid/>
      </w:pPr>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pPr>
        <w:snapToGrid/>
      </w:pPr>
      <w:rPr>
        <w:b/>
        <w:color w:val="404040"/>
      </w:rPr>
      <w:tblPr/>
      <w:tcPr>
        <w:tcBorders>
          <w:top w:val="single" w:sz="4" w:space="0" w:color="5D8AC2"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CE6F2" w:themeFill="accent1" w:themeFillTint="32"/>
      </w:tcPr>
    </w:tblStylePr>
    <w:tblStylePr w:type="band2Vert">
      <w:pPr>
        <w:snapToGrid/>
      </w:pPr>
    </w:tblStylePr>
    <w:tblStylePr w:type="band1Horz">
      <w:pPr>
        <w:snapToGrid/>
      </w:pPr>
      <w:rPr>
        <w:rFonts w:ascii="Arial" w:hAnsi="Arial"/>
        <w:color w:val="404040"/>
        <w:sz w:val="22"/>
      </w:rPr>
      <w:tblPr/>
      <w:tcPr>
        <w:shd w:val="clear" w:color="FFFFFF" w:fill="DCE6F2"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2"/>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pPr>
        <w:snapToGrid/>
      </w:pPr>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pPr>
        <w:snapToGrid/>
      </w:pPr>
      <w:rPr>
        <w:b/>
        <w:color w:val="404040"/>
      </w:rPr>
      <w:tblPr/>
      <w:tcPr>
        <w:tcBorders>
          <w:top w:val="single" w:sz="4" w:space="0" w:color="D99695"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DCDC" w:themeFill="accent2" w:themeFillTint="32"/>
      </w:tcPr>
    </w:tblStylePr>
    <w:tblStylePr w:type="band2Vert">
      <w:pPr>
        <w:snapToGrid/>
      </w:pPr>
    </w:tblStylePr>
    <w:tblStylePr w:type="band1Horz">
      <w:pPr>
        <w:snapToGrid/>
      </w:pPr>
      <w:rPr>
        <w:rFonts w:ascii="Arial" w:hAnsi="Arial"/>
        <w:color w:val="404040"/>
        <w:sz w:val="22"/>
      </w:rPr>
      <w:tblPr/>
      <w:tcPr>
        <w:shd w:val="clear" w:color="FFFFFF" w:fill="F2DCDC"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2"/>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pPr>
        <w:snapToGrid/>
      </w:pPr>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pPr>
        <w:snapToGrid/>
      </w:pPr>
      <w:rPr>
        <w:b/>
        <w:color w:val="404040"/>
      </w:rPr>
      <w:tblPr/>
      <w:tcPr>
        <w:tcBorders>
          <w:top w:val="single" w:sz="4" w:space="0" w:color="9ABB59"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AF1DC" w:themeFill="accent3" w:themeFillTint="34"/>
      </w:tcPr>
    </w:tblStylePr>
    <w:tblStylePr w:type="band2Vert">
      <w:pPr>
        <w:snapToGrid/>
      </w:pPr>
    </w:tblStylePr>
    <w:tblStylePr w:type="band1Horz">
      <w:pPr>
        <w:snapToGrid/>
      </w:pPr>
      <w:rPr>
        <w:rFonts w:ascii="Arial" w:hAnsi="Arial"/>
        <w:color w:val="404040"/>
        <w:sz w:val="22"/>
      </w:rPr>
      <w:tblPr/>
      <w:tcPr>
        <w:shd w:val="clear" w:color="FFFFFF" w:fill="EAF1D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2"/>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pPr>
        <w:snapToGrid/>
      </w:pPr>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pPr>
        <w:snapToGrid/>
      </w:pPr>
      <w:rPr>
        <w:b/>
        <w:color w:val="404040"/>
      </w:rPr>
      <w:tblPr/>
      <w:tcPr>
        <w:tcBorders>
          <w:top w:val="single" w:sz="4" w:space="0" w:color="B2A1C6"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DFEC" w:themeFill="accent4" w:themeFillTint="34"/>
      </w:tcPr>
    </w:tblStylePr>
    <w:tblStylePr w:type="band2Vert">
      <w:pPr>
        <w:snapToGrid/>
      </w:pPr>
    </w:tblStylePr>
    <w:tblStylePr w:type="band1Horz">
      <w:pPr>
        <w:snapToGrid/>
      </w:pPr>
      <w:rPr>
        <w:rFonts w:ascii="Arial" w:hAnsi="Arial"/>
        <w:color w:val="404040"/>
        <w:sz w:val="22"/>
      </w:rPr>
      <w:tblPr/>
      <w:tcPr>
        <w:shd w:val="clear" w:color="FFFFFF" w:fill="E5DFEC"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2"/>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pPr>
        <w:snapToGrid/>
      </w:pPr>
      <w:rPr>
        <w:b/>
        <w:color w:val="404040"/>
      </w:rPr>
      <w:tblPr/>
      <w:tcPr>
        <w:tcBorders>
          <w:top w:val="single" w:sz="4" w:space="0" w:color="4BACC6"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AEEF3" w:themeFill="accent5" w:themeFillTint="34"/>
      </w:tcPr>
    </w:tblStylePr>
    <w:tblStylePr w:type="band2Vert">
      <w:pPr>
        <w:snapToGrid/>
      </w:pPr>
    </w:tblStylePr>
    <w:tblStylePr w:type="band1Horz">
      <w:pPr>
        <w:snapToGrid/>
      </w:pPr>
      <w:rPr>
        <w:rFonts w:ascii="Arial" w:hAnsi="Arial"/>
        <w:color w:val="404040"/>
        <w:sz w:val="22"/>
      </w:rPr>
      <w:tblPr/>
      <w:tcPr>
        <w:shd w:val="clear" w:color="FFFFFF" w:fill="DAEE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2"/>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pPr>
        <w:snapToGrid/>
      </w:pPr>
      <w:rPr>
        <w:b/>
        <w:color w:val="404040"/>
      </w:rPr>
      <w:tblPr/>
      <w:tcPr>
        <w:tcBorders>
          <w:top w:val="single" w:sz="4" w:space="0" w:color="F79646"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9D8" w:themeFill="accent6" w:themeFillTint="34"/>
      </w:tcPr>
    </w:tblStylePr>
    <w:tblStylePr w:type="band2Vert">
      <w:pPr>
        <w:snapToGrid/>
      </w:pPr>
    </w:tblStylePr>
    <w:tblStylePr w:type="band1Horz">
      <w:pPr>
        <w:snapToGrid/>
      </w:pPr>
      <w:rPr>
        <w:rFonts w:ascii="Arial" w:hAnsi="Arial"/>
        <w:color w:val="404040"/>
        <w:sz w:val="22"/>
      </w:rPr>
      <w:tblPr/>
      <w:tcPr>
        <w:shd w:val="clear" w:color="FFFFFF" w:fill="FDE9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2">
    <w:name w:val="Grid Table 5 Dark"/>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pPr>
        <w:snapToGrid/>
      </w:pPr>
      <w:rPr>
        <w:rFonts w:ascii="Arial" w:hAnsi="Arial"/>
        <w:b/>
        <w:color w:val="FFFFFF"/>
        <w:sz w:val="22"/>
      </w:rPr>
      <w:tblPr/>
      <w:tcPr>
        <w:shd w:val="clear" w:color="FFFFFF" w:fill="4F81BD" w:themeFill="accent1"/>
      </w:tcPr>
    </w:tblStylePr>
    <w:tblStylePr w:type="lastRow">
      <w:pPr>
        <w:snapToGrid/>
      </w:pPr>
      <w:rPr>
        <w:rFonts w:ascii="Arial" w:hAnsi="Arial"/>
        <w:b/>
        <w:color w:val="FFFFFF"/>
        <w:sz w:val="22"/>
      </w:rPr>
      <w:tblPr/>
      <w:tcPr>
        <w:tcBorders>
          <w:top w:val="single" w:sz="4" w:space="0" w:color="FFFFFF" w:themeColor="light1"/>
        </w:tcBorders>
        <w:shd w:val="clear" w:color="FFFFFF" w:fill="4F81BD" w:themeFill="accent1"/>
      </w:tcPr>
    </w:tblStylePr>
    <w:tblStylePr w:type="firstCol">
      <w:pPr>
        <w:snapToGrid/>
      </w:pPr>
      <w:rPr>
        <w:rFonts w:ascii="Arial" w:hAnsi="Arial"/>
        <w:b/>
        <w:color w:val="FFFFFF"/>
        <w:sz w:val="22"/>
      </w:rPr>
      <w:tblPr/>
      <w:tcPr>
        <w:shd w:val="clear" w:color="FFFFFF" w:fill="4F81BD" w:themeFill="accent1"/>
      </w:tcPr>
    </w:tblStylePr>
    <w:tblStylePr w:type="lastCol">
      <w:pPr>
        <w:snapToGrid/>
      </w:pPr>
      <w:rPr>
        <w:rFonts w:ascii="Arial" w:hAnsi="Arial"/>
        <w:b/>
        <w:color w:val="FFFFFF"/>
        <w:sz w:val="22"/>
      </w:rPr>
      <w:tblPr/>
      <w:tcPr>
        <w:shd w:val="clear" w:color="FFFFFF" w:fill="4F81BD" w:themeFill="accent1"/>
      </w:tcPr>
    </w:tblStylePr>
    <w:tblStylePr w:type="band1Vert">
      <w:pPr>
        <w:snapToGrid/>
      </w:pPr>
      <w:tblPr/>
      <w:tcPr>
        <w:shd w:val="clear" w:color="FFFFFF" w:fill="AEC4E0" w:themeFill="accent1" w:themeFillTint="75"/>
      </w:tcPr>
    </w:tblStylePr>
    <w:tblStylePr w:type="band2Vert">
      <w:pPr>
        <w:snapToGrid/>
      </w:pPr>
    </w:tblStylePr>
    <w:tblStylePr w:type="band1Horz">
      <w:pPr>
        <w:snapToGrid/>
      </w:pPr>
      <w:tblPr/>
      <w:tcPr>
        <w:shd w:val="clear" w:color="FFFFFF" w:fill="AEC4E0"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pPr>
        <w:snapToGrid/>
      </w:pPr>
      <w:rPr>
        <w:rFonts w:ascii="Arial" w:hAnsi="Arial"/>
        <w:b/>
        <w:color w:val="FFFFFF"/>
        <w:sz w:val="22"/>
      </w:rPr>
      <w:tblPr/>
      <w:tcPr>
        <w:shd w:val="clear" w:color="FFFFFF" w:fill="C0504D" w:themeFill="accent2"/>
      </w:tcPr>
    </w:tblStylePr>
    <w:tblStylePr w:type="lastRow">
      <w:pPr>
        <w:snapToGrid/>
      </w:pPr>
      <w:rPr>
        <w:rFonts w:ascii="Arial" w:hAnsi="Arial"/>
        <w:b/>
        <w:color w:val="FFFFFF"/>
        <w:sz w:val="22"/>
      </w:rPr>
      <w:tblPr/>
      <w:tcPr>
        <w:tcBorders>
          <w:top w:val="single" w:sz="4" w:space="0" w:color="FFFFFF" w:themeColor="light1"/>
        </w:tcBorders>
        <w:shd w:val="clear" w:color="FFFFFF" w:fill="C0504D" w:themeFill="accent2"/>
      </w:tcPr>
    </w:tblStylePr>
    <w:tblStylePr w:type="firstCol">
      <w:pPr>
        <w:snapToGrid/>
      </w:pPr>
      <w:rPr>
        <w:rFonts w:ascii="Arial" w:hAnsi="Arial"/>
        <w:b/>
        <w:color w:val="FFFFFF"/>
        <w:sz w:val="22"/>
      </w:rPr>
      <w:tblPr/>
      <w:tcPr>
        <w:shd w:val="clear" w:color="FFFFFF" w:fill="C0504D" w:themeFill="accent2"/>
      </w:tcPr>
    </w:tblStylePr>
    <w:tblStylePr w:type="lastCol">
      <w:pPr>
        <w:snapToGrid/>
      </w:pPr>
      <w:rPr>
        <w:rFonts w:ascii="Arial" w:hAnsi="Arial"/>
        <w:b/>
        <w:color w:val="FFFFFF"/>
        <w:sz w:val="22"/>
      </w:rPr>
      <w:tblPr/>
      <w:tcPr>
        <w:shd w:val="clear" w:color="FFFFFF" w:fill="C0504D" w:themeFill="accent2"/>
      </w:tcPr>
    </w:tblStylePr>
    <w:tblStylePr w:type="band1Vert">
      <w:pPr>
        <w:snapToGrid/>
      </w:pPr>
      <w:tblPr/>
      <w:tcPr>
        <w:shd w:val="clear" w:color="FFFFFF" w:fill="E2AEAD" w:themeFill="accent2" w:themeFillTint="75"/>
      </w:tcPr>
    </w:tblStylePr>
    <w:tblStylePr w:type="band2Vert">
      <w:pPr>
        <w:snapToGrid/>
      </w:pPr>
    </w:tblStylePr>
    <w:tblStylePr w:type="band1Horz">
      <w:pPr>
        <w:snapToGrid/>
      </w:pPr>
      <w:tblPr/>
      <w:tcPr>
        <w:shd w:val="clear" w:color="FFFFFF" w:fill="E2AEAD"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pPr>
        <w:snapToGrid/>
      </w:pPr>
      <w:rPr>
        <w:rFonts w:ascii="Arial" w:hAnsi="Arial"/>
        <w:b/>
        <w:color w:val="FFFFFF"/>
        <w:sz w:val="22"/>
      </w:rPr>
      <w:tblPr/>
      <w:tcPr>
        <w:shd w:val="clear" w:color="FFFFFF" w:fill="9BBB59" w:themeFill="accent3"/>
      </w:tcPr>
    </w:tblStylePr>
    <w:tblStylePr w:type="lastRow">
      <w:pPr>
        <w:snapToGrid/>
      </w:pPr>
      <w:rPr>
        <w:rFonts w:ascii="Arial" w:hAnsi="Arial"/>
        <w:b/>
        <w:color w:val="FFFFFF"/>
        <w:sz w:val="22"/>
      </w:rPr>
      <w:tblPr/>
      <w:tcPr>
        <w:tcBorders>
          <w:top w:val="single" w:sz="4" w:space="0" w:color="FFFFFF" w:themeColor="light1"/>
        </w:tcBorders>
        <w:shd w:val="clear" w:color="FFFFFF" w:fill="9BBB59" w:themeFill="accent3"/>
      </w:tcPr>
    </w:tblStylePr>
    <w:tblStylePr w:type="firstCol">
      <w:pPr>
        <w:snapToGrid/>
      </w:pPr>
      <w:rPr>
        <w:rFonts w:ascii="Arial" w:hAnsi="Arial"/>
        <w:b/>
        <w:color w:val="FFFFFF"/>
        <w:sz w:val="22"/>
      </w:rPr>
      <w:tblPr/>
      <w:tcPr>
        <w:shd w:val="clear" w:color="FFFFFF" w:fill="9BBB59" w:themeFill="accent3"/>
      </w:tcPr>
    </w:tblStylePr>
    <w:tblStylePr w:type="lastCol">
      <w:pPr>
        <w:snapToGrid/>
      </w:pPr>
      <w:rPr>
        <w:rFonts w:ascii="Arial" w:hAnsi="Arial"/>
        <w:b/>
        <w:color w:val="FFFFFF"/>
        <w:sz w:val="22"/>
      </w:rPr>
      <w:tblPr/>
      <w:tcPr>
        <w:shd w:val="clear" w:color="FFFFFF" w:fill="9BBB59" w:themeFill="accent3"/>
      </w:tcPr>
    </w:tblStylePr>
    <w:tblStylePr w:type="band1Vert">
      <w:pPr>
        <w:snapToGrid/>
      </w:pPr>
      <w:tblPr/>
      <w:tcPr>
        <w:shd w:val="clear" w:color="FFFFFF" w:fill="D0DFB2" w:themeFill="accent3" w:themeFillTint="75"/>
      </w:tcPr>
    </w:tblStylePr>
    <w:tblStylePr w:type="band2Vert">
      <w:pPr>
        <w:snapToGrid/>
      </w:pPr>
    </w:tblStylePr>
    <w:tblStylePr w:type="band1Horz">
      <w:pPr>
        <w:snapToGrid/>
      </w:pPr>
      <w:tblPr/>
      <w:tcPr>
        <w:shd w:val="clear" w:color="FFFFFF" w:fill="D0DFB2"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pPr>
        <w:snapToGrid/>
      </w:pPr>
      <w:rPr>
        <w:rFonts w:ascii="Arial" w:hAnsi="Arial"/>
        <w:b/>
        <w:color w:val="FFFFFF"/>
        <w:sz w:val="22"/>
      </w:rPr>
      <w:tblPr/>
      <w:tcPr>
        <w:shd w:val="clear" w:color="FFFFFF" w:fill="8064A2" w:themeFill="accent4"/>
      </w:tcPr>
    </w:tblStylePr>
    <w:tblStylePr w:type="lastRow">
      <w:pPr>
        <w:snapToGrid/>
      </w:pPr>
      <w:rPr>
        <w:rFonts w:ascii="Arial" w:hAnsi="Arial"/>
        <w:b/>
        <w:color w:val="FFFFFF"/>
        <w:sz w:val="22"/>
      </w:rPr>
      <w:tblPr/>
      <w:tcPr>
        <w:tcBorders>
          <w:top w:val="single" w:sz="4" w:space="0" w:color="FFFFFF" w:themeColor="light1"/>
        </w:tcBorders>
        <w:shd w:val="clear" w:color="FFFFFF" w:fill="8064A2" w:themeFill="accent4"/>
      </w:tcPr>
    </w:tblStylePr>
    <w:tblStylePr w:type="firstCol">
      <w:pPr>
        <w:snapToGrid/>
      </w:pPr>
      <w:rPr>
        <w:rFonts w:ascii="Arial" w:hAnsi="Arial"/>
        <w:b/>
        <w:color w:val="FFFFFF"/>
        <w:sz w:val="22"/>
      </w:rPr>
      <w:tblPr/>
      <w:tcPr>
        <w:shd w:val="clear" w:color="FFFFFF" w:fill="8064A2" w:themeFill="accent4"/>
      </w:tcPr>
    </w:tblStylePr>
    <w:tblStylePr w:type="lastCol">
      <w:pPr>
        <w:snapToGrid/>
      </w:pPr>
      <w:rPr>
        <w:rFonts w:ascii="Arial" w:hAnsi="Arial"/>
        <w:b/>
        <w:color w:val="FFFFFF"/>
        <w:sz w:val="22"/>
      </w:rPr>
      <w:tblPr/>
      <w:tcPr>
        <w:shd w:val="clear" w:color="FFFFFF" w:fill="8064A2" w:themeFill="accent4"/>
      </w:tcPr>
    </w:tblStylePr>
    <w:tblStylePr w:type="band1Vert">
      <w:pPr>
        <w:snapToGrid/>
      </w:pPr>
      <w:tblPr/>
      <w:tcPr>
        <w:shd w:val="clear" w:color="FFFFFF" w:fill="C4B7D4" w:themeFill="accent4" w:themeFillTint="75"/>
      </w:tcPr>
    </w:tblStylePr>
    <w:tblStylePr w:type="band2Vert">
      <w:pPr>
        <w:snapToGrid/>
      </w:pPr>
    </w:tblStylePr>
    <w:tblStylePr w:type="band1Horz">
      <w:pPr>
        <w:snapToGrid/>
      </w:pPr>
      <w:tblPr/>
      <w:tcPr>
        <w:shd w:val="clear" w:color="FFFFFF" w:fill="C4B7D4"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pPr>
        <w:snapToGrid/>
      </w:pPr>
      <w:rPr>
        <w:rFonts w:ascii="Arial" w:hAnsi="Arial"/>
        <w:b/>
        <w:color w:val="FFFFFF"/>
        <w:sz w:val="22"/>
      </w:rPr>
      <w:tblPr/>
      <w:tcPr>
        <w:shd w:val="clear" w:color="FFFFFF" w:fill="4BACC6" w:themeFill="accent5"/>
      </w:tcPr>
    </w:tblStylePr>
    <w:tblStylePr w:type="lastRow">
      <w:pPr>
        <w:snapToGrid/>
      </w:pPr>
      <w:rPr>
        <w:rFonts w:ascii="Arial" w:hAnsi="Arial"/>
        <w:b/>
        <w:color w:val="FFFFFF"/>
        <w:sz w:val="22"/>
      </w:rPr>
      <w:tblPr/>
      <w:tcPr>
        <w:tcBorders>
          <w:top w:val="single" w:sz="4" w:space="0" w:color="FFFFFF" w:themeColor="light1"/>
        </w:tcBorders>
        <w:shd w:val="clear" w:color="FFFFFF" w:fill="4BACC6" w:themeFill="accent5"/>
      </w:tcPr>
    </w:tblStylePr>
    <w:tblStylePr w:type="firstCol">
      <w:pPr>
        <w:snapToGrid/>
      </w:pPr>
      <w:rPr>
        <w:rFonts w:ascii="Arial" w:hAnsi="Arial"/>
        <w:b/>
        <w:color w:val="FFFFFF"/>
        <w:sz w:val="22"/>
      </w:rPr>
      <w:tblPr/>
      <w:tcPr>
        <w:shd w:val="clear" w:color="FFFFFF" w:fill="4BACC6" w:themeFill="accent5"/>
      </w:tcPr>
    </w:tblStylePr>
    <w:tblStylePr w:type="lastCol">
      <w:pPr>
        <w:snapToGrid/>
      </w:pPr>
      <w:rPr>
        <w:rFonts w:ascii="Arial" w:hAnsi="Arial"/>
        <w:b/>
        <w:color w:val="FFFFFF"/>
        <w:sz w:val="22"/>
      </w:rPr>
      <w:tblPr/>
      <w:tcPr>
        <w:shd w:val="clear" w:color="FFFFFF" w:fill="4BACC6" w:themeFill="accent5"/>
      </w:tcPr>
    </w:tblStylePr>
    <w:tblStylePr w:type="band1Vert">
      <w:pPr>
        <w:snapToGrid/>
      </w:pPr>
      <w:tblPr/>
      <w:tcPr>
        <w:shd w:val="clear" w:color="FFFFFF" w:fill="ACD8E4" w:themeFill="accent5" w:themeFillTint="75"/>
      </w:tcPr>
    </w:tblStylePr>
    <w:tblStylePr w:type="band2Vert">
      <w:pPr>
        <w:snapToGrid/>
      </w:pPr>
    </w:tblStylePr>
    <w:tblStylePr w:type="band1Horz">
      <w:pPr>
        <w:snapToGrid/>
      </w:pPr>
      <w:tblPr/>
      <w:tcPr>
        <w:shd w:val="clear" w:color="FFFFFF" w:fill="ACD8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pPr>
        <w:snapToGrid/>
      </w:pPr>
      <w:rPr>
        <w:rFonts w:ascii="Arial" w:hAnsi="Arial"/>
        <w:b/>
        <w:color w:val="FFFFFF"/>
        <w:sz w:val="22"/>
      </w:rPr>
      <w:tblPr/>
      <w:tcPr>
        <w:shd w:val="clear" w:color="FFFFFF" w:fill="F79646" w:themeFill="accent6"/>
      </w:tcPr>
    </w:tblStylePr>
    <w:tblStylePr w:type="lastRow">
      <w:pPr>
        <w:snapToGrid/>
      </w:pPr>
      <w:rPr>
        <w:rFonts w:ascii="Arial" w:hAnsi="Arial"/>
        <w:b/>
        <w:color w:val="FFFFFF"/>
        <w:sz w:val="22"/>
      </w:rPr>
      <w:tblPr/>
      <w:tcPr>
        <w:tcBorders>
          <w:top w:val="single" w:sz="4" w:space="0" w:color="FFFFFF" w:themeColor="light1"/>
        </w:tcBorders>
        <w:shd w:val="clear" w:color="FFFFFF" w:fill="F79646" w:themeFill="accent6"/>
      </w:tcPr>
    </w:tblStylePr>
    <w:tblStylePr w:type="firstCol">
      <w:pPr>
        <w:snapToGrid/>
      </w:pPr>
      <w:rPr>
        <w:rFonts w:ascii="Arial" w:hAnsi="Arial"/>
        <w:b/>
        <w:color w:val="FFFFFF"/>
        <w:sz w:val="22"/>
      </w:rPr>
      <w:tblPr/>
      <w:tcPr>
        <w:shd w:val="clear" w:color="FFFFFF" w:fill="F79646" w:themeFill="accent6"/>
      </w:tcPr>
    </w:tblStylePr>
    <w:tblStylePr w:type="lastCol">
      <w:pPr>
        <w:snapToGrid/>
      </w:pPr>
      <w:rPr>
        <w:rFonts w:ascii="Arial" w:hAnsi="Arial"/>
        <w:b/>
        <w:color w:val="FFFFFF"/>
        <w:sz w:val="22"/>
      </w:rPr>
      <w:tblPr/>
      <w:tcPr>
        <w:shd w:val="clear" w:color="FFFFFF" w:fill="F79646" w:themeFill="accent6"/>
      </w:tcPr>
    </w:tblStylePr>
    <w:tblStylePr w:type="band1Vert">
      <w:pPr>
        <w:snapToGrid/>
      </w:pPr>
      <w:tblPr/>
      <w:tcPr>
        <w:shd w:val="clear" w:color="FFFFFF" w:fill="FBCEAA" w:themeFill="accent6" w:themeFillTint="75"/>
      </w:tcPr>
    </w:tblStylePr>
    <w:tblStylePr w:type="band2Vert">
      <w:pPr>
        <w:snapToGrid/>
      </w:pPr>
    </w:tblStylePr>
    <w:tblStylePr w:type="band1Horz">
      <w:pPr>
        <w:snapToGrid/>
      </w:pPr>
      <w:tblPr/>
      <w:tcPr>
        <w:shd w:val="clear" w:color="FFFFFF" w:fill="FBCEAA"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1">
    <w:name w:val="Grid Table 6 Colorful"/>
    <w:basedOn w:val="a2"/>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2"/>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b/>
        <w:color w:val="A6BFDD" w:themeColor="accent1" w:themeTint="80" w:themeShade="95"/>
      </w:rPr>
      <w:tblPr/>
      <w:tcPr>
        <w:tcBorders>
          <w:bottom w:val="single" w:sz="12" w:space="0" w:color="A6BFDD" w:themeColor="accent1" w:themeTint="80"/>
        </w:tcBorders>
      </w:tcPr>
    </w:tblStylePr>
    <w:tblStylePr w:type="lastRow">
      <w:pPr>
        <w:snapToGrid/>
      </w:pPr>
      <w:rPr>
        <w:b/>
        <w:color w:val="A6BFDD" w:themeColor="accent1" w:themeTint="80" w:themeShade="95"/>
      </w:rPr>
    </w:tblStylePr>
    <w:tblStylePr w:type="firstCol">
      <w:pPr>
        <w:snapToGrid/>
      </w:pPr>
      <w:rPr>
        <w:b/>
        <w:color w:val="A6BFDD" w:themeColor="accent1" w:themeTint="80" w:themeShade="95"/>
      </w:rPr>
    </w:tblStylePr>
    <w:tblStylePr w:type="lastCol">
      <w:pPr>
        <w:snapToGrid/>
      </w:pPr>
      <w:rPr>
        <w:b/>
        <w:color w:val="A6BFDD" w:themeColor="accent1" w:themeTint="80" w:themeShade="95"/>
      </w:r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b/>
        <w:color w:val="D99695" w:themeColor="accent2" w:themeTint="97" w:themeShade="95"/>
      </w:rPr>
      <w:tblPr/>
      <w:tcPr>
        <w:tcBorders>
          <w:bottom w:val="single" w:sz="12" w:space="0" w:color="D99695" w:themeColor="accent2" w:themeTint="97"/>
        </w:tcBorders>
      </w:tcPr>
    </w:tblStylePr>
    <w:tblStylePr w:type="lastRow">
      <w:pPr>
        <w:snapToGrid/>
      </w:pPr>
      <w:rPr>
        <w:b/>
        <w:color w:val="D99695" w:themeColor="accent2" w:themeTint="97" w:themeShade="95"/>
      </w:r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2"/>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b/>
        <w:color w:val="9ABB59" w:themeColor="accent3" w:themeTint="FE" w:themeShade="95"/>
      </w:rPr>
      <w:tblPr/>
      <w:tcPr>
        <w:tcBorders>
          <w:bottom w:val="single" w:sz="12" w:space="0" w:color="9ABB59" w:themeColor="accent3" w:themeTint="FE"/>
        </w:tcBorders>
      </w:tcPr>
    </w:tblStylePr>
    <w:tblStylePr w:type="lastRow">
      <w:pPr>
        <w:snapToGrid/>
      </w:pPr>
      <w:rPr>
        <w:b/>
        <w:color w:val="9ABB59" w:themeColor="accent3" w:themeTint="FE" w:themeShade="95"/>
      </w:rPr>
    </w:tblStylePr>
    <w:tblStylePr w:type="firstCol">
      <w:pPr>
        <w:snapToGrid/>
      </w:pPr>
      <w:rPr>
        <w:b/>
        <w:color w:val="9ABB59" w:themeColor="accent3" w:themeTint="FE" w:themeShade="95"/>
      </w:rPr>
    </w:tblStylePr>
    <w:tblStylePr w:type="lastCol">
      <w:pPr>
        <w:snapToGrid/>
      </w:pPr>
      <w:rPr>
        <w:b/>
        <w:color w:val="9ABB59" w:themeColor="accent3" w:themeTint="FE" w:themeShade="95"/>
      </w:r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b/>
        <w:color w:val="B2A1C6" w:themeColor="accent4" w:themeTint="9A" w:themeShade="95"/>
      </w:rPr>
      <w:tblPr/>
      <w:tcPr>
        <w:tcBorders>
          <w:bottom w:val="single" w:sz="12" w:space="0" w:color="B2A1C6" w:themeColor="accent4" w:themeTint="9A"/>
        </w:tcBorders>
      </w:tcPr>
    </w:tblStylePr>
    <w:tblStylePr w:type="lastRow">
      <w:pPr>
        <w:snapToGrid/>
      </w:pPr>
      <w:rPr>
        <w:b/>
        <w:color w:val="B2A1C6" w:themeColor="accent4" w:themeTint="9A" w:themeShade="95"/>
      </w:r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2"/>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pPr>
        <w:snapToGrid/>
      </w:pPr>
      <w:rPr>
        <w:b/>
        <w:color w:val="266779" w:themeColor="accent5" w:themeShade="95"/>
      </w:rPr>
      <w:tblPr/>
      <w:tcPr>
        <w:tcBorders>
          <w:bottom w:val="single" w:sz="12" w:space="0" w:color="4BACC6" w:themeColor="accent5"/>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2"/>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pPr>
        <w:snapToGrid/>
      </w:pPr>
      <w:rPr>
        <w:b/>
        <w:color w:val="266779" w:themeColor="accent5" w:themeShade="95"/>
      </w:rPr>
      <w:tblPr/>
      <w:tcPr>
        <w:tcBorders>
          <w:bottom w:val="single" w:sz="12" w:space="0" w:color="F79646" w:themeColor="accent6"/>
        </w:tcBorders>
      </w:tcPr>
    </w:tblStylePr>
    <w:tblStylePr w:type="lastRow">
      <w:pPr>
        <w:snapToGrid/>
      </w:pPr>
      <w:rPr>
        <w:b/>
        <w:color w:val="266779" w:themeColor="accent5" w:themeShade="95"/>
      </w:rPr>
    </w:tblStylePr>
    <w:tblStylePr w:type="firstCol">
      <w:pPr>
        <w:snapToGrid/>
      </w:pPr>
      <w:rPr>
        <w:b/>
        <w:color w:val="266779" w:themeColor="accent5" w:themeShade="95"/>
      </w:rPr>
    </w:tblStylePr>
    <w:tblStylePr w:type="lastCol">
      <w:pPr>
        <w:snapToGrid/>
      </w:pPr>
      <w:rPr>
        <w:b/>
        <w:color w:val="266779" w:themeColor="accent5" w:themeShade="95"/>
      </w:r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FDE9D8" w:themeFill="accent6"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1">
    <w:name w:val="Grid Table 7 Colorful"/>
    <w:basedOn w:val="a2"/>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2"/>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pPr>
        <w:snapToGrid/>
      </w:pPr>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pPr>
        <w:snapToGrid/>
      </w:pPr>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pPr>
        <w:snapToGrid/>
      </w:pPr>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pPr>
        <w:snapToGrid/>
      </w:pPr>
      <w:tblPr/>
      <w:tcPr>
        <w:shd w:val="clear" w:color="FFFFFF" w:fill="DAE5F1" w:themeFill="accent1" w:themeFillTint="34"/>
      </w:tcPr>
    </w:tblStylePr>
    <w:tblStylePr w:type="band2Vert">
      <w:pPr>
        <w:snapToGrid/>
      </w:pPr>
    </w:tblStylePr>
    <w:tblStylePr w:type="band1Horz">
      <w:pPr>
        <w:snapToGrid/>
      </w:pPr>
      <w:rPr>
        <w:rFonts w:ascii="Arial" w:hAnsi="Arial"/>
        <w:color w:val="A6BFDD" w:themeColor="accent1" w:themeTint="80" w:themeShade="95"/>
        <w:sz w:val="22"/>
      </w:rPr>
      <w:tblPr/>
      <w:tcPr>
        <w:shd w:val="clear" w:color="FFFFFF" w:fill="DAE5F1" w:themeFill="accent1" w:themeFillTint="34"/>
      </w:tcPr>
    </w:tblStylePr>
    <w:tblStylePr w:type="band2Horz">
      <w:pPr>
        <w:snapToGrid/>
      </w:pPr>
      <w:rPr>
        <w:rFonts w:ascii="Arial" w:hAnsi="Arial"/>
        <w:color w:val="A6BFDD"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2"/>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pPr>
        <w:snapToGrid/>
      </w:pPr>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F2DCDC" w:themeFill="accent2" w:themeFillTint="32"/>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F2DCDC" w:themeFill="accent2" w:themeFillTint="32"/>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2"/>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pPr>
        <w:snapToGrid/>
      </w:pPr>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pPr>
        <w:snapToGrid/>
      </w:pPr>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pPr>
        <w:snapToGrid/>
      </w:pPr>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pPr>
        <w:snapToGrid/>
      </w:pPr>
      <w:tblPr/>
      <w:tcPr>
        <w:shd w:val="clear" w:color="FFFFFF" w:fill="EAF1DC" w:themeFill="accent3" w:themeFillTint="34"/>
      </w:tcPr>
    </w:tblStylePr>
    <w:tblStylePr w:type="band2Vert">
      <w:pPr>
        <w:snapToGrid/>
      </w:pPr>
    </w:tblStylePr>
    <w:tblStylePr w:type="band1Horz">
      <w:pPr>
        <w:snapToGrid/>
      </w:pPr>
      <w:rPr>
        <w:rFonts w:ascii="Arial" w:hAnsi="Arial"/>
        <w:color w:val="9ABB59" w:themeColor="accent3" w:themeTint="FE" w:themeShade="95"/>
        <w:sz w:val="22"/>
      </w:rPr>
      <w:tblPr/>
      <w:tcPr>
        <w:shd w:val="clear" w:color="FFFFFF" w:fill="EAF1DC" w:themeFill="accent3" w:themeFillTint="34"/>
      </w:tcPr>
    </w:tblStylePr>
    <w:tblStylePr w:type="band2Horz">
      <w:pPr>
        <w:snapToGrid/>
      </w:pPr>
      <w:rPr>
        <w:rFonts w:ascii="Arial" w:hAnsi="Arial"/>
        <w:color w:val="9ABB59"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2"/>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pPr>
        <w:snapToGrid/>
      </w:pPr>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E5DFEC" w:themeFill="accent4" w:themeFillTint="34"/>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E5DFEC" w:themeFill="accent4" w:themeFillTint="34"/>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2"/>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pPr>
        <w:snapToGrid/>
      </w:pPr>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pPr>
        <w:snapToGrid/>
      </w:pPr>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pPr>
        <w:snapToGrid/>
      </w:pPr>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pPr>
        <w:snapToGrid/>
      </w:pPr>
      <w:tblPr/>
      <w:tcPr>
        <w:shd w:val="clear" w:color="FFFFFF" w:fill="DAEEF3" w:themeFill="accent5" w:themeFillTint="34"/>
      </w:tcPr>
    </w:tblStylePr>
    <w:tblStylePr w:type="band2Vert">
      <w:pPr>
        <w:snapToGrid/>
      </w:pPr>
    </w:tblStylePr>
    <w:tblStylePr w:type="band1Horz">
      <w:pPr>
        <w:snapToGrid/>
      </w:pPr>
      <w:rPr>
        <w:rFonts w:ascii="Arial" w:hAnsi="Arial"/>
        <w:color w:val="266779" w:themeColor="accent5" w:themeShade="95"/>
        <w:sz w:val="22"/>
      </w:rPr>
      <w:tblPr/>
      <w:tcPr>
        <w:shd w:val="clear" w:color="FFFFFF" w:fill="DAEEF3" w:themeFill="accent5" w:themeFillTint="34"/>
      </w:tcPr>
    </w:tblStylePr>
    <w:tblStylePr w:type="band2Horz">
      <w:pPr>
        <w:snapToGrid/>
      </w:pPr>
      <w:rPr>
        <w:rFonts w:ascii="Arial" w:hAnsi="Arial"/>
        <w:color w:val="266779"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2"/>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pPr>
        <w:snapToGrid/>
      </w:pPr>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pPr>
        <w:snapToGrid/>
      </w:pPr>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pPr>
        <w:snapToGrid/>
      </w:pPr>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pPr>
        <w:snapToGrid/>
      </w:pPr>
      <w:tblPr/>
      <w:tcPr>
        <w:shd w:val="clear" w:color="FFFFFF" w:fill="FDE9D8" w:themeFill="accent6" w:themeFillTint="34"/>
      </w:tcPr>
    </w:tblStylePr>
    <w:tblStylePr w:type="band2Vert">
      <w:pPr>
        <w:snapToGrid/>
      </w:pPr>
    </w:tblStylePr>
    <w:tblStylePr w:type="band1Horz">
      <w:pPr>
        <w:snapToGrid/>
      </w:pPr>
      <w:rPr>
        <w:rFonts w:ascii="Arial" w:hAnsi="Arial"/>
        <w:color w:val="B15407" w:themeColor="accent6" w:themeShade="95"/>
        <w:sz w:val="22"/>
      </w:rPr>
      <w:tblPr/>
      <w:tcPr>
        <w:shd w:val="clear" w:color="FFFFFF" w:fill="FDE9D8" w:themeFill="accent6" w:themeFillTint="34"/>
      </w:tcPr>
    </w:tblStylePr>
    <w:tblStylePr w:type="band2Horz">
      <w:pPr>
        <w:snapToGrid/>
      </w:pPr>
      <w:rPr>
        <w:rFonts w:ascii="Arial" w:hAnsi="Arial"/>
        <w:color w:val="B15407"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13">
    <w:name w:val="List Table 1 Light"/>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pPr>
        <w:snapToGrid/>
      </w:pPr>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pPr>
        <w:snapToGrid/>
      </w:pPr>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pPr>
        <w:snapToGrid/>
      </w:pPr>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pPr>
        <w:snapToGrid/>
      </w:pPr>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pPr>
        <w:snapToGrid/>
      </w:pPr>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2"/>
    <w:uiPriority w:val="99"/>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pPr>
        <w:snapToGrid/>
      </w:pPr>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23">
    <w:name w:val="List Table 2"/>
    <w:basedOn w:val="a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2"/>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2"/>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2"/>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2"/>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2"/>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2"/>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33">
    <w:name w:val="List Table 3"/>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2"/>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4F81BD" w:themeColor="accent1"/>
          <w:right w:val="single" w:sz="4" w:space="0" w:color="4F81BD"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4F81BD" w:themeColor="accent1"/>
          <w:bottom w:val="single" w:sz="4" w:space="0" w:color="4F81BD"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2"/>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pPr>
        <w:snapToGrid/>
      </w:pPr>
      <w:rPr>
        <w:rFonts w:ascii="Arial" w:hAnsi="Arial"/>
        <w:b/>
        <w:color w:val="FFFFFF"/>
        <w:sz w:val="22"/>
      </w:rPr>
      <w:tblPr/>
      <w:tcPr>
        <w:shd w:val="clear" w:color="FFFFFF" w:fill="D99695"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D99695" w:themeColor="accent2" w:themeTint="97"/>
          <w:bottom w:val="single" w:sz="4" w:space="0" w:color="D99695"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2"/>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pPr>
        <w:snapToGrid/>
      </w:pPr>
      <w:rPr>
        <w:rFonts w:ascii="Arial" w:hAnsi="Arial"/>
        <w:b/>
        <w:color w:val="FFFFFF"/>
        <w:sz w:val="22"/>
      </w:rPr>
      <w:tblPr/>
      <w:tcPr>
        <w:shd w:val="clear" w:color="FFFFFF" w:fill="C3D69B"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3D69B" w:themeColor="accent3" w:themeTint="98"/>
          <w:bottom w:val="single" w:sz="4" w:space="0" w:color="C3D69B"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2"/>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pPr>
        <w:snapToGrid/>
      </w:pPr>
      <w:rPr>
        <w:rFonts w:ascii="Arial" w:hAnsi="Arial"/>
        <w:b/>
        <w:color w:val="FFFFFF"/>
        <w:sz w:val="22"/>
      </w:rPr>
      <w:tblPr/>
      <w:tcPr>
        <w:shd w:val="clear" w:color="FFFFFF" w:fill="B2A1C6"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B2A1C6" w:themeColor="accent4" w:themeTint="9A"/>
          <w:bottom w:val="single" w:sz="4" w:space="0" w:color="B2A1C6"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2"/>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pPr>
        <w:snapToGrid/>
      </w:pPr>
      <w:rPr>
        <w:rFonts w:ascii="Arial" w:hAnsi="Arial"/>
        <w:b/>
        <w:color w:val="FFFFFF"/>
        <w:sz w:val="22"/>
      </w:rPr>
      <w:tblPr/>
      <w:tcPr>
        <w:shd w:val="clear" w:color="FFFFFF" w:fill="92CCDC"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92CCDC" w:themeColor="accent5" w:themeTint="9A"/>
          <w:bottom w:val="single" w:sz="4" w:space="0" w:color="92CCDC"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2"/>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pPr>
        <w:snapToGrid/>
      </w:pPr>
      <w:rPr>
        <w:rFonts w:ascii="Arial" w:hAnsi="Arial"/>
        <w:b/>
        <w:color w:val="FFFFFF"/>
        <w:sz w:val="22"/>
      </w:rPr>
      <w:tblPr/>
      <w:tcPr>
        <w:shd w:val="clear" w:color="FFFFFF" w:fill="FAC090"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FAC090" w:themeColor="accent6" w:themeTint="98"/>
          <w:bottom w:val="single" w:sz="4" w:space="0" w:color="FAC090"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43">
    <w:name w:val="List Table 4"/>
    <w:basedOn w:val="a2"/>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2"/>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pPr>
        <w:snapToGrid/>
      </w:pPr>
      <w:rPr>
        <w:rFonts w:ascii="Arial" w:hAnsi="Arial"/>
        <w:b/>
        <w:color w:val="FFFFFF"/>
        <w:sz w:val="22"/>
      </w:rPr>
      <w:tblPr/>
      <w:tcPr>
        <w:shd w:val="clear" w:color="FFFFFF" w:fill="4F81BD"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2DFEE" w:themeFill="accent1" w:themeFillTint="40"/>
      </w:tcPr>
    </w:tblStylePr>
    <w:tblStylePr w:type="band2Vert">
      <w:pPr>
        <w:snapToGrid/>
      </w:pPr>
    </w:tblStylePr>
    <w:tblStylePr w:type="band1Horz">
      <w:pPr>
        <w:snapToGrid/>
      </w:pPr>
      <w:rPr>
        <w:rFonts w:ascii="Arial" w:hAnsi="Arial"/>
        <w:color w:val="404040"/>
        <w:sz w:val="22"/>
      </w:rPr>
      <w:tblPr/>
      <w:tcPr>
        <w:shd w:val="clear" w:color="FFFFFF" w:fill="D2DFEE"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2"/>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pPr>
        <w:snapToGrid/>
      </w:pPr>
      <w:rPr>
        <w:rFonts w:ascii="Arial" w:hAnsi="Arial"/>
        <w:b/>
        <w:color w:val="FFFFFF"/>
        <w:sz w:val="22"/>
      </w:rPr>
      <w:tblPr/>
      <w:tcPr>
        <w:shd w:val="clear" w:color="FFFFFF" w:fill="C0504D"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FD2D2" w:themeFill="accent2" w:themeFillTint="40"/>
      </w:tcPr>
    </w:tblStylePr>
    <w:tblStylePr w:type="band2Vert">
      <w:pPr>
        <w:snapToGrid/>
      </w:pPr>
    </w:tblStylePr>
    <w:tblStylePr w:type="band1Horz">
      <w:pPr>
        <w:snapToGrid/>
      </w:pPr>
      <w:rPr>
        <w:rFonts w:ascii="Arial" w:hAnsi="Arial"/>
        <w:color w:val="404040"/>
        <w:sz w:val="22"/>
      </w:rPr>
      <w:tblPr/>
      <w:tcPr>
        <w:shd w:val="clear" w:color="FFFFFF" w:fill="EFD2D2"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2"/>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pPr>
        <w:snapToGrid/>
      </w:pPr>
      <w:rPr>
        <w:rFonts w:ascii="Arial" w:hAnsi="Arial"/>
        <w:b/>
        <w:color w:val="FFFFFF"/>
        <w:sz w:val="22"/>
      </w:rPr>
      <w:tblPr/>
      <w:tcPr>
        <w:shd w:val="clear" w:color="FFFFFF" w:fill="9BBB59"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E5EED5" w:themeFill="accent3" w:themeFillTint="40"/>
      </w:tcPr>
    </w:tblStylePr>
    <w:tblStylePr w:type="band2Vert">
      <w:pPr>
        <w:snapToGrid/>
      </w:pPr>
    </w:tblStylePr>
    <w:tblStylePr w:type="band1Horz">
      <w:pPr>
        <w:snapToGrid/>
      </w:pPr>
      <w:rPr>
        <w:rFonts w:ascii="Arial" w:hAnsi="Arial"/>
        <w:color w:val="404040"/>
        <w:sz w:val="22"/>
      </w:rPr>
      <w:tblPr/>
      <w:tcPr>
        <w:shd w:val="clear" w:color="FFFFFF" w:fill="E5EED5"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2"/>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pPr>
        <w:snapToGrid/>
      </w:pPr>
      <w:rPr>
        <w:rFonts w:ascii="Arial" w:hAnsi="Arial"/>
        <w:b/>
        <w:color w:val="FFFFFF"/>
        <w:sz w:val="22"/>
      </w:rPr>
      <w:tblPr/>
      <w:tcPr>
        <w:shd w:val="clear" w:color="FFFFFF" w:fill="8064A2"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FD8E7" w:themeFill="accent4" w:themeFillTint="40"/>
      </w:tcPr>
    </w:tblStylePr>
    <w:tblStylePr w:type="band2Vert">
      <w:pPr>
        <w:snapToGrid/>
      </w:pPr>
    </w:tblStylePr>
    <w:tblStylePr w:type="band1Horz">
      <w:pPr>
        <w:snapToGrid/>
      </w:pPr>
      <w:rPr>
        <w:rFonts w:ascii="Arial" w:hAnsi="Arial"/>
        <w:color w:val="404040"/>
        <w:sz w:val="22"/>
      </w:rPr>
      <w:tblPr/>
      <w:tcPr>
        <w:shd w:val="clear" w:color="FFFFFF" w:fill="DFD8E7"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2"/>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pPr>
        <w:snapToGrid/>
      </w:pPr>
      <w:rPr>
        <w:rFonts w:ascii="Arial" w:hAnsi="Arial"/>
        <w:b/>
        <w:color w:val="FFFFFF"/>
        <w:sz w:val="22"/>
      </w:rPr>
      <w:tblPr/>
      <w:tcPr>
        <w:shd w:val="clear" w:color="FFFFFF" w:fill="4BACC6"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D1EAF0" w:themeFill="accent5" w:themeFillTint="40"/>
      </w:tcPr>
    </w:tblStylePr>
    <w:tblStylePr w:type="band2Vert">
      <w:pPr>
        <w:snapToGrid/>
      </w:pPr>
    </w:tblStylePr>
    <w:tblStylePr w:type="band1Horz">
      <w:pPr>
        <w:snapToGrid/>
      </w:pPr>
      <w:rPr>
        <w:rFonts w:ascii="Arial" w:hAnsi="Arial"/>
        <w:color w:val="404040"/>
        <w:sz w:val="22"/>
      </w:rPr>
      <w:tblPr/>
      <w:tcPr>
        <w:shd w:val="clear" w:color="FFFFFF" w:fill="D1EA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2"/>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pPr>
        <w:snapToGrid/>
      </w:pPr>
      <w:rPr>
        <w:rFonts w:ascii="Arial" w:hAnsi="Arial"/>
        <w:b/>
        <w:color w:val="FFFFFF"/>
        <w:sz w:val="22"/>
      </w:rPr>
      <w:tblPr/>
      <w:tcPr>
        <w:shd w:val="clear" w:color="FFFFFF" w:fill="F79646"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DE4D0" w:themeFill="accent6" w:themeFillTint="40"/>
      </w:tcPr>
    </w:tblStylePr>
    <w:tblStylePr w:type="band2Vert">
      <w:pPr>
        <w:snapToGrid/>
      </w:pPr>
    </w:tblStylePr>
    <w:tblStylePr w:type="band1Horz">
      <w:pPr>
        <w:snapToGrid/>
      </w:pPr>
      <w:rPr>
        <w:rFonts w:ascii="Arial" w:hAnsi="Arial"/>
        <w:color w:val="404040"/>
        <w:sz w:val="22"/>
      </w:rPr>
      <w:tblPr/>
      <w:tcPr>
        <w:shd w:val="clear" w:color="FFFFFF" w:fill="FDE4D0"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53">
    <w:name w:val="List Table 5 Dark"/>
    <w:basedOn w:val="a2"/>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2"/>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pPr>
        <w:snapToGrid/>
      </w:pPr>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4F81BD" w:themeColor="accent1"/>
        </w:tcBorders>
      </w:tcPr>
    </w:tblStylePr>
    <w:tblStylePr w:type="band1Vert">
      <w:pPr>
        <w:snapToGrid/>
      </w:pPr>
      <w:tblPr/>
      <w:tcPr>
        <w:tcBorders>
          <w:left w:val="single" w:sz="4" w:space="0" w:color="FFFFFF" w:themeColor="light1"/>
          <w:right w:val="single" w:sz="4" w:space="0" w:color="FFFFFF" w:themeColor="light1"/>
        </w:tcBorders>
        <w:shd w:val="clear" w:color="FFFFFF" w:fill="4F81BD"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4F81BD" w:themeFill="accent1"/>
      </w:tcPr>
    </w:tblStylePr>
    <w:tblStylePr w:type="band2Horz">
      <w:pPr>
        <w:snapToGrid/>
      </w:pPr>
      <w:tblPr/>
      <w:tcPr>
        <w:tcBorders>
          <w:top w:val="single" w:sz="4" w:space="0" w:color="FFFFFF" w:themeColor="light1"/>
          <w:bottom w:val="single" w:sz="4" w:space="0" w:color="FFFFFF" w:themeColor="light1"/>
        </w:tcBorders>
        <w:shd w:val="clear" w:color="FFFFFF" w:fill="4F81BD"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2"/>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pPr>
        <w:snapToGrid/>
      </w:pPr>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D99695"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FFFFF" w:fill="D99695"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2"/>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pPr>
        <w:snapToGrid/>
      </w:pPr>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3D69B"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FFFFFF" w:fill="C3D69B"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2"/>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pPr>
        <w:snapToGrid/>
      </w:pPr>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B2A1C6"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FFFF" w:fill="B2A1C6"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2"/>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pPr>
        <w:snapToGrid/>
      </w:pPr>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92CCDC"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FFFFFF" w:fill="92CCDC"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2"/>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pPr>
        <w:snapToGrid/>
      </w:pPr>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FAC090"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FFFFFF" w:fill="FAC090"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62">
    <w:name w:val="List Table 6 Colorful"/>
    <w:basedOn w:val="a2"/>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2"/>
    <w:uiPriority w:val="99"/>
    <w:tblPr>
      <w:tblStyleRowBandSize w:val="1"/>
      <w:tblStyleColBandSize w:val="1"/>
      <w:tblBorders>
        <w:top w:val="single" w:sz="4" w:space="0" w:color="4F81BD" w:themeColor="accent1"/>
        <w:bottom w:val="single" w:sz="4" w:space="0" w:color="4F81BD" w:themeColor="accent1"/>
      </w:tblBorders>
    </w:tblPr>
    <w:tblStylePr w:type="firstRow">
      <w:pPr>
        <w:snapToGrid/>
      </w:pPr>
      <w:rPr>
        <w:b/>
        <w:color w:val="2A4A71" w:themeColor="accent1" w:themeShade="95"/>
      </w:rPr>
      <w:tblPr/>
      <w:tcPr>
        <w:tcBorders>
          <w:bottom w:val="single" w:sz="4" w:space="0" w:color="4F81BD" w:themeColor="accent1"/>
        </w:tcBorders>
      </w:tcPr>
    </w:tblStylePr>
    <w:tblStylePr w:type="lastRow">
      <w:pPr>
        <w:snapToGrid/>
      </w:pPr>
      <w:rPr>
        <w:b/>
        <w:color w:val="2A4A71" w:themeColor="accent1" w:themeShade="95"/>
      </w:rPr>
      <w:tblPr/>
      <w:tcPr>
        <w:tcBorders>
          <w:top w:val="single" w:sz="4" w:space="0" w:color="4F81BD" w:themeColor="accent1"/>
        </w:tcBorders>
      </w:tcPr>
    </w:tblStylePr>
    <w:tblStylePr w:type="firstCol">
      <w:pPr>
        <w:snapToGrid/>
      </w:pPr>
      <w:rPr>
        <w:b/>
        <w:color w:val="2A4A71" w:themeColor="accent1" w:themeShade="95"/>
      </w:rPr>
    </w:tblStylePr>
    <w:tblStylePr w:type="lastCol">
      <w:pPr>
        <w:snapToGrid/>
      </w:pPr>
      <w:rPr>
        <w:b/>
        <w:color w:val="2A4A71" w:themeColor="accent1" w:themeShade="95"/>
      </w:r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2"/>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pPr>
        <w:snapToGrid/>
      </w:pPr>
      <w:rPr>
        <w:b/>
        <w:color w:val="D99695" w:themeColor="accent2" w:themeTint="97" w:themeShade="95"/>
      </w:rPr>
      <w:tblPr/>
      <w:tcPr>
        <w:tcBorders>
          <w:bottom w:val="single" w:sz="4" w:space="0" w:color="D99695" w:themeColor="accent2" w:themeTint="97"/>
        </w:tcBorders>
      </w:tcPr>
    </w:tblStylePr>
    <w:tblStylePr w:type="lastRow">
      <w:pPr>
        <w:snapToGrid/>
      </w:pPr>
      <w:rPr>
        <w:b/>
        <w:color w:val="D99695" w:themeColor="accent2" w:themeTint="97" w:themeShade="95"/>
      </w:rPr>
      <w:tblPr/>
      <w:tcPr>
        <w:tcBorders>
          <w:top w:val="single" w:sz="4" w:space="0" w:color="D99695" w:themeColor="accent2" w:themeTint="97"/>
        </w:tcBorders>
      </w:tcPr>
    </w:tblStylePr>
    <w:tblStylePr w:type="firstCol">
      <w:pPr>
        <w:snapToGrid/>
      </w:pPr>
      <w:rPr>
        <w:b/>
        <w:color w:val="D99695" w:themeColor="accent2" w:themeTint="97" w:themeShade="95"/>
      </w:rPr>
    </w:tblStylePr>
    <w:tblStylePr w:type="lastCol">
      <w:pPr>
        <w:snapToGrid/>
      </w:pPr>
      <w:rPr>
        <w:b/>
        <w:color w:val="D99695" w:themeColor="accent2" w:themeTint="97" w:themeShade="95"/>
      </w:r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2"/>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pPr>
        <w:snapToGrid/>
      </w:pPr>
      <w:rPr>
        <w:b/>
        <w:color w:val="C3D69B" w:themeColor="accent3" w:themeTint="98" w:themeShade="95"/>
      </w:rPr>
      <w:tblPr/>
      <w:tcPr>
        <w:tcBorders>
          <w:bottom w:val="single" w:sz="4" w:space="0" w:color="C3D69B" w:themeColor="accent3" w:themeTint="98"/>
        </w:tcBorders>
      </w:tcPr>
    </w:tblStylePr>
    <w:tblStylePr w:type="lastRow">
      <w:pPr>
        <w:snapToGrid/>
      </w:pPr>
      <w:rPr>
        <w:b/>
        <w:color w:val="C3D69B" w:themeColor="accent3" w:themeTint="98" w:themeShade="95"/>
      </w:rPr>
      <w:tblPr/>
      <w:tcPr>
        <w:tcBorders>
          <w:top w:val="single" w:sz="4" w:space="0" w:color="C3D69B" w:themeColor="accent3" w:themeTint="98"/>
        </w:tcBorders>
      </w:tcPr>
    </w:tblStylePr>
    <w:tblStylePr w:type="firstCol">
      <w:pPr>
        <w:snapToGrid/>
      </w:pPr>
      <w:rPr>
        <w:b/>
        <w:color w:val="C3D69B" w:themeColor="accent3" w:themeTint="98" w:themeShade="95"/>
      </w:rPr>
    </w:tblStylePr>
    <w:tblStylePr w:type="lastCol">
      <w:pPr>
        <w:snapToGrid/>
      </w:pPr>
      <w:rPr>
        <w:b/>
        <w:color w:val="C3D69B" w:themeColor="accent3" w:themeTint="98" w:themeShade="95"/>
      </w:r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2"/>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pPr>
        <w:snapToGrid/>
      </w:pPr>
      <w:rPr>
        <w:b/>
        <w:color w:val="B2A1C6" w:themeColor="accent4" w:themeTint="9A" w:themeShade="95"/>
      </w:rPr>
      <w:tblPr/>
      <w:tcPr>
        <w:tcBorders>
          <w:bottom w:val="single" w:sz="4" w:space="0" w:color="B2A1C6" w:themeColor="accent4" w:themeTint="9A"/>
        </w:tcBorders>
      </w:tcPr>
    </w:tblStylePr>
    <w:tblStylePr w:type="lastRow">
      <w:pPr>
        <w:snapToGrid/>
      </w:pPr>
      <w:rPr>
        <w:b/>
        <w:color w:val="B2A1C6" w:themeColor="accent4" w:themeTint="9A" w:themeShade="95"/>
      </w:rPr>
      <w:tblPr/>
      <w:tcPr>
        <w:tcBorders>
          <w:top w:val="single" w:sz="4" w:space="0" w:color="B2A1C6" w:themeColor="accent4" w:themeTint="9A"/>
        </w:tcBorders>
      </w:tcPr>
    </w:tblStylePr>
    <w:tblStylePr w:type="firstCol">
      <w:pPr>
        <w:snapToGrid/>
      </w:pPr>
      <w:rPr>
        <w:b/>
        <w:color w:val="B2A1C6" w:themeColor="accent4" w:themeTint="9A" w:themeShade="95"/>
      </w:rPr>
    </w:tblStylePr>
    <w:tblStylePr w:type="lastCol">
      <w:pPr>
        <w:snapToGrid/>
      </w:pPr>
      <w:rPr>
        <w:b/>
        <w:color w:val="B2A1C6" w:themeColor="accent4" w:themeTint="9A" w:themeShade="95"/>
      </w:r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2"/>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pPr>
        <w:snapToGrid/>
      </w:pPr>
      <w:rPr>
        <w:b/>
        <w:color w:val="92CCDC" w:themeColor="accent5" w:themeTint="9A" w:themeShade="95"/>
      </w:rPr>
      <w:tblPr/>
      <w:tcPr>
        <w:tcBorders>
          <w:bottom w:val="single" w:sz="4" w:space="0" w:color="92CCDC" w:themeColor="accent5" w:themeTint="9A"/>
        </w:tcBorders>
      </w:tcPr>
    </w:tblStylePr>
    <w:tblStylePr w:type="lastRow">
      <w:pPr>
        <w:snapToGrid/>
      </w:pPr>
      <w:rPr>
        <w:b/>
        <w:color w:val="92CCDC" w:themeColor="accent5" w:themeTint="9A" w:themeShade="95"/>
      </w:rPr>
      <w:tblPr/>
      <w:tcPr>
        <w:tcBorders>
          <w:top w:val="single" w:sz="4" w:space="0" w:color="92CCDC" w:themeColor="accent5" w:themeTint="9A"/>
        </w:tcBorders>
      </w:tcPr>
    </w:tblStylePr>
    <w:tblStylePr w:type="firstCol">
      <w:pPr>
        <w:snapToGrid/>
      </w:pPr>
      <w:rPr>
        <w:b/>
        <w:color w:val="92CCDC" w:themeColor="accent5" w:themeTint="9A" w:themeShade="95"/>
      </w:rPr>
    </w:tblStylePr>
    <w:tblStylePr w:type="lastCol">
      <w:pPr>
        <w:snapToGrid/>
      </w:pPr>
      <w:rPr>
        <w:b/>
        <w:color w:val="92CCDC" w:themeColor="accent5" w:themeTint="9A" w:themeShade="95"/>
      </w:r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2"/>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pPr>
        <w:snapToGrid/>
      </w:pPr>
      <w:rPr>
        <w:b/>
        <w:color w:val="FAC090" w:themeColor="accent6" w:themeTint="98" w:themeShade="95"/>
      </w:rPr>
      <w:tblPr/>
      <w:tcPr>
        <w:tcBorders>
          <w:bottom w:val="single" w:sz="4" w:space="0" w:color="FAC090" w:themeColor="accent6" w:themeTint="98"/>
        </w:tcBorders>
      </w:tcPr>
    </w:tblStylePr>
    <w:tblStylePr w:type="lastRow">
      <w:pPr>
        <w:snapToGrid/>
      </w:pPr>
      <w:rPr>
        <w:b/>
        <w:color w:val="FAC090" w:themeColor="accent6" w:themeTint="98" w:themeShade="95"/>
      </w:rPr>
      <w:tblPr/>
      <w:tcPr>
        <w:tcBorders>
          <w:top w:val="single" w:sz="4" w:space="0" w:color="FAC090" w:themeColor="accent6" w:themeTint="98"/>
        </w:tcBorders>
      </w:tcPr>
    </w:tblStylePr>
    <w:tblStylePr w:type="firstCol">
      <w:pPr>
        <w:snapToGrid/>
      </w:pPr>
      <w:rPr>
        <w:b/>
        <w:color w:val="FAC090" w:themeColor="accent6" w:themeTint="98" w:themeShade="95"/>
      </w:rPr>
    </w:tblStylePr>
    <w:tblStylePr w:type="lastCol">
      <w:pPr>
        <w:snapToGrid/>
      </w:pPr>
      <w:rPr>
        <w:b/>
        <w:color w:val="FAC090" w:themeColor="accent6" w:themeTint="98" w:themeShade="95"/>
      </w:r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72">
    <w:name w:val="List Table 7 Colorful"/>
    <w:basedOn w:val="a2"/>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2"/>
    <w:uiPriority w:val="99"/>
    <w:tblPr>
      <w:tblStyleRowBandSize w:val="1"/>
      <w:tblStyleColBandSize w:val="1"/>
      <w:tblBorders>
        <w:right w:val="single" w:sz="4" w:space="0" w:color="4F81BD" w:themeColor="accent1"/>
      </w:tblBorders>
    </w:tblPr>
    <w:tblStylePr w:type="firstRow">
      <w:pPr>
        <w:snapToGrid/>
      </w:pPr>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pPr>
        <w:snapToGrid/>
      </w:pPr>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pPr>
        <w:snapToGrid/>
      </w:pPr>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pPr>
        <w:snapToGrid/>
      </w:pPr>
      <w:tblPr/>
      <w:tcPr>
        <w:shd w:val="clear" w:color="FFFFFF" w:fill="D2DFEE" w:themeFill="accent1" w:themeFillTint="40"/>
      </w:tcPr>
    </w:tblStylePr>
    <w:tblStylePr w:type="band2Vert">
      <w:pPr>
        <w:snapToGrid/>
      </w:pPr>
    </w:tblStylePr>
    <w:tblStylePr w:type="band1Horz">
      <w:pPr>
        <w:snapToGrid/>
      </w:pPr>
      <w:rPr>
        <w:rFonts w:ascii="Arial" w:hAnsi="Arial"/>
        <w:color w:val="2A4A71" w:themeColor="accent1" w:themeShade="95"/>
        <w:sz w:val="22"/>
      </w:rPr>
      <w:tblPr/>
      <w:tcPr>
        <w:shd w:val="clear" w:color="FFFFFF" w:fill="D2DFEE" w:themeFill="accent1" w:themeFillTint="40"/>
      </w:tcPr>
    </w:tblStylePr>
    <w:tblStylePr w:type="band2Horz">
      <w:pPr>
        <w:snapToGrid/>
      </w:pPr>
      <w:rPr>
        <w:rFonts w:ascii="Arial" w:hAnsi="Arial"/>
        <w:color w:val="2A4A71"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2"/>
    <w:uiPriority w:val="99"/>
    <w:tblPr>
      <w:tblStyleRowBandSize w:val="1"/>
      <w:tblStyleColBandSize w:val="1"/>
      <w:tblBorders>
        <w:right w:val="single" w:sz="4" w:space="0" w:color="D99695" w:themeColor="accent2" w:themeTint="97"/>
      </w:tblBorders>
    </w:tblPr>
    <w:tblStylePr w:type="firstRow">
      <w:pPr>
        <w:snapToGrid/>
      </w:pPr>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pPr>
        <w:snapToGrid/>
      </w:pPr>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pPr>
        <w:snapToGrid/>
      </w:pPr>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pPr>
        <w:snapToGrid/>
      </w:pPr>
      <w:tblPr/>
      <w:tcPr>
        <w:shd w:val="clear" w:color="FFFFFF" w:fill="EFD2D2" w:themeFill="accent2" w:themeFillTint="40"/>
      </w:tcPr>
    </w:tblStylePr>
    <w:tblStylePr w:type="band2Vert">
      <w:pPr>
        <w:snapToGrid/>
      </w:pPr>
    </w:tblStylePr>
    <w:tblStylePr w:type="band1Horz">
      <w:pPr>
        <w:snapToGrid/>
      </w:pPr>
      <w:rPr>
        <w:rFonts w:ascii="Arial" w:hAnsi="Arial"/>
        <w:color w:val="D99695" w:themeColor="accent2" w:themeTint="97" w:themeShade="95"/>
        <w:sz w:val="22"/>
      </w:rPr>
      <w:tblPr/>
      <w:tcPr>
        <w:shd w:val="clear" w:color="FFFFFF" w:fill="EFD2D2" w:themeFill="accent2" w:themeFillTint="40"/>
      </w:tcPr>
    </w:tblStylePr>
    <w:tblStylePr w:type="band2Horz">
      <w:pPr>
        <w:snapToGrid/>
      </w:pPr>
      <w:rPr>
        <w:rFonts w:ascii="Arial" w:hAnsi="Arial"/>
        <w:color w:val="D99695"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2"/>
    <w:uiPriority w:val="99"/>
    <w:tblPr>
      <w:tblStyleRowBandSize w:val="1"/>
      <w:tblStyleColBandSize w:val="1"/>
      <w:tblBorders>
        <w:right w:val="single" w:sz="4" w:space="0" w:color="C3D69B" w:themeColor="accent3" w:themeTint="98"/>
      </w:tblBorders>
    </w:tblPr>
    <w:tblStylePr w:type="firstRow">
      <w:pPr>
        <w:snapToGrid/>
      </w:pPr>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pPr>
        <w:snapToGrid/>
      </w:pPr>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pPr>
        <w:snapToGrid/>
      </w:pPr>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pPr>
        <w:snapToGrid/>
      </w:pPr>
      <w:tblPr/>
      <w:tcPr>
        <w:shd w:val="clear" w:color="FFFFFF" w:fill="E5EED5" w:themeFill="accent3" w:themeFillTint="40"/>
      </w:tcPr>
    </w:tblStylePr>
    <w:tblStylePr w:type="band2Vert">
      <w:pPr>
        <w:snapToGrid/>
      </w:pPr>
    </w:tblStylePr>
    <w:tblStylePr w:type="band1Horz">
      <w:pPr>
        <w:snapToGrid/>
      </w:pPr>
      <w:rPr>
        <w:rFonts w:ascii="Arial" w:hAnsi="Arial"/>
        <w:color w:val="C3D69B" w:themeColor="accent3" w:themeTint="98" w:themeShade="95"/>
        <w:sz w:val="22"/>
      </w:rPr>
      <w:tblPr/>
      <w:tcPr>
        <w:shd w:val="clear" w:color="FFFFFF" w:fill="E5EED5" w:themeFill="accent3" w:themeFillTint="40"/>
      </w:tcPr>
    </w:tblStylePr>
    <w:tblStylePr w:type="band2Horz">
      <w:pPr>
        <w:snapToGrid/>
      </w:pPr>
      <w:rPr>
        <w:rFonts w:ascii="Arial" w:hAnsi="Arial"/>
        <w:color w:val="C3D69B"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2"/>
    <w:uiPriority w:val="99"/>
    <w:tblPr>
      <w:tblStyleRowBandSize w:val="1"/>
      <w:tblStyleColBandSize w:val="1"/>
      <w:tblBorders>
        <w:right w:val="single" w:sz="4" w:space="0" w:color="B2A1C6" w:themeColor="accent4" w:themeTint="9A"/>
      </w:tblBorders>
    </w:tblPr>
    <w:tblStylePr w:type="firstRow">
      <w:pPr>
        <w:snapToGrid/>
      </w:pPr>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pPr>
        <w:snapToGrid/>
      </w:pPr>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pPr>
        <w:snapToGrid/>
      </w:pPr>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pPr>
        <w:snapToGrid/>
      </w:pPr>
      <w:tblPr/>
      <w:tcPr>
        <w:shd w:val="clear" w:color="FFFFFF" w:fill="DFD8E7" w:themeFill="accent4" w:themeFillTint="40"/>
      </w:tcPr>
    </w:tblStylePr>
    <w:tblStylePr w:type="band2Vert">
      <w:pPr>
        <w:snapToGrid/>
      </w:pPr>
    </w:tblStylePr>
    <w:tblStylePr w:type="band1Horz">
      <w:pPr>
        <w:snapToGrid/>
      </w:pPr>
      <w:rPr>
        <w:rFonts w:ascii="Arial" w:hAnsi="Arial"/>
        <w:color w:val="B2A1C6" w:themeColor="accent4" w:themeTint="9A" w:themeShade="95"/>
        <w:sz w:val="22"/>
      </w:rPr>
      <w:tblPr/>
      <w:tcPr>
        <w:shd w:val="clear" w:color="FFFFFF" w:fill="DFD8E7" w:themeFill="accent4" w:themeFillTint="40"/>
      </w:tcPr>
    </w:tblStylePr>
    <w:tblStylePr w:type="band2Horz">
      <w:pPr>
        <w:snapToGrid/>
      </w:pPr>
      <w:rPr>
        <w:rFonts w:ascii="Arial" w:hAnsi="Arial"/>
        <w:color w:val="B2A1C6"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2"/>
    <w:uiPriority w:val="99"/>
    <w:tblPr>
      <w:tblStyleRowBandSize w:val="1"/>
      <w:tblStyleColBandSize w:val="1"/>
      <w:tblBorders>
        <w:right w:val="single" w:sz="4" w:space="0" w:color="92CCDC" w:themeColor="accent5" w:themeTint="9A"/>
      </w:tblBorders>
    </w:tblPr>
    <w:tblStylePr w:type="firstRow">
      <w:pPr>
        <w:snapToGrid/>
      </w:pPr>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pPr>
        <w:snapToGrid/>
      </w:pPr>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pPr>
        <w:snapToGrid/>
      </w:pPr>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pPr>
        <w:snapToGrid/>
      </w:pPr>
      <w:tblPr/>
      <w:tcPr>
        <w:shd w:val="clear" w:color="FFFFFF" w:fill="D1EAF0" w:themeFill="accent5" w:themeFillTint="40"/>
      </w:tcPr>
    </w:tblStylePr>
    <w:tblStylePr w:type="band2Vert">
      <w:pPr>
        <w:snapToGrid/>
      </w:pPr>
    </w:tblStylePr>
    <w:tblStylePr w:type="band1Horz">
      <w:pPr>
        <w:snapToGrid/>
      </w:pPr>
      <w:rPr>
        <w:rFonts w:ascii="Arial" w:hAnsi="Arial"/>
        <w:color w:val="92CCDC" w:themeColor="accent5" w:themeTint="9A" w:themeShade="95"/>
        <w:sz w:val="22"/>
      </w:rPr>
      <w:tblPr/>
      <w:tcPr>
        <w:shd w:val="clear" w:color="FFFFFF" w:fill="D1EAF0" w:themeFill="accent5" w:themeFillTint="40"/>
      </w:tcPr>
    </w:tblStylePr>
    <w:tblStylePr w:type="band2Horz">
      <w:pPr>
        <w:snapToGrid/>
      </w:pPr>
      <w:rPr>
        <w:rFonts w:ascii="Arial" w:hAnsi="Arial"/>
        <w:color w:val="92CCDC"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2"/>
    <w:uiPriority w:val="99"/>
    <w:tblPr>
      <w:tblStyleRowBandSize w:val="1"/>
      <w:tblStyleColBandSize w:val="1"/>
      <w:tblBorders>
        <w:right w:val="single" w:sz="4" w:space="0" w:color="FAC090" w:themeColor="accent6" w:themeTint="98"/>
      </w:tblBorders>
    </w:tblPr>
    <w:tblStylePr w:type="firstRow">
      <w:pPr>
        <w:snapToGrid/>
      </w:pPr>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pPr>
        <w:snapToGrid/>
      </w:pPr>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pPr>
        <w:snapToGrid/>
      </w:pPr>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pPr>
        <w:snapToGrid/>
      </w:pPr>
      <w:tblPr/>
      <w:tcPr>
        <w:shd w:val="clear" w:color="FFFFFF" w:fill="FDE4D0" w:themeFill="accent6" w:themeFillTint="40"/>
      </w:tcPr>
    </w:tblStylePr>
    <w:tblStylePr w:type="band2Vert">
      <w:pPr>
        <w:snapToGrid/>
      </w:pPr>
    </w:tblStylePr>
    <w:tblStylePr w:type="band1Horz">
      <w:pPr>
        <w:snapToGrid/>
      </w:pPr>
      <w:rPr>
        <w:rFonts w:ascii="Arial" w:hAnsi="Arial"/>
        <w:color w:val="FAC090" w:themeColor="accent6" w:themeTint="98" w:themeShade="95"/>
        <w:sz w:val="22"/>
      </w:rPr>
      <w:tblPr/>
      <w:tcPr>
        <w:shd w:val="clear" w:color="FFFFFF" w:fill="FDE4D0" w:themeFill="accent6" w:themeFillTint="40"/>
      </w:tcPr>
    </w:tblStylePr>
    <w:tblStylePr w:type="band2Horz">
      <w:pPr>
        <w:snapToGrid/>
      </w:pPr>
      <w:rPr>
        <w:rFonts w:ascii="Arial" w:hAnsi="Arial"/>
        <w:color w:val="FAC090"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2"/>
    <w:uiPriority w:val="99"/>
    <w:rPr>
      <w:color w:val="404040"/>
    </w:rPr>
    <w:tblPr>
      <w:tblStyleRowBandSize w:val="1"/>
      <w:tblStyleColBandSize w:val="1"/>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2"/>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FFFFFF" w:fill="7F7F7F" w:themeFill="text1" w:themeFillTint="80"/>
      </w:tcPr>
    </w:tblStylePr>
    <w:tblStylePr w:type="lastRow">
      <w:pPr>
        <w:snapToGrid/>
      </w:pPr>
      <w:rPr>
        <w:rFonts w:ascii="Arial" w:hAnsi="Arial"/>
        <w:color w:val="F2F2F2"/>
        <w:sz w:val="22"/>
      </w:rPr>
      <w:tblPr/>
      <w:tcPr>
        <w:shd w:val="clear" w:color="FFFFFF" w:fill="7F7F7F" w:themeFill="text1" w:themeFillTint="80"/>
      </w:tcPr>
    </w:tblStylePr>
    <w:tblStylePr w:type="firstCol">
      <w:pPr>
        <w:snapToGrid/>
      </w:pPr>
      <w:rPr>
        <w:rFonts w:ascii="Arial" w:hAnsi="Arial"/>
        <w:color w:val="F2F2F2"/>
        <w:sz w:val="22"/>
      </w:rPr>
      <w:tblPr/>
      <w:tcPr>
        <w:shd w:val="clear" w:color="FFFFFF" w:fill="7F7F7F" w:themeFill="text1" w:themeFillTint="80"/>
      </w:tcPr>
    </w:tblStylePr>
    <w:tblStylePr w:type="lastCol">
      <w:pPr>
        <w:snapToGrid/>
      </w:pPr>
      <w:rPr>
        <w:rFonts w:ascii="Arial" w:hAnsi="Arial"/>
        <w:color w:val="F2F2F2"/>
        <w:sz w:val="22"/>
      </w:rPr>
      <w:tblPr/>
      <w:tcPr>
        <w:shd w:val="clear" w:color="FFFFF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2"/>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pPr>
        <w:snapToGrid/>
      </w:pPr>
      <w:rPr>
        <w:rFonts w:ascii="Arial" w:hAnsi="Arial"/>
        <w:color w:val="F2F2F2"/>
        <w:sz w:val="22"/>
      </w:rPr>
      <w:tblPr/>
      <w:tcPr>
        <w:shd w:val="clear" w:color="FFFFFF" w:fill="5D8AC2" w:themeFill="accent1" w:themeFillTint="EA"/>
      </w:tcPr>
    </w:tblStylePr>
    <w:tblStylePr w:type="lastRow">
      <w:pPr>
        <w:snapToGrid/>
      </w:pPr>
      <w:rPr>
        <w:rFonts w:ascii="Arial" w:hAnsi="Arial"/>
        <w:color w:val="F2F2F2"/>
        <w:sz w:val="22"/>
      </w:rPr>
      <w:tblPr/>
      <w:tcPr>
        <w:shd w:val="clear" w:color="FFFFFF" w:fill="5D8AC2" w:themeFill="accent1" w:themeFillTint="EA"/>
      </w:tcPr>
    </w:tblStylePr>
    <w:tblStylePr w:type="firstCol">
      <w:pPr>
        <w:snapToGrid/>
      </w:pPr>
      <w:rPr>
        <w:rFonts w:ascii="Arial" w:hAnsi="Arial"/>
        <w:color w:val="F2F2F2"/>
        <w:sz w:val="22"/>
      </w:rPr>
      <w:tblPr/>
      <w:tcPr>
        <w:shd w:val="clear" w:color="FFFFFF" w:fill="5D8AC2" w:themeFill="accent1" w:themeFillTint="EA"/>
      </w:tcPr>
    </w:tblStylePr>
    <w:tblStylePr w:type="lastCol">
      <w:pPr>
        <w:snapToGrid/>
      </w:pPr>
      <w:rPr>
        <w:rFonts w:ascii="Arial" w:hAnsi="Arial"/>
        <w:color w:val="F2F2F2"/>
        <w:sz w:val="22"/>
      </w:rPr>
      <w:tblPr/>
      <w:tcPr>
        <w:shd w:val="clear" w:color="FFFFFF" w:fill="5D8AC2"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C7D7EA"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C7D7EA"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2"/>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pPr>
        <w:snapToGrid/>
      </w:pPr>
      <w:rPr>
        <w:rFonts w:ascii="Arial" w:hAnsi="Arial"/>
        <w:color w:val="F2F2F2"/>
        <w:sz w:val="22"/>
      </w:rPr>
      <w:tblPr/>
      <w:tcPr>
        <w:shd w:val="clear" w:color="FFFFFF" w:fill="D99695" w:themeFill="accent2" w:themeFillTint="97"/>
      </w:tcPr>
    </w:tblStylePr>
    <w:tblStylePr w:type="lastRow">
      <w:pPr>
        <w:snapToGrid/>
      </w:pPr>
      <w:rPr>
        <w:rFonts w:ascii="Arial" w:hAnsi="Arial"/>
        <w:color w:val="F2F2F2"/>
        <w:sz w:val="22"/>
      </w:rPr>
      <w:tblPr/>
      <w:tcPr>
        <w:shd w:val="clear" w:color="FFFFFF" w:fill="D99695" w:themeFill="accent2" w:themeFillTint="97"/>
      </w:tcPr>
    </w:tblStylePr>
    <w:tblStylePr w:type="firstCol">
      <w:pPr>
        <w:snapToGrid/>
      </w:pPr>
      <w:rPr>
        <w:rFonts w:ascii="Arial" w:hAnsi="Arial"/>
        <w:color w:val="F2F2F2"/>
        <w:sz w:val="22"/>
      </w:rPr>
      <w:tblPr/>
      <w:tcPr>
        <w:shd w:val="clear" w:color="FFFFFF" w:fill="D99695" w:themeFill="accent2" w:themeFillTint="97"/>
      </w:tcPr>
    </w:tblStylePr>
    <w:tblStylePr w:type="lastCol">
      <w:pPr>
        <w:snapToGrid/>
      </w:pPr>
      <w:rPr>
        <w:rFonts w:ascii="Arial" w:hAnsi="Arial"/>
        <w:color w:val="F2F2F2"/>
        <w:sz w:val="22"/>
      </w:rPr>
      <w:tblPr/>
      <w:tcPr>
        <w:shd w:val="clear" w:color="FFFFFF" w:fill="D99695"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2DCDC"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2DCDC"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2"/>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pPr>
        <w:snapToGrid/>
      </w:pPr>
      <w:rPr>
        <w:rFonts w:ascii="Arial" w:hAnsi="Arial"/>
        <w:color w:val="F2F2F2"/>
        <w:sz w:val="22"/>
      </w:rPr>
      <w:tblPr/>
      <w:tcPr>
        <w:shd w:val="clear" w:color="FFFFFF" w:fill="9ABB59" w:themeFill="accent3" w:themeFillTint="FE"/>
      </w:tcPr>
    </w:tblStylePr>
    <w:tblStylePr w:type="lastRow">
      <w:pPr>
        <w:snapToGrid/>
      </w:pPr>
      <w:rPr>
        <w:rFonts w:ascii="Arial" w:hAnsi="Arial"/>
        <w:color w:val="F2F2F2"/>
        <w:sz w:val="22"/>
      </w:rPr>
      <w:tblPr/>
      <w:tcPr>
        <w:shd w:val="clear" w:color="FFFFFF" w:fill="9ABB59" w:themeFill="accent3" w:themeFillTint="FE"/>
      </w:tcPr>
    </w:tblStylePr>
    <w:tblStylePr w:type="firstCol">
      <w:pPr>
        <w:snapToGrid/>
      </w:pPr>
      <w:rPr>
        <w:rFonts w:ascii="Arial" w:hAnsi="Arial"/>
        <w:color w:val="F2F2F2"/>
        <w:sz w:val="22"/>
      </w:rPr>
      <w:tblPr/>
      <w:tcPr>
        <w:shd w:val="clear" w:color="FFFFFF" w:fill="9ABB59" w:themeFill="accent3" w:themeFillTint="FE"/>
      </w:tcPr>
    </w:tblStylePr>
    <w:tblStylePr w:type="lastCol">
      <w:pPr>
        <w:snapToGrid/>
      </w:pPr>
      <w:rPr>
        <w:rFonts w:ascii="Arial" w:hAnsi="Arial"/>
        <w:color w:val="F2F2F2"/>
        <w:sz w:val="22"/>
      </w:rPr>
      <w:tblPr/>
      <w:tcPr>
        <w:shd w:val="clear" w:color="FFFFFF" w:fill="9ABB59"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AF1D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AF1D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2"/>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pPr>
        <w:snapToGrid/>
      </w:pPr>
      <w:rPr>
        <w:rFonts w:ascii="Arial" w:hAnsi="Arial"/>
        <w:color w:val="F2F2F2"/>
        <w:sz w:val="22"/>
      </w:rPr>
      <w:tblPr/>
      <w:tcPr>
        <w:shd w:val="clear" w:color="FFFFFF" w:fill="B2A1C6" w:themeFill="accent4" w:themeFillTint="9A"/>
      </w:tcPr>
    </w:tblStylePr>
    <w:tblStylePr w:type="lastRow">
      <w:pPr>
        <w:snapToGrid/>
      </w:pPr>
      <w:rPr>
        <w:rFonts w:ascii="Arial" w:hAnsi="Arial"/>
        <w:color w:val="F2F2F2"/>
        <w:sz w:val="22"/>
      </w:rPr>
      <w:tblPr/>
      <w:tcPr>
        <w:shd w:val="clear" w:color="FFFFFF" w:fill="B2A1C6" w:themeFill="accent4" w:themeFillTint="9A"/>
      </w:tcPr>
    </w:tblStylePr>
    <w:tblStylePr w:type="firstCol">
      <w:pPr>
        <w:snapToGrid/>
      </w:pPr>
      <w:rPr>
        <w:rFonts w:ascii="Arial" w:hAnsi="Arial"/>
        <w:color w:val="F2F2F2"/>
        <w:sz w:val="22"/>
      </w:rPr>
      <w:tblPr/>
      <w:tcPr>
        <w:shd w:val="clear" w:color="FFFFFF" w:fill="B2A1C6" w:themeFill="accent4" w:themeFillTint="9A"/>
      </w:tcPr>
    </w:tblStylePr>
    <w:tblStylePr w:type="lastCol">
      <w:pPr>
        <w:snapToGrid/>
      </w:pPr>
      <w:rPr>
        <w:rFonts w:ascii="Arial" w:hAnsi="Arial"/>
        <w:color w:val="F2F2F2"/>
        <w:sz w:val="22"/>
      </w:rPr>
      <w:tblPr/>
      <w:tcPr>
        <w:shd w:val="clear" w:color="FFFFFF" w:fill="B2A1C6"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E5DFEC"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E5DFEC"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2"/>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pPr>
        <w:snapToGrid/>
      </w:pPr>
      <w:rPr>
        <w:rFonts w:ascii="Arial" w:hAnsi="Arial"/>
        <w:color w:val="F2F2F2"/>
        <w:sz w:val="22"/>
      </w:rPr>
      <w:tblPr/>
      <w:tcPr>
        <w:shd w:val="clear" w:color="FFFFFF" w:fill="4BACC6" w:themeFill="accent5"/>
      </w:tcPr>
    </w:tblStylePr>
    <w:tblStylePr w:type="lastRow">
      <w:pPr>
        <w:snapToGrid/>
      </w:pPr>
      <w:rPr>
        <w:rFonts w:ascii="Arial" w:hAnsi="Arial"/>
        <w:color w:val="F2F2F2"/>
        <w:sz w:val="22"/>
      </w:rPr>
      <w:tblPr/>
      <w:tcPr>
        <w:shd w:val="clear" w:color="FFFFFF" w:fill="4BACC6" w:themeFill="accent5"/>
      </w:tcPr>
    </w:tblStylePr>
    <w:tblStylePr w:type="firstCol">
      <w:pPr>
        <w:snapToGrid/>
      </w:pPr>
      <w:rPr>
        <w:rFonts w:ascii="Arial" w:hAnsi="Arial"/>
        <w:color w:val="F2F2F2"/>
        <w:sz w:val="22"/>
      </w:rPr>
      <w:tblPr/>
      <w:tcPr>
        <w:shd w:val="clear" w:color="FFFFFF" w:fill="4BACC6" w:themeFill="accent5"/>
      </w:tcPr>
    </w:tblStylePr>
    <w:tblStylePr w:type="lastCol">
      <w:pPr>
        <w:snapToGrid/>
      </w:pPr>
      <w:rPr>
        <w:rFonts w:ascii="Arial" w:hAnsi="Arial"/>
        <w:color w:val="F2F2F2"/>
        <w:sz w:val="22"/>
      </w:rPr>
      <w:tblPr/>
      <w:tcPr>
        <w:shd w:val="clear" w:color="FFFFFF" w:fill="4BACC6"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DAEE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DAEE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2"/>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pPr>
        <w:snapToGrid/>
      </w:pPr>
      <w:rPr>
        <w:rFonts w:ascii="Arial" w:hAnsi="Arial"/>
        <w:color w:val="F2F2F2"/>
        <w:sz w:val="22"/>
      </w:rPr>
      <w:tblPr/>
      <w:tcPr>
        <w:shd w:val="clear" w:color="FFFFFF" w:fill="F79646" w:themeFill="accent6"/>
      </w:tcPr>
    </w:tblStylePr>
    <w:tblStylePr w:type="lastRow">
      <w:pPr>
        <w:snapToGrid/>
      </w:pPr>
      <w:rPr>
        <w:rFonts w:ascii="Arial" w:hAnsi="Arial"/>
        <w:color w:val="F2F2F2"/>
        <w:sz w:val="22"/>
      </w:rPr>
      <w:tblPr/>
      <w:tcPr>
        <w:shd w:val="clear" w:color="FFFFFF" w:fill="F79646" w:themeFill="accent6"/>
      </w:tcPr>
    </w:tblStylePr>
    <w:tblStylePr w:type="firstCol">
      <w:pPr>
        <w:snapToGrid/>
      </w:pPr>
      <w:rPr>
        <w:rFonts w:ascii="Arial" w:hAnsi="Arial"/>
        <w:color w:val="F2F2F2"/>
        <w:sz w:val="22"/>
      </w:rPr>
      <w:tblPr/>
      <w:tcPr>
        <w:shd w:val="clear" w:color="FFFFFF" w:fill="F79646" w:themeFill="accent6"/>
      </w:tcPr>
    </w:tblStylePr>
    <w:tblStylePr w:type="lastCol">
      <w:pPr>
        <w:snapToGrid/>
      </w:pPr>
      <w:rPr>
        <w:rFonts w:ascii="Arial" w:hAnsi="Arial"/>
        <w:color w:val="F2F2F2"/>
        <w:sz w:val="22"/>
      </w:rPr>
      <w:tblPr/>
      <w:tcPr>
        <w:shd w:val="clear" w:color="FFFFFF" w:fill="F79646"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FFF" w:fill="FDE9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FFF" w:fill="FDE9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2"/>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2"/>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pPr>
        <w:snapToGrid/>
      </w:pPr>
      <w:rPr>
        <w:rFonts w:ascii="Arial" w:hAnsi="Arial"/>
        <w:color w:val="404040"/>
        <w:sz w:val="22"/>
      </w:rPr>
      <w:tblPr/>
      <w:tcPr>
        <w:tcBorders>
          <w:bottom w:val="single" w:sz="12" w:space="0" w:color="4F81BD" w:themeColor="accent1"/>
        </w:tcBorders>
      </w:tcPr>
    </w:tblStylePr>
    <w:tblStylePr w:type="lastRow">
      <w:pPr>
        <w:snapToGrid/>
      </w:pPr>
      <w:rPr>
        <w:rFonts w:ascii="Arial" w:hAnsi="Arial"/>
        <w:color w:val="404040"/>
        <w:sz w:val="22"/>
      </w:rPr>
      <w:tblPr/>
      <w:tcPr>
        <w:tcBorders>
          <w:top w:val="single" w:sz="12" w:space="0" w:color="4F81BD"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4F81BD"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2"/>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pPr>
        <w:snapToGrid/>
      </w:pPr>
      <w:rPr>
        <w:rFonts w:ascii="Arial" w:hAnsi="Arial"/>
        <w:color w:val="404040"/>
        <w:sz w:val="22"/>
      </w:rPr>
      <w:tblPr/>
      <w:tcPr>
        <w:tcBorders>
          <w:bottom w:val="single" w:sz="12" w:space="0" w:color="D99695" w:themeColor="accent2" w:themeTint="97"/>
        </w:tcBorders>
      </w:tcPr>
    </w:tblStylePr>
    <w:tblStylePr w:type="lastRow">
      <w:pPr>
        <w:snapToGrid/>
      </w:pPr>
      <w:rPr>
        <w:rFonts w:ascii="Arial" w:hAnsi="Arial"/>
        <w:color w:val="404040"/>
        <w:sz w:val="22"/>
      </w:rPr>
      <w:tblPr/>
      <w:tcPr>
        <w:tcBorders>
          <w:top w:val="single" w:sz="12" w:space="0" w:color="D99695"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D99695"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2"/>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pPr>
        <w:snapToGrid/>
      </w:pPr>
      <w:rPr>
        <w:rFonts w:ascii="Arial" w:hAnsi="Arial"/>
        <w:color w:val="404040"/>
        <w:sz w:val="22"/>
      </w:rPr>
      <w:tblPr/>
      <w:tcPr>
        <w:tcBorders>
          <w:bottom w:val="single" w:sz="12" w:space="0" w:color="C3D69B" w:themeColor="accent3" w:themeTint="98"/>
        </w:tcBorders>
      </w:tcPr>
    </w:tblStylePr>
    <w:tblStylePr w:type="lastRow">
      <w:pPr>
        <w:snapToGrid/>
      </w:pPr>
      <w:rPr>
        <w:rFonts w:ascii="Arial" w:hAnsi="Arial"/>
        <w:color w:val="404040"/>
        <w:sz w:val="22"/>
      </w:rPr>
      <w:tblPr/>
      <w:tcPr>
        <w:tcBorders>
          <w:top w:val="single" w:sz="12" w:space="0" w:color="C3D69B"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3D69B"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2"/>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pPr>
        <w:snapToGrid/>
      </w:pPr>
      <w:rPr>
        <w:rFonts w:ascii="Arial" w:hAnsi="Arial"/>
        <w:color w:val="404040"/>
        <w:sz w:val="22"/>
      </w:rPr>
      <w:tblPr/>
      <w:tcPr>
        <w:tcBorders>
          <w:bottom w:val="single" w:sz="12" w:space="0" w:color="B2A1C6" w:themeColor="accent4" w:themeTint="9A"/>
        </w:tcBorders>
      </w:tcPr>
    </w:tblStylePr>
    <w:tblStylePr w:type="lastRow">
      <w:pPr>
        <w:snapToGrid/>
      </w:pPr>
      <w:rPr>
        <w:rFonts w:ascii="Arial" w:hAnsi="Arial"/>
        <w:color w:val="404040"/>
        <w:sz w:val="22"/>
      </w:rPr>
      <w:tblPr/>
      <w:tcPr>
        <w:tcBorders>
          <w:top w:val="single" w:sz="12" w:space="0" w:color="B2A1C6"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B2A1C6"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2"/>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pPr>
        <w:snapToGrid/>
      </w:pPr>
      <w:rPr>
        <w:rFonts w:ascii="Arial" w:hAnsi="Arial"/>
        <w:color w:val="404040"/>
        <w:sz w:val="22"/>
      </w:rPr>
      <w:tblPr/>
      <w:tcPr>
        <w:tcBorders>
          <w:bottom w:val="single" w:sz="12" w:space="0" w:color="92CCDC" w:themeColor="accent5" w:themeTint="9A"/>
        </w:tcBorders>
      </w:tcPr>
    </w:tblStylePr>
    <w:tblStylePr w:type="lastRow">
      <w:pPr>
        <w:snapToGrid/>
      </w:pPr>
      <w:rPr>
        <w:rFonts w:ascii="Arial" w:hAnsi="Arial"/>
        <w:color w:val="404040"/>
        <w:sz w:val="22"/>
      </w:rPr>
      <w:tblPr/>
      <w:tcPr>
        <w:tcBorders>
          <w:top w:val="single" w:sz="12" w:space="0" w:color="92CCDC"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92CCDC"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2"/>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pPr>
        <w:snapToGrid/>
      </w:pPr>
      <w:rPr>
        <w:rFonts w:ascii="Arial" w:hAnsi="Arial"/>
        <w:color w:val="404040"/>
        <w:sz w:val="22"/>
      </w:rPr>
      <w:tblPr/>
      <w:tcPr>
        <w:tcBorders>
          <w:bottom w:val="single" w:sz="12" w:space="0" w:color="FAC090" w:themeColor="accent6" w:themeTint="98"/>
        </w:tcBorders>
      </w:tcPr>
    </w:tblStylePr>
    <w:tblStylePr w:type="lastRow">
      <w:pPr>
        <w:snapToGrid/>
      </w:pPr>
      <w:rPr>
        <w:rFonts w:ascii="Arial" w:hAnsi="Arial"/>
        <w:color w:val="404040"/>
        <w:sz w:val="22"/>
      </w:rPr>
      <w:tblPr/>
      <w:tcPr>
        <w:tcBorders>
          <w:top w:val="single" w:sz="12" w:space="0" w:color="FAC090"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AC090"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e">
    <w:name w:val="footnote text"/>
    <w:basedOn w:val="a"/>
    <w:link w:val="af"/>
    <w:uiPriority w:val="99"/>
    <w:semiHidden/>
    <w:unhideWhenUsed/>
    <w:pPr>
      <w:spacing w:after="40"/>
    </w:pPr>
    <w:rPr>
      <w:sz w:val="18"/>
    </w:rPr>
  </w:style>
  <w:style w:type="character" w:customStyle="1" w:styleId="af">
    <w:name w:val="脚注文本 字符"/>
    <w:link w:val="ae"/>
    <w:uiPriority w:val="99"/>
    <w:rPr>
      <w:sz w:val="18"/>
    </w:rPr>
  </w:style>
  <w:style w:type="character" w:styleId="af0">
    <w:name w:val="footnote reference"/>
    <w:basedOn w:val="a1"/>
    <w:uiPriority w:val="99"/>
    <w:unhideWhenUsed/>
    <w:rPr>
      <w:vertAlign w:val="superscript"/>
    </w:rPr>
  </w:style>
  <w:style w:type="paragraph" w:styleId="af1">
    <w:name w:val="endnote text"/>
    <w:basedOn w:val="a"/>
    <w:link w:val="af2"/>
    <w:uiPriority w:val="99"/>
    <w:semiHidden/>
    <w:unhideWhenUsed/>
    <w:rPr>
      <w:sz w:val="20"/>
    </w:rPr>
  </w:style>
  <w:style w:type="character" w:customStyle="1" w:styleId="af2">
    <w:name w:val="尾注文本 字符"/>
    <w:link w:val="af1"/>
    <w:uiPriority w:val="99"/>
    <w:rPr>
      <w:sz w:val="20"/>
    </w:rPr>
  </w:style>
  <w:style w:type="character" w:styleId="af3">
    <w:name w:val="endnote reference"/>
    <w:basedOn w:val="a1"/>
    <w:uiPriority w:val="99"/>
    <w:semiHidden/>
    <w:unhideWhenUsed/>
    <w:rPr>
      <w:vertAlign w:val="superscript"/>
    </w:rPr>
  </w:style>
  <w:style w:type="paragraph" w:styleId="TOC3">
    <w:name w:val="toc 3"/>
    <w:basedOn w:val="a"/>
    <w:next w:val="a"/>
    <w:uiPriority w:val="39"/>
    <w:unhideWhenUsed/>
    <w:pPr>
      <w:spacing w:after="57"/>
      <w:ind w:left="567"/>
    </w:pPr>
  </w:style>
  <w:style w:type="paragraph" w:styleId="TOC4">
    <w:name w:val="toc 4"/>
    <w:basedOn w:val="a"/>
    <w:next w:val="a"/>
    <w:uiPriority w:val="39"/>
    <w:unhideWhenUsed/>
    <w:pPr>
      <w:spacing w:after="57"/>
      <w:ind w:left="850"/>
    </w:pPr>
  </w:style>
  <w:style w:type="paragraph" w:styleId="TOC5">
    <w:name w:val="toc 5"/>
    <w:basedOn w:val="a"/>
    <w:next w:val="a"/>
    <w:uiPriority w:val="39"/>
    <w:unhideWhenUsed/>
    <w:pPr>
      <w:spacing w:after="57"/>
      <w:ind w:left="1134"/>
    </w:pPr>
  </w:style>
  <w:style w:type="paragraph" w:styleId="TOC6">
    <w:name w:val="toc 6"/>
    <w:basedOn w:val="a"/>
    <w:next w:val="a"/>
    <w:uiPriority w:val="39"/>
    <w:unhideWhenUsed/>
    <w:pPr>
      <w:spacing w:after="57"/>
      <w:ind w:left="1417"/>
    </w:pPr>
  </w:style>
  <w:style w:type="paragraph" w:styleId="TOC7">
    <w:name w:val="toc 7"/>
    <w:basedOn w:val="a"/>
    <w:next w:val="a"/>
    <w:uiPriority w:val="39"/>
    <w:unhideWhenUsed/>
    <w:pPr>
      <w:spacing w:after="57"/>
      <w:ind w:left="1701"/>
    </w:pPr>
  </w:style>
  <w:style w:type="paragraph" w:styleId="TOC8">
    <w:name w:val="toc 8"/>
    <w:basedOn w:val="a"/>
    <w:next w:val="a"/>
    <w:uiPriority w:val="39"/>
    <w:unhideWhenUsed/>
    <w:pPr>
      <w:spacing w:after="57"/>
      <w:ind w:left="1984"/>
    </w:pPr>
  </w:style>
  <w:style w:type="paragraph" w:styleId="TOC9">
    <w:name w:val="toc 9"/>
    <w:basedOn w:val="a"/>
    <w:next w:val="a"/>
    <w:uiPriority w:val="39"/>
    <w:unhideWhenUsed/>
    <w:pPr>
      <w:spacing w:after="57"/>
      <w:ind w:left="2268"/>
    </w:pPr>
  </w:style>
  <w:style w:type="paragraph" w:styleId="TOC">
    <w:name w:val="TOC Heading"/>
    <w:uiPriority w:val="39"/>
    <w:unhideWhenUsed/>
  </w:style>
  <w:style w:type="paragraph" w:styleId="af4">
    <w:name w:val="table of figures"/>
    <w:basedOn w:val="a"/>
    <w:next w:val="a"/>
    <w:uiPriority w:val="99"/>
    <w:unhideWhenUsed/>
  </w:style>
  <w:style w:type="paragraph" w:styleId="a0">
    <w:name w:val="Normal Indent"/>
    <w:basedOn w:val="a"/>
    <w:link w:val="af5"/>
    <w:uiPriority w:val="99"/>
    <w:qFormat/>
    <w:pPr>
      <w:ind w:firstLineChars="200" w:firstLine="420"/>
    </w:pPr>
    <w:rPr>
      <w:rFonts w:ascii="Calibri" w:hAnsi="Calibri"/>
    </w:rPr>
  </w:style>
  <w:style w:type="paragraph" w:styleId="af6">
    <w:name w:val="annotation subject"/>
    <w:basedOn w:val="af7"/>
    <w:next w:val="af7"/>
    <w:link w:val="af8"/>
    <w:uiPriority w:val="99"/>
    <w:semiHidden/>
    <w:unhideWhenUsed/>
    <w:rPr>
      <w:b/>
      <w:bCs/>
    </w:rPr>
  </w:style>
  <w:style w:type="paragraph" w:styleId="af7">
    <w:name w:val="annotation text"/>
    <w:basedOn w:val="a"/>
    <w:link w:val="14"/>
    <w:unhideWhenUsed/>
    <w:qFormat/>
    <w:pPr>
      <w:jc w:val="left"/>
    </w:pPr>
  </w:style>
  <w:style w:type="paragraph" w:styleId="af9">
    <w:name w:val="Body Text Indent"/>
    <w:basedOn w:val="a"/>
    <w:link w:val="afa"/>
    <w:pPr>
      <w:spacing w:line="360" w:lineRule="auto"/>
      <w:ind w:firstLineChars="171" w:firstLine="359"/>
    </w:pPr>
    <w:rPr>
      <w:lang w:val="zh-CN"/>
    </w:rPr>
  </w:style>
  <w:style w:type="paragraph" w:styleId="24">
    <w:name w:val="Body Text Indent 2"/>
    <w:basedOn w:val="a"/>
    <w:link w:val="25"/>
    <w:pPr>
      <w:spacing w:line="360" w:lineRule="auto"/>
      <w:ind w:firstLine="480"/>
      <w:outlineLvl w:val="0"/>
    </w:pPr>
    <w:rPr>
      <w:rFonts w:ascii="仿宋_GB2312" w:eastAsia="仿宋_GB2312" w:hAnsi="Calibri"/>
      <w:sz w:val="24"/>
      <w:szCs w:val="20"/>
    </w:rPr>
  </w:style>
  <w:style w:type="paragraph" w:styleId="afb">
    <w:name w:val="Balloon Text"/>
    <w:basedOn w:val="a"/>
    <w:link w:val="afc"/>
    <w:uiPriority w:val="99"/>
    <w:semiHidden/>
    <w:unhideWhenUsed/>
    <w:rPr>
      <w:sz w:val="18"/>
      <w:szCs w:val="18"/>
    </w:rPr>
  </w:style>
  <w:style w:type="paragraph" w:styleId="afd">
    <w:name w:val="footer"/>
    <w:basedOn w:val="a"/>
    <w:link w:val="afe"/>
    <w:uiPriority w:val="99"/>
    <w:unhideWhenUsed/>
    <w:qFormat/>
    <w:pPr>
      <w:tabs>
        <w:tab w:val="center" w:pos="4153"/>
        <w:tab w:val="right" w:pos="8306"/>
      </w:tabs>
      <w:snapToGrid w:val="0"/>
      <w:jc w:val="left"/>
    </w:pPr>
    <w:rPr>
      <w:sz w:val="18"/>
      <w:szCs w:val="18"/>
    </w:rPr>
  </w:style>
  <w:style w:type="paragraph" w:styleId="aff">
    <w:name w:val="header"/>
    <w:basedOn w:val="a"/>
    <w:link w:val="aff0"/>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unhideWhenUsed/>
    <w:pPr>
      <w:ind w:leftChars="200" w:left="420"/>
    </w:pPr>
  </w:style>
  <w:style w:type="paragraph" w:styleId="aff1">
    <w:name w:val="Normal (Web)"/>
    <w:basedOn w:val="a"/>
    <w:uiPriority w:val="99"/>
    <w:unhideWhenUsed/>
    <w:pPr>
      <w:widowControl/>
      <w:spacing w:before="100" w:beforeAutospacing="1" w:after="100" w:afterAutospacing="1"/>
      <w:jc w:val="left"/>
    </w:pPr>
    <w:rPr>
      <w:rFonts w:ascii="宋体" w:hAnsi="宋体" w:cs="宋体"/>
      <w:sz w:val="24"/>
    </w:rPr>
  </w:style>
  <w:style w:type="character" w:styleId="aff2">
    <w:name w:val="Hyperlink"/>
    <w:uiPriority w:val="99"/>
    <w:rPr>
      <w:color w:val="0000FF"/>
      <w:u w:val="single"/>
    </w:rPr>
  </w:style>
  <w:style w:type="character" w:styleId="aff3">
    <w:name w:val="annotation reference"/>
    <w:basedOn w:val="a1"/>
    <w:unhideWhenUsed/>
    <w:rPr>
      <w:sz w:val="21"/>
      <w:szCs w:val="21"/>
    </w:rPr>
  </w:style>
  <w:style w:type="character" w:customStyle="1" w:styleId="aff0">
    <w:name w:val="页眉 字符"/>
    <w:basedOn w:val="a1"/>
    <w:link w:val="aff"/>
    <w:uiPriority w:val="99"/>
    <w:qFormat/>
    <w:rPr>
      <w:sz w:val="18"/>
      <w:szCs w:val="18"/>
    </w:rPr>
  </w:style>
  <w:style w:type="character" w:customStyle="1" w:styleId="afe">
    <w:name w:val="页脚 字符"/>
    <w:basedOn w:val="a1"/>
    <w:link w:val="afd"/>
    <w:uiPriority w:val="99"/>
    <w:rPr>
      <w:sz w:val="18"/>
      <w:szCs w:val="18"/>
    </w:rPr>
  </w:style>
  <w:style w:type="character" w:customStyle="1" w:styleId="10">
    <w:name w:val="标题 1 字符"/>
    <w:basedOn w:val="a1"/>
    <w:link w:val="1"/>
    <w:qFormat/>
    <w:rPr>
      <w:rFonts w:ascii="黑体" w:eastAsia="黑体" w:hAnsi="Times New Roman" w:cs="Times New Roman"/>
      <w:b/>
      <w:sz w:val="32"/>
      <w:szCs w:val="20"/>
      <w:lang w:val="zh-CN" w:eastAsia="zh-CN"/>
    </w:rPr>
  </w:style>
  <w:style w:type="character" w:customStyle="1" w:styleId="20">
    <w:name w:val="标题 2 字符"/>
    <w:basedOn w:val="a1"/>
    <w:link w:val="2"/>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5">
    <w:name w:val="正文文本缩进 2 字符"/>
    <w:basedOn w:val="a1"/>
    <w:link w:val="24"/>
    <w:qFormat/>
    <w:rPr>
      <w:rFonts w:ascii="仿宋_GB2312" w:eastAsia="仿宋_GB2312" w:hAnsi="Calibri" w:cs="Times New Roman"/>
      <w:sz w:val="24"/>
      <w:szCs w:val="20"/>
    </w:rPr>
  </w:style>
  <w:style w:type="character" w:customStyle="1" w:styleId="afa">
    <w:name w:val="正文文本缩进 字符"/>
    <w:basedOn w:val="a1"/>
    <w:link w:val="af9"/>
    <w:rPr>
      <w:rFonts w:ascii="Times New Roman" w:eastAsia="宋体" w:hAnsi="Times New Roman" w:cs="Times New Roman"/>
      <w:szCs w:val="24"/>
      <w:lang w:val="zh-CN" w:eastAsia="zh-CN"/>
    </w:rPr>
  </w:style>
  <w:style w:type="character" w:customStyle="1" w:styleId="af5">
    <w:name w:val="正文缩进 字符"/>
    <w:link w:val="a0"/>
    <w:uiPriority w:val="99"/>
    <w:rPr>
      <w:rFonts w:ascii="Calibri" w:eastAsia="宋体" w:hAnsi="Calibri" w:cs="Times New Roman"/>
      <w:szCs w:val="24"/>
    </w:rPr>
  </w:style>
  <w:style w:type="paragraph" w:customStyle="1" w:styleId="aff4">
    <w:name w:val="正文正文"/>
    <w:basedOn w:val="a"/>
    <w:uiPriority w:val="99"/>
    <w:qFormat/>
    <w:pPr>
      <w:spacing w:afterLines="25" w:after="25" w:line="360" w:lineRule="auto"/>
      <w:ind w:firstLineChars="200" w:firstLine="200"/>
    </w:pPr>
    <w:rPr>
      <w:sz w:val="24"/>
    </w:rPr>
  </w:style>
  <w:style w:type="character" w:customStyle="1" w:styleId="afc">
    <w:name w:val="批注框文本 字符"/>
    <w:basedOn w:val="a1"/>
    <w:link w:val="afb"/>
    <w:uiPriority w:val="99"/>
    <w:semiHidden/>
    <w:rPr>
      <w:rFonts w:ascii="Times New Roman" w:eastAsia="宋体" w:hAnsi="Times New Roman" w:cs="Times New Roman"/>
      <w:sz w:val="18"/>
      <w:szCs w:val="18"/>
    </w:rPr>
  </w:style>
  <w:style w:type="character" w:customStyle="1" w:styleId="14">
    <w:name w:val="批注文字 字符1"/>
    <w:basedOn w:val="a1"/>
    <w:link w:val="af7"/>
    <w:uiPriority w:val="99"/>
    <w:rPr>
      <w:rFonts w:ascii="Times New Roman" w:eastAsia="宋体" w:hAnsi="Times New Roman" w:cs="Times New Roman"/>
      <w:szCs w:val="24"/>
    </w:rPr>
  </w:style>
  <w:style w:type="character" w:customStyle="1" w:styleId="af8">
    <w:name w:val="批注主题 字符"/>
    <w:basedOn w:val="14"/>
    <w:link w:val="af6"/>
    <w:uiPriority w:val="99"/>
    <w:semiHidden/>
    <w:qFormat/>
    <w:rPr>
      <w:rFonts w:ascii="Times New Roman" w:eastAsia="宋体" w:hAnsi="Times New Roman" w:cs="Times New Roman"/>
      <w:b/>
      <w:bCs/>
      <w:szCs w:val="24"/>
    </w:rPr>
  </w:style>
  <w:style w:type="paragraph" w:styleId="aff5">
    <w:name w:val="List Paragraph"/>
    <w:basedOn w:val="a"/>
    <w:uiPriority w:val="99"/>
    <w:pPr>
      <w:ind w:firstLineChars="200" w:firstLine="420"/>
    </w:pPr>
  </w:style>
  <w:style w:type="paragraph" w:styleId="aff6">
    <w:name w:val="Revision"/>
    <w:hidden/>
    <w:uiPriority w:val="99"/>
    <w:unhideWhenUsed/>
    <w:rPr>
      <w:rFonts w:ascii="Times New Roman" w:hAnsi="Times New Roman" w:cs="Times New Roman"/>
      <w:sz w:val="21"/>
      <w:szCs w:val="24"/>
    </w:rPr>
  </w:style>
  <w:style w:type="character" w:customStyle="1" w:styleId="notion-enable-hover">
    <w:name w:val="notion-enable-hover"/>
    <w:basedOn w:val="a1"/>
  </w:style>
  <w:style w:type="table" w:styleId="aff7">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ff8">
    <w:name w:val="批注文字 字符"/>
    <w:rsid w:val="00AD63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F078FEB-B492-4C18-9CA8-8B5317EE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4148</Words>
  <Characters>23645</Characters>
  <Application>Microsoft Office Word</Application>
  <DocSecurity>0</DocSecurity>
  <Lines>197</Lines>
  <Paragraphs>55</Paragraphs>
  <ScaleCrop>false</ScaleCrop>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陈佳阳</cp:lastModifiedBy>
  <cp:revision>6</cp:revision>
  <dcterms:created xsi:type="dcterms:W3CDTF">2024-05-06T05:57:00Z</dcterms:created>
  <dcterms:modified xsi:type="dcterms:W3CDTF">2024-12-19T01:05:00Z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