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944EC">
      <w:pPr>
        <w:rPr>
          <w:rFonts w:ascii="宋体" w:hAnsi="宋体"/>
          <w:sz w:val="24"/>
        </w:rPr>
      </w:pPr>
    </w:p>
    <w:p w:rsidR="009944EC">
      <w:pPr>
        <w:ind w:right="-17"/>
        <w:rPr>
          <w:rFonts w:ascii="宋体" w:hAnsi="宋体"/>
          <w:sz w:val="32"/>
          <w:szCs w:val="32"/>
        </w:rPr>
      </w:pPr>
      <w:r>
        <w:rPr>
          <w:rFonts w:ascii="宋体" w:hAnsi="宋体"/>
          <w:noProof/>
          <w:lang w:eastAsia="zh-CN"/>
        </w:rPr>
        <mc:AlternateContent>
          <mc:Choice Requires="wps">
            <w:drawing>
              <wp:anchor distT="0" distB="0" distL="114300" distR="114300" simplePos="0" relativeHeight="251658240" behindDoc="0" locked="0" layoutInCell="1" allowOverlap="1">
                <wp:simplePos x="0" y="0"/>
                <wp:positionH relativeFrom="column">
                  <wp:posOffset>2691765</wp:posOffset>
                </wp:positionH>
                <wp:positionV relativeFrom="paragraph">
                  <wp:posOffset>198120</wp:posOffset>
                </wp:positionV>
                <wp:extent cx="1256665" cy="494665"/>
                <wp:effectExtent l="0" t="0" r="0" b="0"/>
                <wp:wrapNone/>
                <wp:docPr id="845712473" name="矩形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56665" cy="494665"/>
                        </a:xfrm>
                        <a:prstGeom prst="rect">
                          <a:avLst/>
                        </a:prstGeom>
                        <a:noFill/>
                        <a:ln>
                          <a:noFill/>
                        </a:ln>
                      </wps:spPr>
                      <wps:txbx>
                        <w:txbxContent>
                          <w:p w:rsidR="009944EC">
                            <w:pPr>
                              <w:rPr>
                                <w:b/>
                                <w:sz w:val="28"/>
                                <w:szCs w:val="28"/>
                              </w:rPr>
                            </w:pPr>
                          </w:p>
                        </w:txbxContent>
                      </wps:txbx>
                      <wps:bodyPr wrap="square"/>
                    </wps:wsp>
                  </a:graphicData>
                </a:graphic>
              </wp:anchor>
            </w:drawing>
          </mc:Choice>
          <mc:Fallback>
            <w:pict>
              <v:rect id="矩形 1" o:spid="_x0000_s1025" style="width:98.95pt;height:38.95pt;margin-top:15.6pt;margin-left:211.95pt;mso-wrap-distance-bottom:0;mso-wrap-distance-left:9pt;mso-wrap-distance-right:9pt;mso-wrap-distance-top:0;mso-wrap-style:square;position:absolute;visibility:visible;v-text-anchor:top;z-index:251659264" filled="f" stroked="f">
                <v:textbox>
                  <w:txbxContent>
                    <w:p w:rsidR="009944EC">
                      <w:pPr>
                        <w:rPr>
                          <w:b/>
                          <w:sz w:val="28"/>
                          <w:szCs w:val="28"/>
                        </w:rPr>
                      </w:pPr>
                    </w:p>
                  </w:txbxContent>
                </v:textbox>
              </v:rect>
            </w:pict>
          </mc:Fallback>
        </mc:AlternateContent>
      </w:r>
    </w:p>
    <w:p w:rsidR="009944EC">
      <w:pPr>
        <w:rPr>
          <w:rFonts w:ascii="宋体" w:hAnsi="宋体"/>
          <w:sz w:val="52"/>
          <w:szCs w:val="52"/>
        </w:rPr>
      </w:pPr>
    </w:p>
    <w:p w:rsidR="009944EC">
      <w:pPr>
        <w:tabs>
          <w:tab w:val="left" w:pos="3495"/>
        </w:tabs>
        <w:rPr>
          <w:rFonts w:ascii="宋体" w:hAnsi="宋体"/>
          <w:sz w:val="52"/>
          <w:szCs w:val="52"/>
        </w:rPr>
      </w:pPr>
    </w:p>
    <w:p w:rsidR="009944EC">
      <w:pPr>
        <w:tabs>
          <w:tab w:val="center" w:pos="4164"/>
          <w:tab w:val="left" w:pos="5455"/>
        </w:tabs>
        <w:ind w:right="-17"/>
        <w:jc w:val="center"/>
        <w:rPr>
          <w:rFonts w:ascii="宋体" w:hAnsi="宋体"/>
          <w:sz w:val="52"/>
          <w:szCs w:val="52"/>
        </w:rPr>
      </w:pPr>
    </w:p>
    <w:p w:rsidR="009944EC">
      <w:pPr>
        <w:jc w:val="center"/>
        <w:rPr>
          <w:rFonts w:ascii="宋体" w:hAnsi="宋体"/>
          <w:b/>
          <w:sz w:val="52"/>
          <w:szCs w:val="52"/>
        </w:rPr>
      </w:pPr>
    </w:p>
    <w:p w:rsidR="009944EC">
      <w:pPr>
        <w:jc w:val="center"/>
        <w:rPr>
          <w:rFonts w:ascii="宋体" w:hAnsi="宋体"/>
          <w:b/>
          <w:sz w:val="32"/>
          <w:szCs w:val="32"/>
        </w:rPr>
      </w:pPr>
    </w:p>
    <w:p w:rsidR="009944EC">
      <w:pPr>
        <w:jc w:val="center"/>
        <w:rPr>
          <w:rFonts w:ascii="宋体" w:hAnsi="宋体"/>
          <w:b/>
          <w:sz w:val="44"/>
          <w:szCs w:val="44"/>
          <w:lang w:eastAsia="zh-CN"/>
        </w:rPr>
      </w:pPr>
      <w:r>
        <w:rPr>
          <w:rFonts w:ascii="宋体" w:hAnsi="宋体" w:hint="eastAsia"/>
          <w:b/>
          <w:sz w:val="44"/>
          <w:szCs w:val="44"/>
          <w:highlight w:val="white"/>
          <w:lang w:eastAsia="zh-CN"/>
        </w:rPr>
        <w:t>易方达中证消费电子主题交易型开放式指数证券投资基金发起式联接基金托管协议</w:t>
      </w:r>
    </w:p>
    <w:p w:rsidR="009944EC">
      <w:pPr>
        <w:jc w:val="center"/>
        <w:rPr>
          <w:rFonts w:ascii="宋体" w:hAnsi="宋体"/>
          <w:sz w:val="44"/>
          <w:szCs w:val="44"/>
          <w:lang w:eastAsia="zh-CN"/>
        </w:rPr>
      </w:pPr>
    </w:p>
    <w:p w:rsidR="009944EC">
      <w:pPr>
        <w:jc w:val="center"/>
        <w:rPr>
          <w:rFonts w:ascii="宋体" w:hAnsi="宋体"/>
          <w:sz w:val="44"/>
          <w:szCs w:val="44"/>
          <w:lang w:eastAsia="zh-CN"/>
        </w:rPr>
      </w:pPr>
    </w:p>
    <w:p w:rsidR="009944EC">
      <w:pPr>
        <w:jc w:val="center"/>
        <w:rPr>
          <w:rFonts w:ascii="宋体" w:hAnsi="宋体"/>
          <w:sz w:val="44"/>
          <w:szCs w:val="44"/>
          <w:lang w:eastAsia="zh-CN"/>
        </w:rPr>
      </w:pPr>
    </w:p>
    <w:p w:rsidR="009944EC">
      <w:pPr>
        <w:jc w:val="center"/>
        <w:rPr>
          <w:rFonts w:ascii="宋体" w:hAnsi="宋体"/>
          <w:sz w:val="44"/>
          <w:szCs w:val="44"/>
          <w:lang w:eastAsia="zh-CN"/>
        </w:rPr>
      </w:pPr>
    </w:p>
    <w:p w:rsidR="009944EC">
      <w:pPr>
        <w:rPr>
          <w:rFonts w:ascii="宋体" w:hAnsi="宋体"/>
          <w:sz w:val="30"/>
          <w:lang w:eastAsia="zh-CN"/>
        </w:rPr>
      </w:pPr>
    </w:p>
    <w:p w:rsidR="009944EC">
      <w:pPr>
        <w:spacing w:line="360" w:lineRule="auto"/>
        <w:ind w:right="26" w:firstLine="1280"/>
        <w:outlineLvl w:val="0"/>
        <w:rPr>
          <w:rFonts w:ascii="宋体" w:hAnsi="宋体"/>
          <w:sz w:val="32"/>
          <w:szCs w:val="32"/>
          <w:lang w:eastAsia="zh-CN"/>
        </w:rPr>
      </w:pPr>
      <w:bookmarkStart w:id="0" w:name="_Toc382819065"/>
      <w:bookmarkStart w:id="1" w:name="_Toc382818591"/>
      <w:bookmarkStart w:id="2" w:name="_Toc69134051"/>
      <w:r>
        <w:rPr>
          <w:rFonts w:ascii="宋体" w:hAnsi="宋体" w:hint="eastAsia"/>
          <w:sz w:val="32"/>
          <w:szCs w:val="32"/>
          <w:highlight w:val="white"/>
          <w:lang w:eastAsia="zh-CN"/>
        </w:rPr>
        <w:t>基金管理人：</w:t>
      </w:r>
      <w:bookmarkEnd w:id="0"/>
      <w:bookmarkEnd w:id="1"/>
      <w:r>
        <w:rPr>
          <w:rFonts w:ascii="宋体" w:hAnsi="宋体" w:hint="eastAsia"/>
          <w:sz w:val="32"/>
          <w:szCs w:val="32"/>
          <w:highlight w:val="white"/>
          <w:lang w:eastAsia="zh-CN"/>
        </w:rPr>
        <w:t>易方达基金管理有限公司</w:t>
      </w:r>
      <w:bookmarkEnd w:id="2"/>
    </w:p>
    <w:p w:rsidR="009944EC">
      <w:pPr>
        <w:spacing w:line="360" w:lineRule="auto"/>
        <w:ind w:right="26" w:firstLine="1280"/>
        <w:outlineLvl w:val="0"/>
        <w:rPr>
          <w:rFonts w:ascii="宋体" w:hAnsi="宋体"/>
          <w:sz w:val="32"/>
          <w:szCs w:val="32"/>
          <w:lang w:eastAsia="zh-CN"/>
        </w:rPr>
      </w:pPr>
      <w:bookmarkStart w:id="3" w:name="_Toc69134052"/>
      <w:bookmarkStart w:id="4" w:name="_Toc382819066"/>
      <w:bookmarkStart w:id="5" w:name="_Toc382818592"/>
      <w:r>
        <w:rPr>
          <w:rFonts w:ascii="宋体" w:hAnsi="宋体" w:hint="eastAsia"/>
          <w:sz w:val="32"/>
          <w:szCs w:val="32"/>
          <w:highlight w:val="white"/>
          <w:lang w:eastAsia="zh-CN"/>
        </w:rPr>
        <w:t>基金托管人：上海浦东发展银行股份有限公司</w:t>
      </w:r>
      <w:bookmarkEnd w:id="3"/>
      <w:bookmarkEnd w:id="4"/>
      <w:bookmarkEnd w:id="5"/>
    </w:p>
    <w:p w:rsidR="009944EC">
      <w:pPr>
        <w:spacing w:line="500" w:lineRule="atLeast"/>
        <w:ind w:left="2698" w:hanging="2698"/>
        <w:jc w:val="center"/>
        <w:outlineLvl w:val="0"/>
        <w:rPr>
          <w:rFonts w:ascii="宋体" w:hAnsi="宋体"/>
          <w:b/>
          <w:sz w:val="30"/>
          <w:szCs w:val="30"/>
          <w:lang w:eastAsia="zh-CN"/>
        </w:rPr>
      </w:pPr>
    </w:p>
    <w:p w:rsidR="009944EC">
      <w:pPr>
        <w:jc w:val="center"/>
      </w:pPr>
      <w:r>
        <w:rPr>
          <w:rFonts w:ascii="宋体" w:hAnsi="宋体" w:cs="宋体"/>
          <w:color w:val="000000"/>
          <w:sz w:val="28"/>
          <w:highlight w:val="white"/>
        </w:rPr>
        <w:t>二〇二</w:t>
      </w:r>
      <w:r w:rsidR="005C283E">
        <w:rPr>
          <w:rFonts w:ascii="Calibri" w:hAnsi="Calibri" w:cs="Calibri" w:hint="eastAsia"/>
          <w:color w:val="000000"/>
          <w:sz w:val="28"/>
          <w:highlight w:val="white"/>
          <w:lang w:eastAsia="zh-CN"/>
        </w:rPr>
        <w:t>三</w:t>
      </w:r>
      <w:r>
        <w:rPr>
          <w:rFonts w:ascii="宋体" w:hAnsi="宋体" w:cs="宋体"/>
          <w:color w:val="000000"/>
          <w:sz w:val="28"/>
          <w:highlight w:val="white"/>
        </w:rPr>
        <w:t>年</w:t>
      </w:r>
      <w:r w:rsidR="00492F23">
        <w:rPr>
          <w:rFonts w:ascii="Calibri" w:hAnsi="Calibri" w:cs="Calibri" w:hint="eastAsia"/>
          <w:color w:val="000000"/>
          <w:sz w:val="28"/>
          <w:highlight w:val="white"/>
          <w:lang w:eastAsia="zh-CN"/>
        </w:rPr>
        <w:t>九</w:t>
      </w:r>
      <w:r>
        <w:rPr>
          <w:rFonts w:ascii="宋体" w:hAnsi="宋体" w:cs="宋体"/>
          <w:color w:val="000000"/>
          <w:sz w:val="28"/>
          <w:highlight w:val="white"/>
        </w:rPr>
        <w:t>月</w:t>
      </w:r>
    </w:p>
    <w:p w:rsidR="009944EC">
      <w:pPr>
        <w:spacing w:line="500" w:lineRule="atLeast"/>
        <w:ind w:left="2519" w:hanging="2519"/>
        <w:jc w:val="center"/>
        <w:outlineLvl w:val="0"/>
        <w:rPr>
          <w:rFonts w:ascii="宋体" w:hAnsi="宋体"/>
          <w:b/>
          <w:sz w:val="28"/>
          <w:szCs w:val="28"/>
        </w:rPr>
      </w:pPr>
    </w:p>
    <w:p w:rsidR="009944EC">
      <w:pPr>
        <w:spacing w:line="500" w:lineRule="atLeast"/>
        <w:jc w:val="center"/>
        <w:outlineLvl w:val="0"/>
        <w:rPr>
          <w:rFonts w:ascii="宋体" w:hAnsi="宋体"/>
          <w:b/>
          <w:sz w:val="28"/>
          <w:szCs w:val="28"/>
        </w:rPr>
      </w:pPr>
      <w:r>
        <w:rPr>
          <w:rFonts w:ascii="宋体" w:hAnsi="宋体" w:hint="eastAsia"/>
          <w:b/>
          <w:sz w:val="28"/>
          <w:szCs w:val="28"/>
          <w:highlight w:val="white"/>
        </w:rPr>
        <w:br w:type="page"/>
      </w:r>
      <w:bookmarkStart w:id="6" w:name="_Toc382819067"/>
      <w:bookmarkStart w:id="7" w:name="_Toc382818593"/>
    </w:p>
    <w:p w:rsidR="009944EC">
      <w:pPr>
        <w:spacing w:line="500" w:lineRule="atLeast"/>
        <w:jc w:val="center"/>
        <w:outlineLvl w:val="0"/>
        <w:rPr>
          <w:rFonts w:ascii="宋体" w:hAnsi="宋体"/>
          <w:b/>
          <w:sz w:val="36"/>
          <w:szCs w:val="28"/>
        </w:rPr>
      </w:pPr>
      <w:bookmarkStart w:id="8" w:name="_Toc69134053"/>
      <w:r>
        <w:rPr>
          <w:rFonts w:ascii="宋体" w:hAnsi="宋体" w:hint="eastAsia"/>
          <w:b/>
          <w:sz w:val="32"/>
          <w:szCs w:val="28"/>
          <w:highlight w:val="white"/>
        </w:rPr>
        <w:t>目</w:t>
      </w:r>
      <w:r>
        <w:rPr>
          <w:rFonts w:ascii="宋体" w:hAnsi="宋体" w:hint="eastAsia"/>
          <w:b/>
          <w:sz w:val="32"/>
          <w:szCs w:val="28"/>
          <w:highlight w:val="white"/>
        </w:rPr>
        <w:t xml:space="preserve"> </w:t>
      </w:r>
      <w:r>
        <w:rPr>
          <w:rFonts w:ascii="宋体" w:hAnsi="宋体" w:hint="eastAsia"/>
          <w:b/>
          <w:sz w:val="32"/>
          <w:szCs w:val="28"/>
          <w:highlight w:val="white"/>
        </w:rPr>
        <w:t>录</w:t>
      </w:r>
      <w:bookmarkEnd w:id="6"/>
      <w:bookmarkEnd w:id="7"/>
      <w:bookmarkEnd w:id="8"/>
    </w:p>
    <w:p w:rsidR="009944EC">
      <w:pPr>
        <w:pStyle w:val="TOC1"/>
        <w:tabs>
          <w:tab w:val="right" w:leader="dot" w:pos="8296"/>
        </w:tabs>
        <w:spacing w:line="360" w:lineRule="auto"/>
        <w:rPr>
          <w:rFonts w:ascii="宋体" w:hAnsi="宋体"/>
          <w:noProof/>
        </w:rPr>
      </w:pPr>
      <w:r>
        <w:rPr>
          <w:rFonts w:ascii="宋体" w:hAnsi="宋体" w:hint="eastAsia"/>
          <w:sz w:val="20"/>
          <w:szCs w:val="21"/>
        </w:rPr>
        <w:fldChar w:fldCharType="begin"/>
      </w:r>
      <w:r>
        <w:rPr>
          <w:rFonts w:ascii="宋体" w:hAnsi="宋体" w:hint="eastAsia"/>
          <w:sz w:val="20"/>
          <w:szCs w:val="21"/>
          <w:highlight w:val="white"/>
        </w:rPr>
        <w:instrText xml:space="preserve"> TOC \o "1-3" \h \z \u </w:instrText>
      </w:r>
      <w:r>
        <w:rPr>
          <w:rFonts w:ascii="宋体" w:hAnsi="宋体" w:hint="eastAsia"/>
          <w:sz w:val="20"/>
          <w:szCs w:val="21"/>
        </w:rPr>
        <w:fldChar w:fldCharType="separate"/>
      </w:r>
    </w:p>
    <w:p w:rsidR="009944EC">
      <w:pPr>
        <w:pStyle w:val="TOC1"/>
        <w:tabs>
          <w:tab w:val="right" w:leader="dot" w:pos="8296"/>
        </w:tabs>
        <w:spacing w:line="360" w:lineRule="auto"/>
        <w:rPr>
          <w:rFonts w:ascii="宋体" w:hAnsi="宋体" w:cs="Calibri"/>
          <w:noProof/>
          <w:sz w:val="22"/>
          <w:szCs w:val="22"/>
        </w:rPr>
      </w:pPr>
      <w:hyperlink w:anchor="_Toc69134058" w:tooltip="Current Document" w:history="1">
        <w:r w:rsidR="007233FB">
          <w:rPr>
            <w:rStyle w:val="Hyperlink"/>
            <w:rFonts w:ascii="宋体" w:hAnsi="宋体" w:cs="Arial" w:hint="eastAsia"/>
            <w:noProof/>
            <w:highlight w:val="white"/>
          </w:rPr>
          <w:t>一、 基金托管协议的依据、目的、原则和解释</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_Toc69134058 \h </w:instrText>
        </w:r>
        <w:r w:rsidR="007233FB">
          <w:rPr>
            <w:rFonts w:ascii="宋体" w:hAnsi="宋体"/>
            <w:noProof/>
          </w:rPr>
          <w:fldChar w:fldCharType="separate"/>
        </w:r>
        <w:r w:rsidR="003E6E99">
          <w:rPr>
            <w:rFonts w:ascii="宋体" w:hAnsi="宋体"/>
            <w:noProof/>
            <w:highlight w:val="white"/>
          </w:rPr>
          <w:t>2</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59" w:tooltip="Current Document" w:history="1">
        <w:r w:rsidR="007233FB">
          <w:rPr>
            <w:rStyle w:val="Hyperlink"/>
            <w:rFonts w:ascii="宋体" w:hAnsi="宋体" w:cs="Arial" w:hint="eastAsia"/>
            <w:noProof/>
            <w:highlight w:val="white"/>
          </w:rPr>
          <w:t>二、 基金托管人对基金管理人的业务监督和核查</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_Toc69134059 \h </w:instrText>
        </w:r>
        <w:r w:rsidR="007233FB">
          <w:rPr>
            <w:rFonts w:ascii="宋体" w:hAnsi="宋体"/>
            <w:noProof/>
          </w:rPr>
          <w:fldChar w:fldCharType="separate"/>
        </w:r>
        <w:r w:rsidR="003E6E99">
          <w:rPr>
            <w:rFonts w:ascii="宋体" w:hAnsi="宋体"/>
            <w:noProof/>
            <w:highlight w:val="white"/>
          </w:rPr>
          <w:t>2</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60" w:tooltip="Current Document" w:history="1">
        <w:r w:rsidR="007233FB">
          <w:rPr>
            <w:rStyle w:val="Hyperlink"/>
            <w:rFonts w:ascii="宋体" w:hAnsi="宋体" w:cs="Arial" w:hint="eastAsia"/>
            <w:noProof/>
            <w:highlight w:val="white"/>
          </w:rPr>
          <w:t>三、 基金管理人对基金托管人的业务核查</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_Toc69134060 \h </w:instrText>
        </w:r>
        <w:r w:rsidR="007233FB">
          <w:rPr>
            <w:rFonts w:ascii="宋体" w:hAnsi="宋体"/>
            <w:noProof/>
          </w:rPr>
          <w:fldChar w:fldCharType="separate"/>
        </w:r>
        <w:r w:rsidR="003E6E99">
          <w:rPr>
            <w:rFonts w:ascii="宋体" w:hAnsi="宋体"/>
            <w:noProof/>
            <w:highlight w:val="white"/>
          </w:rPr>
          <w:t>9</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61" w:tooltip="Current Document" w:history="1">
        <w:r w:rsidR="007233FB">
          <w:rPr>
            <w:rStyle w:val="Hyperlink"/>
            <w:rFonts w:ascii="宋体" w:hAnsi="宋体" w:cs="Arial" w:hint="eastAsia"/>
            <w:noProof/>
            <w:highlight w:val="white"/>
          </w:rPr>
          <w:t>四、 基金财产保管</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_Toc69134061 \h </w:instrText>
        </w:r>
        <w:r w:rsidR="007233FB">
          <w:rPr>
            <w:rFonts w:ascii="宋体" w:hAnsi="宋体"/>
            <w:noProof/>
          </w:rPr>
          <w:fldChar w:fldCharType="separate"/>
        </w:r>
        <w:r w:rsidR="003E6E99">
          <w:rPr>
            <w:rFonts w:ascii="宋体" w:hAnsi="宋体"/>
            <w:noProof/>
            <w:highlight w:val="white"/>
          </w:rPr>
          <w:t>10</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72" w:tooltip="Current Document" w:history="1">
        <w:r w:rsidR="007233FB">
          <w:rPr>
            <w:rStyle w:val="Hyperlink"/>
            <w:rFonts w:ascii="宋体" w:hAnsi="宋体" w:cs="Arial" w:hint="eastAsia"/>
            <w:noProof/>
            <w:highlight w:val="white"/>
          </w:rPr>
          <w:t>五、 指令的发送、确认和执行</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_Toc69134072 \h </w:instrText>
        </w:r>
        <w:r w:rsidR="007233FB">
          <w:rPr>
            <w:rFonts w:ascii="宋体" w:hAnsi="宋体"/>
            <w:noProof/>
          </w:rPr>
          <w:fldChar w:fldCharType="separate"/>
        </w:r>
        <w:r w:rsidR="003E6E99">
          <w:rPr>
            <w:rFonts w:ascii="宋体" w:hAnsi="宋体"/>
            <w:noProof/>
            <w:highlight w:val="white"/>
          </w:rPr>
          <w:t>13</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79" w:tooltip="Current Document" w:history="1">
        <w:r w:rsidR="007233FB">
          <w:rPr>
            <w:rStyle w:val="Hyperlink"/>
            <w:rFonts w:ascii="宋体" w:hAnsi="宋体" w:hint="eastAsia"/>
            <w:noProof/>
            <w:highlight w:val="white"/>
          </w:rPr>
          <w:t>六、 交易及清算交收安排</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_Toc69134079 \h </w:instrText>
        </w:r>
        <w:r w:rsidR="007233FB">
          <w:rPr>
            <w:rFonts w:ascii="宋体" w:hAnsi="宋体"/>
            <w:noProof/>
          </w:rPr>
          <w:fldChar w:fldCharType="separate"/>
        </w:r>
        <w:r w:rsidR="003E6E99">
          <w:rPr>
            <w:rFonts w:ascii="宋体" w:hAnsi="宋体"/>
            <w:noProof/>
            <w:highlight w:val="white"/>
          </w:rPr>
          <w:t>16</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83" w:tooltip="Current Document" w:history="1">
        <w:r w:rsidR="007233FB">
          <w:rPr>
            <w:rStyle w:val="Hyperlink"/>
            <w:rFonts w:ascii="宋体" w:hAnsi="宋体" w:cs="Arial" w:hint="eastAsia"/>
            <w:noProof/>
            <w:highlight w:val="white"/>
          </w:rPr>
          <w:t>七、 基金资产净值计算和会计核算</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_Toc69134083 \h </w:instrText>
        </w:r>
        <w:r w:rsidR="007233FB">
          <w:rPr>
            <w:rFonts w:ascii="宋体" w:hAnsi="宋体"/>
            <w:noProof/>
          </w:rPr>
          <w:fldChar w:fldCharType="separate"/>
        </w:r>
        <w:r w:rsidR="003E6E99">
          <w:rPr>
            <w:rFonts w:ascii="宋体" w:hAnsi="宋体"/>
            <w:noProof/>
            <w:highlight w:val="white"/>
          </w:rPr>
          <w:t>21</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91" w:tooltip="Current Document" w:history="1">
        <w:r w:rsidR="007233FB">
          <w:rPr>
            <w:rStyle w:val="Hyperlink"/>
            <w:rFonts w:ascii="宋体" w:hAnsi="宋体" w:cs="Arial" w:hint="eastAsia"/>
            <w:noProof/>
            <w:highlight w:val="white"/>
          </w:rPr>
          <w:t>八、 基金收益分配</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_Toc69134091 \h </w:instrText>
        </w:r>
        <w:r w:rsidR="007233FB">
          <w:rPr>
            <w:rFonts w:ascii="宋体" w:hAnsi="宋体"/>
            <w:noProof/>
          </w:rPr>
          <w:fldChar w:fldCharType="separate"/>
        </w:r>
        <w:r w:rsidR="003E6E99">
          <w:rPr>
            <w:rFonts w:ascii="宋体" w:hAnsi="宋体"/>
            <w:noProof/>
            <w:highlight w:val="white"/>
          </w:rPr>
          <w:t>24</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94" w:tooltip="Current Document" w:history="1">
        <w:r w:rsidR="007233FB">
          <w:rPr>
            <w:rStyle w:val="Hyperlink"/>
            <w:rFonts w:ascii="宋体" w:hAnsi="宋体" w:cs="Arial" w:hint="eastAsia"/>
            <w:noProof/>
            <w:highlight w:val="white"/>
          </w:rPr>
          <w:t>九、 信息披露</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_Toc69134094 \h </w:instrText>
        </w:r>
        <w:r w:rsidR="007233FB">
          <w:rPr>
            <w:rFonts w:ascii="宋体" w:hAnsi="宋体"/>
            <w:noProof/>
          </w:rPr>
          <w:fldChar w:fldCharType="separate"/>
        </w:r>
        <w:r w:rsidR="003E6E99">
          <w:rPr>
            <w:rFonts w:ascii="宋体" w:hAnsi="宋体"/>
            <w:noProof/>
            <w:highlight w:val="white"/>
          </w:rPr>
          <w:t>25</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099" w:tooltip="Current Document" w:history="1">
        <w:r w:rsidR="007233FB">
          <w:rPr>
            <w:rStyle w:val="Hyperlink"/>
            <w:rFonts w:ascii="宋体" w:hAnsi="宋体" w:cs="Arial" w:hint="eastAsia"/>
            <w:noProof/>
            <w:highlight w:val="white"/>
          </w:rPr>
          <w:t>十、 基金费用</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_Toc69134099 \h </w:instrText>
        </w:r>
        <w:r w:rsidR="007233FB">
          <w:rPr>
            <w:rFonts w:ascii="宋体" w:hAnsi="宋体"/>
            <w:noProof/>
          </w:rPr>
          <w:fldChar w:fldCharType="separate"/>
        </w:r>
        <w:r w:rsidR="003E6E99">
          <w:rPr>
            <w:rFonts w:ascii="宋体" w:hAnsi="宋体"/>
            <w:noProof/>
            <w:highlight w:val="white"/>
          </w:rPr>
          <w:t>26</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0" w:tooltip="Current Document" w:history="1">
        <w:r w:rsidR="007233FB">
          <w:rPr>
            <w:rStyle w:val="Hyperlink"/>
            <w:rFonts w:ascii="宋体" w:hAnsi="宋体" w:cs="Arial" w:hint="eastAsia"/>
            <w:noProof/>
            <w:highlight w:val="white"/>
          </w:rPr>
          <w:t>十一、 基金份额持有人名册的保管</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_Toc69134100 \h </w:instrText>
        </w:r>
        <w:r w:rsidR="007233FB">
          <w:rPr>
            <w:rFonts w:ascii="宋体" w:hAnsi="宋体"/>
            <w:noProof/>
          </w:rPr>
          <w:fldChar w:fldCharType="separate"/>
        </w:r>
        <w:r w:rsidR="003E6E99">
          <w:rPr>
            <w:rFonts w:ascii="宋体" w:hAnsi="宋体"/>
            <w:noProof/>
            <w:highlight w:val="white"/>
          </w:rPr>
          <w:t>27</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1" w:tooltip="Current Document" w:history="1">
        <w:r w:rsidR="007233FB">
          <w:rPr>
            <w:rStyle w:val="Hyperlink"/>
            <w:rFonts w:ascii="宋体" w:hAnsi="宋体" w:cs="Arial" w:hint="eastAsia"/>
            <w:noProof/>
            <w:highlight w:val="white"/>
          </w:rPr>
          <w:t>十二、 基金有关文件和档案的保存</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_Toc69134101 \h </w:instrText>
        </w:r>
        <w:r w:rsidR="007233FB">
          <w:rPr>
            <w:rFonts w:ascii="宋体" w:hAnsi="宋体"/>
            <w:noProof/>
          </w:rPr>
          <w:fldChar w:fldCharType="separate"/>
        </w:r>
        <w:r w:rsidR="003E6E99">
          <w:rPr>
            <w:rFonts w:ascii="宋体" w:hAnsi="宋体"/>
            <w:noProof/>
            <w:highlight w:val="white"/>
          </w:rPr>
          <w:t>27</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2" w:tooltip="Current Document" w:history="1">
        <w:r w:rsidR="007233FB">
          <w:rPr>
            <w:rStyle w:val="Hyperlink"/>
            <w:rFonts w:ascii="宋体" w:hAnsi="宋体" w:cs="Arial" w:hint="eastAsia"/>
            <w:noProof/>
            <w:highlight w:val="white"/>
          </w:rPr>
          <w:t>十三、 基金管理人和基金托管人的更换</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_Toc69134102 \h </w:instrText>
        </w:r>
        <w:r w:rsidR="007233FB">
          <w:rPr>
            <w:rFonts w:ascii="宋体" w:hAnsi="宋体"/>
            <w:noProof/>
          </w:rPr>
          <w:fldChar w:fldCharType="separate"/>
        </w:r>
        <w:r w:rsidR="003E6E99">
          <w:rPr>
            <w:rFonts w:ascii="宋体" w:hAnsi="宋体"/>
            <w:noProof/>
            <w:highlight w:val="white"/>
          </w:rPr>
          <w:t>28</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5" w:tooltip="Current Document" w:history="1">
        <w:r w:rsidR="007233FB">
          <w:rPr>
            <w:rStyle w:val="Hyperlink"/>
            <w:rFonts w:ascii="宋体" w:hAnsi="宋体" w:cs="Arial" w:hint="eastAsia"/>
            <w:noProof/>
            <w:highlight w:val="white"/>
          </w:rPr>
          <w:t>十四、 禁止行为</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_Toc69134105 \h </w:instrText>
        </w:r>
        <w:r w:rsidR="007233FB">
          <w:rPr>
            <w:rFonts w:ascii="宋体" w:hAnsi="宋体"/>
            <w:noProof/>
          </w:rPr>
          <w:fldChar w:fldCharType="separate"/>
        </w:r>
        <w:r w:rsidR="003E6E99">
          <w:rPr>
            <w:rFonts w:ascii="宋体" w:hAnsi="宋体"/>
            <w:noProof/>
            <w:highlight w:val="white"/>
          </w:rPr>
          <w:t>30</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6" w:tooltip="Current Document" w:history="1">
        <w:r w:rsidR="007233FB">
          <w:rPr>
            <w:rStyle w:val="Hyperlink"/>
            <w:rFonts w:ascii="宋体" w:hAnsi="宋体" w:cs="Arial" w:hint="eastAsia"/>
            <w:noProof/>
            <w:highlight w:val="white"/>
          </w:rPr>
          <w:t>十五、 基金托管协议的变更、终止与基金财产的清算</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_Toc69134106 \h </w:instrText>
        </w:r>
        <w:r w:rsidR="007233FB">
          <w:rPr>
            <w:rFonts w:ascii="宋体" w:hAnsi="宋体"/>
            <w:noProof/>
          </w:rPr>
          <w:fldChar w:fldCharType="separate"/>
        </w:r>
        <w:r w:rsidR="003E6E99">
          <w:rPr>
            <w:rFonts w:ascii="宋体" w:hAnsi="宋体"/>
            <w:noProof/>
            <w:highlight w:val="white"/>
          </w:rPr>
          <w:t>31</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7" w:tooltip="Current Document" w:history="1">
        <w:r w:rsidR="007233FB">
          <w:rPr>
            <w:rStyle w:val="Hyperlink"/>
            <w:rFonts w:ascii="宋体" w:hAnsi="宋体" w:cs="Arial" w:hint="eastAsia"/>
            <w:noProof/>
            <w:highlight w:val="white"/>
          </w:rPr>
          <w:t>十六、 违约责任</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_Toc69134107 \h </w:instrText>
        </w:r>
        <w:r w:rsidR="007233FB">
          <w:rPr>
            <w:rFonts w:ascii="宋体" w:hAnsi="宋体"/>
            <w:noProof/>
          </w:rPr>
          <w:fldChar w:fldCharType="separate"/>
        </w:r>
        <w:r w:rsidR="003E6E99">
          <w:rPr>
            <w:rFonts w:ascii="宋体" w:hAnsi="宋体"/>
            <w:noProof/>
            <w:highlight w:val="white"/>
          </w:rPr>
          <w:t>33</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8" w:tooltip="Current Document" w:history="1">
        <w:r w:rsidR="007233FB">
          <w:rPr>
            <w:rStyle w:val="Hyperlink"/>
            <w:rFonts w:ascii="宋体" w:hAnsi="宋体" w:hint="eastAsia"/>
            <w:noProof/>
            <w:highlight w:val="white"/>
          </w:rPr>
          <w:t>十七、</w:t>
        </w:r>
        <w:r w:rsidR="007233FB">
          <w:rPr>
            <w:rStyle w:val="Hyperlink"/>
            <w:rFonts w:ascii="宋体" w:hAnsi="宋体" w:cs="Arial" w:hint="eastAsia"/>
            <w:noProof/>
            <w:highlight w:val="white"/>
          </w:rPr>
          <w:t xml:space="preserve"> 适用法律及争议解决方式</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_Toc69134108 \h </w:instrText>
        </w:r>
        <w:r w:rsidR="007233FB">
          <w:rPr>
            <w:rFonts w:ascii="宋体" w:hAnsi="宋体"/>
            <w:noProof/>
          </w:rPr>
          <w:fldChar w:fldCharType="separate"/>
        </w:r>
        <w:r w:rsidR="003E6E99">
          <w:rPr>
            <w:rFonts w:ascii="宋体" w:hAnsi="宋体"/>
            <w:noProof/>
            <w:highlight w:val="white"/>
          </w:rPr>
          <w:t>33</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09" w:tooltip="Current Document" w:history="1">
        <w:r w:rsidR="007233FB">
          <w:rPr>
            <w:rStyle w:val="Hyperlink"/>
            <w:rFonts w:ascii="宋体" w:hAnsi="宋体" w:cs="Arial" w:hint="eastAsia"/>
            <w:noProof/>
            <w:highlight w:val="white"/>
          </w:rPr>
          <w:t>十八、 基金托管协议的效力和文本</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_Toc69134109 \h </w:instrText>
        </w:r>
        <w:r w:rsidR="007233FB">
          <w:rPr>
            <w:rFonts w:ascii="宋体" w:hAnsi="宋体"/>
            <w:noProof/>
          </w:rPr>
          <w:fldChar w:fldCharType="separate"/>
        </w:r>
        <w:r w:rsidR="003E6E99">
          <w:rPr>
            <w:rFonts w:ascii="宋体" w:hAnsi="宋体"/>
            <w:noProof/>
            <w:highlight w:val="white"/>
          </w:rPr>
          <w:t>34</w:t>
        </w:r>
        <w:r w:rsidR="007233FB">
          <w:rPr>
            <w:rFonts w:ascii="宋体" w:hAnsi="宋体"/>
            <w:noProof/>
          </w:rPr>
          <w:fldChar w:fldCharType="end"/>
        </w:r>
      </w:hyperlink>
    </w:p>
    <w:p w:rsidR="009944EC">
      <w:pPr>
        <w:pStyle w:val="TOC1"/>
        <w:tabs>
          <w:tab w:val="right" w:leader="dot" w:pos="8296"/>
        </w:tabs>
        <w:spacing w:line="360" w:lineRule="auto"/>
        <w:rPr>
          <w:rFonts w:ascii="宋体" w:hAnsi="宋体" w:cs="Calibri"/>
          <w:noProof/>
          <w:sz w:val="22"/>
          <w:szCs w:val="22"/>
        </w:rPr>
      </w:pPr>
      <w:hyperlink w:anchor="_Toc69134110" w:tooltip="Current Document" w:history="1">
        <w:r w:rsidR="007233FB">
          <w:rPr>
            <w:rStyle w:val="Hyperlink"/>
            <w:rFonts w:ascii="宋体" w:hAnsi="宋体" w:cs="Arial" w:hint="eastAsia"/>
            <w:noProof/>
            <w:highlight w:val="white"/>
          </w:rPr>
          <w:t>十九、 其他事项</w:t>
        </w:r>
        <w:r w:rsidR="007233FB">
          <w:rPr>
            <w:rFonts w:ascii="宋体" w:hAnsi="宋体"/>
            <w:noProof/>
            <w:highlight w:val="white"/>
          </w:rPr>
          <w:tab/>
        </w:r>
        <w:r w:rsidR="007233FB">
          <w:rPr>
            <w:rFonts w:ascii="宋体" w:hAnsi="宋体"/>
            <w:noProof/>
          </w:rPr>
          <w:fldChar w:fldCharType="begin"/>
        </w:r>
        <w:r w:rsidR="007233FB">
          <w:rPr>
            <w:rFonts w:ascii="宋体" w:hAnsi="宋体"/>
            <w:noProof/>
            <w:highlight w:val="white"/>
          </w:rPr>
          <w:instrText xml:space="preserve"> PAGEREF _Toc69134110 \h </w:instrText>
        </w:r>
        <w:r w:rsidR="007233FB">
          <w:rPr>
            <w:rFonts w:ascii="宋体" w:hAnsi="宋体"/>
            <w:noProof/>
          </w:rPr>
          <w:fldChar w:fldCharType="separate"/>
        </w:r>
        <w:r w:rsidR="003E6E99">
          <w:rPr>
            <w:rFonts w:ascii="宋体" w:hAnsi="宋体"/>
            <w:noProof/>
            <w:highlight w:val="white"/>
          </w:rPr>
          <w:t>34</w:t>
        </w:r>
        <w:r w:rsidR="007233FB">
          <w:rPr>
            <w:rFonts w:ascii="宋体" w:hAnsi="宋体"/>
            <w:noProof/>
          </w:rPr>
          <w:fldChar w:fldCharType="end"/>
        </w:r>
      </w:hyperlink>
    </w:p>
    <w:p w:rsidR="009944EC">
      <w:pPr>
        <w:spacing w:line="360" w:lineRule="auto"/>
        <w:rPr>
          <w:rFonts w:ascii="宋体" w:hAnsi="宋体"/>
          <w:sz w:val="24"/>
        </w:rPr>
      </w:pPr>
      <w:r>
        <w:rPr>
          <w:rFonts w:ascii="宋体" w:hAnsi="宋体" w:hint="eastAsia"/>
          <w:sz w:val="20"/>
          <w:szCs w:val="21"/>
        </w:rPr>
        <w:fldChar w:fldCharType="end"/>
      </w:r>
    </w:p>
    <w:p w:rsidR="009944EC">
      <w:pPr>
        <w:widowControl/>
        <w:jc w:val="left"/>
        <w:rPr>
          <w:rFonts w:ascii="宋体" w:hAnsi="宋体"/>
          <w:sz w:val="24"/>
        </w:rPr>
        <w:sectPr>
          <w:footerReference w:type="default" r:id="rId6"/>
          <w:pgSz w:w="11906" w:h="16838"/>
          <w:pgMar w:top="1440" w:right="1800" w:bottom="1440" w:left="1800" w:header="851" w:footer="992" w:gutter="0"/>
          <w:pgNumType w:start="1"/>
          <w:cols w:space="720"/>
          <w:docGrid w:type="lines" w:linePitch="312"/>
        </w:sectPr>
      </w:pPr>
    </w:p>
    <w:p w:rsidR="009944EC">
      <w:pPr>
        <w:pStyle w:val="11"/>
        <w:keepNext w:val="0"/>
        <w:keepLines w:val="0"/>
        <w:numPr>
          <w:ilvl w:val="0"/>
          <w:numId w:val="0"/>
        </w:numPr>
        <w:tabs>
          <w:tab w:val="left" w:pos="420"/>
        </w:tabs>
        <w:spacing w:before="360" w:after="360"/>
        <w:rPr>
          <w:rFonts w:ascii="宋体" w:eastAsia="宋体" w:hAnsi="宋体"/>
          <w:b w:val="0"/>
          <w:szCs w:val="32"/>
          <w:lang w:val="en-US" w:eastAsia="zh-CN"/>
        </w:rPr>
      </w:pPr>
      <w:bookmarkStart w:id="9" w:name="_Toc382818594"/>
      <w:bookmarkStart w:id="10" w:name="_Toc382819068"/>
      <w:r>
        <w:rPr>
          <w:rFonts w:ascii="宋体" w:eastAsia="宋体" w:hAnsi="宋体" w:hint="eastAsia"/>
          <w:b w:val="0"/>
          <w:szCs w:val="32"/>
          <w:highlight w:val="white"/>
          <w:lang w:val="en-US" w:eastAsia="zh-CN"/>
        </w:rPr>
        <w:t>易方达中证消费电子主题交易型开放式指数证券投资基金发起式联接基金</w:t>
      </w:r>
    </w:p>
    <w:p w:rsidR="009944EC">
      <w:pPr>
        <w:pStyle w:val="11"/>
        <w:keepNext w:val="0"/>
        <w:keepLines w:val="0"/>
        <w:numPr>
          <w:ilvl w:val="0"/>
          <w:numId w:val="0"/>
        </w:numPr>
        <w:tabs>
          <w:tab w:val="left" w:pos="420"/>
        </w:tabs>
        <w:spacing w:before="360" w:after="360"/>
        <w:rPr>
          <w:rFonts w:ascii="宋体" w:eastAsia="宋体" w:hAnsi="宋体"/>
          <w:b w:val="0"/>
          <w:szCs w:val="32"/>
          <w:lang w:eastAsia="zh-CN"/>
        </w:rPr>
      </w:pPr>
      <w:bookmarkStart w:id="11" w:name="_Toc69134055"/>
      <w:r>
        <w:rPr>
          <w:rFonts w:ascii="宋体" w:eastAsia="宋体" w:hAnsi="宋体" w:hint="eastAsia"/>
          <w:b w:val="0"/>
          <w:szCs w:val="32"/>
          <w:highlight w:val="white"/>
          <w:lang w:eastAsia="zh-CN"/>
        </w:rPr>
        <w:t>托管协议</w:t>
      </w:r>
      <w:bookmarkEnd w:id="9"/>
      <w:bookmarkEnd w:id="10"/>
      <w:bookmarkEnd w:id="11"/>
    </w:p>
    <w:p w:rsidR="009944EC">
      <w:pPr>
        <w:rPr>
          <w:rFonts w:ascii="宋体" w:hAnsi="宋体"/>
          <w:lang w:val="zh-CN" w:eastAsia="zh-CN"/>
        </w:rPr>
      </w:pPr>
    </w:p>
    <w:p w:rsidR="009944EC">
      <w:pPr>
        <w:pStyle w:val="21"/>
        <w:keepNext w:val="0"/>
        <w:keepLines w:val="0"/>
        <w:spacing w:before="0" w:after="0" w:line="360" w:lineRule="auto"/>
        <w:ind w:firstLine="433"/>
        <w:rPr>
          <w:rFonts w:ascii="宋体" w:eastAsia="宋体" w:hAnsi="宋体"/>
          <w:sz w:val="21"/>
          <w:szCs w:val="21"/>
          <w:lang w:eastAsia="zh-CN"/>
        </w:rPr>
      </w:pPr>
      <w:bookmarkStart w:id="12" w:name="_Toc382819069"/>
      <w:bookmarkStart w:id="13" w:name="_Toc69134056"/>
      <w:r>
        <w:rPr>
          <w:rFonts w:ascii="宋体" w:eastAsia="宋体" w:hAnsi="宋体" w:hint="eastAsia"/>
          <w:sz w:val="21"/>
          <w:szCs w:val="21"/>
          <w:highlight w:val="white"/>
          <w:lang w:eastAsia="zh-CN"/>
        </w:rPr>
        <w:t>基金管理人：</w:t>
      </w:r>
      <w:bookmarkEnd w:id="12"/>
      <w:r>
        <w:rPr>
          <w:rFonts w:ascii="宋体" w:eastAsia="宋体" w:hAnsi="宋体" w:cs="Arial" w:hint="eastAsia"/>
          <w:sz w:val="21"/>
          <w:szCs w:val="21"/>
          <w:highlight w:val="white"/>
          <w:lang w:eastAsia="zh-CN"/>
        </w:rPr>
        <w:t>易方达基金管理有限公司</w:t>
      </w:r>
      <w:bookmarkEnd w:id="13"/>
      <w:r>
        <w:rPr>
          <w:rFonts w:ascii="宋体" w:eastAsia="宋体" w:hAnsi="宋体"/>
          <w:sz w:val="21"/>
          <w:szCs w:val="21"/>
          <w:highlight w:val="white"/>
          <w:lang w:eastAsia="zh-CN"/>
        </w:rPr>
        <w:t xml:space="preserve"> </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住所：</w:t>
      </w:r>
      <w:r>
        <w:rPr>
          <w:rFonts w:ascii="宋体" w:hAnsi="宋体" w:hint="eastAsia"/>
          <w:bCs/>
          <w:szCs w:val="21"/>
          <w:highlight w:val="white"/>
          <w:lang w:eastAsia="zh-CN"/>
        </w:rPr>
        <w:t>广东省珠海市横琴新区</w:t>
      </w:r>
      <w:r>
        <w:rPr>
          <w:rFonts w:ascii="宋体" w:hAnsi="宋体" w:hint="eastAsia"/>
          <w:szCs w:val="21"/>
          <w:highlight w:val="white"/>
          <w:lang w:eastAsia="zh-CN"/>
        </w:rPr>
        <w:t>荣粤道</w:t>
      </w:r>
      <w:r>
        <w:rPr>
          <w:rFonts w:ascii="宋体" w:hAnsi="宋体" w:hint="eastAsia"/>
          <w:szCs w:val="21"/>
          <w:highlight w:val="white"/>
          <w:lang w:eastAsia="zh-CN"/>
        </w:rPr>
        <w:t>188</w:t>
      </w:r>
      <w:r>
        <w:rPr>
          <w:rFonts w:ascii="宋体" w:hAnsi="宋体" w:hint="eastAsia"/>
          <w:szCs w:val="21"/>
          <w:highlight w:val="white"/>
          <w:lang w:eastAsia="zh-CN"/>
        </w:rPr>
        <w:t>号</w:t>
      </w:r>
      <w:r>
        <w:rPr>
          <w:rFonts w:ascii="宋体" w:hAnsi="宋体" w:hint="eastAsia"/>
          <w:szCs w:val="21"/>
          <w:highlight w:val="white"/>
          <w:lang w:eastAsia="zh-CN"/>
        </w:rPr>
        <w:t>6</w:t>
      </w:r>
      <w:r>
        <w:rPr>
          <w:rFonts w:ascii="宋体" w:hAnsi="宋体" w:hint="eastAsia"/>
          <w:szCs w:val="21"/>
          <w:highlight w:val="white"/>
          <w:lang w:eastAsia="zh-CN"/>
        </w:rPr>
        <w:t>层</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法定代表人：</w:t>
      </w:r>
      <w:r>
        <w:rPr>
          <w:rFonts w:ascii="宋体" w:hAnsi="宋体" w:hint="eastAsia"/>
          <w:bCs/>
          <w:szCs w:val="21"/>
          <w:highlight w:val="white"/>
          <w:lang w:eastAsia="zh-CN"/>
        </w:rPr>
        <w:t>刘晓艳</w:t>
      </w:r>
      <w:r>
        <w:rPr>
          <w:rFonts w:ascii="宋体" w:hAnsi="宋体" w:hint="eastAsia"/>
          <w:szCs w:val="21"/>
          <w:highlight w:val="white"/>
          <w:lang w:eastAsia="zh-CN"/>
        </w:rPr>
        <w:t xml:space="preserve"> </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设立日期：</w:t>
      </w:r>
      <w:r>
        <w:rPr>
          <w:rFonts w:ascii="宋体" w:hAnsi="宋体" w:hint="eastAsia"/>
          <w:bCs/>
          <w:szCs w:val="21"/>
          <w:highlight w:val="white"/>
          <w:lang w:eastAsia="zh-CN"/>
        </w:rPr>
        <w:t>2001</w:t>
      </w:r>
      <w:r>
        <w:rPr>
          <w:rFonts w:ascii="宋体" w:hAnsi="宋体" w:hint="eastAsia"/>
          <w:bCs/>
          <w:szCs w:val="21"/>
          <w:highlight w:val="white"/>
          <w:lang w:eastAsia="zh-CN"/>
        </w:rPr>
        <w:t>年</w:t>
      </w:r>
      <w:r>
        <w:rPr>
          <w:rFonts w:ascii="宋体" w:hAnsi="宋体" w:hint="eastAsia"/>
          <w:bCs/>
          <w:szCs w:val="21"/>
          <w:highlight w:val="white"/>
          <w:lang w:eastAsia="zh-CN"/>
        </w:rPr>
        <w:t>4</w:t>
      </w:r>
      <w:r>
        <w:rPr>
          <w:rFonts w:ascii="宋体" w:hAnsi="宋体" w:hint="eastAsia"/>
          <w:bCs/>
          <w:szCs w:val="21"/>
          <w:highlight w:val="white"/>
          <w:lang w:eastAsia="zh-CN"/>
        </w:rPr>
        <w:t>月</w:t>
      </w:r>
      <w:r>
        <w:rPr>
          <w:rFonts w:ascii="宋体" w:hAnsi="宋体" w:hint="eastAsia"/>
          <w:bCs/>
          <w:szCs w:val="21"/>
          <w:highlight w:val="white"/>
          <w:lang w:eastAsia="zh-CN"/>
        </w:rPr>
        <w:t>17</w:t>
      </w:r>
      <w:r>
        <w:rPr>
          <w:rFonts w:ascii="宋体" w:hAnsi="宋体" w:hint="eastAsia"/>
          <w:bCs/>
          <w:szCs w:val="21"/>
          <w:highlight w:val="white"/>
          <w:lang w:eastAsia="zh-CN"/>
        </w:rPr>
        <w:t>日</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批准设立机关及批准设立文号：</w:t>
      </w:r>
      <w:r>
        <w:rPr>
          <w:rFonts w:ascii="宋体" w:hAnsi="宋体" w:hint="eastAsia"/>
          <w:bCs/>
          <w:szCs w:val="21"/>
          <w:highlight w:val="white"/>
          <w:lang w:eastAsia="zh-CN"/>
        </w:rPr>
        <w:t>中国证券监督管理委员会，证监基金字</w:t>
      </w:r>
      <w:r>
        <w:rPr>
          <w:rFonts w:ascii="宋体" w:hAnsi="宋体" w:hint="eastAsia"/>
          <w:bCs/>
          <w:szCs w:val="21"/>
          <w:highlight w:val="white"/>
          <w:lang w:eastAsia="zh-CN"/>
        </w:rPr>
        <w:t>[2001]4</w:t>
      </w:r>
      <w:r>
        <w:rPr>
          <w:rFonts w:ascii="宋体" w:hAnsi="宋体" w:hint="eastAsia"/>
          <w:bCs/>
          <w:szCs w:val="21"/>
          <w:highlight w:val="white"/>
          <w:lang w:eastAsia="zh-CN"/>
        </w:rPr>
        <w:t>号</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组织形式：有限责任公司</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注册资本：</w:t>
      </w:r>
      <w:r>
        <w:rPr>
          <w:rFonts w:ascii="宋体" w:hAnsi="宋体" w:hint="eastAsia"/>
          <w:bCs/>
          <w:szCs w:val="21"/>
          <w:highlight w:val="white"/>
          <w:lang w:eastAsia="zh-CN"/>
        </w:rPr>
        <w:t>13,244.2</w:t>
      </w:r>
      <w:r>
        <w:rPr>
          <w:rFonts w:ascii="宋体" w:hAnsi="宋体" w:hint="eastAsia"/>
          <w:bCs/>
          <w:szCs w:val="21"/>
          <w:highlight w:val="white"/>
          <w:lang w:eastAsia="zh-CN"/>
        </w:rPr>
        <w:t>万元人民币</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存续期限：</w:t>
      </w:r>
      <w:r>
        <w:rPr>
          <w:rFonts w:ascii="宋体" w:hAnsi="宋体" w:hint="eastAsia"/>
          <w:bCs/>
          <w:szCs w:val="21"/>
          <w:highlight w:val="white"/>
          <w:lang w:eastAsia="zh-CN"/>
        </w:rPr>
        <w:t>持续经营</w:t>
      </w:r>
    </w:p>
    <w:p w:rsidR="009944EC">
      <w:pPr>
        <w:spacing w:line="360" w:lineRule="auto"/>
        <w:ind w:firstLine="480"/>
        <w:jc w:val="left"/>
        <w:rPr>
          <w:rFonts w:ascii="宋体" w:hAnsi="宋体"/>
          <w:bCs/>
          <w:szCs w:val="21"/>
          <w:lang w:eastAsia="zh-CN"/>
        </w:rPr>
      </w:pPr>
      <w:r>
        <w:rPr>
          <w:rFonts w:ascii="宋体" w:hAnsi="宋体" w:hint="eastAsia"/>
          <w:szCs w:val="21"/>
          <w:highlight w:val="white"/>
          <w:lang w:eastAsia="zh-CN"/>
        </w:rPr>
        <w:t>联系电话：</w:t>
      </w:r>
      <w:r>
        <w:rPr>
          <w:rFonts w:ascii="宋体" w:hAnsi="宋体" w:hint="eastAsia"/>
          <w:szCs w:val="21"/>
          <w:highlight w:val="white"/>
          <w:lang w:eastAsia="zh-CN"/>
        </w:rPr>
        <w:t>4008818088</w:t>
      </w:r>
    </w:p>
    <w:p w:rsidR="009944EC">
      <w:pPr>
        <w:spacing w:line="360" w:lineRule="auto"/>
        <w:ind w:firstLine="630"/>
        <w:rPr>
          <w:rFonts w:ascii="宋体" w:hAnsi="宋体"/>
          <w:szCs w:val="21"/>
          <w:lang w:eastAsia="zh-CN"/>
        </w:rPr>
      </w:pPr>
    </w:p>
    <w:p w:rsidR="009944EC">
      <w:pPr>
        <w:spacing w:line="360" w:lineRule="auto"/>
        <w:ind w:firstLine="442"/>
        <w:rPr>
          <w:rFonts w:ascii="宋体" w:hAnsi="宋体"/>
          <w:b/>
          <w:szCs w:val="21"/>
          <w:lang w:eastAsia="zh-CN"/>
        </w:rPr>
      </w:pPr>
    </w:p>
    <w:p w:rsidR="009944EC">
      <w:pPr>
        <w:pStyle w:val="21"/>
        <w:keepNext w:val="0"/>
        <w:keepLines w:val="0"/>
        <w:spacing w:before="0" w:after="0" w:line="360" w:lineRule="auto"/>
        <w:ind w:firstLine="433"/>
        <w:rPr>
          <w:rFonts w:ascii="宋体" w:eastAsia="宋体" w:hAnsi="宋体"/>
          <w:sz w:val="21"/>
          <w:szCs w:val="21"/>
          <w:lang w:eastAsia="zh-CN"/>
        </w:rPr>
      </w:pPr>
      <w:bookmarkStart w:id="14" w:name="_Toc382819070"/>
      <w:bookmarkStart w:id="15" w:name="_Toc69134057"/>
      <w:r>
        <w:rPr>
          <w:rFonts w:ascii="宋体" w:eastAsia="宋体" w:hAnsi="宋体" w:hint="eastAsia"/>
          <w:sz w:val="21"/>
          <w:szCs w:val="21"/>
          <w:highlight w:val="white"/>
          <w:lang w:eastAsia="zh-CN"/>
        </w:rPr>
        <w:t>基金托管人：上海浦东发展银行股份有限公司</w:t>
      </w:r>
      <w:bookmarkEnd w:id="14"/>
      <w:bookmarkEnd w:id="15"/>
    </w:p>
    <w:p w:rsidR="009944EC">
      <w:pPr>
        <w:spacing w:line="360" w:lineRule="auto"/>
        <w:ind w:firstLine="440"/>
        <w:rPr>
          <w:rFonts w:ascii="宋体" w:hAnsi="宋体"/>
          <w:szCs w:val="21"/>
          <w:lang w:eastAsia="zh-CN"/>
        </w:rPr>
      </w:pPr>
      <w:r>
        <w:rPr>
          <w:rFonts w:ascii="宋体" w:hAnsi="宋体" w:hint="eastAsia"/>
          <w:szCs w:val="21"/>
          <w:highlight w:val="white"/>
          <w:lang w:eastAsia="zh-CN"/>
        </w:rPr>
        <w:t>办公地址：</w:t>
      </w:r>
      <w:r w:rsidRPr="00BE77AF" w:rsidR="00BE77AF">
        <w:rPr>
          <w:rFonts w:ascii="宋体" w:hAnsi="宋体" w:hint="eastAsia"/>
          <w:szCs w:val="21"/>
          <w:lang w:eastAsia="zh-CN"/>
        </w:rPr>
        <w:t>上海市博成路1388号浦银中心A栋</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法定代表人：郑杨</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成立日期：</w:t>
      </w:r>
      <w:r>
        <w:rPr>
          <w:rFonts w:ascii="宋体" w:hAnsi="宋体"/>
          <w:szCs w:val="21"/>
          <w:highlight w:val="white"/>
          <w:lang w:eastAsia="zh-CN"/>
        </w:rPr>
        <w:t>1992</w:t>
      </w:r>
      <w:r>
        <w:rPr>
          <w:rFonts w:ascii="宋体" w:hAnsi="宋体"/>
          <w:szCs w:val="21"/>
          <w:highlight w:val="white"/>
          <w:lang w:eastAsia="zh-CN"/>
        </w:rPr>
        <w:t>年</w:t>
      </w:r>
      <w:r>
        <w:rPr>
          <w:rFonts w:ascii="宋体" w:hAnsi="宋体"/>
          <w:szCs w:val="21"/>
          <w:highlight w:val="white"/>
          <w:lang w:eastAsia="zh-CN"/>
        </w:rPr>
        <w:t>10</w:t>
      </w:r>
      <w:r>
        <w:rPr>
          <w:rFonts w:ascii="宋体" w:hAnsi="宋体"/>
          <w:szCs w:val="21"/>
          <w:highlight w:val="white"/>
          <w:lang w:eastAsia="zh-CN"/>
        </w:rPr>
        <w:t>月</w:t>
      </w:r>
      <w:r>
        <w:rPr>
          <w:rFonts w:ascii="宋体" w:hAnsi="宋体"/>
          <w:szCs w:val="21"/>
          <w:highlight w:val="white"/>
          <w:lang w:eastAsia="zh-CN"/>
        </w:rPr>
        <w:t>19</w:t>
      </w:r>
      <w:r>
        <w:rPr>
          <w:rFonts w:ascii="宋体" w:hAnsi="宋体"/>
          <w:szCs w:val="21"/>
          <w:highlight w:val="white"/>
          <w:lang w:eastAsia="zh-CN"/>
        </w:rPr>
        <w:t>日</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基金托管业务资格批准机关：中国证监会</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基金托管业务资格文号：</w:t>
      </w:r>
      <w:r w:rsidRPr="00BE77AF" w:rsidR="00BE77AF">
        <w:rPr>
          <w:rFonts w:ascii="宋体" w:hAnsi="宋体" w:hint="eastAsia"/>
          <w:szCs w:val="21"/>
          <w:lang w:eastAsia="zh-CN"/>
        </w:rPr>
        <w:t>中国证监会证监基金字</w:t>
      </w:r>
      <w:r>
        <w:rPr>
          <w:rFonts w:ascii="宋体" w:hAnsi="宋体"/>
          <w:szCs w:val="21"/>
          <w:highlight w:val="white"/>
          <w:lang w:eastAsia="zh-CN"/>
        </w:rPr>
        <w:t>[2003]105</w:t>
      </w:r>
      <w:r>
        <w:rPr>
          <w:rFonts w:ascii="宋体" w:hAnsi="宋体"/>
          <w:szCs w:val="21"/>
          <w:highlight w:val="white"/>
          <w:lang w:eastAsia="zh-CN"/>
        </w:rPr>
        <w:t>号</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组织形式：股份有限公司</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注册资本：</w:t>
      </w:r>
      <w:r>
        <w:rPr>
          <w:rFonts w:ascii="宋体" w:hAnsi="宋体"/>
          <w:szCs w:val="21"/>
          <w:highlight w:val="white"/>
          <w:lang w:eastAsia="zh-CN"/>
        </w:rPr>
        <w:t>293.52</w:t>
      </w:r>
      <w:r>
        <w:rPr>
          <w:rFonts w:ascii="宋体" w:hAnsi="宋体"/>
          <w:szCs w:val="21"/>
          <w:highlight w:val="white"/>
          <w:lang w:eastAsia="zh-CN"/>
        </w:rPr>
        <w:t>亿元</w:t>
      </w:r>
      <w:r w:rsidR="00BE77AF">
        <w:rPr>
          <w:rFonts w:ascii="宋体" w:hAnsi="宋体" w:hint="eastAsia"/>
          <w:szCs w:val="21"/>
          <w:highlight w:val="white"/>
          <w:lang w:eastAsia="zh-CN"/>
        </w:rPr>
        <w:t>人民币</w:t>
      </w:r>
    </w:p>
    <w:p w:rsidR="009944EC">
      <w:pPr>
        <w:spacing w:line="360" w:lineRule="auto"/>
        <w:ind w:firstLine="440"/>
        <w:rPr>
          <w:rFonts w:ascii="宋体" w:hAnsi="宋体"/>
          <w:szCs w:val="21"/>
          <w:lang w:eastAsia="zh-CN"/>
        </w:rPr>
      </w:pPr>
      <w:r>
        <w:rPr>
          <w:rFonts w:ascii="宋体" w:hAnsi="宋体" w:hint="eastAsia"/>
          <w:szCs w:val="21"/>
          <w:highlight w:val="white"/>
          <w:lang w:eastAsia="zh-CN"/>
        </w:rPr>
        <w:t>经营期限：永久存续</w:t>
      </w:r>
    </w:p>
    <w:p w:rsidR="009944EC">
      <w:pPr>
        <w:spacing w:line="360" w:lineRule="auto"/>
        <w:ind w:firstLine="480"/>
        <w:rPr>
          <w:rFonts w:ascii="宋体" w:hAnsi="宋体"/>
          <w:szCs w:val="21"/>
          <w:lang w:eastAsia="zh-CN"/>
        </w:rPr>
      </w:pPr>
    </w:p>
    <w:p w:rsidR="009944EC">
      <w:pPr>
        <w:spacing w:line="360" w:lineRule="auto"/>
        <w:ind w:firstLine="480"/>
        <w:rPr>
          <w:rFonts w:ascii="宋体" w:hAnsi="宋体"/>
          <w:szCs w:val="21"/>
          <w:lang w:eastAsia="zh-CN"/>
        </w:rPr>
      </w:pPr>
    </w:p>
    <w:p w:rsidR="009944EC">
      <w:pPr>
        <w:spacing w:line="360" w:lineRule="auto"/>
        <w:ind w:firstLine="480"/>
        <w:rPr>
          <w:rFonts w:ascii="宋体" w:hAnsi="宋体"/>
          <w:szCs w:val="21"/>
          <w:lang w:eastAsia="zh-CN"/>
        </w:rPr>
      </w:pP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6" w:name="_Toc69134058"/>
      <w:r>
        <w:rPr>
          <w:rFonts w:ascii="宋体" w:eastAsia="宋体" w:hAnsi="宋体" w:cs="Arial" w:hint="eastAsia"/>
          <w:sz w:val="21"/>
          <w:szCs w:val="21"/>
          <w:highlight w:val="white"/>
          <w:lang w:eastAsia="zh-CN"/>
        </w:rPr>
        <w:t>基金托管协议的依据、目的、原则和解释</w:t>
      </w:r>
      <w:bookmarkEnd w:id="16"/>
    </w:p>
    <w:p w:rsidR="009944EC">
      <w:pPr>
        <w:spacing w:line="360" w:lineRule="auto"/>
        <w:ind w:firstLine="420"/>
        <w:rPr>
          <w:rFonts w:ascii="宋体" w:hAnsi="宋体"/>
          <w:szCs w:val="21"/>
          <w:lang w:eastAsia="zh-CN"/>
        </w:rPr>
      </w:pPr>
      <w:r>
        <w:rPr>
          <w:rFonts w:ascii="宋体" w:hAnsi="宋体" w:hint="eastAsia"/>
          <w:szCs w:val="21"/>
          <w:highlight w:val="white"/>
          <w:lang w:eastAsia="zh-CN"/>
        </w:rPr>
        <w:t>（一）依据</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本协议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托管业务管理办法》、《证券投资基金信息披露内容与格式准则第</w:t>
      </w:r>
      <w:r>
        <w:rPr>
          <w:rFonts w:ascii="宋体" w:hAnsi="宋体" w:hint="eastAsia"/>
          <w:szCs w:val="21"/>
          <w:highlight w:val="white"/>
          <w:lang w:eastAsia="zh-CN"/>
        </w:rPr>
        <w:t>7</w:t>
      </w:r>
      <w:r>
        <w:rPr>
          <w:rFonts w:ascii="宋体" w:hAnsi="宋体" w:hint="eastAsia"/>
          <w:szCs w:val="21"/>
          <w:highlight w:val="white"/>
          <w:lang w:eastAsia="zh-CN"/>
        </w:rPr>
        <w:t>号〈托管协议的内容与格式〉》、《易方达中证消费电子主题交易型开放式指数证券投资基金发起式联接基金基金合同》（以下简称《基金合同》）及其他有关法律、法规制定。</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（二）目的</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（三）原则</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基金管理人和基金托管人本着平等自愿、诚实信用、充分保护基金份额持有人合法权益的原则，经协商一致，签订本协议。</w:t>
      </w:r>
    </w:p>
    <w:p w:rsidR="009944EC">
      <w:pPr>
        <w:spacing w:after="120" w:line="360" w:lineRule="auto"/>
        <w:ind w:firstLine="420"/>
        <w:rPr>
          <w:rFonts w:ascii="宋体" w:hAnsi="宋体"/>
          <w:szCs w:val="21"/>
          <w:lang w:eastAsia="zh-CN"/>
        </w:rPr>
      </w:pPr>
      <w:r>
        <w:rPr>
          <w:rFonts w:ascii="宋体" w:hAnsi="宋体" w:hint="eastAsia"/>
          <w:szCs w:val="21"/>
          <w:highlight w:val="white"/>
          <w:lang w:eastAsia="zh-CN"/>
        </w:rPr>
        <w:t>（四）解释</w:t>
      </w:r>
    </w:p>
    <w:p w:rsidR="009944EC">
      <w:pPr>
        <w:spacing w:after="120" w:line="360" w:lineRule="auto"/>
        <w:ind w:firstLine="420"/>
        <w:rPr>
          <w:rFonts w:ascii="宋体" w:hAnsi="宋体"/>
          <w:szCs w:val="21"/>
          <w:lang w:eastAsia="zh-CN"/>
        </w:rPr>
      </w:pPr>
      <w:r>
        <w:rPr>
          <w:rFonts w:ascii="宋体" w:hAnsi="宋体" w:hint="eastAsia"/>
          <w:szCs w:val="21"/>
          <w:highlight w:val="white"/>
          <w:lang w:eastAsia="zh-CN"/>
        </w:rPr>
        <w:t>除非本协议另有约定，本协议所有术语与《基金合同》的相应术语具有相同含义。</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7" w:name="_Toc69134059"/>
      <w:r>
        <w:rPr>
          <w:rFonts w:ascii="宋体" w:eastAsia="宋体" w:hAnsi="宋体" w:cs="Arial" w:hint="eastAsia"/>
          <w:sz w:val="21"/>
          <w:szCs w:val="21"/>
          <w:highlight w:val="white"/>
          <w:lang w:eastAsia="zh-CN"/>
        </w:rPr>
        <w:t>基金托管人对基金管理人的业务监督和核查</w:t>
      </w:r>
      <w:bookmarkEnd w:id="17"/>
    </w:p>
    <w:p w:rsidR="009944EC">
      <w:pPr>
        <w:spacing w:before="156" w:after="156" w:line="360" w:lineRule="auto"/>
        <w:ind w:firstLine="420"/>
        <w:rPr>
          <w:rFonts w:ascii="宋体" w:hAnsi="宋体"/>
          <w:szCs w:val="21"/>
          <w:lang w:eastAsia="zh-CN"/>
        </w:rPr>
      </w:pPr>
      <w:bookmarkStart w:id="18" w:name="_Toc382819073"/>
      <w:r>
        <w:rPr>
          <w:rFonts w:ascii="宋体" w:hAnsi="宋体" w:hint="eastAsia"/>
          <w:szCs w:val="21"/>
          <w:highlight w:val="white"/>
          <w:lang w:eastAsia="zh-CN"/>
        </w:rPr>
        <w:t>（一）基金托管人对基金管理人的投资行为行使监督权</w:t>
      </w:r>
      <w:bookmarkEnd w:id="18"/>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1.</w:t>
      </w:r>
      <w:r>
        <w:rPr>
          <w:rFonts w:ascii="宋体" w:hAnsi="宋体" w:hint="eastAsia"/>
          <w:bCs/>
          <w:szCs w:val="21"/>
          <w:highlight w:val="white"/>
          <w:lang w:eastAsia="zh-CN"/>
        </w:rPr>
        <w:t>基金托管人根据有</w:t>
      </w:r>
      <w:r>
        <w:rPr>
          <w:rFonts w:ascii="宋体" w:hAnsi="宋体" w:hint="eastAsia"/>
          <w:bCs/>
          <w:szCs w:val="21"/>
          <w:highlight w:val="white"/>
          <w:lang w:eastAsia="zh-CN"/>
        </w:rPr>
        <w:t>关法律法规的规定和《基金合同》的约定，对下述基金投资范围、投资对象进行监督。</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本基金将投资于以下金融工具：</w:t>
      </w:r>
    </w:p>
    <w:p w:rsidR="009944EC">
      <w:pPr>
        <w:spacing w:line="360" w:lineRule="auto"/>
        <w:ind w:firstLine="420"/>
        <w:rPr>
          <w:rFonts w:ascii="宋体" w:hAnsi="宋体"/>
          <w:szCs w:val="21"/>
          <w:lang w:eastAsia="zh-CN"/>
        </w:rPr>
      </w:pPr>
      <w:r>
        <w:rPr>
          <w:rFonts w:ascii="宋体" w:hAnsi="宋体"/>
          <w:szCs w:val="21"/>
          <w:highlight w:val="white"/>
          <w:lang w:eastAsia="zh-CN"/>
        </w:rPr>
        <w:t>本基金的投资范围包括目标</w:t>
      </w:r>
      <w:r>
        <w:rPr>
          <w:rFonts w:ascii="宋体" w:hAnsi="宋体"/>
          <w:szCs w:val="21"/>
          <w:highlight w:val="white"/>
          <w:lang w:eastAsia="zh-CN"/>
        </w:rPr>
        <w:t>ETF</w:t>
      </w:r>
      <w:r>
        <w:rPr>
          <w:rFonts w:ascii="宋体" w:hAnsi="宋体"/>
          <w:szCs w:val="21"/>
          <w:highlight w:val="white"/>
          <w:lang w:eastAsia="zh-CN"/>
        </w:rPr>
        <w:t>、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9944EC">
      <w:pPr>
        <w:spacing w:line="360" w:lineRule="auto"/>
        <w:ind w:firstLine="420"/>
        <w:jc w:val="left"/>
        <w:rPr>
          <w:rFonts w:ascii="宋体" w:hAnsi="宋体"/>
          <w:szCs w:val="21"/>
          <w:lang w:eastAsia="zh-CN"/>
        </w:rPr>
      </w:pPr>
      <w:r>
        <w:rPr>
          <w:rFonts w:ascii="宋体" w:hAnsi="宋体"/>
          <w:szCs w:val="21"/>
          <w:highlight w:val="white"/>
          <w:lang w:eastAsia="zh-CN"/>
        </w:rPr>
        <w:t>如法律法规或监管机构以后允许基金投资其他品种，基金管理人在履行</w:t>
      </w:r>
      <w:r>
        <w:rPr>
          <w:rFonts w:ascii="宋体" w:hAnsi="宋体"/>
          <w:szCs w:val="21"/>
          <w:highlight w:val="white"/>
          <w:lang w:eastAsia="zh-CN"/>
        </w:rPr>
        <w:t>适当程序后，本基金可以将其纳入投资范围。</w:t>
      </w:r>
    </w:p>
    <w:p w:rsidR="009944EC">
      <w:pPr>
        <w:spacing w:line="360" w:lineRule="auto"/>
        <w:ind w:firstLine="420"/>
        <w:jc w:val="left"/>
        <w:rPr>
          <w:rFonts w:ascii="宋体" w:hAnsi="宋体"/>
          <w:szCs w:val="21"/>
          <w:lang w:eastAsia="zh-CN"/>
        </w:rPr>
      </w:pPr>
      <w:r>
        <w:rPr>
          <w:rFonts w:ascii="宋体" w:hAnsi="宋体"/>
          <w:szCs w:val="21"/>
          <w:highlight w:val="white"/>
          <w:lang w:eastAsia="zh-CN"/>
        </w:rPr>
        <w:t>本基金将根据法律法规的规定参与转融通证券出借及融资业务。</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本基金不得投资于相关法律、法规、部门规章及《基金合同》禁止投资的投资工具。</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2.</w:t>
      </w:r>
      <w:r>
        <w:rPr>
          <w:rFonts w:ascii="宋体" w:hAnsi="宋体" w:hint="eastAsia"/>
          <w:bCs/>
          <w:szCs w:val="21"/>
          <w:highlight w:val="white"/>
          <w:lang w:eastAsia="zh-CN"/>
        </w:rPr>
        <w:t>基金托管人根据有关法律法规的规定及《基金合同》的约定对下述基金投融资比例进行监督：</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1</w:t>
      </w:r>
      <w:r>
        <w:rPr>
          <w:rFonts w:ascii="宋体" w:hAnsi="宋体" w:hint="eastAsia"/>
          <w:bCs/>
          <w:szCs w:val="21"/>
          <w:highlight w:val="white"/>
          <w:lang w:eastAsia="zh-CN"/>
        </w:rPr>
        <w:t>）按法律法规的规定及《基金合同》的约定，本基金的投资资产配置比例为：</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基金的投资组合比例为：</w:t>
      </w:r>
      <w:r>
        <w:rPr>
          <w:rFonts w:ascii="宋体" w:hAnsi="宋体"/>
          <w:szCs w:val="21"/>
          <w:highlight w:val="white"/>
          <w:lang w:eastAsia="zh-CN"/>
        </w:rPr>
        <w:t>本基金投资于目标</w:t>
      </w:r>
      <w:r>
        <w:rPr>
          <w:rFonts w:ascii="宋体" w:hAnsi="宋体"/>
          <w:szCs w:val="21"/>
          <w:highlight w:val="white"/>
          <w:lang w:eastAsia="zh-CN"/>
        </w:rPr>
        <w:t>ETF</w:t>
      </w:r>
      <w:r>
        <w:rPr>
          <w:rFonts w:ascii="宋体" w:hAnsi="宋体"/>
          <w:szCs w:val="21"/>
          <w:highlight w:val="white"/>
          <w:lang w:eastAsia="zh-CN"/>
        </w:rPr>
        <w:t>的资产不低于基金资产净值的</w:t>
      </w:r>
      <w:r>
        <w:rPr>
          <w:rFonts w:ascii="宋体" w:hAnsi="宋体"/>
          <w:szCs w:val="21"/>
          <w:highlight w:val="white"/>
          <w:lang w:eastAsia="zh-CN"/>
        </w:rPr>
        <w:t>90%</w:t>
      </w:r>
      <w:r>
        <w:rPr>
          <w:rFonts w:ascii="宋体" w:hAnsi="宋体"/>
          <w:szCs w:val="21"/>
          <w:highlight w:val="white"/>
          <w:lang w:eastAsia="zh-CN"/>
        </w:rPr>
        <w:t>，保持不低于基金资产净值</w:t>
      </w:r>
      <w:r>
        <w:rPr>
          <w:rFonts w:ascii="宋体" w:hAnsi="宋体"/>
          <w:szCs w:val="21"/>
          <w:highlight w:val="white"/>
          <w:lang w:eastAsia="zh-CN"/>
        </w:rPr>
        <w:t>5%</w:t>
      </w:r>
      <w:r>
        <w:rPr>
          <w:rFonts w:ascii="宋体" w:hAnsi="宋体"/>
          <w:szCs w:val="21"/>
          <w:highlight w:val="white"/>
          <w:lang w:eastAsia="zh-CN"/>
        </w:rPr>
        <w:t>的现金或者到期日在一年以内的政府债券，其中现金不包括结算备付金、存出保</w:t>
      </w:r>
      <w:r>
        <w:rPr>
          <w:rFonts w:ascii="宋体" w:hAnsi="宋体"/>
          <w:szCs w:val="21"/>
          <w:highlight w:val="white"/>
          <w:lang w:eastAsia="zh-CN"/>
        </w:rPr>
        <w:t>证金、应收申购款等。</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因基金规模或市场变化等因素导致投资组合不符合上述规定的，基金管理人应在合理的期限内调整基金的投资组合，以符合上述比例限定。法律法规另有规定时，从其规定。</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2</w:t>
      </w:r>
      <w:r>
        <w:rPr>
          <w:rFonts w:ascii="宋体" w:hAnsi="宋体" w:hint="eastAsia"/>
          <w:bCs/>
          <w:szCs w:val="21"/>
          <w:highlight w:val="white"/>
          <w:lang w:eastAsia="zh-CN"/>
        </w:rPr>
        <w:t>）根据法律法规的规定及《基金合同》的约定，本基金投资组合遵循以下投资限制：</w:t>
      </w:r>
      <w:r>
        <w:rPr>
          <w:rFonts w:ascii="宋体" w:hAnsi="宋体" w:hint="eastAsia"/>
          <w:bCs/>
          <w:szCs w:val="21"/>
          <w:highlight w:val="white"/>
          <w:lang w:eastAsia="zh-CN"/>
        </w:rPr>
        <w:t xml:space="preserve"> </w:t>
      </w:r>
    </w:p>
    <w:p w:rsidR="009944EC">
      <w:pPr>
        <w:spacing w:line="360" w:lineRule="auto"/>
        <w:ind w:firstLine="420"/>
        <w:rPr>
          <w:lang w:eastAsia="zh-CN"/>
        </w:rPr>
      </w:pPr>
      <w:r>
        <w:rPr>
          <w:rFonts w:ascii="宋体" w:hAnsi="宋体" w:cs="宋体"/>
          <w:szCs w:val="21"/>
          <w:highlight w:val="white"/>
          <w:lang w:eastAsia="zh-CN"/>
        </w:rPr>
        <w:t>1</w:t>
      </w:r>
      <w:r>
        <w:rPr>
          <w:rFonts w:ascii="宋体" w:hAnsi="宋体" w:cs="宋体"/>
          <w:szCs w:val="21"/>
          <w:highlight w:val="white"/>
          <w:lang w:eastAsia="zh-CN"/>
        </w:rPr>
        <w:t>）本基金投资于目标</w:t>
      </w:r>
      <w:r>
        <w:rPr>
          <w:rFonts w:ascii="宋体" w:hAnsi="宋体" w:cs="宋体"/>
          <w:szCs w:val="21"/>
          <w:highlight w:val="white"/>
          <w:lang w:eastAsia="zh-CN"/>
        </w:rPr>
        <w:t>ETF</w:t>
      </w:r>
      <w:r>
        <w:rPr>
          <w:rFonts w:ascii="宋体" w:hAnsi="宋体" w:cs="宋体"/>
          <w:szCs w:val="21"/>
          <w:highlight w:val="white"/>
          <w:lang w:eastAsia="zh-CN"/>
        </w:rPr>
        <w:t>的资产不低于基金资产净值的</w:t>
      </w:r>
      <w:r>
        <w:rPr>
          <w:rFonts w:ascii="宋体" w:hAnsi="宋体" w:cs="宋体"/>
          <w:szCs w:val="21"/>
          <w:highlight w:val="white"/>
          <w:lang w:eastAsia="zh-CN"/>
        </w:rPr>
        <w:t>90%</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2</w:t>
      </w:r>
      <w:r>
        <w:rPr>
          <w:rFonts w:ascii="宋体" w:hAnsi="宋体" w:cs="宋体"/>
          <w:szCs w:val="21"/>
          <w:highlight w:val="white"/>
          <w:lang w:eastAsia="zh-CN"/>
        </w:rPr>
        <w:t>）保持不低于基金资产净值</w:t>
      </w:r>
      <w:r>
        <w:rPr>
          <w:rFonts w:ascii="宋体" w:hAnsi="宋体" w:cs="宋体"/>
          <w:szCs w:val="21"/>
          <w:highlight w:val="white"/>
          <w:lang w:eastAsia="zh-CN"/>
        </w:rPr>
        <w:t>5%</w:t>
      </w:r>
      <w:r>
        <w:rPr>
          <w:rFonts w:ascii="宋体" w:hAnsi="宋体" w:cs="宋体"/>
          <w:szCs w:val="21"/>
          <w:highlight w:val="white"/>
          <w:lang w:eastAsia="zh-CN"/>
        </w:rPr>
        <w:t>的现金或者到期日在一年以内的政府债券，其中现金不包括结算备付金、存出保证金和应收申购款等；</w:t>
      </w:r>
    </w:p>
    <w:p w:rsidR="009944EC">
      <w:pPr>
        <w:spacing w:line="360" w:lineRule="auto"/>
        <w:ind w:firstLine="420"/>
        <w:rPr>
          <w:lang w:eastAsia="zh-CN"/>
        </w:rPr>
      </w:pPr>
      <w:r>
        <w:rPr>
          <w:rFonts w:ascii="宋体" w:hAnsi="宋体" w:cs="宋体"/>
          <w:szCs w:val="21"/>
          <w:highlight w:val="white"/>
          <w:lang w:eastAsia="zh-CN"/>
        </w:rPr>
        <w:t>3</w:t>
      </w:r>
      <w:r>
        <w:rPr>
          <w:rFonts w:ascii="宋体" w:hAnsi="宋体" w:cs="宋体"/>
          <w:szCs w:val="21"/>
          <w:highlight w:val="white"/>
          <w:lang w:eastAsia="zh-CN"/>
        </w:rPr>
        <w:t>）本基金投资于同一原始权益人的各类资产支持证券的比例，不得超过基金资产净值的</w:t>
      </w:r>
      <w:r>
        <w:rPr>
          <w:rFonts w:ascii="宋体" w:hAnsi="宋体" w:cs="宋体"/>
          <w:szCs w:val="21"/>
          <w:highlight w:val="white"/>
          <w:lang w:eastAsia="zh-CN"/>
        </w:rPr>
        <w:t>10%</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4</w:t>
      </w:r>
      <w:r>
        <w:rPr>
          <w:rFonts w:ascii="宋体" w:hAnsi="宋体" w:cs="宋体"/>
          <w:szCs w:val="21"/>
          <w:highlight w:val="white"/>
          <w:lang w:eastAsia="zh-CN"/>
        </w:rPr>
        <w:t>）本基金持有的全部资产支持证券，其市值不得超过基金资产净值的</w:t>
      </w:r>
      <w:r>
        <w:rPr>
          <w:rFonts w:ascii="宋体" w:hAnsi="宋体" w:cs="宋体"/>
          <w:szCs w:val="21"/>
          <w:highlight w:val="white"/>
          <w:lang w:eastAsia="zh-CN"/>
        </w:rPr>
        <w:t>20%</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5</w:t>
      </w:r>
      <w:r>
        <w:rPr>
          <w:rFonts w:ascii="宋体" w:hAnsi="宋体" w:cs="宋体"/>
          <w:szCs w:val="21"/>
          <w:highlight w:val="white"/>
          <w:lang w:eastAsia="zh-CN"/>
        </w:rPr>
        <w:t>）本基金持有的同一</w:t>
      </w:r>
      <w:r>
        <w:rPr>
          <w:rFonts w:ascii="宋体" w:hAnsi="宋体" w:cs="宋体"/>
          <w:szCs w:val="21"/>
          <w:highlight w:val="white"/>
          <w:lang w:eastAsia="zh-CN"/>
        </w:rPr>
        <w:t>(</w:t>
      </w:r>
      <w:r>
        <w:rPr>
          <w:rFonts w:ascii="宋体" w:hAnsi="宋体" w:cs="宋体"/>
          <w:szCs w:val="21"/>
          <w:highlight w:val="white"/>
          <w:lang w:eastAsia="zh-CN"/>
        </w:rPr>
        <w:t>指同一信用级别</w:t>
      </w:r>
      <w:r>
        <w:rPr>
          <w:rFonts w:ascii="宋体" w:hAnsi="宋体" w:cs="宋体"/>
          <w:szCs w:val="21"/>
          <w:highlight w:val="white"/>
          <w:lang w:eastAsia="zh-CN"/>
        </w:rPr>
        <w:t>)</w:t>
      </w:r>
      <w:r>
        <w:rPr>
          <w:rFonts w:ascii="宋体" w:hAnsi="宋体" w:cs="宋体"/>
          <w:szCs w:val="21"/>
          <w:highlight w:val="white"/>
          <w:lang w:eastAsia="zh-CN"/>
        </w:rPr>
        <w:t>资产支持证券的比例，不得超过该资产支持证券规模的</w:t>
      </w:r>
      <w:r>
        <w:rPr>
          <w:rFonts w:ascii="宋体" w:hAnsi="宋体" w:cs="宋体"/>
          <w:szCs w:val="21"/>
          <w:highlight w:val="white"/>
          <w:lang w:eastAsia="zh-CN"/>
        </w:rPr>
        <w:t>10%</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6</w:t>
      </w:r>
      <w:r>
        <w:rPr>
          <w:rFonts w:ascii="宋体" w:hAnsi="宋体" w:cs="宋体"/>
          <w:szCs w:val="21"/>
          <w:highlight w:val="white"/>
          <w:lang w:eastAsia="zh-CN"/>
        </w:rPr>
        <w:t>）本基金管理人管理且由本基金托管人托管的全部基金投资于同一原始权益人的各类资产支持证券，不得超过其各类资产支持证券合计规模的</w:t>
      </w:r>
      <w:r>
        <w:rPr>
          <w:rFonts w:ascii="宋体" w:hAnsi="宋体" w:cs="宋体"/>
          <w:szCs w:val="21"/>
          <w:highlight w:val="white"/>
          <w:lang w:eastAsia="zh-CN"/>
        </w:rPr>
        <w:t>10%</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7</w:t>
      </w:r>
      <w:r>
        <w:rPr>
          <w:rFonts w:ascii="宋体" w:hAnsi="宋体" w:cs="宋体"/>
          <w:szCs w:val="21"/>
          <w:highlight w:val="white"/>
          <w:lang w:eastAsia="zh-CN"/>
        </w:rPr>
        <w:t>）本基金应投资于信用级别评级为</w:t>
      </w:r>
      <w:r>
        <w:rPr>
          <w:rFonts w:ascii="宋体" w:hAnsi="宋体" w:cs="宋体"/>
          <w:szCs w:val="21"/>
          <w:highlight w:val="white"/>
          <w:lang w:eastAsia="zh-CN"/>
        </w:rPr>
        <w:t>BBB</w:t>
      </w:r>
      <w:r>
        <w:rPr>
          <w:rFonts w:ascii="宋体" w:hAnsi="宋体" w:cs="宋体"/>
          <w:szCs w:val="21"/>
          <w:highlight w:val="white"/>
          <w:lang w:eastAsia="zh-CN"/>
        </w:rPr>
        <w:t>以上</w:t>
      </w:r>
      <w:r>
        <w:rPr>
          <w:rFonts w:ascii="宋体" w:hAnsi="宋体" w:cs="宋体"/>
          <w:szCs w:val="21"/>
          <w:highlight w:val="white"/>
          <w:lang w:eastAsia="zh-CN"/>
        </w:rPr>
        <w:t>(</w:t>
      </w:r>
      <w:r>
        <w:rPr>
          <w:rFonts w:ascii="宋体" w:hAnsi="宋体" w:cs="宋体"/>
          <w:szCs w:val="21"/>
          <w:highlight w:val="white"/>
          <w:lang w:eastAsia="zh-CN"/>
        </w:rPr>
        <w:t>含</w:t>
      </w:r>
      <w:r>
        <w:rPr>
          <w:rFonts w:ascii="宋体" w:hAnsi="宋体" w:cs="宋体"/>
          <w:szCs w:val="21"/>
          <w:highlight w:val="white"/>
          <w:lang w:eastAsia="zh-CN"/>
        </w:rPr>
        <w:t>BBB)</w:t>
      </w:r>
      <w:r>
        <w:rPr>
          <w:rFonts w:ascii="宋体" w:hAnsi="宋体" w:cs="宋体"/>
          <w:szCs w:val="21"/>
          <w:highlight w:val="white"/>
          <w:lang w:eastAsia="zh-CN"/>
        </w:rPr>
        <w:t>的资产支持证券。基金持有资产支持证券期间，如果其信用等级下降、不再符合投资标准，应在评级报告发布之日起</w:t>
      </w:r>
      <w:r>
        <w:rPr>
          <w:rFonts w:ascii="宋体" w:hAnsi="宋体" w:cs="宋体"/>
          <w:szCs w:val="21"/>
          <w:highlight w:val="white"/>
          <w:lang w:eastAsia="zh-CN"/>
        </w:rPr>
        <w:t>3</w:t>
      </w:r>
      <w:r>
        <w:rPr>
          <w:rFonts w:ascii="宋体" w:hAnsi="宋体" w:cs="宋体"/>
          <w:szCs w:val="21"/>
          <w:highlight w:val="white"/>
          <w:lang w:eastAsia="zh-CN"/>
        </w:rPr>
        <w:t>个月内予以全部卖出；</w:t>
      </w:r>
    </w:p>
    <w:p w:rsidR="009944EC">
      <w:pPr>
        <w:spacing w:line="360" w:lineRule="auto"/>
        <w:ind w:firstLine="420"/>
        <w:rPr>
          <w:lang w:eastAsia="zh-CN"/>
        </w:rPr>
      </w:pPr>
      <w:r>
        <w:rPr>
          <w:rFonts w:ascii="宋体" w:hAnsi="宋体" w:cs="宋体"/>
          <w:szCs w:val="21"/>
          <w:highlight w:val="white"/>
          <w:lang w:eastAsia="zh-CN"/>
        </w:rPr>
        <w:t>8</w:t>
      </w:r>
      <w:r>
        <w:rPr>
          <w:rFonts w:ascii="宋体" w:hAnsi="宋体" w:cs="宋体"/>
          <w:szCs w:val="21"/>
          <w:highlight w:val="white"/>
          <w:lang w:eastAsia="zh-CN"/>
        </w:rPr>
        <w:t>）基金财产参与股票发行申购，本基金所申报的金额不超过本基金的总资产，本基金所申报的股票数量不超过拟发行股票公司本次发行股票的总量；</w:t>
      </w:r>
    </w:p>
    <w:p w:rsidR="009944EC">
      <w:pPr>
        <w:spacing w:line="360" w:lineRule="auto"/>
        <w:ind w:firstLine="420"/>
        <w:rPr>
          <w:lang w:eastAsia="zh-CN"/>
        </w:rPr>
      </w:pPr>
      <w:r>
        <w:rPr>
          <w:rFonts w:ascii="宋体" w:hAnsi="宋体" w:cs="宋体"/>
          <w:szCs w:val="21"/>
          <w:highlight w:val="white"/>
          <w:lang w:eastAsia="zh-CN"/>
        </w:rPr>
        <w:t>9</w:t>
      </w:r>
      <w:r>
        <w:rPr>
          <w:rFonts w:ascii="宋体" w:hAnsi="宋体" w:cs="宋体"/>
          <w:szCs w:val="21"/>
          <w:highlight w:val="white"/>
          <w:lang w:eastAsia="zh-CN"/>
        </w:rPr>
        <w:t>）本基金参与股指期货交易的，应当符合下列要求：在任何交易日日终，持有的买入股指期货合约价值，不得超过基金资产净值的</w:t>
      </w:r>
      <w:r>
        <w:rPr>
          <w:rFonts w:ascii="宋体" w:hAnsi="宋体" w:cs="宋体"/>
          <w:szCs w:val="21"/>
          <w:highlight w:val="white"/>
          <w:lang w:eastAsia="zh-CN"/>
        </w:rPr>
        <w:t>10%</w:t>
      </w:r>
      <w:r>
        <w:rPr>
          <w:rFonts w:ascii="宋体" w:hAnsi="宋体" w:cs="宋体"/>
          <w:szCs w:val="21"/>
          <w:highlight w:val="white"/>
          <w:lang w:eastAsia="zh-CN"/>
        </w:rPr>
        <w:t>；在任何交易日日终，持有的买入国债期货和股指期货合约价值与有价证券市值之和，</w:t>
      </w:r>
      <w:r>
        <w:rPr>
          <w:rFonts w:ascii="宋体" w:hAnsi="宋体" w:cs="宋体"/>
          <w:szCs w:val="21"/>
          <w:highlight w:val="white"/>
          <w:lang w:eastAsia="zh-CN"/>
        </w:rPr>
        <w:t>不得超过基金资产净值的</w:t>
      </w:r>
      <w:r>
        <w:rPr>
          <w:rFonts w:ascii="宋体" w:hAnsi="宋体" w:cs="宋体"/>
          <w:szCs w:val="21"/>
          <w:highlight w:val="white"/>
          <w:lang w:eastAsia="zh-CN"/>
        </w:rPr>
        <w:t>100%</w:t>
      </w:r>
      <w:r>
        <w:rPr>
          <w:rFonts w:ascii="宋体" w:hAnsi="宋体" w:cs="宋体"/>
          <w:szCs w:val="21"/>
          <w:highlight w:val="white"/>
          <w:lang w:eastAsia="zh-CN"/>
        </w:rPr>
        <w:t>，其中，有价证券指目标</w:t>
      </w:r>
      <w:r>
        <w:rPr>
          <w:rFonts w:ascii="宋体" w:hAnsi="宋体" w:cs="宋体"/>
          <w:szCs w:val="21"/>
          <w:highlight w:val="white"/>
          <w:lang w:eastAsia="zh-CN"/>
        </w:rPr>
        <w:t>ETF</w:t>
      </w:r>
      <w:r>
        <w:rPr>
          <w:rFonts w:ascii="宋体" w:hAnsi="宋体" w:cs="宋体"/>
          <w:szCs w:val="21"/>
          <w:highlight w:val="white"/>
          <w:lang w:eastAsia="zh-CN"/>
        </w:rPr>
        <w:t>、股票、债券（不含到期日在一年以内的政府债券）、资产支持证券、买入返售金融资产（不含质押式回购）等；在任何交易日日终，持有的卖出股指期货合约价值不得超过基金持有的股票及目标</w:t>
      </w:r>
      <w:r>
        <w:rPr>
          <w:rFonts w:ascii="宋体" w:hAnsi="宋体" w:cs="宋体"/>
          <w:szCs w:val="21"/>
          <w:highlight w:val="white"/>
          <w:lang w:eastAsia="zh-CN"/>
        </w:rPr>
        <w:t>ETF</w:t>
      </w:r>
      <w:r>
        <w:rPr>
          <w:rFonts w:ascii="宋体" w:hAnsi="宋体" w:cs="宋体"/>
          <w:szCs w:val="21"/>
          <w:highlight w:val="white"/>
          <w:lang w:eastAsia="zh-CN"/>
        </w:rPr>
        <w:t>总市值的</w:t>
      </w:r>
      <w:r>
        <w:rPr>
          <w:rFonts w:ascii="宋体" w:hAnsi="宋体" w:cs="宋体"/>
          <w:szCs w:val="21"/>
          <w:highlight w:val="white"/>
          <w:lang w:eastAsia="zh-CN"/>
        </w:rPr>
        <w:t>20%</w:t>
      </w:r>
      <w:r>
        <w:rPr>
          <w:rFonts w:ascii="宋体" w:hAnsi="宋体" w:cs="宋体"/>
          <w:szCs w:val="21"/>
          <w:highlight w:val="white"/>
          <w:lang w:eastAsia="zh-CN"/>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ascii="宋体" w:hAnsi="宋体" w:cs="宋体"/>
          <w:szCs w:val="21"/>
          <w:highlight w:val="white"/>
          <w:lang w:eastAsia="zh-CN"/>
        </w:rPr>
        <w:t>20%</w:t>
      </w:r>
      <w:r>
        <w:rPr>
          <w:rFonts w:ascii="宋体" w:hAnsi="宋体" w:cs="宋体"/>
          <w:szCs w:val="21"/>
          <w:highlight w:val="white"/>
          <w:lang w:eastAsia="zh-CN"/>
        </w:rPr>
        <w:t>；每个交易日日终，扣除股指期货、国债期货合约需缴纳的交易保证金</w:t>
      </w:r>
      <w:r>
        <w:rPr>
          <w:rFonts w:ascii="宋体" w:hAnsi="宋体" w:cs="宋体"/>
          <w:szCs w:val="21"/>
          <w:highlight w:val="white"/>
          <w:lang w:eastAsia="zh-CN"/>
        </w:rPr>
        <w:t>后，保持不低于基金资产净值</w:t>
      </w:r>
      <w:r>
        <w:rPr>
          <w:rFonts w:ascii="宋体" w:hAnsi="宋体" w:cs="宋体"/>
          <w:szCs w:val="21"/>
          <w:highlight w:val="white"/>
          <w:lang w:eastAsia="zh-CN"/>
        </w:rPr>
        <w:t>5%</w:t>
      </w:r>
      <w:r>
        <w:rPr>
          <w:rFonts w:ascii="宋体" w:hAnsi="宋体" w:cs="宋体"/>
          <w:szCs w:val="21"/>
          <w:highlight w:val="white"/>
          <w:lang w:eastAsia="zh-CN"/>
        </w:rPr>
        <w:t>的现金或者到期日在一年以内的政府债券，其中现金不包括结算备付金、存出保证金和应收申购款等；</w:t>
      </w:r>
    </w:p>
    <w:p w:rsidR="009944EC">
      <w:pPr>
        <w:spacing w:line="360" w:lineRule="auto"/>
        <w:ind w:firstLine="420"/>
        <w:rPr>
          <w:lang w:eastAsia="zh-CN"/>
        </w:rPr>
      </w:pPr>
      <w:r>
        <w:rPr>
          <w:rFonts w:ascii="宋体" w:hAnsi="宋体" w:cs="宋体"/>
          <w:szCs w:val="21"/>
          <w:highlight w:val="white"/>
          <w:lang w:eastAsia="zh-CN"/>
        </w:rPr>
        <w:t>10</w:t>
      </w:r>
      <w:r>
        <w:rPr>
          <w:rFonts w:ascii="宋体" w:hAnsi="宋体" w:cs="宋体"/>
          <w:szCs w:val="21"/>
          <w:highlight w:val="white"/>
          <w:lang w:eastAsia="zh-CN"/>
        </w:rPr>
        <w:t>）本基金参与国债期货交易的，应当符合下列要求：在任何交易日日终，本基金持有的买入国债期货合约价值，不得超过基金资产净值的</w:t>
      </w:r>
      <w:r>
        <w:rPr>
          <w:rFonts w:ascii="宋体" w:hAnsi="宋体" w:cs="宋体"/>
          <w:szCs w:val="21"/>
          <w:highlight w:val="white"/>
          <w:lang w:eastAsia="zh-CN"/>
        </w:rPr>
        <w:t>15%</w:t>
      </w:r>
      <w:r>
        <w:rPr>
          <w:rFonts w:ascii="宋体" w:hAnsi="宋体" w:cs="宋体"/>
          <w:szCs w:val="21"/>
          <w:highlight w:val="white"/>
          <w:lang w:eastAsia="zh-CN"/>
        </w:rPr>
        <w:t>；本基金在任何交易日日终，持有的卖出国债期货合约价值不得超过基金持有的债券总市值的</w:t>
      </w:r>
      <w:r>
        <w:rPr>
          <w:rFonts w:ascii="宋体" w:hAnsi="宋体" w:cs="宋体"/>
          <w:szCs w:val="21"/>
          <w:highlight w:val="white"/>
          <w:lang w:eastAsia="zh-CN"/>
        </w:rPr>
        <w:t>30%</w:t>
      </w:r>
      <w:r>
        <w:rPr>
          <w:rFonts w:ascii="宋体" w:hAnsi="宋体" w:cs="宋体"/>
          <w:szCs w:val="21"/>
          <w:highlight w:val="white"/>
          <w:lang w:eastAsia="zh-CN"/>
        </w:rPr>
        <w:t>；本基金在任何交易日内交易（不包括平仓）的国债期货合约的成交金额不得超过上一交易日基金资产净值的</w:t>
      </w:r>
      <w:r>
        <w:rPr>
          <w:rFonts w:ascii="宋体" w:hAnsi="宋体" w:cs="宋体"/>
          <w:szCs w:val="21"/>
          <w:highlight w:val="white"/>
          <w:lang w:eastAsia="zh-CN"/>
        </w:rPr>
        <w:t>30%</w:t>
      </w:r>
      <w:r>
        <w:rPr>
          <w:rFonts w:ascii="宋体" w:hAnsi="宋体" w:cs="宋体"/>
          <w:szCs w:val="21"/>
          <w:highlight w:val="white"/>
          <w:lang w:eastAsia="zh-CN"/>
        </w:rPr>
        <w:t>；本基金所持有的债券（不含到期日在一年以内的政府债券）市值和买入、卖出</w:t>
      </w:r>
      <w:r>
        <w:rPr>
          <w:rFonts w:ascii="宋体" w:hAnsi="宋体" w:cs="宋体"/>
          <w:szCs w:val="21"/>
          <w:highlight w:val="white"/>
          <w:lang w:eastAsia="zh-CN"/>
        </w:rPr>
        <w:t>国债期货合约价值，合计（轧差计算）应当符合基金合同关于债券投资比例的有关约定；</w:t>
      </w:r>
    </w:p>
    <w:p w:rsidR="009944EC">
      <w:pPr>
        <w:spacing w:line="360" w:lineRule="auto"/>
        <w:ind w:firstLine="420"/>
        <w:rPr>
          <w:lang w:eastAsia="zh-CN"/>
        </w:rPr>
      </w:pPr>
      <w:r>
        <w:rPr>
          <w:rFonts w:ascii="宋体" w:hAnsi="宋体" w:cs="宋体"/>
          <w:szCs w:val="21"/>
          <w:highlight w:val="white"/>
          <w:lang w:eastAsia="zh-CN"/>
        </w:rPr>
        <w:t>11</w:t>
      </w:r>
      <w:r>
        <w:rPr>
          <w:rFonts w:ascii="宋体" w:hAnsi="宋体" w:cs="宋体"/>
          <w:szCs w:val="21"/>
          <w:highlight w:val="white"/>
          <w:lang w:eastAsia="zh-CN"/>
        </w:rPr>
        <w:t>）本基金参与股票期权交易的，应当符合下列要求：基金因未平仓的期权合约支付和收取的权利金总额不得超过基金资产净值的</w:t>
      </w:r>
      <w:r>
        <w:rPr>
          <w:rFonts w:ascii="宋体" w:hAnsi="宋体" w:cs="宋体"/>
          <w:szCs w:val="21"/>
          <w:highlight w:val="white"/>
          <w:lang w:eastAsia="zh-CN"/>
        </w:rPr>
        <w:t>10%</w:t>
      </w:r>
      <w:r>
        <w:rPr>
          <w:rFonts w:ascii="宋体" w:hAnsi="宋体" w:cs="宋体"/>
          <w:szCs w:val="21"/>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cs="宋体"/>
          <w:szCs w:val="21"/>
          <w:highlight w:val="white"/>
          <w:lang w:eastAsia="zh-CN"/>
        </w:rPr>
        <w:t>20%</w:t>
      </w:r>
      <w:r>
        <w:rPr>
          <w:rFonts w:ascii="宋体" w:hAnsi="宋体" w:cs="宋体"/>
          <w:szCs w:val="21"/>
          <w:highlight w:val="white"/>
          <w:lang w:eastAsia="zh-CN"/>
        </w:rPr>
        <w:t>。其中，合约面值按照行权价乘以合约乘数计算；</w:t>
      </w:r>
    </w:p>
    <w:p w:rsidR="009944EC">
      <w:pPr>
        <w:spacing w:line="360" w:lineRule="auto"/>
        <w:ind w:firstLine="420"/>
        <w:rPr>
          <w:lang w:eastAsia="zh-CN"/>
        </w:rPr>
      </w:pPr>
      <w:r>
        <w:rPr>
          <w:rFonts w:ascii="宋体" w:hAnsi="宋体" w:cs="宋体"/>
          <w:szCs w:val="21"/>
          <w:highlight w:val="white"/>
          <w:lang w:eastAsia="zh-CN"/>
        </w:rPr>
        <w:t>12</w:t>
      </w:r>
      <w:r>
        <w:rPr>
          <w:rFonts w:ascii="宋体" w:hAnsi="宋体" w:cs="宋体"/>
          <w:szCs w:val="21"/>
          <w:highlight w:val="white"/>
          <w:lang w:eastAsia="zh-CN"/>
        </w:rPr>
        <w:t>）基金参与融资业务后，在任何交易日日终，持有的融资买入股票与其他有价证券市</w:t>
      </w:r>
      <w:r>
        <w:rPr>
          <w:rFonts w:ascii="宋体" w:hAnsi="宋体" w:cs="宋体"/>
          <w:szCs w:val="21"/>
          <w:highlight w:val="white"/>
          <w:lang w:eastAsia="zh-CN"/>
        </w:rPr>
        <w:t>值之和，不得超过基金资产净值的</w:t>
      </w:r>
      <w:r>
        <w:rPr>
          <w:rFonts w:ascii="宋体" w:hAnsi="宋体" w:cs="宋体"/>
          <w:szCs w:val="21"/>
          <w:highlight w:val="white"/>
          <w:lang w:eastAsia="zh-CN"/>
        </w:rPr>
        <w:t>95%</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13</w:t>
      </w:r>
      <w:r>
        <w:rPr>
          <w:rFonts w:ascii="宋体" w:hAnsi="宋体" w:cs="宋体"/>
          <w:szCs w:val="21"/>
          <w:highlight w:val="white"/>
          <w:lang w:eastAsia="zh-CN"/>
        </w:rPr>
        <w:t>）本基金参与转融通证券出借业务的，应当符合下列要求：最近</w:t>
      </w:r>
      <w:r>
        <w:rPr>
          <w:rFonts w:ascii="宋体" w:hAnsi="宋体" w:cs="宋体"/>
          <w:szCs w:val="21"/>
          <w:highlight w:val="white"/>
          <w:lang w:eastAsia="zh-CN"/>
        </w:rPr>
        <w:t>6</w:t>
      </w:r>
      <w:r>
        <w:rPr>
          <w:rFonts w:ascii="宋体" w:hAnsi="宋体" w:cs="宋体"/>
          <w:szCs w:val="21"/>
          <w:highlight w:val="white"/>
          <w:lang w:eastAsia="zh-CN"/>
        </w:rPr>
        <w:t>个月内日均基金资产净值不得低于</w:t>
      </w:r>
      <w:r>
        <w:rPr>
          <w:rFonts w:ascii="宋体" w:hAnsi="宋体" w:cs="宋体"/>
          <w:szCs w:val="21"/>
          <w:highlight w:val="white"/>
          <w:lang w:eastAsia="zh-CN"/>
        </w:rPr>
        <w:t xml:space="preserve">2 </w:t>
      </w:r>
      <w:r>
        <w:rPr>
          <w:rFonts w:ascii="宋体" w:hAnsi="宋体" w:cs="宋体"/>
          <w:szCs w:val="21"/>
          <w:highlight w:val="white"/>
          <w:lang w:eastAsia="zh-CN"/>
        </w:rPr>
        <w:t>亿元；参与转融通证券出借业务的资产不得超过基金资产净值的</w:t>
      </w:r>
      <w:r>
        <w:rPr>
          <w:rFonts w:ascii="宋体" w:hAnsi="宋体" w:cs="宋体"/>
          <w:szCs w:val="21"/>
          <w:highlight w:val="white"/>
          <w:lang w:eastAsia="zh-CN"/>
        </w:rPr>
        <w:t>30%</w:t>
      </w:r>
      <w:r>
        <w:rPr>
          <w:rFonts w:ascii="宋体" w:hAnsi="宋体" w:cs="宋体"/>
          <w:szCs w:val="21"/>
          <w:highlight w:val="white"/>
          <w:lang w:eastAsia="zh-CN"/>
        </w:rPr>
        <w:t>，其中出借期限在</w:t>
      </w:r>
      <w:r>
        <w:rPr>
          <w:rFonts w:ascii="宋体" w:hAnsi="宋体" w:cs="宋体"/>
          <w:szCs w:val="21"/>
          <w:highlight w:val="white"/>
          <w:lang w:eastAsia="zh-CN"/>
        </w:rPr>
        <w:t>10</w:t>
      </w:r>
      <w:r>
        <w:rPr>
          <w:rFonts w:ascii="宋体" w:hAnsi="宋体" w:cs="宋体"/>
          <w:szCs w:val="21"/>
          <w:highlight w:val="white"/>
          <w:lang w:eastAsia="zh-CN"/>
        </w:rPr>
        <w:t>个交易日以上的出借证券归为流动性受限资产；参与转融通证券出借业务的单只证券不得超过基金持有该证券总量的</w:t>
      </w:r>
      <w:r>
        <w:rPr>
          <w:rFonts w:ascii="宋体" w:hAnsi="宋体" w:cs="宋体"/>
          <w:szCs w:val="21"/>
          <w:highlight w:val="white"/>
          <w:lang w:eastAsia="zh-CN"/>
        </w:rPr>
        <w:t>50%</w:t>
      </w:r>
      <w:r>
        <w:rPr>
          <w:rFonts w:ascii="宋体" w:hAnsi="宋体" w:cs="宋体"/>
          <w:szCs w:val="21"/>
          <w:highlight w:val="white"/>
          <w:lang w:eastAsia="zh-CN"/>
        </w:rPr>
        <w:t>；证券出借的平均剩余期限不得超过</w:t>
      </w:r>
      <w:r>
        <w:rPr>
          <w:rFonts w:ascii="宋体" w:hAnsi="宋体" w:cs="宋体"/>
          <w:szCs w:val="21"/>
          <w:highlight w:val="white"/>
          <w:lang w:eastAsia="zh-CN"/>
        </w:rPr>
        <w:t>30</w:t>
      </w:r>
      <w:r>
        <w:rPr>
          <w:rFonts w:ascii="宋体" w:hAnsi="宋体" w:cs="宋体"/>
          <w:szCs w:val="21"/>
          <w:highlight w:val="white"/>
          <w:lang w:eastAsia="zh-CN"/>
        </w:rPr>
        <w:t>天，平均剩余期限按照市值加权平均计算；</w:t>
      </w:r>
    </w:p>
    <w:p w:rsidR="009944EC">
      <w:pPr>
        <w:spacing w:line="360" w:lineRule="auto"/>
        <w:ind w:firstLine="420"/>
        <w:rPr>
          <w:lang w:eastAsia="zh-CN"/>
        </w:rPr>
      </w:pPr>
      <w:r>
        <w:rPr>
          <w:rFonts w:ascii="宋体" w:hAnsi="宋体" w:cs="宋体"/>
          <w:szCs w:val="21"/>
          <w:highlight w:val="white"/>
          <w:lang w:eastAsia="zh-CN"/>
        </w:rPr>
        <w:t>14</w:t>
      </w:r>
      <w:r>
        <w:rPr>
          <w:rFonts w:ascii="宋体" w:hAnsi="宋体" w:cs="宋体"/>
          <w:szCs w:val="21"/>
          <w:highlight w:val="white"/>
          <w:lang w:eastAsia="zh-CN"/>
        </w:rPr>
        <w:t>）本基金主动投资于流动性受限资产的市值合计不得超过基金资产净值的</w:t>
      </w:r>
      <w:r>
        <w:rPr>
          <w:rFonts w:ascii="宋体" w:hAnsi="宋体" w:cs="宋体"/>
          <w:szCs w:val="21"/>
          <w:highlight w:val="white"/>
          <w:lang w:eastAsia="zh-CN"/>
        </w:rPr>
        <w:t>15%</w:t>
      </w:r>
      <w:r>
        <w:rPr>
          <w:rFonts w:ascii="宋体" w:hAnsi="宋体" w:cs="宋体"/>
          <w:szCs w:val="21"/>
          <w:highlight w:val="white"/>
          <w:lang w:eastAsia="zh-CN"/>
        </w:rPr>
        <w:t>；因证券市场波动、上市公司股票停牌、</w:t>
      </w:r>
      <w:r>
        <w:rPr>
          <w:rFonts w:ascii="宋体" w:hAnsi="宋体" w:cs="宋体"/>
          <w:szCs w:val="21"/>
          <w:highlight w:val="white"/>
          <w:lang w:eastAsia="zh-CN"/>
        </w:rPr>
        <w:t>基金规模变动等基金管理人之外的因素致使基金不符合该比例限制的，基金管理人不得主动新增流动性受限资产的投资；</w:t>
      </w:r>
    </w:p>
    <w:p w:rsidR="009944EC">
      <w:pPr>
        <w:spacing w:line="360" w:lineRule="auto"/>
        <w:ind w:firstLine="420"/>
        <w:rPr>
          <w:lang w:eastAsia="zh-CN"/>
        </w:rPr>
      </w:pPr>
      <w:r>
        <w:rPr>
          <w:rFonts w:ascii="宋体" w:hAnsi="宋体" w:cs="宋体"/>
          <w:szCs w:val="21"/>
          <w:highlight w:val="white"/>
          <w:lang w:eastAsia="zh-CN"/>
        </w:rPr>
        <w:t>15</w:t>
      </w:r>
      <w:r>
        <w:rPr>
          <w:rFonts w:ascii="宋体" w:hAnsi="宋体" w:cs="宋体"/>
          <w:szCs w:val="21"/>
          <w:highlight w:val="white"/>
          <w:lang w:eastAsia="zh-CN"/>
        </w:rPr>
        <w:t>）本基金与私募类证券资管产品及中国证监会认定的其他主体为交易对手开展逆回购交易的，可接受质押品的资质要求应当与基金合同约定的投资范围保持一致；</w:t>
      </w:r>
    </w:p>
    <w:p w:rsidR="009944EC">
      <w:pPr>
        <w:spacing w:line="360" w:lineRule="auto"/>
        <w:ind w:firstLine="420"/>
        <w:rPr>
          <w:lang w:eastAsia="zh-CN"/>
        </w:rPr>
      </w:pPr>
      <w:r>
        <w:rPr>
          <w:rFonts w:ascii="宋体" w:hAnsi="宋体" w:cs="宋体"/>
          <w:szCs w:val="21"/>
          <w:highlight w:val="white"/>
          <w:lang w:eastAsia="zh-CN"/>
        </w:rPr>
        <w:t>16</w:t>
      </w:r>
      <w:r>
        <w:rPr>
          <w:rFonts w:ascii="宋体" w:hAnsi="宋体" w:cs="宋体"/>
          <w:szCs w:val="21"/>
          <w:highlight w:val="white"/>
          <w:lang w:eastAsia="zh-CN"/>
        </w:rPr>
        <w:t>）本基金资产总值不超过基金资产净值的</w:t>
      </w:r>
      <w:r>
        <w:rPr>
          <w:rFonts w:ascii="宋体" w:hAnsi="宋体" w:cs="宋体"/>
          <w:szCs w:val="21"/>
          <w:highlight w:val="white"/>
          <w:lang w:eastAsia="zh-CN"/>
        </w:rPr>
        <w:t>140%</w:t>
      </w:r>
      <w:r>
        <w:rPr>
          <w:rFonts w:ascii="宋体" w:hAnsi="宋体" w:cs="宋体"/>
          <w:szCs w:val="21"/>
          <w:highlight w:val="white"/>
          <w:lang w:eastAsia="zh-CN"/>
        </w:rPr>
        <w:t>；</w:t>
      </w:r>
    </w:p>
    <w:p w:rsidR="009944EC">
      <w:pPr>
        <w:spacing w:line="360" w:lineRule="auto"/>
        <w:ind w:firstLine="420"/>
        <w:rPr>
          <w:lang w:eastAsia="zh-CN"/>
        </w:rPr>
      </w:pPr>
      <w:r>
        <w:rPr>
          <w:rFonts w:ascii="宋体" w:hAnsi="宋体" w:cs="宋体"/>
          <w:szCs w:val="21"/>
          <w:highlight w:val="white"/>
          <w:lang w:eastAsia="zh-CN"/>
        </w:rPr>
        <w:t>17</w:t>
      </w:r>
      <w:r>
        <w:rPr>
          <w:rFonts w:ascii="宋体" w:hAnsi="宋体" w:cs="宋体"/>
          <w:szCs w:val="21"/>
          <w:highlight w:val="white"/>
          <w:lang w:eastAsia="zh-CN"/>
        </w:rPr>
        <w:t>）本基金投资存托凭证的比例限制依照境内上市交易的股票执行，与境内上市交易的股票合并计算；</w:t>
      </w:r>
    </w:p>
    <w:p w:rsidR="009944EC">
      <w:pPr>
        <w:spacing w:line="360" w:lineRule="auto"/>
        <w:ind w:firstLine="420"/>
        <w:rPr>
          <w:lang w:eastAsia="zh-CN"/>
        </w:rPr>
      </w:pPr>
      <w:r>
        <w:rPr>
          <w:rFonts w:ascii="宋体" w:hAnsi="宋体" w:cs="宋体"/>
          <w:szCs w:val="21"/>
          <w:highlight w:val="white"/>
          <w:lang w:eastAsia="zh-CN"/>
        </w:rPr>
        <w:t>18</w:t>
      </w:r>
      <w:r>
        <w:rPr>
          <w:rFonts w:ascii="宋体" w:hAnsi="宋体" w:cs="宋体"/>
          <w:szCs w:val="21"/>
          <w:highlight w:val="white"/>
          <w:lang w:eastAsia="zh-CN"/>
        </w:rPr>
        <w:t>）法律法规及中国证监会规定的和《基金合同》约定的其他投资限制。</w:t>
      </w:r>
    </w:p>
    <w:p w:rsidR="009944EC">
      <w:pPr>
        <w:spacing w:line="360" w:lineRule="auto"/>
        <w:ind w:firstLine="420"/>
        <w:rPr>
          <w:lang w:eastAsia="zh-CN"/>
        </w:rPr>
      </w:pPr>
      <w:r>
        <w:rPr>
          <w:rFonts w:ascii="宋体" w:hAnsi="宋体" w:cs="宋体"/>
          <w:szCs w:val="21"/>
          <w:highlight w:val="white"/>
          <w:lang w:eastAsia="zh-CN"/>
        </w:rPr>
        <w:t>因证券</w:t>
      </w:r>
      <w:r>
        <w:rPr>
          <w:rFonts w:ascii="宋体" w:hAnsi="宋体" w:cs="宋体"/>
          <w:szCs w:val="21"/>
          <w:highlight w:val="white"/>
          <w:lang w:eastAsia="zh-CN"/>
        </w:rPr>
        <w:t>/</w:t>
      </w:r>
      <w:r>
        <w:rPr>
          <w:rFonts w:ascii="宋体" w:hAnsi="宋体" w:cs="宋体"/>
          <w:szCs w:val="21"/>
          <w:highlight w:val="white"/>
          <w:lang w:eastAsia="zh-CN"/>
        </w:rPr>
        <w:t>期货市场波动、证券发行人合并、基金</w:t>
      </w:r>
      <w:r>
        <w:rPr>
          <w:rFonts w:ascii="宋体" w:hAnsi="宋体" w:cs="宋体"/>
          <w:szCs w:val="21"/>
          <w:highlight w:val="white"/>
          <w:lang w:eastAsia="zh-CN"/>
        </w:rPr>
        <w:t>规模变动、标的指数成份股调整、流动性限制、目标</w:t>
      </w:r>
      <w:r>
        <w:rPr>
          <w:rFonts w:ascii="宋体" w:hAnsi="宋体" w:cs="宋体"/>
          <w:szCs w:val="21"/>
          <w:highlight w:val="white"/>
          <w:lang w:eastAsia="zh-CN"/>
        </w:rPr>
        <w:t>ETF</w:t>
      </w:r>
      <w:r>
        <w:rPr>
          <w:rFonts w:ascii="宋体" w:hAnsi="宋体" w:cs="宋体"/>
          <w:szCs w:val="21"/>
          <w:highlight w:val="white"/>
          <w:lang w:eastAsia="zh-CN"/>
        </w:rPr>
        <w:t>暂停申购、赎回或二级市场交易停牌等基金管理人之外的因素致使基金投资比例不符合上述第</w:t>
      </w:r>
      <w:r>
        <w:rPr>
          <w:rFonts w:ascii="宋体" w:hAnsi="宋体" w:cs="宋体"/>
          <w:szCs w:val="21"/>
          <w:highlight w:val="white"/>
          <w:lang w:eastAsia="zh-CN"/>
        </w:rPr>
        <w:t>1</w:t>
      </w:r>
      <w:r>
        <w:rPr>
          <w:rFonts w:ascii="宋体" w:hAnsi="宋体" w:cs="宋体"/>
          <w:szCs w:val="21"/>
          <w:highlight w:val="white"/>
          <w:lang w:eastAsia="zh-CN"/>
        </w:rPr>
        <w:t>）项规定投资比例的，基金管理人应当在</w:t>
      </w:r>
      <w:r>
        <w:rPr>
          <w:rFonts w:ascii="宋体" w:hAnsi="宋体" w:cs="宋体"/>
          <w:szCs w:val="21"/>
          <w:highlight w:val="white"/>
          <w:lang w:eastAsia="zh-CN"/>
        </w:rPr>
        <w:t>20</w:t>
      </w:r>
      <w:r>
        <w:rPr>
          <w:rFonts w:ascii="宋体" w:hAnsi="宋体" w:cs="宋体"/>
          <w:szCs w:val="21"/>
          <w:highlight w:val="white"/>
          <w:lang w:eastAsia="zh-CN"/>
        </w:rPr>
        <w:t>个交易日内进行调整；除上述</w:t>
      </w:r>
      <w:r>
        <w:rPr>
          <w:rFonts w:ascii="宋体" w:hAnsi="宋体" w:cs="宋体"/>
          <w:szCs w:val="21"/>
          <w:highlight w:val="white"/>
          <w:lang w:eastAsia="zh-CN"/>
        </w:rPr>
        <w:t>1</w:t>
      </w:r>
      <w:r>
        <w:rPr>
          <w:rFonts w:ascii="宋体" w:hAnsi="宋体" w:cs="宋体"/>
          <w:szCs w:val="21"/>
          <w:highlight w:val="white"/>
          <w:lang w:eastAsia="zh-CN"/>
        </w:rPr>
        <w:t>）、</w:t>
      </w:r>
      <w:r>
        <w:rPr>
          <w:rFonts w:ascii="宋体" w:hAnsi="宋体" w:cs="宋体"/>
          <w:szCs w:val="21"/>
          <w:highlight w:val="white"/>
          <w:lang w:eastAsia="zh-CN"/>
        </w:rPr>
        <w:t>2</w:t>
      </w:r>
      <w:r>
        <w:rPr>
          <w:rFonts w:ascii="宋体" w:hAnsi="宋体" w:cs="宋体"/>
          <w:szCs w:val="21"/>
          <w:highlight w:val="white"/>
          <w:lang w:eastAsia="zh-CN"/>
        </w:rPr>
        <w:t>）、</w:t>
      </w:r>
      <w:r>
        <w:rPr>
          <w:rFonts w:ascii="宋体" w:hAnsi="宋体" w:cs="宋体"/>
          <w:szCs w:val="21"/>
          <w:highlight w:val="white"/>
          <w:lang w:eastAsia="zh-CN"/>
        </w:rPr>
        <w:t>7</w:t>
      </w:r>
      <w:r>
        <w:rPr>
          <w:rFonts w:ascii="宋体" w:hAnsi="宋体" w:cs="宋体"/>
          <w:szCs w:val="21"/>
          <w:highlight w:val="white"/>
          <w:lang w:eastAsia="zh-CN"/>
        </w:rPr>
        <w:t>）、</w:t>
      </w:r>
      <w:r>
        <w:rPr>
          <w:rFonts w:ascii="宋体" w:hAnsi="宋体" w:cs="宋体"/>
          <w:szCs w:val="21"/>
          <w:highlight w:val="white"/>
          <w:lang w:eastAsia="zh-CN"/>
        </w:rPr>
        <w:t>8</w:t>
      </w:r>
      <w:r>
        <w:rPr>
          <w:rFonts w:ascii="宋体" w:hAnsi="宋体" w:cs="宋体"/>
          <w:szCs w:val="21"/>
          <w:highlight w:val="white"/>
          <w:lang w:eastAsia="zh-CN"/>
        </w:rPr>
        <w:t>）、</w:t>
      </w:r>
      <w:r>
        <w:rPr>
          <w:rFonts w:ascii="宋体" w:hAnsi="宋体" w:cs="宋体"/>
          <w:szCs w:val="21"/>
          <w:highlight w:val="white"/>
          <w:lang w:eastAsia="zh-CN"/>
        </w:rPr>
        <w:t>13</w:t>
      </w:r>
      <w:r>
        <w:rPr>
          <w:rFonts w:ascii="宋体" w:hAnsi="宋体" w:cs="宋体"/>
          <w:szCs w:val="21"/>
          <w:highlight w:val="white"/>
          <w:lang w:eastAsia="zh-CN"/>
        </w:rPr>
        <w:t>）、</w:t>
      </w:r>
      <w:r>
        <w:rPr>
          <w:rFonts w:ascii="宋体" w:hAnsi="宋体" w:cs="宋体"/>
          <w:szCs w:val="21"/>
          <w:highlight w:val="white"/>
          <w:lang w:eastAsia="zh-CN"/>
        </w:rPr>
        <w:t>14</w:t>
      </w:r>
      <w:r>
        <w:rPr>
          <w:rFonts w:ascii="宋体" w:hAnsi="宋体" w:cs="宋体"/>
          <w:szCs w:val="21"/>
          <w:highlight w:val="white"/>
          <w:lang w:eastAsia="zh-CN"/>
        </w:rPr>
        <w:t>）、</w:t>
      </w:r>
      <w:r>
        <w:rPr>
          <w:rFonts w:ascii="宋体" w:hAnsi="宋体" w:cs="宋体"/>
          <w:szCs w:val="21"/>
          <w:highlight w:val="white"/>
          <w:lang w:eastAsia="zh-CN"/>
        </w:rPr>
        <w:t>15</w:t>
      </w:r>
      <w:r>
        <w:rPr>
          <w:rFonts w:ascii="宋体" w:hAnsi="宋体" w:cs="宋体"/>
          <w:szCs w:val="21"/>
          <w:highlight w:val="white"/>
          <w:lang w:eastAsia="zh-CN"/>
        </w:rPr>
        <w:t>）情形之外，因证券</w:t>
      </w:r>
      <w:r>
        <w:rPr>
          <w:rFonts w:ascii="宋体" w:hAnsi="宋体" w:cs="宋体"/>
          <w:szCs w:val="21"/>
          <w:highlight w:val="white"/>
          <w:lang w:eastAsia="zh-CN"/>
        </w:rPr>
        <w:t>/</w:t>
      </w:r>
      <w:r>
        <w:rPr>
          <w:rFonts w:ascii="宋体" w:hAnsi="宋体" w:cs="宋体"/>
          <w:szCs w:val="21"/>
          <w:highlight w:val="white"/>
          <w:lang w:eastAsia="zh-CN"/>
        </w:rPr>
        <w:t>期货市场波动、证券发行人合并、基金规模变动、标的指数成份股调整、流动性限制、目标</w:t>
      </w:r>
      <w:r>
        <w:rPr>
          <w:rFonts w:ascii="宋体" w:hAnsi="宋体" w:cs="宋体"/>
          <w:szCs w:val="21"/>
          <w:highlight w:val="white"/>
          <w:lang w:eastAsia="zh-CN"/>
        </w:rPr>
        <w:t>ETF</w:t>
      </w:r>
      <w:r>
        <w:rPr>
          <w:rFonts w:ascii="宋体" w:hAnsi="宋体" w:cs="宋体"/>
          <w:szCs w:val="21"/>
          <w:highlight w:val="white"/>
          <w:lang w:eastAsia="zh-CN"/>
        </w:rPr>
        <w:t>暂停申购、赎回或二级市场交易停牌等基金管理人之外的因素致使基金投资比例不符合上述规定投资比例的，基金管理人应当在</w:t>
      </w:r>
      <w:r>
        <w:rPr>
          <w:rFonts w:ascii="宋体" w:hAnsi="宋体" w:cs="宋体"/>
          <w:szCs w:val="21"/>
          <w:highlight w:val="white"/>
          <w:lang w:eastAsia="zh-CN"/>
        </w:rPr>
        <w:t>10</w:t>
      </w:r>
      <w:r>
        <w:rPr>
          <w:rFonts w:ascii="宋体" w:hAnsi="宋体" w:cs="宋体"/>
          <w:szCs w:val="21"/>
          <w:highlight w:val="white"/>
          <w:lang w:eastAsia="zh-CN"/>
        </w:rPr>
        <w:t>个交易日内进行调整，但中国证监会规定的特殊情</w:t>
      </w:r>
      <w:r>
        <w:rPr>
          <w:rFonts w:ascii="宋体" w:hAnsi="宋体" w:cs="宋体"/>
          <w:szCs w:val="21"/>
          <w:highlight w:val="white"/>
          <w:lang w:eastAsia="zh-CN"/>
        </w:rPr>
        <w:t>形除外。因证券</w:t>
      </w:r>
      <w:r>
        <w:rPr>
          <w:rFonts w:ascii="宋体" w:hAnsi="宋体" w:cs="宋体"/>
          <w:szCs w:val="21"/>
          <w:highlight w:val="white"/>
          <w:lang w:eastAsia="zh-CN"/>
        </w:rPr>
        <w:t>/</w:t>
      </w:r>
      <w:r>
        <w:rPr>
          <w:rFonts w:ascii="宋体" w:hAnsi="宋体" w:cs="宋体"/>
          <w:szCs w:val="21"/>
          <w:highlight w:val="white"/>
          <w:lang w:eastAsia="zh-CN"/>
        </w:rPr>
        <w:t>期货市场波动、证券发行人合并、基金规模变动等基金管理人之外的因素致使基金投资不符合第</w:t>
      </w:r>
      <w:r>
        <w:rPr>
          <w:rFonts w:ascii="宋体" w:hAnsi="宋体" w:cs="宋体"/>
          <w:szCs w:val="21"/>
          <w:highlight w:val="white"/>
          <w:lang w:eastAsia="zh-CN"/>
        </w:rPr>
        <w:t>13</w:t>
      </w:r>
      <w:r>
        <w:rPr>
          <w:rFonts w:ascii="宋体" w:hAnsi="宋体" w:cs="宋体"/>
          <w:szCs w:val="21"/>
          <w:highlight w:val="white"/>
          <w:lang w:eastAsia="zh-CN"/>
        </w:rPr>
        <w:t>）项规定的，基金管理人不得新增出借业务。法律法规或监管部门另有规定的，届时按最新规定执行。</w:t>
      </w:r>
    </w:p>
    <w:p w:rsidR="009944EC">
      <w:pPr>
        <w:spacing w:line="360" w:lineRule="auto"/>
        <w:ind w:firstLine="420"/>
        <w:rPr>
          <w:lang w:eastAsia="zh-CN"/>
        </w:rPr>
      </w:pPr>
      <w:r>
        <w:rPr>
          <w:rFonts w:ascii="宋体" w:hAnsi="宋体" w:cs="宋体"/>
          <w:szCs w:val="21"/>
          <w:highlight w:val="white"/>
          <w:lang w:eastAsia="zh-CN"/>
        </w:rPr>
        <w:t>基金管理人应当自基金合同生效之日起</w:t>
      </w:r>
      <w:r>
        <w:rPr>
          <w:rFonts w:ascii="宋体" w:hAnsi="宋体" w:cs="宋体"/>
          <w:szCs w:val="21"/>
          <w:highlight w:val="white"/>
          <w:lang w:eastAsia="zh-CN"/>
        </w:rPr>
        <w:t>6</w:t>
      </w:r>
      <w:r>
        <w:rPr>
          <w:rFonts w:ascii="宋体" w:hAnsi="宋体" w:cs="宋体"/>
          <w:szCs w:val="21"/>
          <w:highlight w:val="white"/>
          <w:lang w:eastAsia="zh-CN"/>
        </w:rPr>
        <w:t>个月内使基金的投资组合比例符合基金合同的有关约定。在上述期间内，本基金的投资范围、投资策略应当符合基金合同的约定。基金托管人对基金的投资的监督与检查自基金合同生效之日起开始。</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3</w:t>
      </w:r>
      <w:r>
        <w:rPr>
          <w:rFonts w:ascii="宋体" w:hAnsi="宋体" w:hint="eastAsia"/>
          <w:bCs/>
          <w:szCs w:val="21"/>
          <w:highlight w:val="white"/>
          <w:lang w:eastAsia="zh-CN"/>
        </w:rPr>
        <w:t>）</w:t>
      </w:r>
      <w:r>
        <w:rPr>
          <w:rFonts w:ascii="宋体" w:hAnsi="宋体" w:hint="eastAsia"/>
          <w:szCs w:val="21"/>
          <w:highlight w:val="white"/>
          <w:lang w:eastAsia="zh-CN"/>
        </w:rPr>
        <w:t>本基金可以按照国家的有关规定进行融资</w:t>
      </w:r>
      <w:r>
        <w:rPr>
          <w:rFonts w:ascii="宋体" w:hAnsi="宋体" w:hint="eastAsia"/>
          <w:bCs/>
          <w:szCs w:val="21"/>
          <w:highlight w:val="white"/>
          <w:lang w:eastAsia="zh-CN"/>
        </w:rPr>
        <w:t>。</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3.</w:t>
      </w:r>
      <w:r>
        <w:rPr>
          <w:rFonts w:ascii="宋体" w:hAnsi="宋体" w:hint="eastAsia"/>
          <w:bCs/>
          <w:szCs w:val="21"/>
          <w:highlight w:val="white"/>
          <w:lang w:eastAsia="zh-CN"/>
        </w:rPr>
        <w:t>基金托管人根据有关法律法规的规定及《基金合同》的约定对</w:t>
      </w:r>
      <w:r>
        <w:rPr>
          <w:rFonts w:ascii="宋体" w:hAnsi="宋体" w:hint="eastAsia"/>
          <w:bCs/>
          <w:szCs w:val="21"/>
          <w:highlight w:val="white"/>
          <w:lang w:eastAsia="zh-CN"/>
        </w:rPr>
        <w:t>下述基金投资禁止行为进行监督：</w:t>
      </w:r>
      <w:r>
        <w:rPr>
          <w:rFonts w:ascii="宋体" w:hAnsi="宋体" w:hint="eastAsia"/>
          <w:bCs/>
          <w:szCs w:val="21"/>
          <w:highlight w:val="white"/>
          <w:lang w:eastAsia="zh-CN"/>
        </w:rPr>
        <w:t xml:space="preserve"> </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根据法律法规的规定及《基金合同》的约定，本基金禁止从事下列行为：</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1</w:t>
      </w:r>
      <w:r>
        <w:rPr>
          <w:rFonts w:ascii="宋体" w:hAnsi="宋体" w:hint="eastAsia"/>
          <w:bCs/>
          <w:szCs w:val="21"/>
          <w:highlight w:val="white"/>
          <w:lang w:eastAsia="zh-CN"/>
        </w:rPr>
        <w:t>）承销证券；</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2</w:t>
      </w:r>
      <w:r>
        <w:rPr>
          <w:rFonts w:ascii="宋体" w:hAnsi="宋体" w:hint="eastAsia"/>
          <w:bCs/>
          <w:szCs w:val="21"/>
          <w:highlight w:val="white"/>
          <w:lang w:eastAsia="zh-CN"/>
        </w:rPr>
        <w:t>）违反规定向他人贷款或者提供担保；</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3</w:t>
      </w:r>
      <w:r>
        <w:rPr>
          <w:rFonts w:ascii="宋体" w:hAnsi="宋体" w:hint="eastAsia"/>
          <w:bCs/>
          <w:szCs w:val="21"/>
          <w:highlight w:val="white"/>
          <w:lang w:eastAsia="zh-CN"/>
        </w:rPr>
        <w:t>）从事承担无限责任的投资；</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4</w:t>
      </w:r>
      <w:r>
        <w:rPr>
          <w:rFonts w:ascii="宋体" w:hAnsi="宋体" w:hint="eastAsia"/>
          <w:bCs/>
          <w:szCs w:val="21"/>
          <w:highlight w:val="white"/>
          <w:lang w:eastAsia="zh-CN"/>
        </w:rPr>
        <w:t>）向其基金管理人、基金托管人出资；</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5</w:t>
      </w:r>
      <w:r>
        <w:rPr>
          <w:rFonts w:ascii="宋体" w:hAnsi="宋体" w:hint="eastAsia"/>
          <w:bCs/>
          <w:szCs w:val="21"/>
          <w:highlight w:val="white"/>
          <w:lang w:eastAsia="zh-CN"/>
        </w:rPr>
        <w:t>）从事内幕交易、操纵证券交易价格及其他不正当的证券交易活动；</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6</w:t>
      </w:r>
      <w:r>
        <w:rPr>
          <w:rFonts w:ascii="宋体" w:hAnsi="宋体" w:hint="eastAsia"/>
          <w:bCs/>
          <w:szCs w:val="21"/>
          <w:highlight w:val="white"/>
          <w:lang w:eastAsia="zh-CN"/>
        </w:rPr>
        <w:t>）法律、行政法规和中国证监会规定禁止的其他活动。</w:t>
      </w:r>
    </w:p>
    <w:p w:rsidR="009944EC">
      <w:pPr>
        <w:spacing w:line="360" w:lineRule="auto"/>
        <w:ind w:firstLine="420"/>
        <w:rPr>
          <w:rFonts w:ascii="宋体" w:hAnsi="宋体"/>
          <w:bCs/>
          <w:szCs w:val="21"/>
          <w:lang w:eastAsia="zh-CN"/>
        </w:rPr>
      </w:pPr>
      <w:r>
        <w:rPr>
          <w:rFonts w:ascii="宋体" w:hAnsi="宋体"/>
          <w:highlight w:val="white"/>
          <w:lang w:eastAsia="zh-CN"/>
        </w:rPr>
        <w:t>4.</w:t>
      </w:r>
      <w:r>
        <w:rPr>
          <w:rFonts w:ascii="宋体" w:hAnsi="宋体"/>
          <w:highlight w:val="white"/>
          <w:lang w:eastAsia="zh-CN"/>
        </w:rPr>
        <w:t>基金托管人依据有关法律法规的规定和《基金合同》的约定对于基金关联投资限制进行监督。</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944EC">
      <w:pPr>
        <w:spacing w:line="360" w:lineRule="auto"/>
        <w:ind w:firstLine="420"/>
        <w:rPr>
          <w:rFonts w:ascii="宋体" w:hAnsi="宋体"/>
          <w:bCs/>
          <w:szCs w:val="21"/>
          <w:lang w:eastAsia="zh-CN"/>
        </w:rPr>
      </w:pPr>
      <w:r>
        <w:rPr>
          <w:rFonts w:ascii="宋体" w:hAnsi="宋体"/>
          <w:bCs/>
          <w:szCs w:val="21"/>
          <w:highlight w:val="white"/>
          <w:lang w:eastAsia="zh-CN"/>
        </w:rPr>
        <w:t>如法律、法规或《基金合同</w:t>
      </w:r>
      <w:r>
        <w:rPr>
          <w:rFonts w:ascii="宋体" w:hAnsi="宋体"/>
          <w:bCs/>
          <w:szCs w:val="21"/>
          <w:highlight w:val="white"/>
          <w:lang w:eastAsia="zh-CN"/>
        </w:rPr>
        <w:t>》有关于基金从事关联交易的规定，基金管理人和基金托管人事先相互提供与本机构有控股关系的股东、与本机构有其他重大利害关系的公司名单及有关关联方发行的证券清单</w:t>
      </w:r>
      <w:r>
        <w:rPr>
          <w:rFonts w:ascii="宋体" w:hAnsi="宋体"/>
          <w:bCs/>
          <w:szCs w:val="21"/>
          <w:highlight w:val="white"/>
          <w:lang w:eastAsia="zh-CN"/>
        </w:rPr>
        <w:t>,</w:t>
      </w:r>
      <w:r>
        <w:rPr>
          <w:rFonts w:ascii="宋体" w:hAnsi="宋体"/>
          <w:bCs/>
          <w:szCs w:val="21"/>
          <w:highlight w:val="white"/>
          <w:lang w:eastAsia="zh-CN"/>
        </w:rPr>
        <w:t>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w:t>
      </w:r>
      <w:r>
        <w:rPr>
          <w:rFonts w:ascii="宋体" w:hAnsi="宋体"/>
          <w:bCs/>
          <w:szCs w:val="21"/>
          <w:highlight w:val="white"/>
          <w:lang w:eastAsia="zh-CN"/>
        </w:rPr>
        <w:t>,</w:t>
      </w:r>
      <w:r>
        <w:rPr>
          <w:rFonts w:ascii="宋体" w:hAnsi="宋体"/>
          <w:bCs/>
          <w:szCs w:val="21"/>
          <w:highlight w:val="white"/>
          <w:lang w:eastAsia="zh-CN"/>
        </w:rPr>
        <w:t>进行监督。如果基金托管人在运作中严格遵循了监督流程，基金管理人仍违规进行关联交易，并造成基金资产损</w:t>
      </w:r>
      <w:r>
        <w:rPr>
          <w:rFonts w:ascii="宋体" w:hAnsi="宋体"/>
          <w:bCs/>
          <w:szCs w:val="21"/>
          <w:highlight w:val="white"/>
          <w:lang w:eastAsia="zh-CN"/>
        </w:rPr>
        <w:t>失的，由基金管理人承担责任。</w:t>
      </w:r>
    </w:p>
    <w:p w:rsidR="009944EC">
      <w:pPr>
        <w:spacing w:line="360" w:lineRule="auto"/>
        <w:ind w:firstLine="420"/>
        <w:jc w:val="left"/>
        <w:rPr>
          <w:rFonts w:ascii="宋体" w:hAnsi="宋体"/>
          <w:bCs/>
          <w:szCs w:val="21"/>
          <w:lang w:eastAsia="zh-CN"/>
        </w:rPr>
      </w:pPr>
      <w:r>
        <w:rPr>
          <w:rFonts w:ascii="宋体" w:hAnsi="宋体" w:hint="eastAsia"/>
          <w:bCs/>
          <w:szCs w:val="21"/>
          <w:highlight w:val="white"/>
          <w:lang w:eastAsia="zh-CN"/>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5.</w:t>
      </w:r>
      <w:r>
        <w:rPr>
          <w:rFonts w:ascii="宋体" w:hAnsi="宋体" w:hint="eastAsia"/>
          <w:bCs/>
          <w:szCs w:val="21"/>
          <w:highlight w:val="white"/>
          <w:lang w:eastAsia="zh-CN"/>
        </w:rPr>
        <w:t>基金托管人</w:t>
      </w:r>
      <w:r>
        <w:rPr>
          <w:rFonts w:ascii="宋体" w:hAnsi="宋体" w:hint="eastAsia"/>
          <w:highlight w:val="white"/>
          <w:lang w:eastAsia="zh-CN"/>
        </w:rPr>
        <w:t>依据有关法律法规的规定和《基金合同》的约定</w:t>
      </w:r>
      <w:r>
        <w:rPr>
          <w:rFonts w:ascii="宋体" w:hAnsi="宋体" w:hint="eastAsia"/>
          <w:bCs/>
          <w:szCs w:val="21"/>
          <w:highlight w:val="white"/>
          <w:lang w:eastAsia="zh-CN"/>
        </w:rPr>
        <w:t>对基金管理人参与银行间债券市场进行监督。</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基金托管人根据基金管理人提供的银行间债券市场交易对手名单进行监督。基金管理人有责任控制交易对手的资信风险，由于交易对手的资信风险引起的损失，基金管理人应当负责向相关责任人追偿。</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6.</w:t>
      </w:r>
      <w:r>
        <w:rPr>
          <w:rFonts w:ascii="宋体" w:hAnsi="宋体" w:hint="eastAsia"/>
          <w:bCs/>
          <w:szCs w:val="21"/>
          <w:highlight w:val="white"/>
          <w:lang w:eastAsia="zh-CN"/>
        </w:rPr>
        <w:t>基金托管人依据有关法律法规的规定和《基金合同》的约定，对基金银行存款业务进行监督。</w:t>
      </w:r>
    </w:p>
    <w:p w:rsidR="009944EC">
      <w:pPr>
        <w:spacing w:line="360" w:lineRule="auto"/>
        <w:ind w:firstLine="420"/>
        <w:rPr>
          <w:rFonts w:ascii="宋体" w:hAnsi="宋体"/>
          <w:lang w:eastAsia="zh-CN"/>
        </w:rPr>
      </w:pPr>
      <w:r>
        <w:rPr>
          <w:rFonts w:ascii="宋体" w:hAnsi="宋体" w:hint="eastAsia"/>
          <w:bCs/>
          <w:szCs w:val="21"/>
          <w:highlight w:val="white"/>
          <w:lang w:eastAsia="zh-CN"/>
        </w:rPr>
        <w:t>基金管理人应当加强对基金投资银行存款风险的评估与研究，严格测算与控制投资银行存款的风险敞口，针对不同类型存款银行建立相关投资限制制度。</w:t>
      </w:r>
      <w:r>
        <w:rPr>
          <w:rFonts w:ascii="宋体" w:hAnsi="宋体" w:hint="eastAsia"/>
          <w:highlight w:val="white"/>
          <w:lang w:eastAsia="zh-CN"/>
        </w:rPr>
        <w:t>对于基金投资的银行存款，由于存款银行发生信用风险事件而造成损失时，</w:t>
      </w:r>
      <w:r>
        <w:rPr>
          <w:rFonts w:ascii="宋体" w:hAnsi="宋体" w:hint="eastAsia"/>
          <w:bCs/>
          <w:szCs w:val="21"/>
          <w:highlight w:val="white"/>
          <w:lang w:eastAsia="zh-CN"/>
        </w:rPr>
        <w:t>基金管理人有权要求相关责任人进行赔偿。</w:t>
      </w:r>
      <w:r>
        <w:rPr>
          <w:rFonts w:ascii="宋体" w:hAnsi="宋体" w:hint="eastAsia"/>
          <w:highlight w:val="white"/>
          <w:lang w:eastAsia="zh-CN"/>
        </w:rPr>
        <w:t>如果基金</w:t>
      </w:r>
      <w:r>
        <w:rPr>
          <w:rFonts w:ascii="宋体" w:hAnsi="宋体" w:hint="eastAsia"/>
          <w:highlight w:val="white"/>
          <w:lang w:eastAsia="zh-CN"/>
        </w:rPr>
        <w:t>托管人在运作过程中遵循有关法律法规的规定和《基金合同》的约定监督流程，则对于由于存款银行信用风险引起的损失，不承担赔偿责任。</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7.</w:t>
      </w:r>
      <w:r>
        <w:rPr>
          <w:rFonts w:ascii="宋体" w:hAnsi="宋体" w:hint="eastAsia"/>
          <w:bCs/>
          <w:szCs w:val="21"/>
          <w:highlight w:val="white"/>
          <w:lang w:eastAsia="zh-CN"/>
        </w:rPr>
        <w:t>基金托管人对基金投资流通受限证券的监督</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如下所指“流通受限证券”与本协议以及基金合同所指“流动性受限资产”定义存在不同。就流动性受限资产定义，请参照基金合同的“第二部分</w:t>
      </w:r>
      <w:r>
        <w:rPr>
          <w:rFonts w:ascii="宋体" w:hAnsi="宋体"/>
          <w:bCs/>
          <w:szCs w:val="21"/>
          <w:highlight w:val="white"/>
          <w:lang w:eastAsia="zh-CN"/>
        </w:rPr>
        <w:t xml:space="preserve"> </w:t>
      </w:r>
      <w:r>
        <w:rPr>
          <w:rFonts w:ascii="宋体" w:hAnsi="宋体" w:hint="eastAsia"/>
          <w:bCs/>
          <w:szCs w:val="21"/>
          <w:highlight w:val="white"/>
          <w:lang w:eastAsia="zh-CN"/>
        </w:rPr>
        <w:t>释义”部分。</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w:t>
      </w:r>
      <w:r>
        <w:rPr>
          <w:rFonts w:ascii="宋体" w:hAnsi="宋体" w:hint="eastAsia"/>
          <w:bCs/>
          <w:szCs w:val="21"/>
          <w:highlight w:val="white"/>
          <w:lang w:eastAsia="zh-CN"/>
        </w:rPr>
        <w:t>否遵守相关制度、流动性风险处置预案以及相关投资额度和比例等的情况进行监督。</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1</w:t>
      </w:r>
      <w:r>
        <w:rPr>
          <w:rFonts w:ascii="宋体" w:hAnsi="宋体" w:hint="eastAsia"/>
          <w:bCs/>
          <w:szCs w:val="21"/>
          <w:highlight w:val="white"/>
          <w:lang w:eastAsia="zh-CN"/>
        </w:rPr>
        <w:t>）本基金投资的流通受限证券须为经中国证监会批准的非公开发行股票、公开发行股票网下配售部分等在发行时明确一定期限锁定期的可交易证券</w:t>
      </w:r>
      <w:r>
        <w:rPr>
          <w:rFonts w:ascii="宋体" w:hAnsi="宋体" w:hint="eastAsia"/>
          <w:bCs/>
          <w:szCs w:val="21"/>
          <w:highlight w:val="white"/>
          <w:lang w:eastAsia="zh-CN"/>
        </w:rPr>
        <w:t>,</w:t>
      </w:r>
      <w:r>
        <w:rPr>
          <w:rFonts w:ascii="宋体" w:hAnsi="宋体" w:hint="eastAsia"/>
          <w:bCs/>
          <w:szCs w:val="21"/>
          <w:highlight w:val="white"/>
          <w:lang w:eastAsia="zh-CN"/>
        </w:rPr>
        <w:t>不包括由于发布重大消息或其他原因而临时停牌的证券、已发行未上市证券、回购交易中的质押券等流通受限证券。本基金不投资有锁定期但锁定期不明确的证券。</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2</w:t>
      </w:r>
      <w:r>
        <w:rPr>
          <w:rFonts w:ascii="宋体" w:hAnsi="宋体" w:hint="eastAsia"/>
          <w:bCs/>
          <w:szCs w:val="21"/>
          <w:highlight w:val="white"/>
          <w:lang w:eastAsia="zh-CN"/>
        </w:rPr>
        <w:t>）基金管理人投资非公开发行股票，应制订流动性风险处置预案并经其董事会批准。风险处置预案应包括但不限于因投资流通受限证券需要解决的基金投资比例限制失调、基</w:t>
      </w:r>
      <w:r>
        <w:rPr>
          <w:rFonts w:ascii="宋体" w:hAnsi="宋体" w:hint="eastAsia"/>
          <w:bCs/>
          <w:szCs w:val="21"/>
          <w:highlight w:val="white"/>
          <w:lang w:eastAsia="zh-CN"/>
        </w:rPr>
        <w:t>金流动性困难以及相关损失等问题的应对解决措施，以及有关异常情况的处置。基金管理人应在首次投资流通受限证券前向基金托管人提供基金投资非公开发行股票的相关流动性风险处置预案。</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按照基金合同的约定进行处理。对本基金因投资流通受限证券导致的流动性风险，基金托管人不承担任何责任。如因基金管理人原因导致本基金出</w:t>
      </w:r>
      <w:r>
        <w:rPr>
          <w:rFonts w:ascii="宋体" w:hAnsi="宋体" w:hint="eastAsia"/>
          <w:bCs/>
          <w:szCs w:val="21"/>
          <w:highlight w:val="white"/>
          <w:lang w:eastAsia="zh-CN"/>
        </w:rPr>
        <w:t>现损失的，基金托管人不承担任何责任。</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3</w:t>
      </w:r>
      <w:r>
        <w:rPr>
          <w:rFonts w:ascii="宋体" w:hAnsi="宋体" w:hint="eastAsia"/>
          <w:bCs/>
          <w:szCs w:val="21"/>
          <w:highlight w:val="white"/>
          <w:lang w:eastAsia="zh-CN"/>
        </w:rPr>
        <w:t>）基金管理人应在基金投资非公开发行股票后两个交易日内，在中国证监会规定媒介披露所投资非公开发行股票的信息。法律法规有新规定的，从其规定。</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如基金管理人未遵守相关制度、流动性风险处置方案以及投资额度和比例限制要求，导致基金出现风险使乙方承</w:t>
      </w:r>
      <w:r>
        <w:rPr>
          <w:rFonts w:ascii="宋体" w:hAnsi="宋体" w:hint="eastAsia"/>
          <w:bCs/>
          <w:szCs w:val="21"/>
          <w:highlight w:val="white"/>
          <w:lang w:eastAsia="zh-CN"/>
        </w:rPr>
        <w:t>担连带赔偿责任的，若基金托管人此前已切实履行监督职责的，基金管理人应赔偿基金托管人由此遭受的损失。</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4</w:t>
      </w:r>
      <w:r>
        <w:rPr>
          <w:rFonts w:ascii="宋体" w:hAnsi="宋体" w:hint="eastAsia"/>
          <w:bCs/>
          <w:szCs w:val="21"/>
          <w:highlight w:val="white"/>
          <w:lang w:eastAsia="zh-CN"/>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1</w:t>
      </w:r>
      <w:r>
        <w:rPr>
          <w:rFonts w:ascii="宋体" w:hAnsi="宋体" w:hint="eastAsia"/>
          <w:bCs/>
          <w:szCs w:val="21"/>
          <w:highlight w:val="white"/>
          <w:lang w:eastAsia="zh-CN"/>
        </w:rPr>
        <w:t>）中国证监会批准发行非公开发行股票的批准文件。</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2</w:t>
      </w:r>
      <w:r>
        <w:rPr>
          <w:rFonts w:ascii="宋体" w:hAnsi="宋体" w:hint="eastAsia"/>
          <w:bCs/>
          <w:szCs w:val="21"/>
          <w:highlight w:val="white"/>
          <w:lang w:eastAsia="zh-CN"/>
        </w:rPr>
        <w:t>）有关非公开发行股票的发行数量、发行价格、锁定期等发行资料。</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3</w:t>
      </w:r>
      <w:r>
        <w:rPr>
          <w:rFonts w:ascii="宋体" w:hAnsi="宋体" w:hint="eastAsia"/>
          <w:bCs/>
          <w:szCs w:val="21"/>
          <w:highlight w:val="white"/>
          <w:lang w:eastAsia="zh-CN"/>
        </w:rPr>
        <w:t>）基金拟认购的数量、价格、总成本、账面价值。</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4</w:t>
      </w:r>
      <w:r>
        <w:rPr>
          <w:rFonts w:ascii="宋体" w:hAnsi="宋体" w:hint="eastAsia"/>
          <w:bCs/>
          <w:szCs w:val="21"/>
          <w:highlight w:val="white"/>
          <w:lang w:eastAsia="zh-CN"/>
        </w:rPr>
        <w:t>）该基金投资</w:t>
      </w:r>
      <w:r>
        <w:rPr>
          <w:rFonts w:ascii="宋体" w:hAnsi="宋体" w:hint="eastAsia"/>
          <w:bCs/>
          <w:szCs w:val="21"/>
          <w:highlight w:val="white"/>
          <w:lang w:eastAsia="zh-CN"/>
        </w:rPr>
        <w:t>流通受限证券的投资额度和投资比例控制。</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5</w:t>
      </w:r>
      <w:r>
        <w:rPr>
          <w:rFonts w:ascii="宋体" w:hAnsi="宋体" w:hint="eastAsia"/>
          <w:bCs/>
          <w:szCs w:val="21"/>
          <w:highlight w:val="white"/>
          <w:lang w:eastAsia="zh-CN"/>
        </w:rPr>
        <w:t>）</w:t>
      </w:r>
      <w:r>
        <w:rPr>
          <w:rFonts w:ascii="宋体" w:hAnsi="宋体" w:hint="eastAsia"/>
          <w:highlight w:val="white"/>
          <w:lang w:eastAsia="zh-CN"/>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bCs/>
          <w:szCs w:val="21"/>
          <w:highlight w:val="white"/>
          <w:lang w:eastAsia="zh-CN"/>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w:t>
      </w:r>
      <w:r>
        <w:rPr>
          <w:rFonts w:ascii="宋体" w:hAnsi="宋体" w:hint="eastAsia"/>
          <w:bCs/>
          <w:szCs w:val="21"/>
          <w:highlight w:val="white"/>
          <w:lang w:eastAsia="zh-CN"/>
        </w:rPr>
        <w:t>有权报告中国证监会。</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如基金管理人和基金托管人无法就上述问题达成一致，应及时上报中国证监会请求解决。基金托管人履行了本协议规定的监督职责后，不承担任何责任。</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w:t>
      </w:r>
      <w:r>
        <w:rPr>
          <w:rFonts w:ascii="宋体" w:hAnsi="宋体" w:hint="eastAsia"/>
          <w:bCs/>
          <w:szCs w:val="21"/>
          <w:highlight w:val="white"/>
          <w:lang w:eastAsia="zh-CN"/>
        </w:rPr>
        <w:t>5</w:t>
      </w:r>
      <w:r>
        <w:rPr>
          <w:rFonts w:ascii="宋体" w:hAnsi="宋体" w:hint="eastAsia"/>
          <w:bCs/>
          <w:szCs w:val="21"/>
          <w:highlight w:val="white"/>
          <w:lang w:eastAsia="zh-CN"/>
        </w:rPr>
        <w:t>）相关法律法规对基金投资流通受限证券有新规定的，从其规定。</w:t>
      </w:r>
    </w:p>
    <w:p w:rsidR="009944EC">
      <w:pPr>
        <w:spacing w:line="360" w:lineRule="auto"/>
        <w:ind w:firstLine="420"/>
        <w:rPr>
          <w:rFonts w:ascii="宋体" w:hAnsi="宋体"/>
          <w:bCs/>
          <w:szCs w:val="21"/>
          <w:lang w:eastAsia="zh-CN"/>
        </w:rPr>
      </w:pPr>
      <w:r>
        <w:rPr>
          <w:rFonts w:ascii="宋体" w:hAnsi="宋体" w:hint="eastAsia"/>
          <w:szCs w:val="21"/>
          <w:highlight w:val="white"/>
          <w:lang w:eastAsia="zh-CN"/>
        </w:rPr>
        <w:t>8.</w:t>
      </w:r>
      <w:r>
        <w:rPr>
          <w:rFonts w:ascii="宋体" w:hAnsi="宋体" w:hint="eastAsia"/>
          <w:szCs w:val="21"/>
          <w:highlight w:val="white"/>
          <w:lang w:eastAsia="zh-CN"/>
        </w:rPr>
        <w:t>基金托管人对基金投资中期票据的监督责任仅限于依据本协议相关规定对投资比例和投资限制进行事后监督</w:t>
      </w:r>
      <w:r>
        <w:rPr>
          <w:rFonts w:ascii="宋体" w:hAnsi="宋体" w:hint="eastAsia"/>
          <w:bCs/>
          <w:szCs w:val="21"/>
          <w:highlight w:val="white"/>
          <w:lang w:eastAsia="zh-CN"/>
        </w:rPr>
        <w:t>；除此外，无其它监督责任。如发现异常情况，应及时以书面形式通知基金管理人。基金管理人应积极配合和协助基金托管人进行监督和核查。</w:t>
      </w:r>
      <w:r>
        <w:rPr>
          <w:rFonts w:ascii="宋体" w:hAnsi="宋体" w:hint="eastAsia"/>
          <w:szCs w:val="21"/>
          <w:highlight w:val="white"/>
          <w:lang w:eastAsia="zh-CN"/>
        </w:rPr>
        <w:t>基金因投资中期票据导致的信用风险</w:t>
      </w:r>
      <w:r>
        <w:rPr>
          <w:rFonts w:ascii="宋体" w:hAnsi="宋体" w:hint="eastAsia"/>
          <w:bCs/>
          <w:szCs w:val="21"/>
          <w:highlight w:val="white"/>
          <w:lang w:eastAsia="zh-CN"/>
        </w:rPr>
        <w:t>、流动性风险，基金托管人不承担任何</w:t>
      </w:r>
      <w:r>
        <w:rPr>
          <w:rFonts w:ascii="宋体" w:hAnsi="宋体" w:hint="eastAsia"/>
          <w:bCs/>
          <w:szCs w:val="21"/>
          <w:highlight w:val="white"/>
          <w:lang w:eastAsia="zh-CN"/>
        </w:rPr>
        <w:t>责任。如因基金管理人原因导致基金出现损失的，基金托管人不承担任何责任。</w:t>
      </w:r>
    </w:p>
    <w:p w:rsidR="009944EC">
      <w:pPr>
        <w:spacing w:line="360" w:lineRule="auto"/>
        <w:ind w:firstLine="420"/>
        <w:rPr>
          <w:rFonts w:ascii="宋体" w:hAnsi="宋体"/>
          <w:b/>
          <w:lang w:eastAsia="zh-CN"/>
        </w:rPr>
      </w:pPr>
      <w:bookmarkStart w:id="19" w:name="_Toc382819074"/>
      <w:r>
        <w:rPr>
          <w:rFonts w:ascii="宋体" w:hAnsi="宋体" w:hint="eastAsia"/>
          <w:highlight w:val="white"/>
          <w:lang w:eastAsia="zh-CN"/>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9"/>
    </w:p>
    <w:p w:rsidR="009944EC">
      <w:pPr>
        <w:spacing w:line="360" w:lineRule="auto"/>
        <w:ind w:firstLine="420"/>
        <w:rPr>
          <w:rFonts w:ascii="宋体" w:hAnsi="宋体"/>
          <w:b/>
          <w:lang w:eastAsia="zh-CN"/>
        </w:rPr>
      </w:pPr>
      <w:bookmarkStart w:id="20" w:name="_Toc382819075"/>
      <w:r>
        <w:rPr>
          <w:rFonts w:ascii="宋体" w:hAnsi="宋体" w:hint="eastAsia"/>
          <w:highlight w:val="white"/>
          <w:lang w:eastAsia="zh-CN"/>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w:t>
      </w:r>
      <w:r>
        <w:rPr>
          <w:rFonts w:ascii="宋体" w:hAnsi="宋体" w:hint="eastAsia"/>
          <w:highlight w:val="white"/>
          <w:lang w:eastAsia="zh-CN"/>
        </w:rPr>
        <w:t>发出回函，进行解释或举证。</w:t>
      </w:r>
      <w:bookmarkEnd w:id="20"/>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在限期内，基金托管人有权随时对通知事项进行复查，督促基金管理人改正。基金管理人对基金托管人通知的违规事项未能在限期内纠正的，基金托管人应报告中国证监会。</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若基金托管人发现基金管理人发出但未执行的投资指令或依据交易程序已经生效的投资指令违反法律、行政法规和其他有关规定，或者违反《基金合同》约定的，应当立即通知基金管理人，并报告中</w:t>
      </w:r>
      <w:r>
        <w:rPr>
          <w:rFonts w:ascii="宋体" w:hAnsi="宋体" w:hint="eastAsia"/>
          <w:bCs/>
          <w:szCs w:val="21"/>
          <w:highlight w:val="white"/>
          <w:lang w:eastAsia="zh-CN"/>
        </w:rPr>
        <w:t>国证监会。基金管理人的上述违规失信行为给基金财产或基金份额持有人造成的损失，由基金管理人承担。</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对于必须于估值完成后方可获知的监控指标或依据交易程序已经成交的投资指令，基金托管人发现该投资指令违反法律法规或者违反《基金合同》约定的，应当立即通知基金管理人，并报告中国证监会。</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基金托管人发现基金管理人有重大违规行为，应立即报告中国证监会，同时通知基金管理人限期纠正。</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21" w:name="_Toc69134060"/>
      <w:r>
        <w:rPr>
          <w:rFonts w:ascii="宋体" w:eastAsia="宋体" w:hAnsi="宋体" w:cs="Arial" w:hint="eastAsia"/>
          <w:sz w:val="21"/>
          <w:szCs w:val="21"/>
          <w:highlight w:val="white"/>
          <w:lang w:eastAsia="zh-CN"/>
        </w:rPr>
        <w:t>基金管理人对基金托管人的业务核查</w:t>
      </w:r>
      <w:bookmarkEnd w:id="21"/>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对基金托管人履行托管职责情况进行核查，核查事项包括但不限于基金托管人是否安全保管基金财产、是否分别开设基金财产的资金账户和证券账户及投资所需其他账、是否复核基金管理人计算的基金资产净值和基金份额净值、是否根据基金管理人指令办理清算交收、进行相关信息披露和监督基金投资运作等行为。</w:t>
      </w:r>
    </w:p>
    <w:p w:rsidR="009944EC">
      <w:pPr>
        <w:spacing w:line="360" w:lineRule="auto"/>
        <w:ind w:firstLine="420"/>
        <w:rPr>
          <w:rFonts w:ascii="宋体" w:hAnsi="宋体"/>
          <w:szCs w:val="21"/>
          <w:lang w:eastAsia="zh-CN"/>
        </w:rPr>
      </w:pPr>
      <w:r>
        <w:rPr>
          <w:rFonts w:ascii="宋体" w:hAnsi="宋体"/>
          <w:szCs w:val="21"/>
          <w:highlight w:val="white"/>
          <w:lang w:eastAsia="zh-CN"/>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w:t>
      </w:r>
      <w:r>
        <w:rPr>
          <w:rFonts w:ascii="宋体" w:hAnsi="宋体"/>
          <w:szCs w:val="21"/>
          <w:highlight w:val="white"/>
          <w:lang w:eastAsia="zh-CN"/>
        </w:rPr>
        <w:t>国证监会和银行业监督管理机构，同时通知基金托管人限期纠正。</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基金托管人应积极配合基金管理人的核查行为，包括但不限于：提交相关资料以供基金管理人核查托管财产的完整性和真实性，在规定时间内答复基金管理人并改正。</w:t>
      </w:r>
    </w:p>
    <w:p w:rsidR="009944EC">
      <w:pPr>
        <w:spacing w:line="360" w:lineRule="auto"/>
        <w:ind w:firstLine="420"/>
        <w:rPr>
          <w:rFonts w:ascii="宋体" w:hAnsi="宋体"/>
          <w:lang w:eastAsia="zh-CN"/>
        </w:rPr>
      </w:pPr>
      <w:bookmarkStart w:id="22" w:name="_Toc382819077"/>
      <w:bookmarkStart w:id="23" w:name="_Toc382818598"/>
      <w:r>
        <w:rPr>
          <w:rFonts w:ascii="宋体" w:hAnsi="宋体" w:hint="eastAsia"/>
          <w:highlight w:val="white"/>
          <w:lang w:eastAsia="zh-CN"/>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2"/>
      <w:bookmarkEnd w:id="23"/>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24" w:name="_Toc69134061"/>
      <w:r>
        <w:rPr>
          <w:rFonts w:ascii="宋体" w:eastAsia="宋体" w:hAnsi="宋体" w:cs="Arial" w:hint="eastAsia"/>
          <w:sz w:val="21"/>
          <w:szCs w:val="21"/>
          <w:highlight w:val="white"/>
        </w:rPr>
        <w:t>基金财产保管</w:t>
      </w:r>
      <w:bookmarkEnd w:id="24"/>
    </w:p>
    <w:p w:rsidR="009944EC">
      <w:pPr>
        <w:pStyle w:val="21"/>
        <w:keepNext w:val="0"/>
        <w:keepLines w:val="0"/>
        <w:spacing w:before="0" w:after="0" w:line="360" w:lineRule="auto"/>
        <w:ind w:firstLine="315"/>
        <w:rPr>
          <w:rFonts w:ascii="宋体" w:eastAsia="宋体" w:hAnsi="宋体"/>
          <w:b w:val="0"/>
          <w:bCs w:val="0"/>
          <w:sz w:val="21"/>
          <w:szCs w:val="21"/>
          <w:lang w:eastAsia="zh-CN"/>
        </w:rPr>
      </w:pPr>
      <w:bookmarkStart w:id="25" w:name="_Toc382819079"/>
      <w:bookmarkStart w:id="26" w:name="_Toc69134062"/>
      <w:r>
        <w:rPr>
          <w:rFonts w:ascii="宋体" w:eastAsia="宋体" w:hAnsi="宋体" w:hint="eastAsia"/>
          <w:b w:val="0"/>
          <w:bCs w:val="0"/>
          <w:sz w:val="21"/>
          <w:szCs w:val="21"/>
          <w:highlight w:val="white"/>
          <w:lang w:eastAsia="zh-CN"/>
        </w:rPr>
        <w:t>（一）基金财产保管的原则</w:t>
      </w:r>
      <w:bookmarkEnd w:id="25"/>
      <w:bookmarkEnd w:id="26"/>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基金财产应独立于基金管理人、基金托管人的固有财产。</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基金托管人应按</w:t>
      </w:r>
      <w:r>
        <w:rPr>
          <w:rFonts w:ascii="宋体" w:hAnsi="宋体" w:hint="eastAsia"/>
          <w:szCs w:val="21"/>
          <w:highlight w:val="white"/>
          <w:lang w:eastAsia="zh-CN"/>
        </w:rPr>
        <w:t>本协议规定安全保管托管财产。未经基金管理人的指令，不得自行运用、处分、分配基金的任何财产（基金托管人主动扣收的汇划费除外）。基金托管人不对处于自身实际控制之外的账户及财产承担责任。</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基金托管人按照规定为托管的基金财产开设资金账户和证券账户及投资所需其他账户。</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4.</w:t>
      </w:r>
      <w:r>
        <w:rPr>
          <w:rFonts w:ascii="宋体" w:hAnsi="宋体" w:hint="eastAsia"/>
          <w:szCs w:val="21"/>
          <w:highlight w:val="white"/>
          <w:lang w:eastAsia="zh-CN"/>
        </w:rPr>
        <w:t>基金托管人对所托管的不同基金财产分别设置账户，与基金托管人的其他业务和其他基金的托管业务实行严格的分账管理，确保基金财产的完整与独立。</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5.</w:t>
      </w:r>
      <w:r>
        <w:rPr>
          <w:rFonts w:ascii="宋体" w:hAnsi="宋体" w:hint="eastAsia"/>
          <w:szCs w:val="21"/>
          <w:highlight w:val="white"/>
          <w:lang w:eastAsia="zh-CN"/>
        </w:rPr>
        <w:t>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27" w:name="_Toc69134063"/>
      <w:bookmarkStart w:id="28" w:name="_Toc382819080"/>
      <w:r>
        <w:rPr>
          <w:rFonts w:ascii="宋体" w:eastAsia="宋体" w:hAnsi="宋体" w:hint="eastAsia"/>
          <w:b w:val="0"/>
          <w:bCs w:val="0"/>
          <w:sz w:val="21"/>
          <w:szCs w:val="21"/>
          <w:highlight w:val="white"/>
          <w:lang w:eastAsia="zh-CN"/>
        </w:rPr>
        <w:t>（二）募集资金的验证</w:t>
      </w:r>
      <w:bookmarkEnd w:id="27"/>
      <w:bookmarkEnd w:id="28"/>
    </w:p>
    <w:p w:rsidR="009944EC">
      <w:pPr>
        <w:spacing w:line="360" w:lineRule="auto"/>
        <w:ind w:firstLine="420"/>
        <w:rPr>
          <w:rFonts w:ascii="宋体" w:hAnsi="宋体"/>
          <w:szCs w:val="21"/>
          <w:lang w:eastAsia="zh-CN"/>
        </w:rPr>
      </w:pPr>
      <w:r>
        <w:rPr>
          <w:rFonts w:ascii="宋体" w:hAnsi="宋体"/>
          <w:szCs w:val="21"/>
          <w:highlight w:val="white"/>
          <w:lang w:eastAsia="zh-CN"/>
        </w:rPr>
        <w:t>募集期内认购资金划入认购专户。基金募集期满，募集的基金份额总</w:t>
      </w:r>
      <w:r>
        <w:rPr>
          <w:rFonts w:ascii="宋体" w:hAnsi="宋体"/>
          <w:szCs w:val="21"/>
          <w:highlight w:val="white"/>
          <w:lang w:eastAsia="zh-CN"/>
        </w:rPr>
        <w:t>额、基金募集金额、基金份额持有人人数符合《基金法》、《运作办法》等有关规定后，由基金管理人聘请符合《证券法》规定的会计师事务所进行验资，出具验资报告，出具的验资报告应由参加验资的</w:t>
      </w:r>
      <w:r>
        <w:rPr>
          <w:rFonts w:ascii="宋体" w:hAnsi="宋体"/>
          <w:szCs w:val="21"/>
          <w:highlight w:val="white"/>
          <w:lang w:eastAsia="zh-CN"/>
        </w:rPr>
        <w:t>2</w:t>
      </w:r>
      <w:r>
        <w:rPr>
          <w:rFonts w:ascii="宋体" w:hAnsi="宋体"/>
          <w:szCs w:val="21"/>
          <w:highlight w:val="white"/>
          <w:lang w:eastAsia="zh-CN"/>
        </w:rPr>
        <w:t>名以上（含</w:t>
      </w:r>
      <w:r>
        <w:rPr>
          <w:rFonts w:ascii="宋体" w:hAnsi="宋体"/>
          <w:szCs w:val="21"/>
          <w:highlight w:val="white"/>
          <w:lang w:eastAsia="zh-CN"/>
        </w:rPr>
        <w:t>2</w:t>
      </w:r>
      <w:r>
        <w:rPr>
          <w:rFonts w:ascii="宋体" w:hAnsi="宋体"/>
          <w:szCs w:val="21"/>
          <w:highlight w:val="white"/>
          <w:lang w:eastAsia="zh-CN"/>
        </w:rPr>
        <w:t>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rsidR="009944EC">
      <w:pPr>
        <w:spacing w:line="360" w:lineRule="auto"/>
        <w:ind w:firstLine="420"/>
        <w:rPr>
          <w:rFonts w:ascii="宋体" w:hAnsi="宋体" w:cs="Arial"/>
          <w:szCs w:val="21"/>
          <w:lang w:eastAsia="zh-CN"/>
        </w:rPr>
      </w:pPr>
      <w:r>
        <w:rPr>
          <w:rFonts w:ascii="宋体" w:hAnsi="宋体" w:cs="Arial" w:hint="eastAsia"/>
          <w:szCs w:val="21"/>
          <w:highlight w:val="white"/>
          <w:lang w:eastAsia="zh-CN"/>
        </w:rPr>
        <w:t>若基金募集期限届满，未能达到《基金合同》备</w:t>
      </w:r>
      <w:r>
        <w:rPr>
          <w:rFonts w:ascii="宋体" w:hAnsi="宋体" w:cs="Arial" w:hint="eastAsia"/>
          <w:szCs w:val="21"/>
          <w:highlight w:val="white"/>
          <w:lang w:eastAsia="zh-CN"/>
        </w:rPr>
        <w:t>案的条件，由基金管理人按规定办理退款事宜。</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29" w:name="_Toc69134064"/>
      <w:bookmarkStart w:id="30" w:name="_Toc382819081"/>
      <w:r>
        <w:rPr>
          <w:rFonts w:ascii="宋体" w:eastAsia="宋体" w:hAnsi="宋体" w:hint="eastAsia"/>
          <w:b w:val="0"/>
          <w:bCs w:val="0"/>
          <w:sz w:val="21"/>
          <w:szCs w:val="21"/>
          <w:highlight w:val="white"/>
          <w:lang w:eastAsia="zh-CN"/>
        </w:rPr>
        <w:t>（三）基金资产托管专户的开立和管理</w:t>
      </w:r>
      <w:bookmarkEnd w:id="29"/>
      <w:bookmarkEnd w:id="30"/>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资产托管专户的管理应符合《人民币银行结算账户管理办法》、《现金管理暂行条例》、《人民币利率管理规定》、《利率管理暂行规定》、《支付结算办法》以及银行业监督管理机构的其他有关规定。</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31" w:name="_Toc382819082"/>
      <w:bookmarkStart w:id="32" w:name="_Toc69134065"/>
      <w:r>
        <w:rPr>
          <w:rFonts w:ascii="宋体" w:eastAsia="宋体" w:hAnsi="宋体" w:hint="eastAsia"/>
          <w:b w:val="0"/>
          <w:bCs w:val="0"/>
          <w:sz w:val="21"/>
          <w:szCs w:val="21"/>
          <w:highlight w:val="white"/>
          <w:lang w:eastAsia="zh-CN"/>
        </w:rPr>
        <w:t>（四）基金证券账户与证券交易资金账户的开设和管理</w:t>
      </w:r>
      <w:bookmarkEnd w:id="31"/>
      <w:bookmarkEnd w:id="32"/>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w:t>
      </w:r>
      <w:r>
        <w:rPr>
          <w:rFonts w:ascii="宋体" w:hAnsi="宋体" w:hint="eastAsia"/>
          <w:szCs w:val="21"/>
          <w:highlight w:val="white"/>
          <w:lang w:eastAsia="zh-CN"/>
        </w:rPr>
        <w:t>托管人以基金托管人和本基金联名的方式在中国证券登记结算有限公司开立专门的证券账户。</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证券账户的开立和原始开户材料的保管由基金托管人负责，账户资产的管理和运用由基金管理人负责。基金托管人以基金托管人的名义在中国证券登记结算有限责任公司开立结算备付金账户，基金托管人代表所托管的基金完成与中国证券登记结算有限责任公司的一级法</w:t>
      </w:r>
      <w:r>
        <w:rPr>
          <w:rFonts w:ascii="宋体" w:hAnsi="宋体" w:hint="eastAsia"/>
          <w:szCs w:val="21"/>
          <w:highlight w:val="white"/>
          <w:lang w:eastAsia="zh-CN"/>
        </w:rPr>
        <w:t>人清算工作，基金管理人应予以积极协助。结算备付金、证券结算保证金等的收取按照中国证券登记结算有限责任公司的规定和基金托管人为履行结算参与人的义务所制定的业务规则执行。</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33" w:name="_Toc69134066"/>
      <w:bookmarkStart w:id="34" w:name="_Toc382819083"/>
      <w:r>
        <w:rPr>
          <w:rFonts w:ascii="宋体" w:eastAsia="宋体" w:hAnsi="宋体" w:hint="eastAsia"/>
          <w:b w:val="0"/>
          <w:bCs w:val="0"/>
          <w:sz w:val="21"/>
          <w:szCs w:val="21"/>
          <w:highlight w:val="white"/>
          <w:lang w:eastAsia="zh-CN"/>
        </w:rPr>
        <w:t>（五）银行间市场债券托管和资金结算专户的开立和管理及市场准入备案</w:t>
      </w:r>
      <w:bookmarkEnd w:id="33"/>
      <w:bookmarkEnd w:id="34"/>
    </w:p>
    <w:p w:rsidR="009944EC">
      <w:pPr>
        <w:spacing w:line="360" w:lineRule="auto"/>
        <w:ind w:firstLine="420"/>
        <w:rPr>
          <w:rFonts w:ascii="宋体" w:hAnsi="宋体"/>
          <w:szCs w:val="21"/>
          <w:lang w:eastAsia="zh-CN"/>
        </w:rPr>
      </w:pPr>
      <w:bookmarkStart w:id="35" w:name="_Toc382819084"/>
      <w:r>
        <w:rPr>
          <w:rFonts w:ascii="宋体" w:hAnsi="宋体" w:hint="eastAsia"/>
          <w:szCs w:val="21"/>
          <w:highlight w:val="white"/>
          <w:lang w:eastAsia="zh-CN"/>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w:t>
      </w:r>
      <w:r>
        <w:rPr>
          <w:rFonts w:ascii="宋体" w:hAnsi="宋体" w:hint="eastAsia"/>
          <w:szCs w:val="21"/>
          <w:highlight w:val="white"/>
          <w:lang w:eastAsia="zh-CN"/>
        </w:rPr>
        <w:t>限责任公司、银行间市场清算所股份有限公司开立债券托管账户和资金结算账户，并代表基金进行银行间市场债券交易的结算。基金托管人协助基金管理人完成银行间债券市场准入备案。</w:t>
      </w:r>
      <w:bookmarkEnd w:id="35"/>
    </w:p>
    <w:p w:rsidR="009944EC">
      <w:pPr>
        <w:pStyle w:val="21"/>
        <w:keepNext w:val="0"/>
        <w:keepLines w:val="0"/>
        <w:spacing w:before="0" w:after="0" w:line="360" w:lineRule="auto"/>
        <w:ind w:firstLine="420"/>
        <w:rPr>
          <w:rFonts w:ascii="宋体" w:eastAsia="宋体" w:hAnsi="宋体"/>
          <w:sz w:val="21"/>
          <w:szCs w:val="21"/>
          <w:lang w:eastAsia="zh-CN"/>
        </w:rPr>
      </w:pPr>
      <w:bookmarkStart w:id="36" w:name="_Toc69134067"/>
      <w:r>
        <w:rPr>
          <w:rFonts w:ascii="宋体" w:eastAsia="宋体" w:hAnsi="宋体" w:hint="eastAsia"/>
          <w:b w:val="0"/>
          <w:bCs w:val="0"/>
          <w:sz w:val="21"/>
          <w:szCs w:val="21"/>
          <w:highlight w:val="white"/>
          <w:lang w:eastAsia="zh-CN"/>
        </w:rPr>
        <w:t>（六）其他账户的开设和管理</w:t>
      </w:r>
      <w:bookmarkEnd w:id="36"/>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1</w:t>
      </w:r>
      <w:r w:rsidR="00492F23">
        <w:rPr>
          <w:rFonts w:ascii="宋体" w:hAnsi="宋体" w:hint="eastAsia"/>
          <w:szCs w:val="21"/>
          <w:highlight w:val="white"/>
          <w:lang w:eastAsia="zh-CN"/>
        </w:rPr>
        <w:t>.</w:t>
      </w:r>
      <w:r>
        <w:rPr>
          <w:rFonts w:ascii="宋体" w:hAnsi="宋体" w:hint="eastAsia"/>
          <w:szCs w:val="21"/>
          <w:highlight w:val="white"/>
          <w:lang w:eastAsia="zh-CN"/>
        </w:rPr>
        <w:t>因业务发展而需要开立的其它账户，可以根据《基金合同》或有关法律法规的规定，经基金管理人和基金托管人协商一致后，由基金托管人负责为基金开立。新账户按有关规则使用并管理。</w:t>
      </w:r>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2</w:t>
      </w:r>
      <w:r w:rsidR="00492F23">
        <w:rPr>
          <w:rFonts w:ascii="宋体" w:hAnsi="宋体"/>
          <w:szCs w:val="21"/>
          <w:highlight w:val="white"/>
          <w:lang w:eastAsia="zh-CN"/>
        </w:rPr>
        <w:t>.</w:t>
      </w:r>
      <w:r>
        <w:rPr>
          <w:rFonts w:ascii="宋体" w:hAnsi="宋体" w:hint="eastAsia"/>
          <w:szCs w:val="21"/>
          <w:highlight w:val="white"/>
          <w:lang w:eastAsia="zh-CN"/>
        </w:rPr>
        <w:t>法律、法规等有关规定对相关账户的开立和管理另有规定的，从其规定办理。</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37" w:name="_Toc69134068"/>
      <w:bookmarkStart w:id="38" w:name="_Toc382819085"/>
      <w:r>
        <w:rPr>
          <w:rFonts w:ascii="宋体" w:eastAsia="宋体" w:hAnsi="宋体" w:hint="eastAsia"/>
          <w:b w:val="0"/>
          <w:bCs w:val="0"/>
          <w:sz w:val="21"/>
          <w:szCs w:val="21"/>
          <w:highlight w:val="white"/>
          <w:lang w:eastAsia="zh-CN"/>
        </w:rPr>
        <w:t>（七）基金投资银行存款账户的开立和管理</w:t>
      </w:r>
      <w:bookmarkEnd w:id="37"/>
      <w:bookmarkEnd w:id="38"/>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基金投资银行定期存款，基金管理人与基金托管人应比照相关规定，就本基金投资银行存款业务签订书面协议。</w:t>
      </w:r>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基金投资银行定期存款应由基金管理人与存款银行总行或其授权分行签订总体合作协议，并将资金存放于存款银行总行或其授权分行指定的分支机构。</w:t>
      </w:r>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存款账户必须以基金名义开立，账户名称为基金名称，存款账户开户文件上加盖预留印鉴及基金管理人公章。</w:t>
      </w:r>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本基金投资银行存款时，基金管理人应当与存款银行签订具体存款协议，明确存款的类型、期限、利率、金额、账号、对账方式、支取方式、账户管理等细则。</w:t>
      </w:r>
    </w:p>
    <w:p w:rsidR="009944EC">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为防范特殊情况下的流动性风险，定期存款</w:t>
      </w:r>
      <w:r>
        <w:rPr>
          <w:rFonts w:ascii="宋体" w:hAnsi="宋体" w:hint="eastAsia"/>
          <w:szCs w:val="21"/>
          <w:highlight w:val="white"/>
          <w:lang w:eastAsia="zh-CN"/>
        </w:rPr>
        <w:t>协议中应当约定提前支取条款。</w:t>
      </w:r>
    </w:p>
    <w:p w:rsidR="009944EC">
      <w:pPr>
        <w:tabs>
          <w:tab w:val="left" w:pos="4680"/>
        </w:tabs>
        <w:spacing w:line="360" w:lineRule="auto"/>
        <w:ind w:firstLine="420"/>
        <w:rPr>
          <w:rFonts w:ascii="宋体" w:hAnsi="宋体"/>
          <w:b/>
          <w:lang w:eastAsia="zh-CN"/>
        </w:rPr>
      </w:pPr>
      <w:bookmarkStart w:id="39" w:name="_Toc382819086"/>
      <w:r>
        <w:rPr>
          <w:rFonts w:ascii="宋体" w:hAnsi="宋体" w:hint="eastAsia"/>
          <w:highlight w:val="white"/>
          <w:lang w:eastAsia="zh-CN"/>
        </w:rPr>
        <w:t>基金所投资定期存款存续期间，基金管理人、基金托管人应当与存款银行建立定期对账机制，确保基金银行存款业务账目及核对的真实、准确。</w:t>
      </w:r>
      <w:bookmarkEnd w:id="39"/>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40" w:name="_Toc69134069"/>
      <w:bookmarkStart w:id="41" w:name="_Toc382819087"/>
      <w:r>
        <w:rPr>
          <w:rFonts w:ascii="宋体" w:eastAsia="宋体" w:hAnsi="宋体" w:hint="eastAsia"/>
          <w:b w:val="0"/>
          <w:bCs w:val="0"/>
          <w:sz w:val="21"/>
          <w:szCs w:val="21"/>
          <w:highlight w:val="white"/>
          <w:lang w:eastAsia="zh-CN"/>
        </w:rPr>
        <w:t>（八）基金财产投资的有关实物证券、银行定期存款存单等有价凭证的保管</w:t>
      </w:r>
      <w:bookmarkEnd w:id="40"/>
      <w:bookmarkEnd w:id="41"/>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财产投资的有关实物证券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w:t>
      </w:r>
      <w:r>
        <w:rPr>
          <w:rFonts w:ascii="宋体" w:hAnsi="宋体" w:hint="eastAsia"/>
          <w:szCs w:val="21"/>
          <w:highlight w:val="white"/>
          <w:lang w:eastAsia="zh-CN"/>
        </w:rPr>
        <w:t>的实物证券在基金托管人保管期间的损坏、灭失，由此产生的责任应由基金托管人承担。基金托管人对基金托管人以外机构实际有效控制或保管的实物证券、银行定期存款存单对应的财产不承担保管责任。</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42" w:name="_Toc69134070"/>
      <w:r>
        <w:rPr>
          <w:rFonts w:ascii="宋体" w:eastAsia="宋体" w:hAnsi="宋体" w:hint="eastAsia"/>
          <w:b w:val="0"/>
          <w:bCs w:val="0"/>
          <w:sz w:val="21"/>
          <w:szCs w:val="21"/>
          <w:highlight w:val="white"/>
          <w:lang w:eastAsia="zh-CN"/>
        </w:rPr>
        <w:t>（九）与基金财产有关的重大合同的保管</w:t>
      </w:r>
      <w:bookmarkEnd w:id="42"/>
    </w:p>
    <w:p w:rsidR="009944EC">
      <w:pPr>
        <w:spacing w:line="360" w:lineRule="auto"/>
        <w:ind w:firstLine="420"/>
        <w:rPr>
          <w:rFonts w:ascii="宋体" w:hAnsi="宋体"/>
          <w:szCs w:val="21"/>
          <w:lang w:eastAsia="zh-CN"/>
        </w:rPr>
      </w:pPr>
      <w:r>
        <w:rPr>
          <w:rFonts w:ascii="宋体" w:hAnsi="宋体" w:hint="eastAsia"/>
          <w:szCs w:val="21"/>
          <w:highlight w:val="white"/>
          <w:lang w:eastAsia="zh-CN"/>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hint="eastAsia"/>
          <w:szCs w:val="21"/>
          <w:highlight w:val="white"/>
          <w:lang w:eastAsia="zh-CN"/>
        </w:rPr>
        <w:t>5</w:t>
      </w:r>
      <w:r>
        <w:rPr>
          <w:rFonts w:ascii="宋体" w:hAnsi="宋体" w:hint="eastAsia"/>
          <w:szCs w:val="21"/>
          <w:highlight w:val="white"/>
          <w:lang w:eastAsia="zh-CN"/>
        </w:rPr>
        <w:t>个工作日内通过专人送达、挂号</w:t>
      </w:r>
      <w:r>
        <w:rPr>
          <w:rFonts w:ascii="宋体" w:hAnsi="宋体" w:hint="eastAsia"/>
          <w:szCs w:val="21"/>
          <w:highlight w:val="white"/>
          <w:lang w:eastAsia="zh-CN"/>
        </w:rPr>
        <w:t>邮寄等安全方式将合同原件送达基金托管人处。合同原件应存放于基金管理人和基金托管人各自文件保管部门，保存期限不少于</w:t>
      </w:r>
      <w:r>
        <w:rPr>
          <w:rFonts w:ascii="宋体" w:hAnsi="宋体" w:hint="eastAsia"/>
          <w:szCs w:val="21"/>
          <w:highlight w:val="white"/>
          <w:lang w:eastAsia="zh-CN"/>
        </w:rPr>
        <w:t>20</w:t>
      </w:r>
      <w:r>
        <w:rPr>
          <w:rFonts w:ascii="宋体" w:hAnsi="宋体" w:hint="eastAsia"/>
          <w:szCs w:val="21"/>
          <w:highlight w:val="white"/>
          <w:lang w:eastAsia="zh-CN"/>
        </w:rPr>
        <w:t>年，法律法规或监管部门另有规定的除外。</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43" w:name="_Toc69134071"/>
      <w:bookmarkStart w:id="44" w:name="_Toc69134072"/>
      <w:bookmarkEnd w:id="43"/>
      <w:r>
        <w:rPr>
          <w:rFonts w:ascii="宋体" w:eastAsia="宋体" w:hAnsi="宋体" w:cs="Arial" w:hint="eastAsia"/>
          <w:sz w:val="21"/>
          <w:szCs w:val="21"/>
          <w:highlight w:val="white"/>
          <w:lang w:eastAsia="zh-CN"/>
        </w:rPr>
        <w:t>指令的发送、确认和执行</w:t>
      </w:r>
      <w:bookmarkEnd w:id="44"/>
    </w:p>
    <w:p w:rsidR="009944EC">
      <w:pPr>
        <w:spacing w:line="360" w:lineRule="auto"/>
        <w:ind w:firstLine="420"/>
        <w:rPr>
          <w:rFonts w:ascii="宋体" w:hAnsi="宋体"/>
          <w:b/>
          <w:lang w:eastAsia="zh-CN"/>
        </w:rPr>
      </w:pPr>
      <w:bookmarkStart w:id="45" w:name="_Toc382819089"/>
      <w:r>
        <w:rPr>
          <w:rFonts w:ascii="宋体" w:hAnsi="宋体" w:hint="eastAsia"/>
          <w:highlight w:val="white"/>
          <w:lang w:eastAsia="zh-CN"/>
        </w:rPr>
        <w:t>基金管理人在运用基金财产时向基金托管人发送资金划拨及其他款项付款指令，基金托管人执行基金管理人合法合规且符合本协议相关约定的指令、办理基金名下的资金往来等有关事项。</w:t>
      </w:r>
      <w:bookmarkEnd w:id="45"/>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46" w:name="_Toc69134073"/>
      <w:bookmarkStart w:id="47" w:name="_Toc382819090"/>
      <w:r>
        <w:rPr>
          <w:rFonts w:ascii="宋体" w:eastAsia="宋体" w:hAnsi="宋体" w:hint="eastAsia"/>
          <w:b w:val="0"/>
          <w:bCs w:val="0"/>
          <w:sz w:val="21"/>
          <w:szCs w:val="21"/>
          <w:highlight w:val="white"/>
          <w:lang w:eastAsia="zh-CN"/>
        </w:rPr>
        <w:t>（一）基金管理人对发送指令人员的书面授权</w:t>
      </w:r>
      <w:bookmarkEnd w:id="46"/>
      <w:bookmarkEnd w:id="47"/>
    </w:p>
    <w:p w:rsidR="009944EC">
      <w:pPr>
        <w:spacing w:line="360" w:lineRule="auto"/>
        <w:ind w:firstLine="420"/>
        <w:rPr>
          <w:rFonts w:ascii="宋体" w:hAnsi="宋体"/>
          <w:lang w:eastAsia="zh-CN"/>
        </w:rPr>
      </w:pPr>
      <w:bookmarkStart w:id="48" w:name="_Toc382818601"/>
      <w:bookmarkStart w:id="49" w:name="_Toc382819091"/>
      <w:r>
        <w:rPr>
          <w:rFonts w:ascii="宋体" w:hAnsi="宋体" w:hint="eastAsia"/>
          <w:highlight w:val="white"/>
          <w:lang w:eastAsia="zh-CN"/>
        </w:rPr>
        <w:t>基金管理人应向基金托管人提供预留印鉴和被授权人签字样本，事先书面通知（以下简称“授权通知”）基金托管人有权发</w:t>
      </w:r>
      <w:r>
        <w:rPr>
          <w:rFonts w:ascii="宋体" w:hAnsi="宋体"/>
          <w:highlight w:val="white"/>
          <w:lang w:eastAsia="zh-CN"/>
        </w:rPr>
        <w:t>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字的被授权人变更通知，同时</w:t>
      </w:r>
      <w:r>
        <w:rPr>
          <w:rFonts w:ascii="宋体" w:hAnsi="宋体"/>
          <w:highlight w:val="white"/>
          <w:lang w:eastAsia="zh-CN"/>
        </w:rPr>
        <w:t>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w:t>
      </w:r>
      <w:r>
        <w:rPr>
          <w:rFonts w:ascii="宋体" w:hAnsi="宋体" w:hint="eastAsia"/>
          <w:highlight w:val="white"/>
          <w:lang w:eastAsia="zh-CN"/>
        </w:rPr>
        <w:t>基金托管人的，基金托管人有权拒绝执行该授权书对应的划款指令，基金托管人不承担由此造成的损失。基金管理人和基金托管人对授权文件负有保密义务，其内容不得向授权</w:t>
      </w:r>
      <w:r>
        <w:rPr>
          <w:rFonts w:ascii="宋体" w:hAnsi="宋体" w:hint="eastAsia"/>
          <w:highlight w:val="white"/>
          <w:lang w:eastAsia="zh-CN"/>
        </w:rPr>
        <w:t>人及相关操作人员以外的任何人泄露</w:t>
      </w:r>
      <w:bookmarkEnd w:id="48"/>
      <w:bookmarkEnd w:id="49"/>
      <w:r>
        <w:rPr>
          <w:rFonts w:ascii="宋体" w:hAnsi="宋体" w:hint="eastAsia"/>
          <w:szCs w:val="21"/>
          <w:highlight w:val="white"/>
          <w:lang w:eastAsia="zh-CN"/>
        </w:rPr>
        <w:t>，</w:t>
      </w:r>
      <w:r>
        <w:rPr>
          <w:rFonts w:ascii="宋体" w:hAnsi="宋体" w:hint="eastAsia"/>
          <w:highlight w:val="white"/>
          <w:lang w:eastAsia="zh-CN"/>
        </w:rPr>
        <w:t>但法律法规或有权机关另有要求的除外。</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50" w:name="_Toc69134074"/>
      <w:bookmarkStart w:id="51" w:name="_Toc382819092"/>
      <w:r>
        <w:rPr>
          <w:rFonts w:ascii="宋体" w:eastAsia="宋体" w:hAnsi="宋体" w:hint="eastAsia"/>
          <w:b w:val="0"/>
          <w:bCs w:val="0"/>
          <w:sz w:val="21"/>
          <w:szCs w:val="21"/>
          <w:highlight w:val="white"/>
          <w:lang w:eastAsia="zh-CN"/>
        </w:rPr>
        <w:t>（二）指令的内容</w:t>
      </w:r>
      <w:bookmarkEnd w:id="50"/>
      <w:bookmarkEnd w:id="51"/>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．基金管理人发给基金托管人的指令应写明付款账号、付款户名、开户行、收款账号、收款户名、开户行、款项事由、支付时间、到账时间、金额、账户等，加盖预留印鉴并有被授权人签字。</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52" w:name="_Toc382819093"/>
      <w:bookmarkStart w:id="53" w:name="_Toc69134075"/>
      <w:r>
        <w:rPr>
          <w:rFonts w:ascii="宋体" w:eastAsia="宋体" w:hAnsi="宋体" w:hint="eastAsia"/>
          <w:b w:val="0"/>
          <w:bCs w:val="0"/>
          <w:sz w:val="21"/>
          <w:szCs w:val="21"/>
          <w:highlight w:val="white"/>
          <w:lang w:eastAsia="zh-CN"/>
        </w:rPr>
        <w:t>（三）指令的发送、确认和执行的时间和程序</w:t>
      </w:r>
      <w:bookmarkEnd w:id="52"/>
      <w:bookmarkEnd w:id="53"/>
    </w:p>
    <w:p w:rsidR="009944EC">
      <w:pPr>
        <w:spacing w:line="360" w:lineRule="auto"/>
        <w:ind w:firstLine="420"/>
        <w:rPr>
          <w:rFonts w:ascii="宋体" w:hAnsi="宋体"/>
          <w:szCs w:val="21"/>
          <w:lang w:eastAsia="zh-CN"/>
        </w:rPr>
      </w:pPr>
      <w:r>
        <w:rPr>
          <w:rFonts w:ascii="宋体" w:hAnsi="宋体"/>
          <w:szCs w:val="21"/>
          <w:highlight w:val="white"/>
          <w:lang w:eastAsia="zh-CN"/>
        </w:rPr>
        <w:t>指令由</w:t>
      </w:r>
      <w:r>
        <w:rPr>
          <w:rFonts w:ascii="宋体" w:hAnsi="宋体"/>
          <w:szCs w:val="21"/>
          <w:highlight w:val="white"/>
          <w:lang w:eastAsia="zh-CN"/>
        </w:rPr>
        <w:t>“</w:t>
      </w:r>
      <w:r>
        <w:rPr>
          <w:rFonts w:ascii="宋体" w:hAnsi="宋体"/>
          <w:szCs w:val="21"/>
          <w:highlight w:val="white"/>
          <w:lang w:eastAsia="zh-CN"/>
        </w:rPr>
        <w:t>授权通知</w:t>
      </w:r>
      <w:r>
        <w:rPr>
          <w:rFonts w:ascii="宋体" w:hAnsi="宋体"/>
          <w:szCs w:val="21"/>
          <w:highlight w:val="white"/>
          <w:lang w:eastAsia="zh-CN"/>
        </w:rPr>
        <w:t>”</w:t>
      </w:r>
      <w:r>
        <w:rPr>
          <w:rFonts w:ascii="宋体" w:hAnsi="宋体"/>
          <w:szCs w:val="21"/>
          <w:highlight w:val="white"/>
          <w:lang w:eastAsia="zh-CN"/>
        </w:rPr>
        <w:t>确定的有权发送人（下称</w:t>
      </w:r>
      <w:r>
        <w:rPr>
          <w:rFonts w:ascii="宋体" w:hAnsi="宋体"/>
          <w:szCs w:val="21"/>
          <w:highlight w:val="white"/>
          <w:lang w:eastAsia="zh-CN"/>
        </w:rPr>
        <w:t>“</w:t>
      </w:r>
      <w:r>
        <w:rPr>
          <w:rFonts w:ascii="宋体" w:hAnsi="宋体"/>
          <w:szCs w:val="21"/>
          <w:highlight w:val="white"/>
          <w:lang w:eastAsia="zh-CN"/>
        </w:rPr>
        <w:t>被授权人</w:t>
      </w:r>
      <w:r>
        <w:rPr>
          <w:rFonts w:ascii="宋体" w:hAnsi="宋体"/>
          <w:szCs w:val="21"/>
          <w:highlight w:val="white"/>
          <w:lang w:eastAsia="zh-CN"/>
        </w:rPr>
        <w:t>”</w:t>
      </w:r>
      <w:r>
        <w:rPr>
          <w:rFonts w:ascii="宋体" w:hAnsi="宋体"/>
          <w:szCs w:val="21"/>
          <w:highlight w:val="white"/>
          <w:lang w:eastAsia="zh-CN"/>
        </w:rPr>
        <w:t>）代表基金管理人用传真的方式或其他基金托管人和基金管理人书面确认过的方式向基金托管人发送。基金管理人有义务在发送指令后及时与基金托管人进行确认，因基金管理人未能及时与基金托管人进行指令确认</w:t>
      </w:r>
      <w:r>
        <w:rPr>
          <w:rFonts w:ascii="宋体" w:hAnsi="宋体"/>
          <w:szCs w:val="21"/>
          <w:highlight w:val="white"/>
          <w:lang w:eastAsia="zh-CN"/>
        </w:rPr>
        <w:t>,</w:t>
      </w:r>
      <w:r>
        <w:rPr>
          <w:rFonts w:ascii="宋体" w:hAnsi="宋体"/>
          <w:szCs w:val="21"/>
          <w:highlight w:val="white"/>
          <w:lang w:eastAsia="zh-CN"/>
        </w:rPr>
        <w:t>致使资金未能及时到账所造成的损失，基金托管人不承担任何责</w:t>
      </w:r>
      <w:r>
        <w:rPr>
          <w:rFonts w:ascii="宋体" w:hAnsi="宋体"/>
          <w:szCs w:val="21"/>
          <w:highlight w:val="white"/>
          <w:lang w:eastAsia="zh-CN"/>
        </w:rPr>
        <w:t>任。基金托管人依照</w:t>
      </w:r>
      <w:r>
        <w:rPr>
          <w:rFonts w:ascii="宋体" w:hAnsi="宋体"/>
          <w:szCs w:val="21"/>
          <w:highlight w:val="white"/>
          <w:lang w:eastAsia="zh-CN"/>
        </w:rPr>
        <w:t>“</w:t>
      </w:r>
      <w:r>
        <w:rPr>
          <w:rFonts w:ascii="宋体" w:hAnsi="宋体"/>
          <w:szCs w:val="21"/>
          <w:highlight w:val="white"/>
          <w:lang w:eastAsia="zh-CN"/>
        </w:rPr>
        <w:t>授权通知</w:t>
      </w:r>
      <w:r>
        <w:rPr>
          <w:rFonts w:ascii="宋体" w:hAnsi="宋体"/>
          <w:szCs w:val="21"/>
          <w:highlight w:val="white"/>
          <w:lang w:eastAsia="zh-CN"/>
        </w:rPr>
        <w:t>”</w:t>
      </w:r>
      <w:r>
        <w:rPr>
          <w:rFonts w:ascii="宋体" w:hAnsi="宋体"/>
          <w:szCs w:val="21"/>
          <w:highlight w:val="white"/>
          <w:lang w:eastAsia="zh-CN"/>
        </w:rPr>
        <w:t>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银行间指令、定期存款指令、非担保交收指令、新股、增发等申购指令）应在</w:t>
      </w:r>
      <w:r>
        <w:rPr>
          <w:rFonts w:ascii="宋体" w:hAnsi="宋体"/>
          <w:szCs w:val="21"/>
          <w:highlight w:val="white"/>
          <w:lang w:eastAsia="zh-CN"/>
        </w:rPr>
        <w:t>15</w:t>
      </w:r>
      <w:r>
        <w:rPr>
          <w:rFonts w:ascii="宋体" w:hAnsi="宋体"/>
          <w:szCs w:val="21"/>
          <w:highlight w:val="white"/>
          <w:lang w:eastAsia="zh-CN"/>
        </w:rPr>
        <w:t>点（指令截至时间）前提交基金托管人，如基金管理人要求当天某一时点到账，则指令需提前</w:t>
      </w:r>
      <w:r>
        <w:rPr>
          <w:rFonts w:ascii="宋体" w:hAnsi="宋体"/>
          <w:szCs w:val="21"/>
          <w:highlight w:val="white"/>
          <w:lang w:eastAsia="zh-CN"/>
        </w:rPr>
        <w:t>2</w:t>
      </w:r>
      <w:r>
        <w:rPr>
          <w:rFonts w:ascii="宋体" w:hAnsi="宋体"/>
          <w:szCs w:val="21"/>
          <w:highlight w:val="white"/>
          <w:lang w:eastAsia="zh-CN"/>
        </w:rPr>
        <w:t>个工作小时</w:t>
      </w:r>
      <w:r>
        <w:rPr>
          <w:rFonts w:ascii="宋体" w:hAnsi="宋体"/>
          <w:szCs w:val="21"/>
          <w:highlight w:val="white"/>
          <w:lang w:eastAsia="zh-CN"/>
        </w:rPr>
        <w:t>(</w:t>
      </w:r>
      <w:r>
        <w:rPr>
          <w:rFonts w:ascii="宋体" w:hAnsi="宋体"/>
          <w:szCs w:val="21"/>
          <w:highlight w:val="white"/>
          <w:lang w:eastAsia="zh-CN"/>
        </w:rPr>
        <w:t>工作时间</w:t>
      </w:r>
      <w:r>
        <w:rPr>
          <w:rFonts w:ascii="宋体" w:hAnsi="宋体"/>
          <w:szCs w:val="21"/>
          <w:highlight w:val="white"/>
          <w:lang w:eastAsia="zh-CN"/>
        </w:rPr>
        <w:t>9</w:t>
      </w:r>
      <w:r>
        <w:rPr>
          <w:rFonts w:ascii="宋体" w:hAnsi="宋体"/>
          <w:szCs w:val="21"/>
          <w:highlight w:val="white"/>
          <w:lang w:eastAsia="zh-CN"/>
        </w:rPr>
        <w:t>点至</w:t>
      </w:r>
      <w:r>
        <w:rPr>
          <w:rFonts w:ascii="宋体" w:hAnsi="宋体"/>
          <w:szCs w:val="21"/>
          <w:highlight w:val="white"/>
          <w:lang w:eastAsia="zh-CN"/>
        </w:rPr>
        <w:t>11</w:t>
      </w:r>
      <w:r>
        <w:rPr>
          <w:rFonts w:ascii="宋体" w:hAnsi="宋体"/>
          <w:szCs w:val="21"/>
          <w:highlight w:val="white"/>
          <w:lang w:eastAsia="zh-CN"/>
        </w:rPr>
        <w:t>点</w:t>
      </w:r>
      <w:r>
        <w:rPr>
          <w:rFonts w:ascii="宋体" w:hAnsi="宋体"/>
          <w:szCs w:val="21"/>
          <w:highlight w:val="white"/>
          <w:lang w:eastAsia="zh-CN"/>
        </w:rPr>
        <w:t>30</w:t>
      </w:r>
      <w:r>
        <w:rPr>
          <w:rFonts w:ascii="宋体" w:hAnsi="宋体"/>
          <w:szCs w:val="21"/>
          <w:highlight w:val="white"/>
          <w:lang w:eastAsia="zh-CN"/>
        </w:rPr>
        <w:t>分</w:t>
      </w:r>
      <w:r>
        <w:rPr>
          <w:rFonts w:ascii="宋体" w:hAnsi="宋体"/>
          <w:szCs w:val="21"/>
          <w:highlight w:val="white"/>
          <w:lang w:eastAsia="zh-CN"/>
        </w:rPr>
        <w:t>,13</w:t>
      </w:r>
      <w:r>
        <w:rPr>
          <w:rFonts w:ascii="宋体" w:hAnsi="宋体"/>
          <w:szCs w:val="21"/>
          <w:highlight w:val="white"/>
          <w:lang w:eastAsia="zh-CN"/>
        </w:rPr>
        <w:t>点至</w:t>
      </w:r>
      <w:r>
        <w:rPr>
          <w:rFonts w:ascii="宋体" w:hAnsi="宋体"/>
          <w:szCs w:val="21"/>
          <w:highlight w:val="white"/>
          <w:lang w:eastAsia="zh-CN"/>
        </w:rPr>
        <w:t>17</w:t>
      </w:r>
      <w:r>
        <w:rPr>
          <w:rFonts w:ascii="宋体" w:hAnsi="宋体"/>
          <w:szCs w:val="21"/>
          <w:highlight w:val="white"/>
          <w:lang w:eastAsia="zh-CN"/>
        </w:rPr>
        <w:t>点</w:t>
      </w:r>
      <w:r>
        <w:rPr>
          <w:rFonts w:ascii="宋体" w:hAnsi="宋体"/>
          <w:szCs w:val="21"/>
          <w:highlight w:val="white"/>
          <w:lang w:eastAsia="zh-CN"/>
        </w:rPr>
        <w:t>)</w:t>
      </w:r>
      <w:r>
        <w:rPr>
          <w:rFonts w:ascii="宋体" w:hAnsi="宋体"/>
          <w:szCs w:val="21"/>
          <w:highlight w:val="white"/>
          <w:lang w:eastAsia="zh-CN"/>
        </w:rPr>
        <w:t>提交基金托管人。</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新股申购指令，基金管理人须在申购前</w:t>
      </w:r>
      <w:r>
        <w:rPr>
          <w:rFonts w:ascii="宋体" w:hAnsi="宋体" w:hint="eastAsia"/>
          <w:szCs w:val="21"/>
          <w:highlight w:val="white"/>
          <w:lang w:eastAsia="zh-CN"/>
        </w:rPr>
        <w:t>1</w:t>
      </w:r>
      <w:r>
        <w:rPr>
          <w:rFonts w:ascii="宋体" w:hAnsi="宋体" w:hint="eastAsia"/>
          <w:szCs w:val="21"/>
          <w:highlight w:val="white"/>
          <w:lang w:eastAsia="zh-CN"/>
        </w:rPr>
        <w:t>个工作日向基金托管人发送指令，如需在申购当日下达指令，基金管理人应为基金托管人留出执行指令所必需的时间，指令最迟不得晚于上午</w:t>
      </w:r>
      <w:r>
        <w:rPr>
          <w:rFonts w:ascii="宋体" w:hAnsi="宋体" w:hint="eastAsia"/>
          <w:szCs w:val="21"/>
          <w:highlight w:val="white"/>
          <w:lang w:eastAsia="zh-CN"/>
        </w:rPr>
        <w:t>11</w:t>
      </w:r>
      <w:r>
        <w:rPr>
          <w:rFonts w:ascii="宋体" w:hAnsi="宋体" w:hint="eastAsia"/>
          <w:szCs w:val="21"/>
          <w:highlight w:val="white"/>
          <w:lang w:eastAsia="zh-CN"/>
        </w:rPr>
        <w:t>：</w:t>
      </w:r>
      <w:r>
        <w:rPr>
          <w:rFonts w:ascii="宋体" w:hAnsi="宋体" w:hint="eastAsia"/>
          <w:szCs w:val="21"/>
          <w:highlight w:val="white"/>
          <w:lang w:eastAsia="zh-CN"/>
        </w:rPr>
        <w:t>00</w:t>
      </w:r>
      <w:r>
        <w:rPr>
          <w:rFonts w:ascii="宋体" w:hAnsi="宋体" w:hint="eastAsia"/>
          <w:szCs w:val="21"/>
          <w:highlight w:val="white"/>
          <w:lang w:eastAsia="zh-CN"/>
        </w:rPr>
        <w:t>点（指令截至时间）提交基金托管人。</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如划款指令中给予基金托管人的划拨时间小于</w:t>
      </w:r>
      <w:r>
        <w:rPr>
          <w:rFonts w:ascii="宋体" w:hAnsi="宋体" w:hint="eastAsia"/>
          <w:szCs w:val="21"/>
          <w:highlight w:val="white"/>
          <w:lang w:eastAsia="zh-CN"/>
        </w:rPr>
        <w:t>2</w:t>
      </w:r>
      <w:r>
        <w:rPr>
          <w:rFonts w:ascii="宋体" w:hAnsi="宋体" w:hint="eastAsia"/>
          <w:szCs w:val="21"/>
          <w:highlight w:val="white"/>
          <w:lang w:eastAsia="zh-CN"/>
        </w:rPr>
        <w:t>个工作小时或晚于前述指令截至时间的，基金托管人应尽力在指定时间内完成资金划拨</w:t>
      </w:r>
      <w:r>
        <w:rPr>
          <w:rFonts w:ascii="宋体" w:hAnsi="宋体" w:hint="eastAsia"/>
          <w:szCs w:val="21"/>
          <w:highlight w:val="white"/>
          <w:lang w:eastAsia="zh-CN"/>
        </w:rPr>
        <w:t>,</w:t>
      </w:r>
      <w:r>
        <w:rPr>
          <w:rFonts w:ascii="宋体" w:hAnsi="宋体" w:hint="eastAsia"/>
          <w:szCs w:val="21"/>
          <w:highlight w:val="white"/>
          <w:lang w:eastAsia="zh-CN"/>
        </w:rPr>
        <w:t>但不承担因时间不足导致执行失败的责任。</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基金管理人原因造成的指令传输不及时、未能留出足够划款所需时间，致使资金未能及时到账</w:t>
      </w:r>
      <w:r>
        <w:rPr>
          <w:rFonts w:ascii="宋体" w:hAnsi="宋体" w:hint="eastAsia"/>
          <w:szCs w:val="21"/>
          <w:highlight w:val="white"/>
          <w:lang w:eastAsia="zh-CN"/>
        </w:rPr>
        <w:t>所造成的损失不由基金托管人承担。</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基金管理人应将同业市场国债交</w:t>
      </w:r>
      <w:r>
        <w:rPr>
          <w:rFonts w:ascii="宋体" w:hAnsi="宋体" w:hint="eastAsia"/>
          <w:szCs w:val="21"/>
          <w:highlight w:val="white"/>
          <w:lang w:eastAsia="zh-CN"/>
        </w:rPr>
        <w:t>易通知单加盖预留印鉴后传真给基金托管人。</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54" w:name="_Toc69134076"/>
      <w:bookmarkStart w:id="55" w:name="_Toc382819094"/>
      <w:r>
        <w:rPr>
          <w:rFonts w:ascii="宋体" w:eastAsia="宋体" w:hAnsi="宋体" w:hint="eastAsia"/>
          <w:b w:val="0"/>
          <w:bCs w:val="0"/>
          <w:sz w:val="21"/>
          <w:szCs w:val="21"/>
          <w:highlight w:val="white"/>
          <w:lang w:eastAsia="zh-CN"/>
        </w:rPr>
        <w:t>（四）基金管理人发送错误指令的情形和处理程序</w:t>
      </w:r>
      <w:bookmarkEnd w:id="54"/>
      <w:bookmarkEnd w:id="55"/>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基金管理人发送错误指令的情形包括但不限于指令发送人员无权或超越权限发送指令及交割信息错误，指令中重要信息模糊不清或不全</w:t>
      </w:r>
      <w:r>
        <w:rPr>
          <w:rFonts w:ascii="宋体" w:hAnsi="宋体" w:hint="eastAsia"/>
          <w:szCs w:val="21"/>
          <w:highlight w:val="white"/>
          <w:lang w:eastAsia="zh-CN"/>
        </w:rPr>
        <w:t>,</w:t>
      </w:r>
      <w:r>
        <w:rPr>
          <w:rFonts w:ascii="宋体" w:hAnsi="宋体" w:hint="eastAsia"/>
          <w:szCs w:val="21"/>
          <w:highlight w:val="white"/>
          <w:lang w:eastAsia="zh-CN"/>
        </w:rPr>
        <w:t>指令违反法律法规和《基金合同》及本协议约定等。</w:t>
      </w:r>
    </w:p>
    <w:p w:rsidR="009944EC">
      <w:pPr>
        <w:spacing w:line="360" w:lineRule="auto"/>
        <w:ind w:firstLine="420"/>
        <w:rPr>
          <w:rFonts w:ascii="宋体" w:hAnsi="宋体"/>
          <w:lang w:eastAsia="zh-CN"/>
        </w:rPr>
      </w:pPr>
      <w:r>
        <w:rPr>
          <w:rFonts w:ascii="宋体" w:hAnsi="宋体" w:hint="eastAsia"/>
          <w:szCs w:val="21"/>
          <w:highlight w:val="white"/>
          <w:lang w:eastAsia="zh-CN"/>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56" w:name="_Toc69134077"/>
      <w:bookmarkStart w:id="57" w:name="_Toc382819095"/>
      <w:r>
        <w:rPr>
          <w:rFonts w:ascii="宋体" w:eastAsia="宋体" w:hAnsi="宋体" w:hint="eastAsia"/>
          <w:b w:val="0"/>
          <w:bCs w:val="0"/>
          <w:sz w:val="21"/>
          <w:szCs w:val="21"/>
          <w:highlight w:val="white"/>
          <w:lang w:eastAsia="zh-CN"/>
        </w:rPr>
        <w:t>（五）基金托管人未按照</w:t>
      </w:r>
      <w:r>
        <w:rPr>
          <w:rFonts w:ascii="宋体" w:eastAsia="宋体" w:hAnsi="宋体" w:hint="eastAsia"/>
          <w:b w:val="0"/>
          <w:bCs w:val="0"/>
          <w:sz w:val="21"/>
          <w:szCs w:val="21"/>
          <w:highlight w:val="white"/>
          <w:lang w:eastAsia="zh-CN"/>
        </w:rPr>
        <w:t>基金管理人指令执行的处理方法</w:t>
      </w:r>
      <w:bookmarkEnd w:id="56"/>
      <w:bookmarkEnd w:id="57"/>
    </w:p>
    <w:p w:rsidR="009944EC">
      <w:pPr>
        <w:spacing w:line="360" w:lineRule="auto"/>
        <w:ind w:firstLine="420"/>
        <w:rPr>
          <w:rFonts w:ascii="宋体" w:hAnsi="宋体"/>
          <w:szCs w:val="21"/>
          <w:lang w:eastAsia="zh-CN"/>
        </w:rPr>
      </w:pPr>
      <w:r>
        <w:rPr>
          <w:rFonts w:ascii="宋体" w:hAnsi="宋体" w:hint="eastAsia"/>
          <w:szCs w:val="21"/>
          <w:highlight w:val="white"/>
          <w:lang w:eastAsia="zh-CN"/>
        </w:rPr>
        <w:t>除本协议另有约定外，基金托管人由于自身原因造成未按照或者未及时按照基金管理人发送的符合本协议约定的、按照正常交易程序已经生效的指令执行，给基金份额持有人造成损失的，应负责赔偿相应的损失。</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58" w:name="_Toc382819096"/>
      <w:bookmarkStart w:id="59" w:name="_Toc69134078"/>
      <w:r>
        <w:rPr>
          <w:rFonts w:ascii="宋体" w:eastAsia="宋体" w:hAnsi="宋体" w:hint="eastAsia"/>
          <w:b w:val="0"/>
          <w:bCs w:val="0"/>
          <w:sz w:val="21"/>
          <w:szCs w:val="21"/>
          <w:highlight w:val="white"/>
          <w:lang w:eastAsia="zh-CN"/>
        </w:rPr>
        <w:t>（六）更换被授权人的程序</w:t>
      </w:r>
      <w:bookmarkEnd w:id="58"/>
      <w:bookmarkEnd w:id="59"/>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w:t>
      </w:r>
      <w:r>
        <w:rPr>
          <w:rFonts w:ascii="宋体" w:hAnsi="宋体" w:hint="eastAsia"/>
          <w:szCs w:val="21"/>
          <w:highlight w:val="white"/>
          <w:lang w:eastAsia="zh-CN"/>
        </w:rPr>
        <w:t>，并提供新的被授权人的签字样本。基金托管人收到变更通知当日将回函书面传真基金管理人或通过电话向基金管理人确认。</w:t>
      </w:r>
      <w:r>
        <w:rPr>
          <w:rFonts w:ascii="宋体" w:hAnsi="宋体"/>
          <w:szCs w:val="21"/>
          <w:highlight w:val="white"/>
          <w:lang w:eastAsia="zh-CN"/>
        </w:rPr>
        <w:t>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w:t>
      </w:r>
      <w:r>
        <w:rPr>
          <w:rFonts w:ascii="宋体" w:hAnsi="宋体"/>
          <w:szCs w:val="21"/>
          <w:highlight w:val="white"/>
          <w:lang w:eastAsia="zh-CN"/>
        </w:rPr>
        <w:t>受损的，基金托管人不承担任何形式的责任。基金托管人更换接受基金管理人指令的人员，应提前通过邮件、传真或录音电话等方式通知基金管理人。</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（七）其它事项</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基金管理人承担下达违法、违规或违反《基金合同》和本协议约定的指令所导致的责任。基金托管人对执行基金管理人的按照正常交易程序已经生效的指令对基金财产造成的损失不承担赔偿责任。</w:t>
      </w:r>
    </w:p>
    <w:p w:rsidR="009944EC">
      <w:pPr>
        <w:pStyle w:val="11"/>
        <w:keepNext w:val="0"/>
        <w:keepLines w:val="0"/>
        <w:numPr>
          <w:ilvl w:val="0"/>
          <w:numId w:val="2"/>
        </w:numPr>
        <w:tabs>
          <w:tab w:val="left" w:pos="420"/>
        </w:tabs>
        <w:spacing w:before="360" w:after="360"/>
        <w:rPr>
          <w:rFonts w:ascii="宋体" w:eastAsia="宋体" w:hAnsi="宋体"/>
          <w:sz w:val="21"/>
          <w:szCs w:val="21"/>
        </w:rPr>
      </w:pPr>
      <w:bookmarkStart w:id="60" w:name="_Toc69134079"/>
      <w:r>
        <w:rPr>
          <w:rFonts w:ascii="宋体" w:eastAsia="宋体" w:hAnsi="宋体" w:hint="eastAsia"/>
          <w:sz w:val="21"/>
          <w:szCs w:val="21"/>
          <w:highlight w:val="white"/>
        </w:rPr>
        <w:t>交易及清算交收安排</w:t>
      </w:r>
      <w:bookmarkEnd w:id="60"/>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61" w:name="_Toc382819098"/>
      <w:bookmarkStart w:id="62" w:name="_Toc69134080"/>
      <w:r>
        <w:rPr>
          <w:rFonts w:ascii="宋体" w:eastAsia="宋体" w:hAnsi="宋体" w:hint="eastAsia"/>
          <w:b w:val="0"/>
          <w:bCs w:val="0"/>
          <w:sz w:val="21"/>
          <w:szCs w:val="21"/>
          <w:highlight w:val="white"/>
          <w:lang w:eastAsia="zh-CN"/>
        </w:rPr>
        <w:t>（一）选择代理证券、期货买卖的证券、期货经营机构的标准和程序</w:t>
      </w:r>
      <w:bookmarkEnd w:id="61"/>
      <w:bookmarkEnd w:id="62"/>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基金管理人负责选择代理本基金证券买卖的证券经营机构。</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基金管理人应在基金起始运作前将基金专用交易单元号、佣金费率等基本信息以及变更情况及时以书面形式通知基金托管人</w:t>
      </w:r>
      <w:r>
        <w:rPr>
          <w:rFonts w:ascii="宋体" w:hAnsi="宋体" w:hint="eastAsia"/>
          <w:szCs w:val="21"/>
          <w:highlight w:val="white"/>
          <w:lang w:eastAsia="zh-CN"/>
        </w:rPr>
        <w:t>,</w:t>
      </w:r>
      <w:r>
        <w:rPr>
          <w:rFonts w:ascii="宋体" w:hAnsi="宋体" w:hint="eastAsia"/>
          <w:szCs w:val="21"/>
          <w:highlight w:val="white"/>
          <w:lang w:eastAsia="zh-CN"/>
        </w:rPr>
        <w:t>并将被选中证券经营机构提供的《交易单元租用协议》及时送达基金托管人，确保基金托管人申请接收结算数据。</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基金管理人负责选择代理本基金期货交易的期货经纪机构，</w:t>
      </w:r>
      <w:r>
        <w:rPr>
          <w:rFonts w:ascii="宋体" w:hAnsi="宋体" w:hint="eastAsia"/>
          <w:szCs w:val="21"/>
          <w:highlight w:val="white"/>
          <w:lang w:eastAsia="zh-CN"/>
        </w:rPr>
        <w:t>并与其签订期货经纪合同，其他事宜根据法律法规、《基金合同》的相关规定执行，若无明确规定的，可参照有关证券买卖、证券经纪机构选择的规则执行。</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63" w:name="_Toc69134081"/>
      <w:bookmarkStart w:id="64" w:name="_Toc382819099"/>
      <w:r>
        <w:rPr>
          <w:rFonts w:ascii="宋体" w:eastAsia="宋体" w:hAnsi="宋体" w:hint="eastAsia"/>
          <w:b w:val="0"/>
          <w:bCs w:val="0"/>
          <w:sz w:val="21"/>
          <w:szCs w:val="21"/>
          <w:highlight w:val="white"/>
          <w:lang w:eastAsia="zh-CN"/>
        </w:rPr>
        <w:t>（二）基金投资证券后的清算交收安排</w:t>
      </w:r>
      <w:bookmarkStart w:id="65" w:name="_Toc382819100"/>
      <w:bookmarkEnd w:id="63"/>
      <w:bookmarkEnd w:id="64"/>
    </w:p>
    <w:p w:rsidR="009944EC">
      <w:pPr>
        <w:spacing w:line="360" w:lineRule="auto"/>
        <w:ind w:firstLine="420"/>
        <w:rPr>
          <w:rFonts w:ascii="宋体" w:hAnsi="宋体"/>
          <w:b/>
          <w:lang w:eastAsia="zh-CN"/>
        </w:rPr>
      </w:pPr>
      <w:r>
        <w:rPr>
          <w:rFonts w:ascii="宋体" w:hAnsi="宋体" w:hint="eastAsia"/>
          <w:highlight w:val="white"/>
          <w:lang w:eastAsia="zh-CN"/>
        </w:rPr>
        <w:t>1</w:t>
      </w:r>
      <w:r>
        <w:rPr>
          <w:rFonts w:ascii="宋体" w:hAnsi="宋体" w:hint="eastAsia"/>
          <w:highlight w:val="white"/>
          <w:lang w:eastAsia="zh-CN"/>
        </w:rPr>
        <w:t>．本基金投资于证券发生的所有场内、场外交易的资金清算交割，全部由基金托管人负责办理。</w:t>
      </w:r>
      <w:bookmarkStart w:id="66" w:name="_Toc382819101"/>
      <w:bookmarkEnd w:id="65"/>
    </w:p>
    <w:p w:rsidR="009944EC">
      <w:pPr>
        <w:spacing w:line="360" w:lineRule="auto"/>
        <w:ind w:firstLine="420"/>
        <w:rPr>
          <w:rFonts w:ascii="宋体" w:hAnsi="宋体"/>
          <w:b/>
          <w:lang w:eastAsia="zh-CN"/>
        </w:rPr>
      </w:pPr>
      <w:r>
        <w:rPr>
          <w:rFonts w:ascii="宋体" w:hAnsi="宋体"/>
          <w:highlight w:val="white"/>
          <w:lang w:eastAsia="zh-CN"/>
        </w:rPr>
        <w:t>2</w:t>
      </w:r>
      <w:r>
        <w:rPr>
          <w:rFonts w:ascii="宋体" w:hAnsi="宋体" w:hint="eastAsia"/>
          <w:highlight w:val="white"/>
          <w:lang w:eastAsia="zh-CN"/>
        </w:rPr>
        <w:t>．</w:t>
      </w:r>
      <w:r>
        <w:rPr>
          <w:rFonts w:ascii="宋体" w:hAnsi="宋体"/>
          <w:highlight w:val="white"/>
          <w:lang w:eastAsia="zh-CN"/>
        </w:rPr>
        <w:t>本基金投资于场内交易的投资品种前，基金管理人和基金托管人应当另行签署托管银行证券资金结算协议。</w:t>
      </w:r>
      <w:bookmarkEnd w:id="66"/>
    </w:p>
    <w:p w:rsidR="009944EC">
      <w:pPr>
        <w:spacing w:line="360" w:lineRule="auto"/>
        <w:ind w:firstLine="420"/>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．本基金投资于非担保交收的投资品种时，基金管理人应遵守基金托管人提前以告客户书形式提供的书面通知。</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4</w:t>
      </w:r>
      <w:r>
        <w:rPr>
          <w:rFonts w:ascii="宋体" w:hAnsi="宋体" w:hint="eastAsia"/>
          <w:szCs w:val="21"/>
          <w:highlight w:val="white"/>
          <w:lang w:eastAsia="zh-CN"/>
        </w:rPr>
        <w:t>．银行间债券券款对付结算</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基金管理人应及时将银行间上清所、中债登划款指令和成交通知单按相关规定提交基金托管人，基金管理人应为基金托管人留出执行指令所必需的时间。</w:t>
      </w:r>
      <w:r>
        <w:rPr>
          <w:rFonts w:ascii="宋体" w:hAnsi="宋体" w:hint="eastAsia"/>
          <w:szCs w:val="21"/>
          <w:highlight w:val="white"/>
          <w:lang w:eastAsia="zh-CN"/>
        </w:rPr>
        <w:t xml:space="preserve">  </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投资管理人应根据中债登、上清所提供的查询功能，实时跟踪交易结算情况、证券与资金到账与余额变动情况，便于监控结算过程，做好资金与交易匹配的前端控制。</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5</w:t>
      </w:r>
      <w:r>
        <w:rPr>
          <w:rFonts w:ascii="宋体" w:hAnsi="宋体" w:hint="eastAsia"/>
          <w:szCs w:val="21"/>
          <w:highlight w:val="white"/>
          <w:lang w:eastAsia="zh-CN"/>
        </w:rPr>
        <w:t>．定期存款投资</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基金管理人与存款行签订的存款协议条款格式应在定期存款起息日的前一个工作日发送给基金托管人，</w:t>
      </w:r>
      <w:r>
        <w:rPr>
          <w:rFonts w:ascii="宋体" w:hAnsi="宋体" w:hint="eastAsia"/>
          <w:highlight w:val="white"/>
          <w:lang w:eastAsia="zh-CN"/>
        </w:rPr>
        <w:t>基金管理人应将</w:t>
      </w:r>
      <w:r>
        <w:rPr>
          <w:rFonts w:ascii="宋体" w:hAnsi="宋体" w:hint="eastAsia"/>
          <w:szCs w:val="21"/>
          <w:highlight w:val="white"/>
          <w:lang w:eastAsia="zh-CN"/>
        </w:rPr>
        <w:t>定期存款的划款指令及存款协议盖章版（传真件或扫描件）按法律法规、基金合同及托管协议的规定提交基金托管人</w:t>
      </w:r>
      <w:r>
        <w:rPr>
          <w:rFonts w:ascii="宋体" w:hAnsi="宋体" w:hint="eastAsia"/>
          <w:szCs w:val="21"/>
          <w:highlight w:val="white"/>
          <w:lang w:eastAsia="zh-CN"/>
        </w:rPr>
        <w:t>，指令发出后，基金管理人应及时以电话方式向基金托管人确认。对于基金管理人依约定程序发出的指令，基金管理人不得否认其效力。</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基金管理人在发送投资指令时，应为基金托管人执行投资指令留出执行指令所必需的时间。投资指令传输不及时、未能留出足够的划款时间，导致资金未能及时到账所造成的损失由基金管理人承担。</w:t>
      </w:r>
      <w:r>
        <w:rPr>
          <w:rFonts w:ascii="宋体" w:hAnsi="宋体" w:hint="eastAsia"/>
          <w:szCs w:val="21"/>
          <w:highlight w:val="white"/>
          <w:lang w:eastAsia="zh-CN"/>
        </w:rPr>
        <w:t xml:space="preserve"> </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存款银行无法在存入当日</w:t>
      </w:r>
      <w:r>
        <w:rPr>
          <w:rFonts w:ascii="宋体" w:hAnsi="宋体" w:hint="eastAsia"/>
          <w:szCs w:val="21"/>
          <w:highlight w:val="white"/>
          <w:lang w:eastAsia="zh-CN"/>
        </w:rPr>
        <w:t>17</w:t>
      </w:r>
      <w:r>
        <w:rPr>
          <w:rFonts w:ascii="宋体" w:hAnsi="宋体" w:hint="eastAsia"/>
          <w:szCs w:val="21"/>
          <w:highlight w:val="white"/>
          <w:lang w:eastAsia="zh-CN"/>
        </w:rPr>
        <w:t>点前向基金托管人送达存款证实书的，投资管理人应敦促存款银行将存款证实扫描件发送至基金托管人。存款证实书送达基金托管人后，基金托管人负责保管存款证实书原件。基金托管人仅对存款证实书进行形式</w:t>
      </w:r>
      <w:r>
        <w:rPr>
          <w:rFonts w:ascii="宋体" w:hAnsi="宋体" w:hint="eastAsia"/>
          <w:szCs w:val="21"/>
          <w:highlight w:val="white"/>
          <w:lang w:eastAsia="zh-CN"/>
        </w:rPr>
        <w:t>审核，形式审核内容为账户名称、起息日、到期日、金额、利率。基金托管人不对存款证实书真实性承担审核职责。</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投资管理人与存款银行签订的存款协议，应包括：</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1</w:t>
      </w:r>
      <w:r>
        <w:rPr>
          <w:rFonts w:ascii="宋体" w:hAnsi="宋体" w:hint="eastAsia"/>
          <w:szCs w:val="21"/>
          <w:highlight w:val="white"/>
          <w:lang w:eastAsia="zh-CN"/>
        </w:rPr>
        <w:t>）存款银行为托管资产办理定期存款业务的存款账户开立、资金存入和支取提供必要的支持和高效的结算服务；</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2</w:t>
      </w:r>
      <w:r>
        <w:rPr>
          <w:rFonts w:ascii="宋体" w:hAnsi="宋体" w:hint="eastAsia"/>
          <w:szCs w:val="21"/>
          <w:highlight w:val="white"/>
          <w:lang w:eastAsia="zh-CN"/>
        </w:rPr>
        <w:t>）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r>
        <w:rPr>
          <w:rFonts w:ascii="宋体" w:hAnsi="宋体" w:hint="eastAsia"/>
          <w:szCs w:val="21"/>
          <w:highlight w:val="white"/>
          <w:lang w:eastAsia="zh-CN"/>
        </w:rPr>
        <w:t>。</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3</w:t>
      </w:r>
      <w:r>
        <w:rPr>
          <w:rFonts w:ascii="宋体" w:hAnsi="宋体" w:hint="eastAsia"/>
          <w:szCs w:val="21"/>
          <w:highlight w:val="white"/>
          <w:lang w:eastAsia="zh-CN"/>
        </w:rPr>
        <w:t>）定期存款到期日当日或提前支取日当日，存款银行应派授权代理人前往基金托管人处提取“证实书”。“证实书”移交给存款行授权代理人之后，因“证实书”丢失、损毁而造成的一切损失由存款银行承担。</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存款银行应至少提前一个工作日向基金托管人提供对前述授权代理人办理相关事务的书面授权书。授权代理人提供上门服务时，应出示有效身份证或工作证。</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4</w:t>
      </w:r>
      <w:r>
        <w:rPr>
          <w:rFonts w:ascii="宋体" w:hAnsi="宋体" w:hint="eastAsia"/>
          <w:szCs w:val="21"/>
          <w:highlight w:val="white"/>
          <w:lang w:eastAsia="zh-CN"/>
        </w:rPr>
        <w:t>）存款银行应保证及时支付存款本金和利息，于支取当日将本息划付至本基金开立在基金托管人处的托管账户，</w:t>
      </w:r>
      <w:r>
        <w:rPr>
          <w:rFonts w:ascii="宋体" w:hAnsi="宋体" w:hint="eastAsia"/>
          <w:szCs w:val="21"/>
          <w:highlight w:val="white"/>
          <w:lang w:eastAsia="zh-CN"/>
        </w:rPr>
        <w:t xml:space="preserve"> </w:t>
      </w:r>
      <w:r>
        <w:rPr>
          <w:rFonts w:ascii="宋体" w:hAnsi="宋体" w:hint="eastAsia"/>
          <w:szCs w:val="21"/>
          <w:highlight w:val="white"/>
          <w:lang w:eastAsia="zh-CN"/>
        </w:rPr>
        <w:t>并列明账户的开户行、账号、户名、大额支付号。存款银行应确认，定期存款的本息</w:t>
      </w:r>
      <w:r>
        <w:rPr>
          <w:rFonts w:ascii="宋体" w:hAnsi="宋体" w:hint="eastAsia"/>
          <w:szCs w:val="21"/>
          <w:highlight w:val="white"/>
          <w:lang w:eastAsia="zh-CN"/>
        </w:rPr>
        <w:t>只能划入开立在基金托管人的相应托管账户或经基金托管人确认的指定账户。上述指定收款账户信息如需变更，必须经基金托管人书面同意。</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5</w:t>
      </w:r>
      <w:r>
        <w:rPr>
          <w:rFonts w:ascii="宋体" w:hAnsi="宋体" w:hint="eastAsia"/>
          <w:szCs w:val="21"/>
          <w:highlight w:val="white"/>
          <w:lang w:eastAsia="zh-CN"/>
        </w:rPr>
        <w:t>）存款银行应为定期存款业务提供定期对账服务。首次对账应不晚于存款资金存入后的一个自然月。除首次对账外，对账频率不少于每半年一次。存款银行应配合基金托管人对“证实书”的书面征询。</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6</w:t>
      </w:r>
      <w:r>
        <w:rPr>
          <w:rFonts w:ascii="宋体" w:hAnsi="宋体" w:hint="eastAsia"/>
          <w:szCs w:val="21"/>
          <w:highlight w:val="white"/>
          <w:lang w:eastAsia="zh-CN"/>
        </w:rPr>
        <w:t>）在存款存续期内，</w:t>
      </w:r>
      <w:r>
        <w:rPr>
          <w:rFonts w:ascii="宋体" w:hAnsi="宋体" w:hint="eastAsia"/>
          <w:szCs w:val="21"/>
          <w:highlight w:val="white"/>
          <w:lang w:eastAsia="zh-CN"/>
        </w:rPr>
        <w:t xml:space="preserve"> </w:t>
      </w:r>
      <w:r>
        <w:rPr>
          <w:rFonts w:ascii="宋体" w:hAnsi="宋体" w:hint="eastAsia"/>
          <w:szCs w:val="21"/>
          <w:highlight w:val="white"/>
          <w:lang w:eastAsia="zh-CN"/>
        </w:rPr>
        <w:t>“证实书”的预留印鉴发生变更的，存款银行应配合办理变更手续。</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6</w:t>
      </w:r>
      <w:r>
        <w:rPr>
          <w:rFonts w:ascii="宋体" w:hAnsi="宋体" w:hint="eastAsia"/>
          <w:szCs w:val="21"/>
          <w:highlight w:val="white"/>
          <w:lang w:eastAsia="zh-CN"/>
        </w:rPr>
        <w:t>．本基金拟投资于期货交易市场前，基金管理人、期货经纪机构及基金托管人应当另行签署期货投资托管协议。</w:t>
      </w:r>
    </w:p>
    <w:p w:rsidR="009944EC">
      <w:pPr>
        <w:tabs>
          <w:tab w:val="left" w:pos="4680"/>
        </w:tabs>
        <w:spacing w:line="360" w:lineRule="auto"/>
        <w:ind w:firstLine="420"/>
        <w:jc w:val="left"/>
        <w:rPr>
          <w:rFonts w:ascii="宋体" w:hAnsi="宋体"/>
          <w:lang w:eastAsia="zh-CN"/>
        </w:rPr>
      </w:pPr>
      <w:bookmarkStart w:id="67" w:name="_Toc382819102"/>
      <w:bookmarkStart w:id="68" w:name="_Toc69134082"/>
      <w:r>
        <w:rPr>
          <w:rFonts w:ascii="宋体" w:hAnsi="宋体" w:hint="eastAsia"/>
          <w:highlight w:val="white"/>
          <w:lang w:eastAsia="zh-CN"/>
        </w:rPr>
        <w:t>（三）可用资金余额的确认</w:t>
      </w:r>
      <w:bookmarkEnd w:id="67"/>
      <w:bookmarkEnd w:id="68"/>
    </w:p>
    <w:p w:rsidR="009944EC">
      <w:pPr>
        <w:spacing w:line="360" w:lineRule="auto"/>
        <w:ind w:firstLine="420"/>
        <w:rPr>
          <w:rFonts w:ascii="宋体" w:hAnsi="宋体"/>
          <w:lang w:eastAsia="zh-CN"/>
        </w:rPr>
      </w:pPr>
      <w:r>
        <w:rPr>
          <w:rFonts w:ascii="宋体" w:hAnsi="宋体" w:hint="eastAsia"/>
          <w:szCs w:val="21"/>
          <w:highlight w:val="white"/>
          <w:lang w:eastAsia="zh-CN"/>
        </w:rPr>
        <w:t>基金托管人应于每个工作日上午</w:t>
      </w:r>
      <w:r>
        <w:rPr>
          <w:rFonts w:ascii="宋体" w:hAnsi="宋体" w:hint="eastAsia"/>
          <w:szCs w:val="21"/>
          <w:highlight w:val="white"/>
          <w:lang w:eastAsia="zh-CN"/>
        </w:rPr>
        <w:t>9</w:t>
      </w:r>
      <w:r>
        <w:rPr>
          <w:rFonts w:ascii="宋体" w:hAnsi="宋体" w:hint="eastAsia"/>
          <w:szCs w:val="21"/>
          <w:highlight w:val="white"/>
          <w:lang w:eastAsia="zh-CN"/>
        </w:rPr>
        <w:t>：</w:t>
      </w:r>
      <w:r>
        <w:rPr>
          <w:rFonts w:ascii="宋体" w:hAnsi="宋体" w:hint="eastAsia"/>
          <w:szCs w:val="21"/>
          <w:highlight w:val="white"/>
          <w:lang w:eastAsia="zh-CN"/>
        </w:rPr>
        <w:t xml:space="preserve">30 </w:t>
      </w:r>
      <w:r>
        <w:rPr>
          <w:rFonts w:ascii="宋体" w:hAnsi="宋体" w:hint="eastAsia"/>
          <w:szCs w:val="21"/>
          <w:highlight w:val="white"/>
          <w:lang w:eastAsia="zh-CN"/>
        </w:rPr>
        <w:t>前将托管账户的可用资金余额以双方认可的方式提供给基金管理人。</w:t>
      </w:r>
    </w:p>
    <w:p w:rsidR="009944EC">
      <w:pPr>
        <w:tabs>
          <w:tab w:val="left" w:pos="4680"/>
        </w:tabs>
        <w:spacing w:line="360" w:lineRule="auto"/>
        <w:ind w:firstLine="420"/>
        <w:jc w:val="left"/>
        <w:rPr>
          <w:rFonts w:ascii="宋体" w:hAnsi="宋体"/>
          <w:lang w:eastAsia="zh-CN"/>
        </w:rPr>
      </w:pPr>
      <w:r>
        <w:rPr>
          <w:rFonts w:ascii="宋体" w:hAnsi="宋体" w:hint="eastAsia"/>
          <w:highlight w:val="white"/>
          <w:lang w:eastAsia="zh-CN"/>
        </w:rPr>
        <w:t>（四）交易记录、资金、证券账目的核对</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．交易记录的核对</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基金管理人和基金托管人按日进行交易记录的核对。每日对外披露净值之前，必须保证当天所有实际交易记录与基金会计账簿上的交易记录一致。</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．资金账目的核对</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资金账目包括基金的银行存款等会计资料。资金账目由基金托管人每日进行账实核对，基金管理人复核基金托管人提供的可用头寸表核对资金余额。银行存款账户每日核对，做到账账相符、账实相符。</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．证券账目的核对</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证券账目是指以基金名义开立的证券交易账户和实物托管账户中的证券种类、数量和金额。基金管理人和基金托管人每日核对证券账目余额。证券账目的账实核对由基金托管人负责，证券交易所证券账目每交易日结束后核对一次，银行间市场证券账目每月末核对一次，确保账实相符。</w:t>
      </w:r>
    </w:p>
    <w:p w:rsidR="009944EC">
      <w:pPr>
        <w:tabs>
          <w:tab w:val="left" w:pos="4680"/>
        </w:tabs>
        <w:spacing w:line="360" w:lineRule="auto"/>
        <w:ind w:firstLine="420"/>
        <w:jc w:val="left"/>
        <w:rPr>
          <w:rFonts w:ascii="宋体" w:hAnsi="宋体"/>
          <w:lang w:eastAsia="zh-CN"/>
        </w:rPr>
      </w:pPr>
      <w:r>
        <w:rPr>
          <w:rFonts w:ascii="宋体" w:hAnsi="宋体" w:hint="eastAsia"/>
          <w:highlight w:val="white"/>
          <w:lang w:eastAsia="zh-CN"/>
        </w:rPr>
        <w:t>（五）基金申购、赎回、转换业务处理的基本规定</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．本基金具体办理申购、赎回的时间以公告为准。基金份额申购、赎回的确认、清算由基金管理人或其委托的登记机构负责。</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．基金管理人应在每个交易日向基金托管人发送基金管理人确认的申购、赎回和转换开放</w:t>
      </w:r>
      <w:r>
        <w:rPr>
          <w:rFonts w:ascii="宋体" w:hAnsi="宋体" w:hint="eastAsia"/>
          <w:szCs w:val="21"/>
          <w:highlight w:val="white"/>
          <w:lang w:eastAsia="zh-CN"/>
        </w:rPr>
        <w:t>式基金的有关数据，并对上述数据的真实、准确、完整性负责。基金托管人应及时查收应收资金的到账情况并根据基金管理人指令及时划付应付款项。基金管理人应保证本基金（或本基金管理人委托）的注册登记机构每个工作日</w:t>
      </w:r>
      <w:r>
        <w:rPr>
          <w:rFonts w:ascii="宋体" w:hAnsi="宋体" w:hint="eastAsia"/>
          <w:szCs w:val="21"/>
          <w:highlight w:val="white"/>
          <w:lang w:eastAsia="zh-CN"/>
        </w:rPr>
        <w:t xml:space="preserve">15:00 </w:t>
      </w:r>
      <w:r>
        <w:rPr>
          <w:rFonts w:ascii="宋体" w:hAnsi="宋体" w:hint="eastAsia"/>
          <w:szCs w:val="21"/>
          <w:highlight w:val="white"/>
          <w:lang w:eastAsia="zh-CN"/>
        </w:rPr>
        <w:t>前向基金托管人发送开放日的上述有关数据，并保证相关数据的准确、完整。</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w:t>
      </w:r>
      <w:r>
        <w:rPr>
          <w:rFonts w:ascii="宋体" w:hAnsi="宋体" w:hint="eastAsia"/>
          <w:szCs w:val="21"/>
          <w:highlight w:val="white"/>
          <w:lang w:eastAsia="zh-CN"/>
        </w:rPr>
        <w:t>情形除外；若由双方共同引起，根据各自过错程度承担相应责任。基金管理人向基金托管人发送的数据，双方各自按有关规定保存。</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4</w:t>
      </w:r>
      <w:r>
        <w:rPr>
          <w:rFonts w:ascii="宋体" w:hAnsi="宋体" w:hint="eastAsia"/>
          <w:szCs w:val="21"/>
          <w:highlight w:val="white"/>
          <w:lang w:eastAsia="zh-CN"/>
        </w:rPr>
        <w:t>．基金管理人发送注册登记数据的接口规范与基金托管人接收注册登记数据的接口规范应保持一致。</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5</w:t>
      </w:r>
      <w:r>
        <w:rPr>
          <w:rFonts w:ascii="宋体" w:hAnsi="宋体" w:hint="eastAsia"/>
          <w:szCs w:val="21"/>
          <w:highlight w:val="white"/>
          <w:lang w:eastAsia="zh-CN"/>
        </w:rPr>
        <w:t>．基金注册登记清算专用账户的开立和管理</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为满足申购、赎回等资金汇划的需要，基金管理人应开立用于基金申购、赎回等资金清算的基金注册登记清算专用账户。</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6</w:t>
      </w:r>
      <w:r>
        <w:rPr>
          <w:rFonts w:ascii="宋体" w:hAnsi="宋体" w:hint="eastAsia"/>
          <w:szCs w:val="21"/>
          <w:highlight w:val="white"/>
          <w:lang w:eastAsia="zh-CN"/>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任何责任。</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7</w:t>
      </w:r>
      <w:r>
        <w:rPr>
          <w:rFonts w:ascii="宋体" w:hAnsi="宋体" w:hint="eastAsia"/>
          <w:szCs w:val="21"/>
          <w:highlight w:val="white"/>
          <w:lang w:eastAsia="zh-CN"/>
        </w:rPr>
        <w:t>．赎回资金的支付</w:t>
      </w:r>
    </w:p>
    <w:p w:rsidR="009944EC">
      <w:pPr>
        <w:tabs>
          <w:tab w:val="left" w:pos="4680"/>
        </w:tabs>
        <w:spacing w:line="360" w:lineRule="auto"/>
        <w:ind w:firstLine="420"/>
        <w:jc w:val="left"/>
        <w:rPr>
          <w:rFonts w:ascii="宋体" w:hAnsi="宋体"/>
          <w:szCs w:val="21"/>
          <w:lang w:eastAsia="zh-CN"/>
        </w:rPr>
      </w:pPr>
      <w:r>
        <w:rPr>
          <w:rFonts w:ascii="宋体" w:hAnsi="宋体"/>
          <w:szCs w:val="21"/>
          <w:highlight w:val="white"/>
          <w:lang w:eastAsia="zh-CN"/>
        </w:rPr>
        <w:t>基金托管人在根据基金管理人指令支付款项时，如托管专户中本基金有足够的资金，基金托管人应按《基金合同》和本协议的规定支付；如托管专户中本基金有足额的资金且基金托管人有足够合理的时间进行划款，而基金托管人未及时执行合法</w:t>
      </w:r>
      <w:r>
        <w:rPr>
          <w:rFonts w:ascii="宋体" w:hAnsi="宋体"/>
          <w:szCs w:val="21"/>
          <w:highlight w:val="white"/>
          <w:lang w:eastAsia="zh-CN"/>
        </w:rPr>
        <w:t>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8</w:t>
      </w:r>
      <w:r>
        <w:rPr>
          <w:rFonts w:ascii="宋体" w:hAnsi="宋体" w:hint="eastAsia"/>
          <w:szCs w:val="21"/>
          <w:highlight w:val="white"/>
          <w:lang w:eastAsia="zh-CN"/>
        </w:rPr>
        <w:t>．资金支付执行和责任界定</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 xml:space="preserve"> </w:t>
      </w:r>
      <w:r>
        <w:rPr>
          <w:rFonts w:ascii="宋体" w:hAnsi="宋体" w:hint="eastAsia"/>
          <w:szCs w:val="21"/>
          <w:highlight w:val="white"/>
          <w:lang w:eastAsia="zh-CN"/>
        </w:rPr>
        <w:t>除申购款项到达基金托管人处的基金账户需双方按约定方式对账外，净额划出、赎回资金支付时，应按照本协议相关规定执行</w:t>
      </w:r>
      <w:r>
        <w:rPr>
          <w:rFonts w:ascii="宋体" w:hAnsi="宋体" w:hint="eastAsia"/>
          <w:szCs w:val="21"/>
          <w:highlight w:val="white"/>
          <w:lang w:eastAsia="zh-CN"/>
        </w:rPr>
        <w:t>。若本协议没有规定的按双方协商一致内容执行。</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和基金托管人应采取所有必要措施确保申购和赎回等资金在本协议相关规定的时间内划到指定账户。但由于基金管理人和基金托管人之外的第三方原因、不可抗议力原因导致资金不能按时到账的，基金管理人和基金托管人不承担由此产生的责任。如因此给基金造成损失的，基金管理人应负责向第三方追偿，基金托管人有义务协助追偿。</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9</w:t>
      </w:r>
      <w:r>
        <w:rPr>
          <w:rFonts w:ascii="宋体" w:hAnsi="宋体" w:hint="eastAsia"/>
          <w:szCs w:val="21"/>
          <w:highlight w:val="white"/>
          <w:lang w:eastAsia="zh-CN"/>
        </w:rPr>
        <w:t>．暂停赎回和巨额赎回处理</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基金管理人应严格按照相关法律法规以及《基金合同》的规定，对暂停赎回的情形进行相应处理。基金管理人应严格按照相关法律法规以及《基金合</w:t>
      </w:r>
      <w:r>
        <w:rPr>
          <w:rFonts w:ascii="宋体" w:hAnsi="宋体" w:hint="eastAsia"/>
          <w:szCs w:val="21"/>
          <w:highlight w:val="white"/>
          <w:lang w:eastAsia="zh-CN"/>
        </w:rPr>
        <w:t>同》的规定，对巨额赎回的情形进行相应处理。</w:t>
      </w:r>
    </w:p>
    <w:p w:rsidR="009944EC">
      <w:pPr>
        <w:tabs>
          <w:tab w:val="left" w:pos="4680"/>
        </w:tabs>
        <w:spacing w:line="360" w:lineRule="auto"/>
        <w:ind w:firstLine="420"/>
        <w:jc w:val="left"/>
        <w:rPr>
          <w:rFonts w:ascii="宋体" w:hAnsi="宋体"/>
          <w:lang w:eastAsia="zh-CN"/>
        </w:rPr>
      </w:pPr>
      <w:r>
        <w:rPr>
          <w:rFonts w:ascii="宋体" w:hAnsi="宋体" w:hint="eastAsia"/>
          <w:highlight w:val="white"/>
          <w:lang w:eastAsia="zh-CN"/>
        </w:rPr>
        <w:t>（六）申购赎回资金结算</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基金管理人负责根据</w:t>
      </w:r>
      <w:r>
        <w:rPr>
          <w:rFonts w:ascii="宋体" w:hAnsi="宋体" w:hint="eastAsia"/>
          <w:szCs w:val="21"/>
          <w:highlight w:val="white"/>
          <w:lang w:eastAsia="zh-CN"/>
        </w:rPr>
        <w:t>T</w:t>
      </w:r>
      <w:r>
        <w:rPr>
          <w:rFonts w:ascii="宋体" w:hAnsi="宋体" w:hint="eastAsia"/>
          <w:szCs w:val="21"/>
          <w:highlight w:val="white"/>
          <w:lang w:eastAsia="zh-CN"/>
        </w:rPr>
        <w:t>日投资人申购、赎回基金的确认数据汇总传输给基金托管人。基金管理人和基金托管人据此进行申购的基金会计处理。</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日及时从基金清算账户划</w:t>
      </w:r>
      <w:r>
        <w:rPr>
          <w:rFonts w:ascii="宋体" w:hAnsi="宋体"/>
          <w:szCs w:val="21"/>
          <w:highlight w:val="white"/>
          <w:lang w:eastAsia="zh-CN"/>
        </w:rPr>
        <w:t>往</w:t>
      </w:r>
      <w:r>
        <w:rPr>
          <w:rFonts w:ascii="宋体" w:hAnsi="宋体" w:hint="eastAsia"/>
          <w:szCs w:val="21"/>
          <w:highlight w:val="white"/>
          <w:lang w:eastAsia="zh-CN"/>
        </w:rPr>
        <w:t>基金托管账户，基金托管人在资金到账后应立即通知基金管理人，并将有关书面凭证传真给基金管理人进行账务管理；如存在托管账户净应付额时，基金管理人应及时将划款指令发送给基金托管人，基金托管人按基金管理人的划款指令将托管账户净应付额在交收日及时划往基金清算账户，基金托管人在资金划出后立即通知基金管理人，并将有关书面凭证交给基金管理人进行账务管理。</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当存在托管账户净应付额时，如基金银行账户有足够的资金，基金托管人应按时拨付；因基金银行账户没有足够的资金，导致基金托管人不能按时拨付，基金托管人应及时通知基金管理人，如系</w:t>
      </w:r>
      <w:r>
        <w:rPr>
          <w:rFonts w:ascii="宋体" w:hAnsi="宋体" w:hint="eastAsia"/>
          <w:szCs w:val="21"/>
          <w:highlight w:val="white"/>
          <w:lang w:eastAsia="zh-CN"/>
        </w:rPr>
        <w:t>基金管理人的原因造成，责任由基金管理人承担，基金托管人不承担垫款义务。</w:t>
      </w:r>
    </w:p>
    <w:p w:rsidR="009944EC">
      <w:pPr>
        <w:tabs>
          <w:tab w:val="left" w:pos="4680"/>
        </w:tabs>
        <w:spacing w:line="360" w:lineRule="auto"/>
        <w:ind w:firstLine="420"/>
        <w:jc w:val="left"/>
        <w:rPr>
          <w:rFonts w:ascii="宋体" w:hAnsi="宋体"/>
          <w:lang w:eastAsia="zh-CN"/>
        </w:rPr>
      </w:pPr>
      <w:r>
        <w:rPr>
          <w:rFonts w:ascii="宋体" w:hAnsi="宋体" w:hint="eastAsia"/>
          <w:highlight w:val="white"/>
          <w:lang w:eastAsia="zh-CN"/>
        </w:rPr>
        <w:t>（七）基金转换</w:t>
      </w:r>
    </w:p>
    <w:p w:rsidR="009944EC">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基金管理人与基金托管人按照相关法律法规、《基金合同》、以及本协议的规定办理基金转换。</w:t>
      </w:r>
    </w:p>
    <w:p w:rsidR="009944EC">
      <w:pPr>
        <w:spacing w:line="360" w:lineRule="auto"/>
        <w:ind w:firstLine="420"/>
        <w:rPr>
          <w:rFonts w:ascii="宋体" w:hAnsi="宋体"/>
          <w:szCs w:val="21"/>
          <w:lang w:eastAsia="zh-CN"/>
        </w:rPr>
      </w:pPr>
      <w:r>
        <w:rPr>
          <w:rFonts w:ascii="宋体" w:hAnsi="宋体" w:hint="eastAsia"/>
          <w:bCs/>
          <w:szCs w:val="21"/>
          <w:highlight w:val="white"/>
          <w:lang w:eastAsia="zh-CN"/>
        </w:rPr>
        <w:t>（八）</w:t>
      </w:r>
      <w:r>
        <w:rPr>
          <w:rFonts w:ascii="宋体" w:hAnsi="宋体" w:hint="eastAsia"/>
          <w:szCs w:val="21"/>
          <w:highlight w:val="white"/>
          <w:lang w:eastAsia="zh-CN"/>
        </w:rPr>
        <w:t>基金出现超买或超卖的责任认定及处理程序</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w:t>
      </w:r>
      <w:r>
        <w:rPr>
          <w:rFonts w:ascii="宋体" w:hAnsi="宋体" w:hint="eastAsia"/>
          <w:szCs w:val="21"/>
          <w:highlight w:val="white"/>
          <w:lang w:eastAsia="zh-CN"/>
        </w:rPr>
        <w:t>T+1</w:t>
      </w:r>
      <w:r>
        <w:rPr>
          <w:rFonts w:ascii="宋体" w:hAnsi="宋体" w:hint="eastAsia"/>
          <w:szCs w:val="21"/>
          <w:highlight w:val="white"/>
          <w:lang w:eastAsia="zh-CN"/>
        </w:rPr>
        <w:t>日上午</w:t>
      </w:r>
      <w:r>
        <w:rPr>
          <w:rFonts w:ascii="宋体" w:hAnsi="宋体" w:hint="eastAsia"/>
          <w:szCs w:val="21"/>
          <w:highlight w:val="white"/>
          <w:lang w:eastAsia="zh-CN"/>
        </w:rPr>
        <w:t>12</w:t>
      </w:r>
      <w:r>
        <w:rPr>
          <w:rFonts w:ascii="宋体" w:hAnsi="宋体" w:hint="eastAsia"/>
          <w:szCs w:val="21"/>
          <w:highlight w:val="white"/>
          <w:lang w:eastAsia="zh-CN"/>
        </w:rPr>
        <w:t>时之前划拨资金，用以完成清算交收。</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69" w:name="_Toc69134083"/>
      <w:r>
        <w:rPr>
          <w:rFonts w:ascii="宋体" w:eastAsia="宋体" w:hAnsi="宋体" w:cs="Arial" w:hint="eastAsia"/>
          <w:sz w:val="21"/>
          <w:szCs w:val="21"/>
          <w:highlight w:val="white"/>
          <w:lang w:eastAsia="zh-CN"/>
        </w:rPr>
        <w:t>基金资产净值计算和会</w:t>
      </w:r>
      <w:r>
        <w:rPr>
          <w:rFonts w:ascii="宋体" w:eastAsia="宋体" w:hAnsi="宋体" w:cs="Arial" w:hint="eastAsia"/>
          <w:sz w:val="21"/>
          <w:szCs w:val="21"/>
          <w:highlight w:val="white"/>
          <w:lang w:eastAsia="zh-CN"/>
        </w:rPr>
        <w:t>计核算</w:t>
      </w:r>
      <w:bookmarkEnd w:id="69"/>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70" w:name="_Toc382819104"/>
      <w:bookmarkStart w:id="71" w:name="_Toc69134084"/>
      <w:r>
        <w:rPr>
          <w:rFonts w:ascii="宋体" w:eastAsia="宋体" w:hAnsi="宋体" w:hint="eastAsia"/>
          <w:b w:val="0"/>
          <w:bCs w:val="0"/>
          <w:sz w:val="21"/>
          <w:szCs w:val="21"/>
          <w:highlight w:val="white"/>
          <w:lang w:eastAsia="zh-CN"/>
        </w:rPr>
        <w:t>（一）基金资产净值的计算</w:t>
      </w:r>
      <w:r>
        <w:rPr>
          <w:rFonts w:ascii="宋体" w:eastAsia="宋体" w:hAnsi="宋体" w:hint="eastAsia"/>
          <w:sz w:val="21"/>
          <w:szCs w:val="21"/>
          <w:highlight w:val="white"/>
          <w:lang w:eastAsia="zh-CN"/>
        </w:rPr>
        <w:t>、</w:t>
      </w:r>
      <w:r>
        <w:rPr>
          <w:rFonts w:ascii="宋体" w:eastAsia="宋体" w:hAnsi="宋体" w:hint="eastAsia"/>
          <w:b w:val="0"/>
          <w:bCs w:val="0"/>
          <w:sz w:val="21"/>
          <w:szCs w:val="21"/>
          <w:highlight w:val="white"/>
          <w:lang w:eastAsia="zh-CN"/>
        </w:rPr>
        <w:t>复核的时间和程序</w:t>
      </w:r>
      <w:bookmarkEnd w:id="70"/>
      <w:bookmarkEnd w:id="71"/>
    </w:p>
    <w:p w:rsidR="009944EC">
      <w:pPr>
        <w:spacing w:line="360" w:lineRule="auto"/>
        <w:ind w:right="28" w:firstLine="420"/>
        <w:rPr>
          <w:rFonts w:ascii="宋体" w:hAnsi="宋体"/>
          <w:szCs w:val="21"/>
          <w:lang w:eastAsia="zh-CN"/>
        </w:rPr>
      </w:pPr>
      <w:r>
        <w:rPr>
          <w:rFonts w:ascii="宋体" w:hAnsi="宋体" w:hint="eastAsia"/>
          <w:szCs w:val="21"/>
          <w:highlight w:val="white"/>
          <w:lang w:eastAsia="zh-CN"/>
        </w:rPr>
        <w:t>基金资产净值是指基金资产总值减去负债后的价值。基金份额净值是指计算日基金资产净值除以该计算日基金份额总份额后的数值。基金份额净值的计算保留到小数点后</w:t>
      </w:r>
      <w:r>
        <w:rPr>
          <w:rFonts w:ascii="宋体" w:hAnsi="宋体" w:hint="eastAsia"/>
          <w:szCs w:val="21"/>
          <w:highlight w:val="white"/>
          <w:lang w:eastAsia="zh-CN"/>
        </w:rPr>
        <w:t>4</w:t>
      </w:r>
      <w:r>
        <w:rPr>
          <w:rFonts w:ascii="宋体" w:hAnsi="宋体" w:hint="eastAsia"/>
          <w:szCs w:val="21"/>
          <w:highlight w:val="white"/>
          <w:lang w:eastAsia="zh-CN"/>
        </w:rPr>
        <w:t>位，小数点后第</w:t>
      </w:r>
      <w:r>
        <w:rPr>
          <w:rFonts w:ascii="宋体" w:hAnsi="宋体" w:hint="eastAsia"/>
          <w:szCs w:val="21"/>
          <w:highlight w:val="white"/>
          <w:lang w:eastAsia="zh-CN"/>
        </w:rPr>
        <w:t>5</w:t>
      </w:r>
      <w:r>
        <w:rPr>
          <w:rFonts w:ascii="宋体" w:hAnsi="宋体" w:hint="eastAsia"/>
          <w:szCs w:val="21"/>
          <w:highlight w:val="white"/>
          <w:lang w:eastAsia="zh-CN"/>
        </w:rPr>
        <w:t>位四舍五入，由此产生的误差计入基金财产。</w:t>
      </w:r>
    </w:p>
    <w:p w:rsidR="009944EC">
      <w:pPr>
        <w:spacing w:line="360" w:lineRule="auto"/>
        <w:ind w:right="28" w:firstLine="420"/>
        <w:rPr>
          <w:rFonts w:ascii="宋体" w:hAnsi="宋体"/>
          <w:szCs w:val="21"/>
          <w:lang w:eastAsia="zh-CN"/>
        </w:rPr>
      </w:pPr>
      <w:r>
        <w:rPr>
          <w:rFonts w:ascii="宋体" w:hAnsi="宋体" w:hint="eastAsia"/>
          <w:szCs w:val="21"/>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highlight w:val="white"/>
          <w:lang w:eastAsia="zh-CN"/>
        </w:rPr>
        <w:t>。</w:t>
      </w:r>
      <w:r>
        <w:rPr>
          <w:rFonts w:ascii="宋体" w:hAnsi="宋体" w:cs="宋体" w:hint="eastAsia"/>
          <w:color w:val="000000"/>
          <w:szCs w:val="21"/>
          <w:highlight w:val="white"/>
          <w:lang w:eastAsia="zh-CN"/>
        </w:rPr>
        <w:t>基金管理人应于每个估值日交易结束后计算当日的基金份额净值和基金资产净值并以双方</w:t>
      </w:r>
      <w:r>
        <w:rPr>
          <w:rFonts w:ascii="宋体" w:hAnsi="宋体" w:cs="宋体" w:hint="eastAsia"/>
          <w:color w:val="000000"/>
          <w:szCs w:val="21"/>
          <w:highlight w:val="white"/>
          <w:lang w:eastAsia="zh-CN"/>
        </w:rPr>
        <w:t>认可的方式发送给基金托管人。基金托管人对净值计算结果复核后以双方认可的方式发送给基金管理人，由基金管理人按规定对外公布。</w:t>
      </w:r>
    </w:p>
    <w:p w:rsidR="009944EC">
      <w:pPr>
        <w:tabs>
          <w:tab w:val="left" w:pos="900"/>
        </w:tabs>
        <w:spacing w:line="360" w:lineRule="auto"/>
        <w:ind w:right="28" w:firstLine="420"/>
        <w:rPr>
          <w:rFonts w:ascii="宋体" w:hAnsi="宋体"/>
          <w:szCs w:val="21"/>
          <w:lang w:eastAsia="zh-CN"/>
        </w:rPr>
      </w:pPr>
      <w:r>
        <w:rPr>
          <w:rFonts w:ascii="宋体" w:hAnsi="宋体" w:hint="eastAsia"/>
          <w:szCs w:val="21"/>
          <w:highlight w:val="white"/>
          <w:lang w:eastAsia="zh-CN"/>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72" w:name="_Toc382819105"/>
      <w:bookmarkStart w:id="73" w:name="_Toc69134085"/>
      <w:r>
        <w:rPr>
          <w:rFonts w:ascii="宋体" w:eastAsia="宋体" w:hAnsi="宋体" w:hint="eastAsia"/>
          <w:b w:val="0"/>
          <w:bCs w:val="0"/>
          <w:sz w:val="21"/>
          <w:szCs w:val="21"/>
          <w:highlight w:val="white"/>
          <w:lang w:eastAsia="zh-CN"/>
        </w:rPr>
        <w:t>（二）基金资产估值</w:t>
      </w:r>
      <w:bookmarkEnd w:id="72"/>
      <w:bookmarkEnd w:id="73"/>
    </w:p>
    <w:p w:rsidR="009944EC">
      <w:pPr>
        <w:spacing w:line="360" w:lineRule="auto"/>
        <w:ind w:right="28" w:firstLine="420"/>
        <w:rPr>
          <w:rFonts w:ascii="宋体" w:hAnsi="宋体"/>
          <w:szCs w:val="21"/>
          <w:lang w:eastAsia="zh-CN"/>
        </w:rPr>
      </w:pPr>
      <w:r>
        <w:rPr>
          <w:rFonts w:ascii="宋体" w:hAnsi="宋体" w:hint="eastAsia"/>
          <w:szCs w:val="21"/>
          <w:highlight w:val="white"/>
          <w:lang w:eastAsia="zh-CN"/>
        </w:rPr>
        <w:t>估值原则应符合《基金合</w:t>
      </w:r>
      <w:r>
        <w:rPr>
          <w:rFonts w:ascii="宋体" w:hAnsi="宋体" w:hint="eastAsia"/>
          <w:szCs w:val="21"/>
          <w:highlight w:val="white"/>
          <w:lang w:eastAsia="zh-CN"/>
        </w:rPr>
        <w:t>同》、《证券投资基金会计核算业务指引》及其他法律法规的规定的约定。</w:t>
      </w:r>
    </w:p>
    <w:p w:rsidR="009944EC">
      <w:pPr>
        <w:spacing w:line="360" w:lineRule="auto"/>
        <w:ind w:right="28" w:firstLine="420"/>
        <w:rPr>
          <w:rFonts w:ascii="宋体" w:hAnsi="宋体"/>
          <w:szCs w:val="21"/>
          <w:lang w:eastAsia="zh-CN"/>
        </w:rPr>
      </w:pPr>
      <w:r>
        <w:rPr>
          <w:rFonts w:ascii="宋体" w:hAnsi="宋体" w:hint="eastAsia"/>
          <w:szCs w:val="21"/>
          <w:highlight w:val="white"/>
          <w:lang w:eastAsia="zh-CN"/>
        </w:rPr>
        <w:t>当相关法律法规或《基金合同》规定的估值方法不能客观反映基金财产公允价值时，基金管理人可根据具体情况，并与基金托管人商定后，按最能反映公允价值的价格估值。</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74" w:name="_Toc382819106"/>
      <w:bookmarkStart w:id="75" w:name="_Toc69134086"/>
      <w:r>
        <w:rPr>
          <w:rFonts w:ascii="宋体" w:eastAsia="宋体" w:hAnsi="宋体" w:hint="eastAsia"/>
          <w:b w:val="0"/>
          <w:bCs w:val="0"/>
          <w:sz w:val="21"/>
          <w:szCs w:val="21"/>
          <w:highlight w:val="white"/>
          <w:lang w:eastAsia="zh-CN"/>
        </w:rPr>
        <w:t>（三）估值错误处理</w:t>
      </w:r>
      <w:bookmarkEnd w:id="74"/>
      <w:bookmarkEnd w:id="75"/>
    </w:p>
    <w:p w:rsidR="009944EC">
      <w:pPr>
        <w:spacing w:line="360" w:lineRule="auto"/>
        <w:ind w:firstLine="420"/>
        <w:rPr>
          <w:rFonts w:ascii="宋体" w:hAnsi="宋体"/>
          <w:b/>
          <w:lang w:eastAsia="zh-CN"/>
        </w:rPr>
      </w:pPr>
      <w:bookmarkStart w:id="76" w:name="_Toc382819107"/>
      <w:r>
        <w:rPr>
          <w:rFonts w:ascii="宋体" w:hAnsi="宋体" w:hint="eastAsia"/>
          <w:highlight w:val="white"/>
          <w:lang w:eastAsia="zh-CN"/>
        </w:rPr>
        <w:t>1.</w:t>
      </w:r>
      <w:r>
        <w:rPr>
          <w:rFonts w:ascii="宋体" w:hAnsi="宋体" w:hint="eastAsia"/>
          <w:highlight w:val="white"/>
          <w:lang w:eastAsia="zh-CN"/>
        </w:rPr>
        <w:t>当基金份额净值小数点后</w:t>
      </w:r>
      <w:r>
        <w:rPr>
          <w:rFonts w:ascii="宋体" w:hAnsi="宋体"/>
          <w:highlight w:val="white"/>
          <w:lang w:eastAsia="zh-CN"/>
        </w:rPr>
        <w:t>4</w:t>
      </w:r>
      <w:r>
        <w:rPr>
          <w:rFonts w:ascii="宋体" w:hAnsi="宋体" w:hint="eastAsia"/>
          <w:highlight w:val="white"/>
          <w:lang w:eastAsia="zh-CN"/>
        </w:rPr>
        <w:t>位以内</w:t>
      </w:r>
      <w:r>
        <w:rPr>
          <w:rFonts w:ascii="宋体" w:hAnsi="宋体"/>
          <w:highlight w:val="white"/>
          <w:lang w:eastAsia="zh-CN"/>
        </w:rPr>
        <w:t>(</w:t>
      </w:r>
      <w:r>
        <w:rPr>
          <w:rFonts w:ascii="宋体" w:hAnsi="宋体" w:hint="eastAsia"/>
          <w:highlight w:val="white"/>
          <w:lang w:eastAsia="zh-CN"/>
        </w:rPr>
        <w:t>含第</w:t>
      </w:r>
      <w:r>
        <w:rPr>
          <w:rFonts w:ascii="宋体" w:hAnsi="宋体"/>
          <w:highlight w:val="white"/>
          <w:lang w:eastAsia="zh-CN"/>
        </w:rPr>
        <w:t>4</w:t>
      </w:r>
      <w:r>
        <w:rPr>
          <w:rFonts w:ascii="宋体" w:hAnsi="宋体" w:hint="eastAsia"/>
          <w:highlight w:val="white"/>
          <w:lang w:eastAsia="zh-CN"/>
        </w:rPr>
        <w:t>位</w:t>
      </w:r>
      <w:r>
        <w:rPr>
          <w:rFonts w:ascii="宋体" w:hAnsi="宋体"/>
          <w:highlight w:val="white"/>
          <w:lang w:eastAsia="zh-CN"/>
        </w:rPr>
        <w:t>)</w:t>
      </w:r>
      <w:r>
        <w:rPr>
          <w:rFonts w:ascii="宋体" w:hAnsi="宋体" w:hint="eastAsia"/>
          <w:highlight w:val="white"/>
          <w:lang w:eastAsia="zh-CN"/>
        </w:rPr>
        <w:t>发生差错时，视为基金份额净值错误；基金份额净值出现错误时，基金管理人应当立即予以纠正，通报基金托管人，并采取合理的措施防止损失进一步扩大；错误偏差达到基金份额净值的</w:t>
      </w:r>
      <w:r>
        <w:rPr>
          <w:rFonts w:ascii="宋体" w:hAnsi="宋体"/>
          <w:highlight w:val="white"/>
          <w:lang w:eastAsia="zh-CN"/>
        </w:rPr>
        <w:t>0.25%</w:t>
      </w:r>
      <w:r>
        <w:rPr>
          <w:rFonts w:ascii="宋体" w:hAnsi="宋体" w:hint="eastAsia"/>
          <w:highlight w:val="white"/>
          <w:lang w:eastAsia="zh-CN"/>
        </w:rPr>
        <w:t>时，基金管理人应当通报基金托管人并报中国证监会备案</w:t>
      </w:r>
      <w:r>
        <w:rPr>
          <w:rFonts w:ascii="宋体" w:hAnsi="宋体" w:hint="eastAsia"/>
          <w:highlight w:val="white"/>
          <w:lang w:eastAsia="zh-CN"/>
        </w:rPr>
        <w:t>；错误偏差达到基金份额净值的</w:t>
      </w:r>
      <w:r>
        <w:rPr>
          <w:rFonts w:ascii="宋体" w:hAnsi="宋体"/>
          <w:highlight w:val="white"/>
          <w:lang w:eastAsia="zh-CN"/>
        </w:rPr>
        <w:t>0.5%</w:t>
      </w:r>
      <w:r>
        <w:rPr>
          <w:rFonts w:ascii="宋体" w:hAnsi="宋体" w:hint="eastAsia"/>
          <w:highlight w:val="white"/>
          <w:lang w:eastAsia="zh-CN"/>
        </w:rPr>
        <w:t>时，</w:t>
      </w:r>
      <w:r>
        <w:rPr>
          <w:rFonts w:ascii="宋体" w:hAnsi="宋体" w:hint="eastAsia"/>
          <w:szCs w:val="21"/>
          <w:highlight w:val="white"/>
          <w:lang w:eastAsia="zh-CN"/>
        </w:rPr>
        <w:t>基金管理人应当公告并报中国证监会备案</w:t>
      </w:r>
      <w:r>
        <w:rPr>
          <w:rFonts w:ascii="宋体" w:hAnsi="宋体" w:hint="eastAsia"/>
          <w:highlight w:val="white"/>
          <w:lang w:eastAsia="zh-CN"/>
        </w:rPr>
        <w:t>；当发生净值计算错误时，由基金管理人负责处理，由此给基金份额持有人和基金造成损失的，基金管理人按差错情形，有权向其他当事人追偿。</w:t>
      </w:r>
      <w:bookmarkEnd w:id="76"/>
    </w:p>
    <w:p w:rsidR="009944EC">
      <w:pPr>
        <w:spacing w:line="360" w:lineRule="auto"/>
        <w:ind w:firstLine="420"/>
        <w:rPr>
          <w:rFonts w:ascii="宋体" w:hAnsi="宋体"/>
          <w:b/>
          <w:lang w:eastAsia="zh-CN"/>
        </w:rPr>
      </w:pPr>
      <w:bookmarkStart w:id="77" w:name="_Toc382819108"/>
      <w:r>
        <w:rPr>
          <w:rFonts w:ascii="宋体" w:hAnsi="宋体"/>
          <w:highlight w:val="white"/>
          <w:lang w:eastAsia="zh-CN"/>
        </w:rPr>
        <w:t>2.</w:t>
      </w:r>
      <w:r>
        <w:rPr>
          <w:rFonts w:ascii="宋体" w:hAnsi="宋体" w:hint="eastAsia"/>
          <w:highlight w:val="white"/>
          <w:lang w:eastAsia="zh-CN"/>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77"/>
    </w:p>
    <w:p w:rsidR="009944EC">
      <w:pPr>
        <w:spacing w:line="360" w:lineRule="auto"/>
        <w:ind w:firstLine="420"/>
        <w:rPr>
          <w:rFonts w:ascii="宋体" w:hAnsi="宋体"/>
          <w:b/>
          <w:lang w:eastAsia="zh-CN"/>
        </w:rPr>
      </w:pPr>
      <w:bookmarkStart w:id="78" w:name="_Toc382819109"/>
      <w:r>
        <w:rPr>
          <w:rFonts w:ascii="宋体" w:hAnsi="宋体" w:hint="eastAsia"/>
          <w:highlight w:val="white"/>
          <w:lang w:eastAsia="zh-CN"/>
        </w:rPr>
        <w:t>（</w:t>
      </w:r>
      <w:r>
        <w:rPr>
          <w:rFonts w:ascii="宋体" w:hAnsi="宋体"/>
          <w:highlight w:val="white"/>
          <w:lang w:eastAsia="zh-CN"/>
        </w:rPr>
        <w:t>1</w:t>
      </w:r>
      <w:r>
        <w:rPr>
          <w:rFonts w:ascii="宋体" w:hAnsi="宋体" w:hint="eastAsia"/>
          <w:highlight w:val="white"/>
          <w:lang w:eastAsia="zh-CN"/>
        </w:rPr>
        <w:t>）本基金的基金会计责任方由基金管理人担任，与本基金有关的会计问题，如经双方在平等基础上充分讨论后，尚不能达成一致</w:t>
      </w:r>
      <w:r>
        <w:rPr>
          <w:rFonts w:ascii="宋体" w:hAnsi="宋体" w:hint="eastAsia"/>
          <w:highlight w:val="white"/>
          <w:lang w:eastAsia="zh-CN"/>
        </w:rPr>
        <w:t>时，按基金管理人的建议执行，</w:t>
      </w:r>
      <w:r>
        <w:rPr>
          <w:rFonts w:ascii="宋体" w:hAnsi="宋体" w:hint="eastAsia"/>
          <w:szCs w:val="21"/>
          <w:highlight w:val="white"/>
          <w:lang w:eastAsia="zh-CN"/>
        </w:rPr>
        <w:t>若基金托管人已提出合理意见而基金管理人未采纳的，</w:t>
      </w:r>
      <w:r>
        <w:rPr>
          <w:rFonts w:ascii="宋体" w:hAnsi="宋体" w:hint="eastAsia"/>
          <w:highlight w:val="white"/>
          <w:lang w:eastAsia="zh-CN"/>
        </w:rPr>
        <w:t>由此给基金份额持有人和基金财产造成的直接损失，由基金管理人负责赔付。（</w:t>
      </w:r>
      <w:r>
        <w:rPr>
          <w:rFonts w:ascii="宋体" w:hAnsi="宋体"/>
          <w:highlight w:val="white"/>
          <w:lang w:eastAsia="zh-CN"/>
        </w:rPr>
        <w:t>2</w:t>
      </w:r>
      <w:r>
        <w:rPr>
          <w:rFonts w:ascii="宋体" w:hAnsi="宋体" w:hint="eastAsia"/>
          <w:highlight w:val="white"/>
          <w:lang w:eastAsia="zh-CN"/>
        </w:rPr>
        <w:t>）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r>
        <w:rPr>
          <w:rFonts w:ascii="宋体" w:hAnsi="宋体"/>
          <w:highlight w:val="white"/>
          <w:lang w:eastAsia="zh-CN"/>
        </w:rPr>
        <w:t>3</w:t>
      </w:r>
      <w:r>
        <w:rPr>
          <w:rFonts w:ascii="宋体" w:hAnsi="宋体" w:hint="eastAsia"/>
          <w:highlight w:val="white"/>
          <w:lang w:eastAsia="zh-CN"/>
        </w:rPr>
        <w:t>）如基金管理人和基金托管人对基金份额净值的计算结果，虽然多次重新计算和核对，尚不能达成一致时，为避免不能按时公布基金份额净值的情形，以基金管理人的计算结果对外公布，</w:t>
      </w:r>
      <w:r>
        <w:rPr>
          <w:rFonts w:ascii="宋体" w:hAnsi="宋体" w:hint="eastAsia"/>
          <w:szCs w:val="21"/>
          <w:highlight w:val="white"/>
          <w:lang w:eastAsia="zh-CN"/>
        </w:rPr>
        <w:t>若基金托管人已提出合理意见而基金管理人未采纳的，</w:t>
      </w:r>
      <w:r>
        <w:rPr>
          <w:rFonts w:ascii="宋体" w:hAnsi="宋体" w:hint="eastAsia"/>
          <w:highlight w:val="white"/>
          <w:lang w:eastAsia="zh-CN"/>
        </w:rPr>
        <w:t>由此给基金份额持有人和基金造成的直接损失，由基金管理人负责赔付。（</w:t>
      </w:r>
      <w:r>
        <w:rPr>
          <w:rFonts w:ascii="宋体" w:hAnsi="宋体"/>
          <w:highlight w:val="white"/>
          <w:lang w:eastAsia="zh-CN"/>
        </w:rPr>
        <w:t>4</w:t>
      </w:r>
      <w:r>
        <w:rPr>
          <w:rFonts w:ascii="宋体" w:hAnsi="宋体" w:hint="eastAsia"/>
          <w:highlight w:val="white"/>
          <w:lang w:eastAsia="zh-CN"/>
        </w:rPr>
        <w:t>）由于基金管理人提供的信息错误（包括但不限于基金申购或赎回金额等），导致基金份额净值计算错误而引起的基金份额持有人和基金财产的损失，由基金管理人负责赔付。</w:t>
      </w:r>
      <w:bookmarkStart w:id="79" w:name="_Toc382819110"/>
      <w:bookmarkEnd w:id="78"/>
    </w:p>
    <w:p w:rsidR="009944EC">
      <w:pPr>
        <w:spacing w:line="360" w:lineRule="auto"/>
        <w:ind w:firstLine="420"/>
        <w:rPr>
          <w:rFonts w:ascii="宋体" w:hAnsi="宋体"/>
          <w:lang w:eastAsia="zh-CN"/>
        </w:rPr>
      </w:pPr>
      <w:r>
        <w:rPr>
          <w:rFonts w:ascii="宋体" w:hAnsi="宋体"/>
          <w:highlight w:val="white"/>
          <w:lang w:eastAsia="zh-CN"/>
        </w:rPr>
        <w:t>3.</w:t>
      </w:r>
      <w:r>
        <w:rPr>
          <w:rFonts w:ascii="宋体" w:hAnsi="宋体" w:hint="eastAsia"/>
          <w:highlight w:val="white"/>
          <w:lang w:eastAsia="zh-CN"/>
        </w:rPr>
        <w:t>由于不可抗力，或证券交易所、登记结算机构、指数编制机构及存款银行等第三方</w:t>
      </w:r>
      <w:r>
        <w:rPr>
          <w:rFonts w:ascii="宋体" w:hAnsi="宋体" w:hint="eastAsia"/>
          <w:highlight w:val="white"/>
          <w:lang w:eastAsia="zh-CN"/>
        </w:rPr>
        <w:t>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79"/>
    </w:p>
    <w:p w:rsidR="009944EC">
      <w:pPr>
        <w:spacing w:line="360" w:lineRule="auto"/>
        <w:ind w:firstLine="420"/>
        <w:rPr>
          <w:rFonts w:ascii="宋体" w:hAnsi="宋体"/>
          <w:b/>
          <w:lang w:eastAsia="zh-CN"/>
        </w:rPr>
      </w:pPr>
      <w:bookmarkStart w:id="80" w:name="_Toc382819111"/>
      <w:r>
        <w:rPr>
          <w:rFonts w:ascii="宋体" w:hAnsi="宋体"/>
          <w:highlight w:val="white"/>
          <w:lang w:eastAsia="zh-CN"/>
        </w:rPr>
        <w:t>4.</w:t>
      </w:r>
      <w:r>
        <w:rPr>
          <w:rFonts w:ascii="宋体" w:hAnsi="宋体"/>
          <w:highlight w:val="white"/>
          <w:lang w:eastAsia="zh-CN"/>
        </w:rPr>
        <w:t>基金管理人和基金托管人由于各自技术系统设置而产生的净值计算尾差，以基金管理人计算结果为准。</w:t>
      </w:r>
      <w:bookmarkStart w:id="81" w:name="_Toc382819112"/>
      <w:bookmarkEnd w:id="80"/>
    </w:p>
    <w:p w:rsidR="009944EC">
      <w:pPr>
        <w:spacing w:line="360" w:lineRule="auto"/>
        <w:ind w:firstLine="420"/>
        <w:rPr>
          <w:rFonts w:ascii="宋体" w:hAnsi="宋体"/>
          <w:b/>
          <w:lang w:eastAsia="zh-CN"/>
        </w:rPr>
      </w:pPr>
      <w:r>
        <w:rPr>
          <w:rFonts w:ascii="宋体" w:hAnsi="宋体"/>
          <w:highlight w:val="white"/>
          <w:lang w:eastAsia="zh-CN"/>
        </w:rPr>
        <w:t>5.</w:t>
      </w:r>
      <w:r>
        <w:rPr>
          <w:rFonts w:ascii="宋体" w:hAnsi="宋体" w:hint="eastAsia"/>
          <w:highlight w:val="white"/>
          <w:lang w:eastAsia="zh-CN"/>
        </w:rPr>
        <w:t>前述内容如法律法规或者监管部门另有规定的，从其规定。如果行业另有通行做法，双方当事人应本着平等和保护基金份额持有人利益的原则进行协商。</w:t>
      </w:r>
      <w:bookmarkStart w:id="82" w:name="_Toc382819113"/>
      <w:bookmarkEnd w:id="81"/>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83" w:name="_Toc69134087"/>
      <w:r>
        <w:rPr>
          <w:rFonts w:ascii="宋体" w:eastAsia="宋体" w:hAnsi="宋体" w:hint="eastAsia"/>
          <w:b w:val="0"/>
          <w:bCs w:val="0"/>
          <w:sz w:val="21"/>
          <w:szCs w:val="21"/>
          <w:highlight w:val="white"/>
          <w:lang w:eastAsia="zh-CN"/>
        </w:rPr>
        <w:t>（四）暂停估值与公告基金份额净值的情形</w:t>
      </w:r>
      <w:bookmarkStart w:id="84" w:name="_Toc382819114"/>
      <w:bookmarkEnd w:id="82"/>
      <w:bookmarkEnd w:id="83"/>
    </w:p>
    <w:p w:rsidR="009944EC">
      <w:pPr>
        <w:spacing w:line="360" w:lineRule="auto"/>
        <w:ind w:firstLine="420"/>
        <w:jc w:val="left"/>
        <w:rPr>
          <w:rFonts w:ascii="宋体" w:hAnsi="宋体"/>
          <w:b/>
          <w:lang w:eastAsia="zh-CN"/>
        </w:rPr>
      </w:pPr>
      <w:r>
        <w:rPr>
          <w:rFonts w:ascii="宋体" w:hAnsi="宋体" w:hint="eastAsia"/>
          <w:highlight w:val="white"/>
          <w:lang w:eastAsia="zh-CN"/>
        </w:rPr>
        <w:t>1</w:t>
      </w:r>
      <w:r w:rsidR="00492F23">
        <w:rPr>
          <w:rFonts w:ascii="宋体" w:hAnsi="宋体" w:hint="eastAsia"/>
          <w:highlight w:val="white"/>
          <w:lang w:eastAsia="zh-CN"/>
        </w:rPr>
        <w:t>.</w:t>
      </w:r>
      <w:r>
        <w:rPr>
          <w:rFonts w:ascii="宋体" w:hAnsi="宋体" w:hint="eastAsia"/>
          <w:highlight w:val="white"/>
          <w:lang w:eastAsia="zh-CN"/>
        </w:rPr>
        <w:t>基金投资所涉及的证券交易市场遇法定节假日或因其他原因暂停营业时；</w:t>
      </w:r>
      <w:bookmarkStart w:id="85" w:name="_Toc382819115"/>
      <w:bookmarkEnd w:id="84"/>
    </w:p>
    <w:p w:rsidR="009944EC">
      <w:pPr>
        <w:spacing w:line="360" w:lineRule="auto"/>
        <w:ind w:firstLine="420"/>
        <w:jc w:val="left"/>
        <w:rPr>
          <w:rFonts w:ascii="宋体" w:hAnsi="宋体"/>
          <w:b/>
          <w:lang w:eastAsia="zh-CN"/>
        </w:rPr>
      </w:pPr>
      <w:r>
        <w:rPr>
          <w:rFonts w:ascii="宋体" w:hAnsi="宋体" w:hint="eastAsia"/>
          <w:highlight w:val="white"/>
          <w:lang w:eastAsia="zh-CN"/>
        </w:rPr>
        <w:t>2</w:t>
      </w:r>
      <w:r w:rsidR="00492F23">
        <w:rPr>
          <w:rFonts w:ascii="宋体" w:hAnsi="宋体"/>
          <w:highlight w:val="white"/>
          <w:lang w:eastAsia="zh-CN"/>
        </w:rPr>
        <w:t>.</w:t>
      </w:r>
      <w:r>
        <w:rPr>
          <w:rFonts w:ascii="宋体" w:hAnsi="宋体" w:hint="eastAsia"/>
          <w:highlight w:val="white"/>
          <w:lang w:eastAsia="zh-CN"/>
        </w:rPr>
        <w:t>因不可抗力致使基金管理人、基金托管人无法准确评估基金资产价值时；</w:t>
      </w:r>
      <w:bookmarkEnd w:id="85"/>
    </w:p>
    <w:p w:rsidR="009944EC">
      <w:pPr>
        <w:spacing w:line="360" w:lineRule="auto"/>
        <w:ind w:firstLine="420"/>
        <w:jc w:val="left"/>
        <w:rPr>
          <w:rFonts w:ascii="宋体" w:hAnsi="宋体"/>
          <w:b/>
          <w:lang w:eastAsia="zh-CN"/>
        </w:rPr>
      </w:pPr>
      <w:r>
        <w:rPr>
          <w:rFonts w:ascii="宋体" w:hAnsi="宋体" w:hint="eastAsia"/>
          <w:highlight w:val="white"/>
          <w:lang w:eastAsia="zh-CN"/>
        </w:rPr>
        <w:t>3</w:t>
      </w:r>
      <w:r w:rsidR="00492F23">
        <w:rPr>
          <w:rFonts w:ascii="宋体" w:hAnsi="宋体"/>
          <w:highlight w:val="white"/>
          <w:lang w:eastAsia="zh-CN"/>
        </w:rPr>
        <w:t>.</w:t>
      </w:r>
      <w:r>
        <w:rPr>
          <w:rFonts w:ascii="宋体" w:hAnsi="宋体" w:hint="eastAsia"/>
          <w:highlight w:val="white"/>
          <w:lang w:eastAsia="zh-CN"/>
        </w:rPr>
        <w:t>当特定资产占前一估值日基金资产净值</w:t>
      </w:r>
      <w:r>
        <w:rPr>
          <w:rFonts w:ascii="宋体" w:hAnsi="宋体" w:hint="eastAsia"/>
          <w:highlight w:val="white"/>
          <w:lang w:eastAsia="zh-CN"/>
        </w:rPr>
        <w:t>50%</w:t>
      </w:r>
      <w:r>
        <w:rPr>
          <w:rFonts w:ascii="宋体" w:hAnsi="宋体" w:hint="eastAsia"/>
          <w:highlight w:val="white"/>
          <w:lang w:eastAsia="zh-CN"/>
        </w:rPr>
        <w:t>以上的，经与基金托管人协商确认后，基金管理人应当暂停估值；</w:t>
      </w:r>
    </w:p>
    <w:p w:rsidR="009944EC">
      <w:pPr>
        <w:spacing w:line="360" w:lineRule="auto"/>
        <w:ind w:firstLine="420"/>
        <w:jc w:val="left"/>
        <w:rPr>
          <w:rFonts w:ascii="宋体" w:hAnsi="宋体"/>
          <w:b/>
          <w:lang w:eastAsia="zh-CN"/>
        </w:rPr>
      </w:pPr>
      <w:r>
        <w:rPr>
          <w:rFonts w:ascii="宋体" w:hAnsi="宋体" w:hint="eastAsia"/>
          <w:szCs w:val="21"/>
          <w:highlight w:val="white"/>
          <w:lang w:eastAsia="zh-CN"/>
        </w:rPr>
        <w:t>4</w:t>
      </w:r>
      <w:r w:rsidR="00492F23">
        <w:rPr>
          <w:rFonts w:ascii="宋体" w:hAnsi="宋体"/>
          <w:szCs w:val="21"/>
          <w:highlight w:val="white"/>
          <w:lang w:eastAsia="zh-CN"/>
        </w:rPr>
        <w:t>.</w:t>
      </w:r>
      <w:r>
        <w:rPr>
          <w:rFonts w:ascii="宋体" w:hAnsi="宋体" w:hint="eastAsia"/>
          <w:highlight w:val="white"/>
          <w:lang w:eastAsia="zh-CN"/>
        </w:rPr>
        <w:t>基金所投资的目标</w:t>
      </w:r>
      <w:r>
        <w:rPr>
          <w:rFonts w:ascii="宋体" w:hAnsi="宋体" w:hint="eastAsia"/>
          <w:highlight w:val="white"/>
          <w:lang w:eastAsia="zh-CN"/>
        </w:rPr>
        <w:t>ETF</w:t>
      </w:r>
      <w:r>
        <w:rPr>
          <w:rFonts w:ascii="宋体" w:hAnsi="宋体" w:hint="eastAsia"/>
          <w:highlight w:val="white"/>
          <w:lang w:eastAsia="zh-CN"/>
        </w:rPr>
        <w:t>发生暂停估值、暂停公告基金份额净值的情形；</w:t>
      </w:r>
    </w:p>
    <w:p w:rsidR="009944EC">
      <w:pPr>
        <w:spacing w:line="360" w:lineRule="auto"/>
        <w:ind w:firstLine="420"/>
        <w:jc w:val="left"/>
        <w:rPr>
          <w:rFonts w:ascii="宋体" w:hAnsi="宋体"/>
          <w:b/>
          <w:lang w:eastAsia="zh-CN"/>
        </w:rPr>
      </w:pPr>
      <w:r>
        <w:rPr>
          <w:rFonts w:ascii="宋体" w:hAnsi="宋体" w:hint="eastAsia"/>
          <w:highlight w:val="white"/>
          <w:lang w:eastAsia="zh-CN"/>
        </w:rPr>
        <w:t>5</w:t>
      </w:r>
      <w:r w:rsidR="00492F23">
        <w:rPr>
          <w:rFonts w:ascii="宋体" w:hAnsi="宋体"/>
          <w:highlight w:val="white"/>
          <w:lang w:eastAsia="zh-CN"/>
        </w:rPr>
        <w:t>.</w:t>
      </w:r>
      <w:r>
        <w:rPr>
          <w:rFonts w:ascii="宋体" w:hAnsi="宋体" w:hint="eastAsia"/>
          <w:highlight w:val="white"/>
          <w:lang w:eastAsia="zh-CN"/>
        </w:rPr>
        <w:t>中国证监会和基金合</w:t>
      </w:r>
      <w:r>
        <w:rPr>
          <w:rFonts w:ascii="宋体" w:hAnsi="宋体" w:hint="eastAsia"/>
          <w:highlight w:val="white"/>
          <w:lang w:eastAsia="zh-CN"/>
        </w:rPr>
        <w:t>同认定的其它情形。</w:t>
      </w:r>
      <w:bookmarkStart w:id="86" w:name="_Toc382819116"/>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87" w:name="_Toc69134088"/>
      <w:r>
        <w:rPr>
          <w:rFonts w:ascii="宋体" w:eastAsia="宋体" w:hAnsi="宋体" w:hint="eastAsia"/>
          <w:b w:val="0"/>
          <w:bCs w:val="0"/>
          <w:sz w:val="21"/>
          <w:szCs w:val="21"/>
          <w:highlight w:val="white"/>
          <w:lang w:eastAsia="zh-CN"/>
        </w:rPr>
        <w:t>（五）实施侧袋机制期间的基金资产估值</w:t>
      </w:r>
      <w:bookmarkEnd w:id="87"/>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本基金实施侧袋机制的，应根据本部分的约定对主袋账户资产进行估值并披露主袋账户的基金资产净值和份额净值，暂停披露侧袋账户份额净值。</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88" w:name="_Toc69134089"/>
      <w:r>
        <w:rPr>
          <w:rFonts w:ascii="宋体" w:eastAsia="宋体" w:hAnsi="宋体" w:hint="eastAsia"/>
          <w:b w:val="0"/>
          <w:bCs w:val="0"/>
          <w:sz w:val="21"/>
          <w:szCs w:val="21"/>
          <w:highlight w:val="white"/>
          <w:lang w:eastAsia="zh-CN"/>
        </w:rPr>
        <w:t>（六）基金账册的建立</w:t>
      </w:r>
      <w:bookmarkEnd w:id="86"/>
      <w:bookmarkEnd w:id="88"/>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9944EC">
      <w:pPr>
        <w:pStyle w:val="21"/>
        <w:keepNext w:val="0"/>
        <w:keepLines w:val="0"/>
        <w:spacing w:before="0" w:after="0" w:line="360" w:lineRule="auto"/>
        <w:ind w:firstLine="420"/>
        <w:rPr>
          <w:rFonts w:ascii="宋体" w:eastAsia="宋体" w:hAnsi="宋体"/>
          <w:b w:val="0"/>
          <w:bCs w:val="0"/>
          <w:sz w:val="21"/>
          <w:szCs w:val="21"/>
          <w:lang w:eastAsia="zh-CN"/>
        </w:rPr>
      </w:pPr>
      <w:bookmarkStart w:id="89" w:name="_Toc69134090"/>
      <w:bookmarkStart w:id="90" w:name="_Toc382819117"/>
      <w:r>
        <w:rPr>
          <w:rFonts w:ascii="宋体" w:eastAsia="宋体" w:hAnsi="宋体" w:hint="eastAsia"/>
          <w:b w:val="0"/>
          <w:bCs w:val="0"/>
          <w:sz w:val="21"/>
          <w:szCs w:val="21"/>
          <w:highlight w:val="white"/>
          <w:lang w:eastAsia="zh-CN"/>
        </w:rPr>
        <w:t>（七）基金定期报告的编制和复核</w:t>
      </w:r>
      <w:bookmarkEnd w:id="89"/>
      <w:bookmarkEnd w:id="90"/>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基金财务报表由基金管理人和基金托管人每月分别独立编制。月度报表的编制，应于每月终了后</w:t>
      </w:r>
      <w:r>
        <w:rPr>
          <w:rFonts w:ascii="宋体" w:hAnsi="宋体" w:hint="eastAsia"/>
          <w:szCs w:val="21"/>
          <w:highlight w:val="white"/>
          <w:lang w:eastAsia="zh-CN"/>
        </w:rPr>
        <w:t>5</w:t>
      </w:r>
      <w:r>
        <w:rPr>
          <w:rFonts w:ascii="宋体" w:hAnsi="宋体" w:hint="eastAsia"/>
          <w:szCs w:val="21"/>
          <w:highlight w:val="white"/>
          <w:lang w:eastAsia="zh-CN"/>
        </w:rPr>
        <w:t>个工作日内完成。</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基金合同生效后，基金招募说明书的信息发生重大变更的，基金管理人应当在三个工作日内，更新基金招募说明书并登载在规定网站上；基金招募说明书其他信息发生变更的</w:t>
      </w:r>
      <w:r>
        <w:rPr>
          <w:rFonts w:ascii="宋体" w:hAnsi="宋体" w:hint="eastAsia"/>
          <w:szCs w:val="21"/>
          <w:highlight w:val="white"/>
          <w:lang w:eastAsia="zh-CN"/>
        </w:rPr>
        <w:t>，基金管理人至少每年更新一次。基金终止运作的，基金管理人不再更新基金招募说明书。基金管理人在每个季度结束之日起</w:t>
      </w:r>
      <w:r>
        <w:rPr>
          <w:rFonts w:ascii="宋体" w:hAnsi="宋体" w:hint="eastAsia"/>
          <w:szCs w:val="21"/>
          <w:highlight w:val="white"/>
          <w:lang w:eastAsia="zh-CN"/>
        </w:rPr>
        <w:t>15</w:t>
      </w:r>
      <w:r>
        <w:rPr>
          <w:rFonts w:ascii="宋体" w:hAnsi="宋体" w:hint="eastAsia"/>
          <w:szCs w:val="21"/>
          <w:highlight w:val="white"/>
          <w:lang w:eastAsia="zh-CN"/>
        </w:rPr>
        <w:t>个工作日内完成季度报告编制并公告；在上半年结束之日起两个月内完成中期报告编制并公告；在每年结束之日起三个月内完成年度报告编制并公告。</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基金管理人在</w:t>
      </w:r>
      <w:r>
        <w:rPr>
          <w:rFonts w:ascii="宋体" w:hAnsi="宋体" w:hint="eastAsia"/>
          <w:szCs w:val="21"/>
          <w:highlight w:val="white"/>
          <w:lang w:eastAsia="zh-CN"/>
        </w:rPr>
        <w:t>5</w:t>
      </w:r>
      <w:r>
        <w:rPr>
          <w:rFonts w:ascii="宋体" w:hAnsi="宋体" w:hint="eastAsia"/>
          <w:szCs w:val="21"/>
          <w:highlight w:val="white"/>
          <w:lang w:eastAsia="zh-CN"/>
        </w:rPr>
        <w:t>个工作日内完成月度报表，在月度报表完成当日，以双方约定的方式</w:t>
      </w:r>
      <w:r>
        <w:rPr>
          <w:rFonts w:ascii="宋体" w:hAnsi="宋体"/>
          <w:szCs w:val="21"/>
          <w:highlight w:val="white"/>
          <w:lang w:eastAsia="zh-CN"/>
        </w:rPr>
        <w:t>将有关报表提供基金托管人复核；基金托管人在</w:t>
      </w:r>
      <w:r>
        <w:rPr>
          <w:rFonts w:ascii="宋体" w:hAnsi="宋体"/>
          <w:szCs w:val="21"/>
          <w:highlight w:val="white"/>
          <w:lang w:eastAsia="zh-CN"/>
        </w:rPr>
        <w:t>3</w:t>
      </w:r>
      <w:r>
        <w:rPr>
          <w:rFonts w:ascii="宋体" w:hAnsi="宋体"/>
          <w:szCs w:val="21"/>
          <w:highlight w:val="white"/>
          <w:lang w:eastAsia="zh-CN"/>
        </w:rPr>
        <w:t>个工作日内进行复核，并将复核结果及时书面通知基金管理人。基金管理人在</w:t>
      </w:r>
      <w:r>
        <w:rPr>
          <w:rFonts w:ascii="宋体" w:hAnsi="宋体"/>
          <w:szCs w:val="21"/>
          <w:highlight w:val="white"/>
          <w:lang w:eastAsia="zh-CN"/>
        </w:rPr>
        <w:t>7</w:t>
      </w:r>
      <w:r>
        <w:rPr>
          <w:rFonts w:ascii="宋体" w:hAnsi="宋体"/>
          <w:szCs w:val="21"/>
          <w:highlight w:val="white"/>
          <w:lang w:eastAsia="zh-CN"/>
        </w:rPr>
        <w:t>个工作日内完成季度报告，在季度报告完成当日，将有关报告提供基金托管人复核，基</w:t>
      </w:r>
      <w:r>
        <w:rPr>
          <w:rFonts w:ascii="宋体" w:hAnsi="宋体"/>
          <w:szCs w:val="21"/>
          <w:highlight w:val="white"/>
          <w:lang w:eastAsia="zh-CN"/>
        </w:rPr>
        <w:t>金托管人在收到后</w:t>
      </w:r>
      <w:r>
        <w:rPr>
          <w:rFonts w:ascii="宋体" w:hAnsi="宋体"/>
          <w:szCs w:val="21"/>
          <w:highlight w:val="white"/>
          <w:lang w:eastAsia="zh-CN"/>
        </w:rPr>
        <w:t>7</w:t>
      </w:r>
      <w:r>
        <w:rPr>
          <w:rFonts w:ascii="宋体" w:hAnsi="宋体"/>
          <w:szCs w:val="21"/>
          <w:highlight w:val="white"/>
          <w:lang w:eastAsia="zh-CN"/>
        </w:rPr>
        <w:t>个工作日内进行复核，并将复核结果书面通知基金管理人。基金管理人在</w:t>
      </w:r>
      <w:r>
        <w:rPr>
          <w:rFonts w:ascii="宋体" w:hAnsi="宋体"/>
          <w:szCs w:val="21"/>
          <w:highlight w:val="white"/>
          <w:lang w:eastAsia="zh-CN"/>
        </w:rPr>
        <w:t>30</w:t>
      </w:r>
      <w:r>
        <w:rPr>
          <w:rFonts w:ascii="宋体" w:hAnsi="宋体"/>
          <w:szCs w:val="21"/>
          <w:highlight w:val="white"/>
          <w:lang w:eastAsia="zh-CN"/>
        </w:rPr>
        <w:t>日内完成中期报告，在中期报告完成当日，将有关报告提供基金托管人复核，基金托管人在收到后</w:t>
      </w:r>
      <w:r>
        <w:rPr>
          <w:rFonts w:ascii="宋体" w:hAnsi="宋体"/>
          <w:szCs w:val="21"/>
          <w:highlight w:val="white"/>
          <w:lang w:eastAsia="zh-CN"/>
        </w:rPr>
        <w:t>30</w:t>
      </w:r>
      <w:r>
        <w:rPr>
          <w:rFonts w:ascii="宋体" w:hAnsi="宋体"/>
          <w:szCs w:val="21"/>
          <w:highlight w:val="white"/>
          <w:lang w:eastAsia="zh-CN"/>
        </w:rPr>
        <w:t>日内进行复核，并将复核结果书面通知基金管理人。基金管理人在</w:t>
      </w:r>
      <w:r>
        <w:rPr>
          <w:rFonts w:ascii="宋体" w:hAnsi="宋体"/>
          <w:szCs w:val="21"/>
          <w:highlight w:val="white"/>
          <w:lang w:eastAsia="zh-CN"/>
        </w:rPr>
        <w:t>45</w:t>
      </w:r>
      <w:r>
        <w:rPr>
          <w:rFonts w:ascii="宋体" w:hAnsi="宋体"/>
          <w:szCs w:val="21"/>
          <w:highlight w:val="white"/>
          <w:lang w:eastAsia="zh-CN"/>
        </w:rPr>
        <w:t>日内完成年度报告，在年度报告完成当日，将有关报告提供基金托管人复核，基金托管人在收到后</w:t>
      </w:r>
      <w:r>
        <w:rPr>
          <w:rFonts w:ascii="宋体" w:hAnsi="宋体"/>
          <w:szCs w:val="21"/>
          <w:highlight w:val="white"/>
          <w:lang w:eastAsia="zh-CN"/>
        </w:rPr>
        <w:t>45</w:t>
      </w:r>
      <w:r>
        <w:rPr>
          <w:rFonts w:ascii="宋体" w:hAnsi="宋体"/>
          <w:szCs w:val="21"/>
          <w:highlight w:val="white"/>
          <w:lang w:eastAsia="zh-CN"/>
        </w:rPr>
        <w:t>日内复核，并将复核结果书面通知基金管理人。</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基金托管人在复核过程中，发现相关各方的报表存在不符时，基金管理人和基金托管人应共同查明原因，进行调整，调整以相关各方认可的账务处理方式为准。</w:t>
      </w:r>
      <w:r>
        <w:rPr>
          <w:rFonts w:ascii="宋体" w:hAnsi="宋体" w:hint="eastAsia"/>
          <w:szCs w:val="21"/>
          <w:highlight w:val="white"/>
          <w:lang w:eastAsia="zh-CN"/>
        </w:rPr>
        <w:t>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基金托管人在对财务会计报告、中期报告或年度报告复核完毕后，需盖章确认或出具相应的复核确认书，以备有权机构对相关文件审核时提示。</w:t>
      </w:r>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91" w:name="_Toc69134091"/>
      <w:r>
        <w:rPr>
          <w:rFonts w:ascii="宋体" w:eastAsia="宋体" w:hAnsi="宋体" w:cs="Arial" w:hint="eastAsia"/>
          <w:sz w:val="21"/>
          <w:szCs w:val="21"/>
          <w:highlight w:val="white"/>
        </w:rPr>
        <w:t>基金收益分配</w:t>
      </w:r>
      <w:bookmarkEnd w:id="91"/>
    </w:p>
    <w:p w:rsidR="009944EC">
      <w:pPr>
        <w:pStyle w:val="21"/>
        <w:keepNext w:val="0"/>
        <w:keepLines w:val="0"/>
        <w:spacing w:before="0" w:after="0" w:line="360" w:lineRule="auto"/>
        <w:ind w:firstLine="420"/>
        <w:rPr>
          <w:rFonts w:ascii="宋体" w:eastAsia="宋体" w:hAnsi="宋体" w:cs="Arial"/>
          <w:sz w:val="21"/>
          <w:szCs w:val="21"/>
          <w:lang w:eastAsia="zh-CN"/>
        </w:rPr>
      </w:pPr>
      <w:bookmarkStart w:id="92" w:name="_Toc382819119"/>
      <w:bookmarkStart w:id="93" w:name="_Toc69134092"/>
      <w:r>
        <w:rPr>
          <w:rFonts w:ascii="宋体" w:eastAsia="宋体" w:hAnsi="宋体" w:hint="eastAsia"/>
          <w:b w:val="0"/>
          <w:bCs w:val="0"/>
          <w:sz w:val="21"/>
          <w:szCs w:val="21"/>
          <w:highlight w:val="white"/>
          <w:lang w:eastAsia="zh-CN"/>
        </w:rPr>
        <w:t>（一）基金收益分配的原则</w:t>
      </w:r>
      <w:bookmarkEnd w:id="92"/>
      <w:bookmarkEnd w:id="93"/>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基金收益分配是指将该基金可供分配利润按收益分配方案确定的分配金额和比</w:t>
      </w:r>
      <w:r>
        <w:rPr>
          <w:rFonts w:ascii="宋体" w:hAnsi="宋体" w:hint="eastAsia"/>
          <w:szCs w:val="21"/>
          <w:highlight w:val="white"/>
          <w:lang w:eastAsia="zh-CN"/>
        </w:rPr>
        <w:t>例根据持有该基金份额的数量按比例向该基金份额持有人进行分配。</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收益分配应该符合《基金合同》关于收益分配原则的规定。</w:t>
      </w:r>
      <w:bookmarkStart w:id="94" w:name="_Toc382819120"/>
    </w:p>
    <w:p w:rsidR="009944EC">
      <w:pPr>
        <w:pStyle w:val="21"/>
        <w:keepNext w:val="0"/>
        <w:keepLines w:val="0"/>
        <w:spacing w:before="0" w:after="0" w:line="360" w:lineRule="auto"/>
        <w:ind w:firstLine="420"/>
        <w:rPr>
          <w:rFonts w:ascii="宋体" w:eastAsia="宋体" w:hAnsi="宋体"/>
          <w:sz w:val="21"/>
          <w:szCs w:val="21"/>
          <w:lang w:eastAsia="zh-CN"/>
        </w:rPr>
      </w:pPr>
      <w:bookmarkStart w:id="95" w:name="_Toc69134093"/>
      <w:r>
        <w:rPr>
          <w:rFonts w:ascii="宋体" w:eastAsia="宋体" w:hAnsi="宋体" w:hint="eastAsia"/>
          <w:b w:val="0"/>
          <w:bCs w:val="0"/>
          <w:sz w:val="21"/>
          <w:szCs w:val="21"/>
          <w:highlight w:val="white"/>
          <w:lang w:eastAsia="zh-CN"/>
        </w:rPr>
        <w:t>（二）基金收益分配方案的制定和实施程序</w:t>
      </w:r>
      <w:bookmarkEnd w:id="94"/>
      <w:bookmarkEnd w:id="95"/>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基金收益分配方案由基金管理人根据《基金合同》的相关规定制定。</w:t>
      </w:r>
    </w:p>
    <w:p w:rsidR="009944EC" w:rsidP="004D46A4">
      <w:pPr>
        <w:spacing w:line="360" w:lineRule="auto"/>
        <w:ind w:firstLine="420"/>
        <w:rPr>
          <w:rFonts w:ascii="宋体" w:hAnsi="宋体"/>
          <w:szCs w:val="21"/>
          <w:lang w:eastAsia="zh-CN"/>
        </w:rPr>
      </w:pPr>
      <w:r>
        <w:rPr>
          <w:rFonts w:ascii="宋体" w:hAnsi="宋体" w:hint="eastAsia"/>
          <w:szCs w:val="21"/>
          <w:highlight w:val="white"/>
          <w:lang w:eastAsia="zh-CN"/>
        </w:rPr>
        <w:t>基金收益分配方案由基金管理人拟定，并由基金托管人复核。复核通过后基金管理人在</w:t>
      </w:r>
      <w:r>
        <w:rPr>
          <w:rFonts w:ascii="宋体" w:hAnsi="宋体" w:hint="eastAsia"/>
          <w:szCs w:val="21"/>
          <w:highlight w:val="white"/>
          <w:lang w:eastAsia="zh-CN"/>
        </w:rPr>
        <w:t>2</w:t>
      </w:r>
      <w:r>
        <w:rPr>
          <w:rFonts w:ascii="宋体" w:hAnsi="宋体" w:hint="eastAsia"/>
          <w:szCs w:val="21"/>
          <w:highlight w:val="white"/>
          <w:lang w:eastAsia="zh-CN"/>
        </w:rPr>
        <w:t>日内在规定媒介公告；如果基金管理人与基金托管人不能于收益分配日之前就收益分配方案达成一致，基金托管人有义务将收益分配方案及相关情况的说明提交中国证监会备</w:t>
      </w:r>
      <w:r>
        <w:rPr>
          <w:rFonts w:ascii="宋体" w:hAnsi="宋体" w:hint="eastAsia"/>
          <w:szCs w:val="21"/>
          <w:highlight w:val="white"/>
          <w:lang w:eastAsia="zh-CN"/>
        </w:rPr>
        <w:t>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96" w:name="_Toc69134094"/>
      <w:r>
        <w:rPr>
          <w:rFonts w:ascii="宋体" w:eastAsia="宋体" w:hAnsi="宋体" w:cs="Arial" w:hint="eastAsia"/>
          <w:sz w:val="21"/>
          <w:szCs w:val="21"/>
          <w:highlight w:val="white"/>
        </w:rPr>
        <w:t>信息披露</w:t>
      </w:r>
      <w:bookmarkEnd w:id="96"/>
    </w:p>
    <w:p w:rsidR="009944EC">
      <w:pPr>
        <w:pStyle w:val="21"/>
        <w:keepNext w:val="0"/>
        <w:keepLines w:val="0"/>
        <w:tabs>
          <w:tab w:val="left" w:pos="1080"/>
        </w:tabs>
        <w:spacing w:before="0" w:after="0" w:line="360" w:lineRule="auto"/>
        <w:ind w:firstLine="412"/>
        <w:rPr>
          <w:rFonts w:ascii="宋体" w:eastAsia="宋体" w:hAnsi="宋体" w:cs="Arial"/>
          <w:b w:val="0"/>
          <w:sz w:val="21"/>
          <w:szCs w:val="21"/>
        </w:rPr>
      </w:pPr>
      <w:bookmarkStart w:id="97" w:name="_Toc382819122"/>
      <w:bookmarkStart w:id="98" w:name="_Toc69134095"/>
      <w:r>
        <w:rPr>
          <w:rFonts w:ascii="宋体" w:eastAsia="宋体" w:hAnsi="宋体" w:hint="eastAsia"/>
          <w:b w:val="0"/>
          <w:sz w:val="21"/>
          <w:szCs w:val="21"/>
          <w:highlight w:val="white"/>
        </w:rPr>
        <w:t>（一）</w:t>
      </w:r>
      <w:r>
        <w:rPr>
          <w:rFonts w:ascii="宋体" w:eastAsia="宋体" w:hAnsi="宋体" w:cs="Arial" w:hint="eastAsia"/>
          <w:b w:val="0"/>
          <w:sz w:val="21"/>
          <w:szCs w:val="21"/>
          <w:highlight w:val="white"/>
        </w:rPr>
        <w:t>保密义务</w:t>
      </w:r>
      <w:bookmarkEnd w:id="97"/>
      <w:bookmarkEnd w:id="98"/>
    </w:p>
    <w:p w:rsidR="009944EC">
      <w:pPr>
        <w:spacing w:line="360" w:lineRule="auto"/>
        <w:ind w:firstLine="420"/>
        <w:rPr>
          <w:rFonts w:ascii="宋体" w:hAnsi="宋体"/>
          <w:szCs w:val="21"/>
          <w:lang w:eastAsia="zh-CN"/>
        </w:rPr>
      </w:pPr>
      <w:r>
        <w:rPr>
          <w:rFonts w:ascii="宋体" w:hAnsi="宋体" w:hint="eastAsia"/>
          <w:szCs w:val="21"/>
          <w:highlight w:val="white"/>
          <w:lang w:eastAsia="zh-CN"/>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非因基金管理人和基金托管人的原因导致保密信息被披露、泄露或公开；</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基金管理人和基金托管人为遵守和服从法院判决、仲裁裁决或中国证监会等监管机构的命令、决定所</w:t>
      </w:r>
      <w:r>
        <w:rPr>
          <w:rFonts w:ascii="宋体" w:hAnsi="宋体" w:hint="eastAsia"/>
          <w:szCs w:val="21"/>
          <w:highlight w:val="white"/>
          <w:lang w:eastAsia="zh-CN"/>
        </w:rPr>
        <w:t>做出的信息披露或公开。</w:t>
      </w:r>
    </w:p>
    <w:p w:rsidR="009944EC">
      <w:pPr>
        <w:pStyle w:val="21"/>
        <w:keepNext w:val="0"/>
        <w:keepLines w:val="0"/>
        <w:tabs>
          <w:tab w:val="left" w:pos="1080"/>
        </w:tabs>
        <w:spacing w:before="0" w:after="0" w:line="360" w:lineRule="auto"/>
        <w:ind w:firstLine="412"/>
        <w:rPr>
          <w:rFonts w:ascii="宋体" w:eastAsia="宋体" w:hAnsi="宋体" w:cs="Arial"/>
          <w:sz w:val="21"/>
          <w:szCs w:val="21"/>
          <w:lang w:eastAsia="zh-CN"/>
        </w:rPr>
      </w:pPr>
      <w:bookmarkStart w:id="99" w:name="_Toc69134096"/>
      <w:r>
        <w:rPr>
          <w:rFonts w:ascii="宋体" w:eastAsia="宋体" w:hAnsi="宋体" w:cs="Arial" w:hint="eastAsia"/>
          <w:b w:val="0"/>
          <w:sz w:val="21"/>
          <w:szCs w:val="21"/>
          <w:highlight w:val="white"/>
          <w:lang w:eastAsia="zh-CN"/>
        </w:rPr>
        <w:t>（二）信息披露的内容</w:t>
      </w:r>
      <w:bookmarkEnd w:id="99"/>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本基金的信息披露主要包括基金招募说明书、《基金合同》、基金托管协议、基金产品资料概要、基金份额发售公告、《基金合同》生效公告、定期报告、临时公告、基金净值信息、澄清公告、清算报告等其他必要的公告文件，由基金管理人拟定并负责公布。</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基金管理人与基金托管人应严格遵守《基金合同》所规定</w:t>
      </w:r>
      <w:r>
        <w:rPr>
          <w:rFonts w:ascii="宋体" w:hAnsi="宋体" w:hint="eastAsia"/>
          <w:szCs w:val="21"/>
          <w:highlight w:val="white"/>
          <w:lang w:eastAsia="zh-CN"/>
        </w:rPr>
        <w:t>的信息披露要求。基金净值信息、基金业绩表现数据、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年度报告中的财务会计报告部分，应当经符合《证券法》规定的会计师事务所审计后，方可披露。</w:t>
      </w:r>
    </w:p>
    <w:p w:rsidR="009944EC">
      <w:pPr>
        <w:spacing w:line="360" w:lineRule="auto"/>
        <w:ind w:firstLine="420"/>
        <w:rPr>
          <w:rFonts w:ascii="宋体" w:hAnsi="宋体"/>
          <w:szCs w:val="21"/>
          <w:lang w:eastAsia="zh-CN"/>
        </w:rPr>
      </w:pPr>
      <w:bookmarkStart w:id="100" w:name="_Toc382819123"/>
      <w:r>
        <w:rPr>
          <w:rFonts w:ascii="宋体" w:hAnsi="宋体" w:hint="eastAsia"/>
          <w:highlight w:val="white"/>
          <w:lang w:eastAsia="zh-CN"/>
        </w:rPr>
        <w:t>基金管理人应当在中国证监会规定的时间内，</w:t>
      </w:r>
      <w:r>
        <w:rPr>
          <w:rFonts w:ascii="宋体" w:hAnsi="宋体" w:hint="eastAsia"/>
          <w:szCs w:val="21"/>
          <w:highlight w:val="white"/>
          <w:lang w:eastAsia="zh-CN"/>
        </w:rPr>
        <w:t>将应予披露的基金信息通过规定</w:t>
      </w:r>
      <w:r>
        <w:rPr>
          <w:rFonts w:ascii="宋体" w:hAnsi="宋体" w:hint="eastAsia"/>
          <w:szCs w:val="21"/>
          <w:highlight w:val="white"/>
          <w:lang w:eastAsia="zh-CN"/>
        </w:rPr>
        <w:t>媒介披露。</w:t>
      </w:r>
      <w:r>
        <w:rPr>
          <w:rFonts w:ascii="宋体" w:hAnsi="宋体" w:hint="eastAsia"/>
          <w:highlight w:val="white"/>
          <w:lang w:eastAsia="zh-CN"/>
        </w:rPr>
        <w:t>根据法律法规应由基金托管人公开披露的信息，</w:t>
      </w:r>
      <w:r>
        <w:rPr>
          <w:rFonts w:ascii="宋体" w:hAnsi="宋体" w:hint="eastAsia"/>
          <w:szCs w:val="21"/>
          <w:highlight w:val="white"/>
          <w:lang w:eastAsia="zh-CN"/>
        </w:rPr>
        <w:t>基金托管人将通过规定媒介公开披露。</w:t>
      </w:r>
      <w:bookmarkEnd w:id="100"/>
    </w:p>
    <w:p w:rsidR="009944EC">
      <w:pPr>
        <w:spacing w:line="360" w:lineRule="auto"/>
        <w:ind w:firstLine="420"/>
        <w:rPr>
          <w:rFonts w:ascii="宋体" w:hAnsi="宋体"/>
          <w:b/>
          <w:lang w:eastAsia="zh-CN"/>
        </w:rPr>
      </w:pPr>
      <w:r>
        <w:rPr>
          <w:rFonts w:ascii="宋体" w:hAnsi="宋体"/>
          <w:szCs w:val="21"/>
          <w:highlight w:val="white"/>
          <w:lang w:eastAsia="zh-CN"/>
        </w:rPr>
        <w:t>本基金实施侧袋机制的，相关信息披露义务人应当根据法律法规、基金合同和招募说明书的规定进行信息披露，详见招募说明书的规定</w:t>
      </w:r>
      <w:r>
        <w:rPr>
          <w:rFonts w:ascii="宋体" w:hAnsi="宋体" w:hint="eastAsia"/>
          <w:highlight w:val="white"/>
          <w:lang w:eastAsia="zh-CN"/>
        </w:rPr>
        <w:t>。</w:t>
      </w:r>
    </w:p>
    <w:p w:rsidR="009944EC">
      <w:pPr>
        <w:pStyle w:val="21"/>
        <w:keepNext w:val="0"/>
        <w:keepLines w:val="0"/>
        <w:tabs>
          <w:tab w:val="left" w:pos="1080"/>
        </w:tabs>
        <w:spacing w:before="0" w:after="0" w:line="360" w:lineRule="auto"/>
        <w:ind w:firstLine="412"/>
        <w:rPr>
          <w:rFonts w:ascii="宋体" w:eastAsia="宋体" w:hAnsi="宋体"/>
          <w:b w:val="0"/>
          <w:sz w:val="21"/>
          <w:szCs w:val="21"/>
          <w:lang w:eastAsia="zh-CN"/>
        </w:rPr>
      </w:pPr>
      <w:bookmarkStart w:id="101" w:name="_Toc69134097"/>
      <w:bookmarkStart w:id="102" w:name="_Toc382819124"/>
      <w:r>
        <w:rPr>
          <w:rFonts w:ascii="宋体" w:eastAsia="宋体" w:hAnsi="宋体" w:hint="eastAsia"/>
          <w:b w:val="0"/>
          <w:sz w:val="21"/>
          <w:szCs w:val="21"/>
          <w:highlight w:val="white"/>
          <w:lang w:eastAsia="zh-CN"/>
        </w:rPr>
        <w:t>（三）基金管理人和基金托管人在信息披露中的职责和信息披露程序</w:t>
      </w:r>
      <w:bookmarkEnd w:id="101"/>
      <w:bookmarkEnd w:id="102"/>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．职责</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w:t>
      </w:r>
      <w:r>
        <w:rPr>
          <w:rFonts w:ascii="宋体" w:hAnsi="宋体" w:hint="eastAsia"/>
          <w:szCs w:val="21"/>
          <w:highlight w:val="white"/>
          <w:lang w:eastAsia="zh-CN"/>
        </w:rPr>
        <w:t>金托管人应在接到通知后的规定时间内进行书面或电子确认。</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．程序</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按有关规定须经基金托管人复核的信息披露文件，由基金管理人起草，并经基金托管人复核后由基金管理人公告。</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发生《基金合同》中规定需要披露的事项时，按《基金合同》规定公告。</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．信息文本的存放</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予以披露的信息文本，存放在基金管理人、基金托管人的办公场所，基金份额持有人和公众投资者可以免费查阅。在支付工本费后可以获得上述文件的复制件或复印件。</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基金管理人和基金托管人应保证文本的内容与所公告的内容完全一致。</w:t>
      </w:r>
    </w:p>
    <w:p w:rsidR="009944EC">
      <w:pPr>
        <w:spacing w:line="360" w:lineRule="auto"/>
        <w:ind w:firstLine="420"/>
        <w:rPr>
          <w:rFonts w:ascii="宋体" w:hAnsi="宋体"/>
          <w:szCs w:val="21"/>
          <w:lang w:eastAsia="zh-CN"/>
        </w:rPr>
      </w:pPr>
      <w:bookmarkStart w:id="103" w:name="_Toc69134098"/>
      <w:r>
        <w:rPr>
          <w:rFonts w:ascii="宋体" w:hAnsi="宋体" w:hint="eastAsia"/>
          <w:szCs w:val="21"/>
          <w:highlight w:val="white"/>
          <w:lang w:eastAsia="zh-CN"/>
        </w:rPr>
        <w:t>（四）暂停或延迟信息披露的情形</w:t>
      </w:r>
      <w:bookmarkEnd w:id="103"/>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基金投资所涉及的证券交易所遇法定节假日或因其他原因暂停营业时；</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因不可抗力或其他情形致使基金管理人、基金托管人无法准确评估基金资产价值时；</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占基金相当比例的投资品种的估值出现重大转变，而基金管理人为保障基金份额持有人的利益，已决定延迟估值；</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4.</w:t>
      </w:r>
      <w:r>
        <w:rPr>
          <w:rFonts w:ascii="宋体" w:hAnsi="宋体" w:hint="eastAsia"/>
          <w:szCs w:val="21"/>
          <w:highlight w:val="white"/>
          <w:lang w:eastAsia="zh-CN"/>
        </w:rPr>
        <w:t>出现基金管理人认为属于会导致基金管理人不能出售或评估基金资产的紧急事故的任何情况；</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5.</w:t>
      </w:r>
      <w:r>
        <w:rPr>
          <w:rFonts w:ascii="宋体" w:hAnsi="宋体" w:hint="eastAsia"/>
          <w:szCs w:val="21"/>
          <w:highlight w:val="white"/>
          <w:lang w:eastAsia="zh-CN"/>
        </w:rPr>
        <w:t>法律法规规定、中国证监会或《基金合同》认定的其他情形。</w:t>
      </w:r>
    </w:p>
    <w:p w:rsidR="009944EC">
      <w:pPr>
        <w:spacing w:line="360" w:lineRule="auto"/>
        <w:ind w:firstLine="480"/>
        <w:rPr>
          <w:rFonts w:ascii="宋体" w:hAnsi="宋体"/>
          <w:szCs w:val="21"/>
          <w:lang w:eastAsia="zh-CN"/>
        </w:rPr>
      </w:pPr>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104" w:name="_Toc69134099"/>
      <w:r>
        <w:rPr>
          <w:rFonts w:ascii="宋体" w:eastAsia="宋体" w:hAnsi="宋体" w:cs="Arial" w:hint="eastAsia"/>
          <w:sz w:val="21"/>
          <w:szCs w:val="21"/>
          <w:highlight w:val="white"/>
        </w:rPr>
        <w:t>基金费用</w:t>
      </w:r>
      <w:bookmarkEnd w:id="104"/>
    </w:p>
    <w:p w:rsidR="009944EC">
      <w:pPr>
        <w:spacing w:line="360" w:lineRule="auto"/>
        <w:ind w:firstLine="420"/>
        <w:rPr>
          <w:rFonts w:ascii="宋体" w:hAnsi="宋体"/>
          <w:szCs w:val="21"/>
          <w:lang w:eastAsia="zh-CN"/>
        </w:rPr>
      </w:pPr>
      <w:r>
        <w:rPr>
          <w:rFonts w:ascii="宋体" w:hAnsi="宋体" w:hint="eastAsia"/>
          <w:szCs w:val="21"/>
          <w:highlight w:val="white"/>
          <w:lang w:eastAsia="zh-CN"/>
        </w:rPr>
        <w:t>（一）基金托管人的托管费</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本基金的托管费按前一日基金资产净值扣除前一日所持有目标</w:t>
      </w:r>
      <w:r>
        <w:rPr>
          <w:rFonts w:ascii="宋体" w:hAnsi="宋体" w:hint="eastAsia"/>
          <w:szCs w:val="21"/>
          <w:highlight w:val="white"/>
          <w:lang w:eastAsia="zh-CN"/>
        </w:rPr>
        <w:t>ETF</w:t>
      </w:r>
      <w:r>
        <w:rPr>
          <w:rFonts w:ascii="宋体" w:hAnsi="宋体" w:hint="eastAsia"/>
          <w:szCs w:val="21"/>
          <w:highlight w:val="white"/>
          <w:lang w:eastAsia="zh-CN"/>
        </w:rPr>
        <w:t>公允价值后的</w:t>
      </w:r>
      <w:r>
        <w:rPr>
          <w:rFonts w:ascii="宋体" w:hAnsi="宋体" w:hint="eastAsia"/>
          <w:szCs w:val="21"/>
          <w:highlight w:val="white"/>
          <w:lang w:eastAsia="zh-CN"/>
        </w:rPr>
        <w:t>余额（若为负数，则取</w:t>
      </w:r>
      <w:r>
        <w:rPr>
          <w:rFonts w:ascii="宋体" w:hAnsi="宋体" w:hint="eastAsia"/>
          <w:szCs w:val="21"/>
          <w:highlight w:val="white"/>
          <w:lang w:eastAsia="zh-CN"/>
        </w:rPr>
        <w:t>0</w:t>
      </w:r>
      <w:r>
        <w:rPr>
          <w:rFonts w:ascii="宋体" w:hAnsi="宋体" w:hint="eastAsia"/>
          <w:szCs w:val="21"/>
          <w:highlight w:val="white"/>
          <w:lang w:eastAsia="zh-CN"/>
        </w:rPr>
        <w:t>）的</w:t>
      </w:r>
      <w:r>
        <w:rPr>
          <w:rFonts w:ascii="宋体" w:hAnsi="宋体" w:hint="eastAsia"/>
          <w:szCs w:val="21"/>
          <w:highlight w:val="white"/>
          <w:lang w:eastAsia="zh-CN"/>
        </w:rPr>
        <w:t>0.05%</w:t>
      </w:r>
      <w:r>
        <w:rPr>
          <w:rFonts w:ascii="宋体" w:hAnsi="宋体" w:hint="eastAsia"/>
          <w:szCs w:val="21"/>
          <w:highlight w:val="white"/>
          <w:lang w:eastAsia="zh-CN"/>
        </w:rPr>
        <w:t>的年费率计提。托管费的计算方法如下：</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H</w:t>
      </w:r>
      <w:r>
        <w:rPr>
          <w:rFonts w:ascii="宋体" w:hAnsi="宋体" w:hint="eastAsia"/>
          <w:szCs w:val="21"/>
          <w:highlight w:val="white"/>
          <w:lang w:eastAsia="zh-CN"/>
        </w:rPr>
        <w:t>＝</w:t>
      </w:r>
      <w:r>
        <w:rPr>
          <w:rFonts w:ascii="宋体" w:hAnsi="宋体" w:hint="eastAsia"/>
          <w:szCs w:val="21"/>
          <w:highlight w:val="white"/>
          <w:lang w:eastAsia="zh-CN"/>
        </w:rPr>
        <w:t>E</w:t>
      </w:r>
      <w:r>
        <w:rPr>
          <w:rFonts w:ascii="宋体" w:hAnsi="宋体" w:hint="eastAsia"/>
          <w:szCs w:val="21"/>
          <w:highlight w:val="white"/>
          <w:lang w:eastAsia="zh-CN"/>
        </w:rPr>
        <w:t>×</w:t>
      </w:r>
      <w:r>
        <w:rPr>
          <w:rFonts w:ascii="宋体" w:hAnsi="宋体" w:hint="eastAsia"/>
          <w:szCs w:val="21"/>
          <w:highlight w:val="white"/>
          <w:lang w:eastAsia="zh-CN"/>
        </w:rPr>
        <w:t>0.05%</w:t>
      </w:r>
      <w:r>
        <w:rPr>
          <w:rFonts w:ascii="宋体" w:hAnsi="宋体" w:hint="eastAsia"/>
          <w:szCs w:val="21"/>
          <w:highlight w:val="white"/>
          <w:lang w:eastAsia="zh-CN"/>
        </w:rPr>
        <w:t>÷当年天数</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H</w:t>
      </w:r>
      <w:r>
        <w:rPr>
          <w:rFonts w:ascii="宋体" w:hAnsi="宋体" w:hint="eastAsia"/>
          <w:szCs w:val="21"/>
          <w:highlight w:val="white"/>
          <w:lang w:eastAsia="zh-CN"/>
        </w:rPr>
        <w:t>为每日应计提的基金托管费</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E</w:t>
      </w:r>
      <w:r>
        <w:rPr>
          <w:rFonts w:ascii="宋体" w:hAnsi="宋体" w:hint="eastAsia"/>
          <w:szCs w:val="21"/>
          <w:highlight w:val="white"/>
          <w:lang w:eastAsia="zh-CN"/>
        </w:rPr>
        <w:t>为调整后的前一日的基金资产净值。调整后的前一日基金资产净值＝前一日基金资产净值－前一日本基金持有的目标</w:t>
      </w:r>
      <w:r>
        <w:rPr>
          <w:rFonts w:ascii="宋体" w:hAnsi="宋体" w:hint="eastAsia"/>
          <w:szCs w:val="21"/>
          <w:highlight w:val="white"/>
          <w:lang w:eastAsia="zh-CN"/>
        </w:rPr>
        <w:t>ETF</w:t>
      </w:r>
      <w:r>
        <w:rPr>
          <w:rFonts w:ascii="宋体" w:hAnsi="宋体" w:hint="eastAsia"/>
          <w:szCs w:val="21"/>
          <w:highlight w:val="white"/>
          <w:lang w:eastAsia="zh-CN"/>
        </w:rPr>
        <w:t>公允价值，金额为负时以零计</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基金托管费每日计提，按月支付，经基金管理人与基金托管人双方核对无误后，基金托管人按照与基金管理人协商一致的方式于次月前</w:t>
      </w:r>
      <w:r>
        <w:rPr>
          <w:rFonts w:ascii="宋体" w:hAnsi="宋体" w:hint="eastAsia"/>
          <w:szCs w:val="21"/>
          <w:highlight w:val="white"/>
          <w:lang w:eastAsia="zh-CN"/>
        </w:rPr>
        <w:t>5</w:t>
      </w:r>
      <w:r>
        <w:rPr>
          <w:rFonts w:ascii="宋体" w:hAnsi="宋体" w:hint="eastAsia"/>
          <w:szCs w:val="21"/>
          <w:highlight w:val="white"/>
          <w:lang w:eastAsia="zh-CN"/>
        </w:rPr>
        <w:t>个工作日内从基金财产中一次性支付。若遇法定节假日、休息日或不可抗力致使无法按时支付的，顺延至法定节假日、休息日结束之日起</w:t>
      </w:r>
      <w:r>
        <w:rPr>
          <w:rFonts w:ascii="宋体" w:hAnsi="宋体" w:hint="eastAsia"/>
          <w:szCs w:val="21"/>
          <w:highlight w:val="white"/>
          <w:lang w:eastAsia="zh-CN"/>
        </w:rPr>
        <w:t>2</w:t>
      </w:r>
      <w:r>
        <w:rPr>
          <w:rFonts w:ascii="宋体" w:hAnsi="宋体" w:hint="eastAsia"/>
          <w:szCs w:val="21"/>
          <w:highlight w:val="white"/>
          <w:lang w:eastAsia="zh-CN"/>
        </w:rPr>
        <w:t>个工作日内或不可抗力情形消除之日起</w:t>
      </w:r>
      <w:r>
        <w:rPr>
          <w:rFonts w:ascii="宋体" w:hAnsi="宋体" w:hint="eastAsia"/>
          <w:szCs w:val="21"/>
          <w:highlight w:val="white"/>
          <w:lang w:eastAsia="zh-CN"/>
        </w:rPr>
        <w:t>2</w:t>
      </w:r>
      <w:r>
        <w:rPr>
          <w:rFonts w:ascii="宋体" w:hAnsi="宋体" w:hint="eastAsia"/>
          <w:szCs w:val="21"/>
          <w:highlight w:val="white"/>
          <w:lang w:eastAsia="zh-CN"/>
        </w:rPr>
        <w:t>个工作日内支付。</w:t>
      </w:r>
    </w:p>
    <w:p w:rsidR="009944EC">
      <w:pPr>
        <w:spacing w:line="360" w:lineRule="auto"/>
        <w:ind w:firstLine="420"/>
        <w:rPr>
          <w:rFonts w:ascii="宋体" w:hAnsi="宋体"/>
          <w:lang w:eastAsia="zh-CN"/>
        </w:rPr>
      </w:pPr>
      <w:r>
        <w:rPr>
          <w:rFonts w:ascii="宋体" w:hAnsi="宋体" w:hint="eastAsia"/>
          <w:szCs w:val="21"/>
          <w:highlight w:val="white"/>
          <w:lang w:eastAsia="zh-CN"/>
        </w:rPr>
        <w:t>（二）基金其他费用按照《基金合同》的约定计提和支付。</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5" w:name="_Toc69134100"/>
      <w:r>
        <w:rPr>
          <w:rFonts w:ascii="宋体" w:eastAsia="宋体" w:hAnsi="宋体" w:cs="Arial" w:hint="eastAsia"/>
          <w:sz w:val="21"/>
          <w:szCs w:val="21"/>
          <w:highlight w:val="white"/>
          <w:lang w:eastAsia="zh-CN"/>
        </w:rPr>
        <w:t>基金份额持有人名册的保管</w:t>
      </w:r>
      <w:bookmarkEnd w:id="105"/>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基金管理人妥善保管的基金份额持有人名册，包括《基金合同》生效日、《基金合同》终止日、基金份额持有人大会权利登记日、每年</w:t>
      </w:r>
      <w:r>
        <w:rPr>
          <w:rFonts w:ascii="宋体" w:hAnsi="宋体" w:hint="eastAsia"/>
          <w:szCs w:val="21"/>
          <w:highlight w:val="white"/>
          <w:lang w:eastAsia="zh-CN"/>
        </w:rPr>
        <w:t>6</w:t>
      </w:r>
      <w:r>
        <w:rPr>
          <w:rFonts w:ascii="宋体" w:hAnsi="宋体" w:hint="eastAsia"/>
          <w:szCs w:val="21"/>
          <w:highlight w:val="white"/>
          <w:lang w:eastAsia="zh-CN"/>
        </w:rPr>
        <w:t>月</w:t>
      </w:r>
      <w:r>
        <w:rPr>
          <w:rFonts w:ascii="宋体" w:hAnsi="宋体" w:hint="eastAsia"/>
          <w:szCs w:val="21"/>
          <w:highlight w:val="white"/>
          <w:lang w:eastAsia="zh-CN"/>
        </w:rPr>
        <w:t>30</w:t>
      </w:r>
      <w:r>
        <w:rPr>
          <w:rFonts w:ascii="宋体" w:hAnsi="宋体" w:hint="eastAsia"/>
          <w:szCs w:val="21"/>
          <w:highlight w:val="white"/>
          <w:lang w:eastAsia="zh-CN"/>
        </w:rPr>
        <w:t>日、</w:t>
      </w:r>
      <w:r>
        <w:rPr>
          <w:rFonts w:ascii="宋体" w:hAnsi="宋体" w:hint="eastAsia"/>
          <w:szCs w:val="21"/>
          <w:highlight w:val="white"/>
          <w:lang w:eastAsia="zh-CN"/>
        </w:rPr>
        <w:t>12</w:t>
      </w:r>
      <w:r>
        <w:rPr>
          <w:rFonts w:ascii="宋体" w:hAnsi="宋体" w:hint="eastAsia"/>
          <w:szCs w:val="21"/>
          <w:highlight w:val="white"/>
          <w:lang w:eastAsia="zh-CN"/>
        </w:rPr>
        <w:t>月</w:t>
      </w:r>
      <w:r>
        <w:rPr>
          <w:rFonts w:ascii="宋体" w:hAnsi="宋体" w:hint="eastAsia"/>
          <w:szCs w:val="21"/>
          <w:highlight w:val="white"/>
          <w:lang w:eastAsia="zh-CN"/>
        </w:rPr>
        <w:t>31</w:t>
      </w:r>
      <w:r>
        <w:rPr>
          <w:rFonts w:ascii="宋体" w:hAnsi="宋体" w:hint="eastAsia"/>
          <w:szCs w:val="21"/>
          <w:highlight w:val="white"/>
          <w:lang w:eastAsia="zh-CN"/>
        </w:rPr>
        <w:t>日的基金份额持有人名册。基金份额持有人名册的内容必须包括基金份额持有人的名称和持有的基金份额。</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基金份额持有人名册由基金的登记机构根据基金管理人的指令编制和保管，基金管理人应按照目前相关规则保管基金份额持有人名册。保管方式可以采用电子或文</w:t>
      </w:r>
      <w:r>
        <w:rPr>
          <w:rFonts w:ascii="宋体" w:hAnsi="宋体" w:hint="eastAsia"/>
          <w:szCs w:val="21"/>
          <w:highlight w:val="white"/>
          <w:lang w:eastAsia="zh-CN"/>
        </w:rPr>
        <w:t>档的形式。保管期限不少于</w:t>
      </w:r>
      <w:r>
        <w:rPr>
          <w:rFonts w:ascii="宋体" w:hAnsi="宋体" w:hint="eastAsia"/>
          <w:szCs w:val="21"/>
          <w:highlight w:val="white"/>
          <w:lang w:eastAsia="zh-CN"/>
        </w:rPr>
        <w:t>20</w:t>
      </w:r>
      <w:r>
        <w:rPr>
          <w:rFonts w:ascii="宋体" w:hAnsi="宋体" w:hint="eastAsia"/>
          <w:szCs w:val="21"/>
          <w:highlight w:val="white"/>
          <w:lang w:eastAsia="zh-CN"/>
        </w:rPr>
        <w:t>年，法律法规或监管部门另有规定的除外。</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在基金托管人编制中期报告和年度报告前，基金管理人应将每年</w:t>
      </w:r>
      <w:r>
        <w:rPr>
          <w:rFonts w:ascii="宋体" w:hAnsi="宋体" w:hint="eastAsia"/>
          <w:szCs w:val="21"/>
          <w:highlight w:val="white"/>
          <w:lang w:eastAsia="zh-CN"/>
        </w:rPr>
        <w:t>6</w:t>
      </w:r>
      <w:r>
        <w:rPr>
          <w:rFonts w:ascii="宋体" w:hAnsi="宋体" w:hint="eastAsia"/>
          <w:szCs w:val="21"/>
          <w:highlight w:val="white"/>
          <w:lang w:eastAsia="zh-CN"/>
        </w:rPr>
        <w:t>月</w:t>
      </w:r>
      <w:r>
        <w:rPr>
          <w:rFonts w:ascii="宋体" w:hAnsi="宋体" w:hint="eastAsia"/>
          <w:szCs w:val="21"/>
          <w:highlight w:val="white"/>
          <w:lang w:eastAsia="zh-CN"/>
        </w:rPr>
        <w:t>30</w:t>
      </w:r>
      <w:r>
        <w:rPr>
          <w:rFonts w:ascii="宋体" w:hAnsi="宋体" w:hint="eastAsia"/>
          <w:szCs w:val="21"/>
          <w:highlight w:val="white"/>
          <w:lang w:eastAsia="zh-CN"/>
        </w:rPr>
        <w:t>日、</w:t>
      </w:r>
      <w:r>
        <w:rPr>
          <w:rFonts w:ascii="宋体" w:hAnsi="宋体" w:hint="eastAsia"/>
          <w:szCs w:val="21"/>
          <w:highlight w:val="white"/>
          <w:lang w:eastAsia="zh-CN"/>
        </w:rPr>
        <w:t>12</w:t>
      </w:r>
      <w:r>
        <w:rPr>
          <w:rFonts w:ascii="宋体" w:hAnsi="宋体" w:hint="eastAsia"/>
          <w:szCs w:val="21"/>
          <w:highlight w:val="white"/>
          <w:lang w:eastAsia="zh-CN"/>
        </w:rPr>
        <w:t>月</w:t>
      </w:r>
      <w:r>
        <w:rPr>
          <w:rFonts w:ascii="宋体" w:hAnsi="宋体" w:hint="eastAsia"/>
          <w:szCs w:val="21"/>
          <w:highlight w:val="white"/>
          <w:lang w:eastAsia="zh-CN"/>
        </w:rPr>
        <w:t>31</w:t>
      </w:r>
      <w:r>
        <w:rPr>
          <w:rFonts w:ascii="宋体" w:hAnsi="宋体" w:hint="eastAsia"/>
          <w:szCs w:val="21"/>
          <w:highlight w:val="white"/>
          <w:lang w:eastAsia="zh-CN"/>
        </w:rPr>
        <w:t>日的基金持有人名册送交基金托管人，文件方式可以采用电子或文档的形式并且保证其的真实、准确、完整。基金托管人应妥善保管，不得将持有人名册用于基金托管业务以外的其他用途。</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6" w:name="_Toc69134101"/>
      <w:r>
        <w:rPr>
          <w:rFonts w:ascii="宋体" w:eastAsia="宋体" w:hAnsi="宋体" w:cs="Arial" w:hint="eastAsia"/>
          <w:sz w:val="21"/>
          <w:szCs w:val="21"/>
          <w:highlight w:val="white"/>
          <w:lang w:eastAsia="zh-CN"/>
        </w:rPr>
        <w:t>基金有关文件和档案的保存</w:t>
      </w:r>
      <w:bookmarkEnd w:id="106"/>
    </w:p>
    <w:p w:rsidR="009944EC">
      <w:pPr>
        <w:spacing w:line="360" w:lineRule="auto"/>
        <w:ind w:firstLine="420"/>
        <w:rPr>
          <w:rFonts w:ascii="宋体" w:hAnsi="宋体" w:cs="Arial"/>
          <w:szCs w:val="21"/>
          <w:lang w:eastAsia="zh-CN"/>
        </w:rPr>
      </w:pPr>
      <w:r>
        <w:rPr>
          <w:rFonts w:ascii="宋体" w:hAnsi="宋体" w:cs="Arial" w:hint="eastAsia"/>
          <w:szCs w:val="21"/>
          <w:highlight w:val="white"/>
          <w:lang w:eastAsia="zh-CN"/>
        </w:rPr>
        <w:t>（一）档案保存</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基金管理人和基金托管人应按各自职责完整保存本基金的基金账册、原始凭证、记账</w:t>
      </w:r>
      <w:r>
        <w:rPr>
          <w:rFonts w:ascii="宋体" w:hAnsi="宋体" w:hint="eastAsia"/>
          <w:szCs w:val="21"/>
          <w:highlight w:val="white"/>
          <w:lang w:eastAsia="zh-CN"/>
        </w:rPr>
        <w:t>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w:t>
      </w:r>
      <w:r>
        <w:rPr>
          <w:rFonts w:ascii="宋体" w:hAnsi="宋体" w:hint="eastAsia"/>
          <w:szCs w:val="21"/>
          <w:highlight w:val="white"/>
          <w:lang w:eastAsia="zh-CN"/>
        </w:rPr>
        <w:t>20</w:t>
      </w:r>
      <w:r>
        <w:rPr>
          <w:rFonts w:ascii="宋体" w:hAnsi="宋体" w:hint="eastAsia"/>
          <w:szCs w:val="21"/>
          <w:highlight w:val="white"/>
          <w:lang w:eastAsia="zh-CN"/>
        </w:rPr>
        <w:t>年，法律法规或监管部门另有规定的除外。</w:t>
      </w:r>
    </w:p>
    <w:p w:rsidR="009944EC">
      <w:pPr>
        <w:spacing w:line="360" w:lineRule="auto"/>
        <w:ind w:firstLine="420"/>
        <w:rPr>
          <w:rFonts w:ascii="宋体" w:hAnsi="宋体" w:cs="Arial"/>
          <w:szCs w:val="21"/>
          <w:lang w:eastAsia="zh-CN"/>
        </w:rPr>
      </w:pPr>
      <w:r>
        <w:rPr>
          <w:rFonts w:ascii="宋体" w:hAnsi="宋体" w:cs="Arial" w:hint="eastAsia"/>
          <w:szCs w:val="21"/>
          <w:highlight w:val="white"/>
          <w:lang w:eastAsia="zh-CN"/>
        </w:rPr>
        <w:t>（二）合同档案的建立</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．基金管理人或基金托管人在签署与本基金有关的合同文本后，应及时按相关法律法规及本协议的规定将合同正本或副本提交对方。</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．基金管理人和基金托管人应按各自职责保管就基金资产对外签署的全部合同的正本。</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（三）变更与协助</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若基</w:t>
      </w:r>
      <w:r>
        <w:rPr>
          <w:rFonts w:ascii="宋体" w:hAnsi="宋体" w:hint="eastAsia"/>
          <w:szCs w:val="21"/>
          <w:highlight w:val="white"/>
          <w:lang w:eastAsia="zh-CN"/>
        </w:rPr>
        <w:t>金管理人和基金托管人发生变更，未变更的一方有义务协助变更后的接任人接收相应文件。</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7" w:name="_Toc69134102"/>
      <w:r>
        <w:rPr>
          <w:rFonts w:ascii="宋体" w:eastAsia="宋体" w:hAnsi="宋体" w:cs="Arial" w:hint="eastAsia"/>
          <w:sz w:val="21"/>
          <w:szCs w:val="21"/>
          <w:highlight w:val="white"/>
          <w:lang w:eastAsia="zh-CN"/>
        </w:rPr>
        <w:t>基金管理人和基金托管人的更换</w:t>
      </w:r>
      <w:bookmarkEnd w:id="107"/>
    </w:p>
    <w:p w:rsidR="009944EC">
      <w:pPr>
        <w:pStyle w:val="21"/>
        <w:keepNext w:val="0"/>
        <w:keepLines w:val="0"/>
        <w:spacing w:before="0" w:after="0" w:line="360" w:lineRule="auto"/>
        <w:ind w:firstLine="309"/>
        <w:rPr>
          <w:rFonts w:ascii="宋体" w:eastAsia="宋体" w:hAnsi="宋体" w:cs="Arial"/>
          <w:b w:val="0"/>
          <w:bCs w:val="0"/>
          <w:sz w:val="21"/>
          <w:szCs w:val="21"/>
          <w:lang w:eastAsia="zh-CN"/>
        </w:rPr>
      </w:pPr>
      <w:bookmarkStart w:id="108" w:name="_Toc382819129"/>
      <w:bookmarkStart w:id="109" w:name="_Toc69134103"/>
      <w:r>
        <w:rPr>
          <w:rFonts w:ascii="宋体" w:eastAsia="宋体" w:hAnsi="宋体" w:cs="Arial" w:hint="eastAsia"/>
          <w:b w:val="0"/>
          <w:bCs w:val="0"/>
          <w:sz w:val="21"/>
          <w:szCs w:val="21"/>
          <w:highlight w:val="white"/>
          <w:lang w:eastAsia="zh-CN"/>
        </w:rPr>
        <w:t>（一）基金管理人的更换</w:t>
      </w:r>
      <w:bookmarkEnd w:id="108"/>
      <w:bookmarkEnd w:id="109"/>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基金管理人的更换条件</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有下列情形之一的，基金管理人职责终止：</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1</w:t>
      </w:r>
      <w:r>
        <w:rPr>
          <w:rFonts w:ascii="宋体" w:hAnsi="宋体" w:hint="eastAsia"/>
          <w:szCs w:val="21"/>
          <w:highlight w:val="white"/>
          <w:lang w:eastAsia="zh-CN"/>
        </w:rPr>
        <w:t>）被依法取消基金管理资格；</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2</w:t>
      </w:r>
      <w:r>
        <w:rPr>
          <w:rFonts w:ascii="宋体" w:hAnsi="宋体" w:hint="eastAsia"/>
          <w:szCs w:val="21"/>
          <w:highlight w:val="white"/>
          <w:lang w:eastAsia="zh-CN"/>
        </w:rPr>
        <w:t>）被基金份额持有人大会解任；</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3</w:t>
      </w:r>
      <w:r>
        <w:rPr>
          <w:rFonts w:ascii="宋体" w:hAnsi="宋体" w:hint="eastAsia"/>
          <w:szCs w:val="21"/>
          <w:highlight w:val="white"/>
          <w:lang w:eastAsia="zh-CN"/>
        </w:rPr>
        <w:t>）依法解散、被依法撤销或被依法宣告破产；</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4</w:t>
      </w:r>
      <w:r>
        <w:rPr>
          <w:rFonts w:ascii="宋体" w:hAnsi="宋体" w:hint="eastAsia"/>
          <w:szCs w:val="21"/>
          <w:highlight w:val="white"/>
          <w:lang w:eastAsia="zh-CN"/>
        </w:rPr>
        <w:t>）法律法规及中国证监会规定的和《基金合同》约定的其他情形。</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更换基金管理人的程序</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1</w:t>
      </w:r>
      <w:r>
        <w:rPr>
          <w:rFonts w:ascii="宋体" w:hAnsi="宋体" w:hint="eastAsia"/>
          <w:szCs w:val="21"/>
          <w:highlight w:val="white"/>
          <w:lang w:eastAsia="zh-CN"/>
        </w:rPr>
        <w:t>）提名：新任基金管理人由基金托管人或由单独或合计持有</w:t>
      </w:r>
      <w:r>
        <w:rPr>
          <w:rFonts w:ascii="宋体" w:hAnsi="宋体" w:hint="eastAsia"/>
          <w:szCs w:val="21"/>
          <w:highlight w:val="white"/>
          <w:lang w:eastAsia="zh-CN"/>
        </w:rPr>
        <w:t>10%</w:t>
      </w:r>
      <w:r>
        <w:rPr>
          <w:rFonts w:ascii="宋体" w:hAnsi="宋体" w:hint="eastAsia"/>
          <w:szCs w:val="21"/>
          <w:highlight w:val="white"/>
          <w:lang w:eastAsia="zh-CN"/>
        </w:rPr>
        <w:t>以上（含</w:t>
      </w:r>
      <w:r>
        <w:rPr>
          <w:rFonts w:ascii="宋体" w:hAnsi="宋体" w:hint="eastAsia"/>
          <w:szCs w:val="21"/>
          <w:highlight w:val="white"/>
          <w:lang w:eastAsia="zh-CN"/>
        </w:rPr>
        <w:t>10%</w:t>
      </w:r>
      <w:r>
        <w:rPr>
          <w:rFonts w:ascii="宋体" w:hAnsi="宋体" w:hint="eastAsia"/>
          <w:szCs w:val="21"/>
          <w:highlight w:val="white"/>
          <w:lang w:eastAsia="zh-CN"/>
        </w:rPr>
        <w:t>）基金份额的基金份额持有人提名；</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2</w:t>
      </w:r>
      <w:r>
        <w:rPr>
          <w:rFonts w:ascii="宋体" w:hAnsi="宋体" w:hint="eastAsia"/>
          <w:szCs w:val="21"/>
          <w:highlight w:val="white"/>
          <w:lang w:eastAsia="zh-CN"/>
        </w:rPr>
        <w:t>）决议：基金份额持有人大会在基金管理人职责终止后</w:t>
      </w:r>
      <w:r>
        <w:rPr>
          <w:rFonts w:ascii="宋体" w:hAnsi="宋体" w:hint="eastAsia"/>
          <w:szCs w:val="21"/>
          <w:highlight w:val="white"/>
          <w:lang w:eastAsia="zh-CN"/>
        </w:rPr>
        <w:t>6</w:t>
      </w:r>
      <w:r>
        <w:rPr>
          <w:rFonts w:ascii="宋体" w:hAnsi="宋体" w:hint="eastAsia"/>
          <w:szCs w:val="21"/>
          <w:highlight w:val="white"/>
          <w:lang w:eastAsia="zh-CN"/>
        </w:rPr>
        <w:t>个月内对被提名的基金管理人形成决议，该决议需经参加大会的基金份额持有人所持表决权的三分之二以上（含三分之二）表决通过，决议自表决通过之日起生效；</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3</w:t>
      </w:r>
      <w:r>
        <w:rPr>
          <w:rFonts w:ascii="宋体" w:hAnsi="宋体" w:hint="eastAsia"/>
          <w:szCs w:val="21"/>
          <w:highlight w:val="white"/>
          <w:lang w:eastAsia="zh-CN"/>
        </w:rPr>
        <w:t>）临时基金管理人：新任基金管理人产生之前，由中国证监会指定临时基金管理人；</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4</w:t>
      </w:r>
      <w:r>
        <w:rPr>
          <w:rFonts w:ascii="宋体" w:hAnsi="宋体" w:hint="eastAsia"/>
          <w:szCs w:val="21"/>
          <w:highlight w:val="white"/>
          <w:lang w:eastAsia="zh-CN"/>
        </w:rPr>
        <w:t>）备案：基金份额持有人大会更换基金管理人的决议须报中国证监会备案；</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5</w:t>
      </w:r>
      <w:r>
        <w:rPr>
          <w:rFonts w:ascii="宋体" w:hAnsi="宋体" w:hint="eastAsia"/>
          <w:szCs w:val="21"/>
          <w:highlight w:val="white"/>
          <w:lang w:eastAsia="zh-CN"/>
        </w:rPr>
        <w:t>）公告：基金管理人更换后，由基金托管人在更换基金管理人的基金份额持有人大会决议生效后</w:t>
      </w:r>
      <w:r>
        <w:rPr>
          <w:rFonts w:ascii="宋体" w:hAnsi="宋体" w:hint="eastAsia"/>
          <w:szCs w:val="21"/>
          <w:highlight w:val="white"/>
          <w:lang w:eastAsia="zh-CN"/>
        </w:rPr>
        <w:t>2</w:t>
      </w:r>
      <w:r>
        <w:rPr>
          <w:rFonts w:ascii="宋体" w:hAnsi="宋体" w:hint="eastAsia"/>
          <w:szCs w:val="21"/>
          <w:highlight w:val="white"/>
          <w:lang w:eastAsia="zh-CN"/>
        </w:rPr>
        <w:t>日内在规定媒介公告；</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6</w:t>
      </w:r>
      <w:r>
        <w:rPr>
          <w:rFonts w:ascii="宋体" w:hAnsi="宋体" w:hint="eastAsia"/>
          <w:szCs w:val="21"/>
          <w:highlight w:val="white"/>
          <w:lang w:eastAsia="zh-CN"/>
        </w:rPr>
        <w:t>）交接：基金管理人职责终止的，基金管理人应</w:t>
      </w:r>
      <w:r>
        <w:rPr>
          <w:rFonts w:ascii="宋体" w:hAnsi="宋体" w:hint="eastAsia"/>
          <w:szCs w:val="21"/>
          <w:highlight w:val="white"/>
          <w:lang w:eastAsia="zh-CN"/>
        </w:rPr>
        <w:t>妥善保管基金管理业务资料，及时向临时基金管理人或新任基金管理人办理基金管理业务的移交手续，临时基金管理人或新任基金管理人应及时接收。新任基金管理人应与基金托管人核对基金资产总值；</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7</w:t>
      </w:r>
      <w:r>
        <w:rPr>
          <w:rFonts w:ascii="宋体" w:hAnsi="宋体" w:hint="eastAsia"/>
          <w:szCs w:val="21"/>
          <w:highlight w:val="white"/>
          <w:lang w:eastAsia="zh-CN"/>
        </w:rPr>
        <w:t>）审计：基金管理人职责终止的，应当按照法律法规规定聘请会计师事务所对基金财产进行审计，并将审计结果予以公告，同时报中国证监会备案。审计费用从基金财产中列支；</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8</w:t>
      </w:r>
      <w:r>
        <w:rPr>
          <w:rFonts w:ascii="宋体" w:hAnsi="宋体" w:hint="eastAsia"/>
          <w:szCs w:val="21"/>
          <w:highlight w:val="white"/>
          <w:lang w:eastAsia="zh-CN"/>
        </w:rPr>
        <w:t>）基金名称变更：基金管理人更换后，如果原任或新任基金管理人要求，应按其要求替换或删除基金名称中与原基金管理人有关的名称字样。</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9944EC">
      <w:pPr>
        <w:pStyle w:val="21"/>
        <w:keepNext w:val="0"/>
        <w:keepLines w:val="0"/>
        <w:spacing w:before="0" w:after="0" w:line="360" w:lineRule="auto"/>
        <w:ind w:firstLine="309"/>
        <w:rPr>
          <w:rFonts w:ascii="宋体" w:eastAsia="宋体" w:hAnsi="宋体" w:cs="Arial"/>
          <w:b w:val="0"/>
          <w:bCs w:val="0"/>
          <w:sz w:val="21"/>
          <w:szCs w:val="21"/>
          <w:lang w:eastAsia="zh-CN"/>
        </w:rPr>
      </w:pPr>
      <w:bookmarkStart w:id="110" w:name="_Toc382819130"/>
      <w:bookmarkStart w:id="111" w:name="_Toc69134104"/>
      <w:r>
        <w:rPr>
          <w:rFonts w:ascii="宋体" w:eastAsia="宋体" w:hAnsi="宋体" w:cs="Arial" w:hint="eastAsia"/>
          <w:b w:val="0"/>
          <w:bCs w:val="0"/>
          <w:sz w:val="21"/>
          <w:szCs w:val="21"/>
          <w:highlight w:val="white"/>
          <w:lang w:eastAsia="zh-CN"/>
        </w:rPr>
        <w:t>（二）基金托管人的更换</w:t>
      </w:r>
      <w:bookmarkEnd w:id="110"/>
      <w:bookmarkEnd w:id="111"/>
    </w:p>
    <w:p w:rsidR="009944EC">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基金托管人的更换条件</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有下列情形之一的，基金托管人职责终止：</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1</w:t>
      </w:r>
      <w:r>
        <w:rPr>
          <w:rFonts w:ascii="宋体" w:hAnsi="宋体" w:hint="eastAsia"/>
          <w:szCs w:val="21"/>
          <w:highlight w:val="white"/>
          <w:lang w:eastAsia="zh-CN"/>
        </w:rPr>
        <w:t>）被依法取消基金托管资格；</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2</w:t>
      </w:r>
      <w:r>
        <w:rPr>
          <w:rFonts w:ascii="宋体" w:hAnsi="宋体" w:hint="eastAsia"/>
          <w:szCs w:val="21"/>
          <w:highlight w:val="white"/>
          <w:lang w:eastAsia="zh-CN"/>
        </w:rPr>
        <w:t>）被基金份额持有人大会解任；</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3</w:t>
      </w:r>
      <w:r>
        <w:rPr>
          <w:rFonts w:ascii="宋体" w:hAnsi="宋体" w:hint="eastAsia"/>
          <w:szCs w:val="21"/>
          <w:highlight w:val="white"/>
          <w:lang w:eastAsia="zh-CN"/>
        </w:rPr>
        <w:t>）依法解散、被依法撤销或被依法宣告破产；</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4</w:t>
      </w:r>
      <w:r>
        <w:rPr>
          <w:rFonts w:ascii="宋体" w:hAnsi="宋体" w:hint="eastAsia"/>
          <w:szCs w:val="21"/>
          <w:highlight w:val="white"/>
          <w:lang w:eastAsia="zh-CN"/>
        </w:rPr>
        <w:t>）法律法规及中国证监会规定的和《基金合同》约定的其他情形。</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更换基金托管人的程序</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1</w:t>
      </w:r>
      <w:r>
        <w:rPr>
          <w:rFonts w:ascii="宋体" w:hAnsi="宋体" w:hint="eastAsia"/>
          <w:szCs w:val="21"/>
          <w:highlight w:val="white"/>
          <w:lang w:eastAsia="zh-CN"/>
        </w:rPr>
        <w:t>）提名：新任基金托管人由基金管理人或由单独或合计持有</w:t>
      </w:r>
      <w:r>
        <w:rPr>
          <w:rFonts w:ascii="宋体" w:hAnsi="宋体" w:hint="eastAsia"/>
          <w:szCs w:val="21"/>
          <w:highlight w:val="white"/>
          <w:lang w:eastAsia="zh-CN"/>
        </w:rPr>
        <w:t>10%</w:t>
      </w:r>
      <w:r>
        <w:rPr>
          <w:rFonts w:ascii="宋体" w:hAnsi="宋体" w:hint="eastAsia"/>
          <w:szCs w:val="21"/>
          <w:highlight w:val="white"/>
          <w:lang w:eastAsia="zh-CN"/>
        </w:rPr>
        <w:t>以上（含</w:t>
      </w:r>
      <w:r>
        <w:rPr>
          <w:rFonts w:ascii="宋体" w:hAnsi="宋体" w:hint="eastAsia"/>
          <w:szCs w:val="21"/>
          <w:highlight w:val="white"/>
          <w:lang w:eastAsia="zh-CN"/>
        </w:rPr>
        <w:t>10%</w:t>
      </w:r>
      <w:r>
        <w:rPr>
          <w:rFonts w:ascii="宋体" w:hAnsi="宋体" w:hint="eastAsia"/>
          <w:szCs w:val="21"/>
          <w:highlight w:val="white"/>
          <w:lang w:eastAsia="zh-CN"/>
        </w:rPr>
        <w:t>）基金份额的基金份额持有人提名；</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2</w:t>
      </w:r>
      <w:r>
        <w:rPr>
          <w:rFonts w:ascii="宋体" w:hAnsi="宋体" w:hint="eastAsia"/>
          <w:szCs w:val="21"/>
          <w:highlight w:val="white"/>
          <w:lang w:eastAsia="zh-CN"/>
        </w:rPr>
        <w:t>）决议：基金份额持有人大会在基金托管人职责终止后</w:t>
      </w:r>
      <w:r>
        <w:rPr>
          <w:rFonts w:ascii="宋体" w:hAnsi="宋体" w:hint="eastAsia"/>
          <w:szCs w:val="21"/>
          <w:highlight w:val="white"/>
          <w:lang w:eastAsia="zh-CN"/>
        </w:rPr>
        <w:t>6</w:t>
      </w:r>
      <w:r>
        <w:rPr>
          <w:rFonts w:ascii="宋体" w:hAnsi="宋体" w:hint="eastAsia"/>
          <w:szCs w:val="21"/>
          <w:highlight w:val="white"/>
          <w:lang w:eastAsia="zh-CN"/>
        </w:rPr>
        <w:t>个月内对被提名的基金托管人形成决议，该决议需经参加大会的基金份额持有人所持表决权的三分之二以上（含三分之二）表决通过，决议自表决通过之日起生效；</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3</w:t>
      </w:r>
      <w:r>
        <w:rPr>
          <w:rFonts w:ascii="宋体" w:hAnsi="宋体" w:hint="eastAsia"/>
          <w:szCs w:val="21"/>
          <w:highlight w:val="white"/>
          <w:lang w:eastAsia="zh-CN"/>
        </w:rPr>
        <w:t>）临时基金托管人：新任基金托管人产生之前，由中国证监会指定临时基金托管人；</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4</w:t>
      </w:r>
      <w:r>
        <w:rPr>
          <w:rFonts w:ascii="宋体" w:hAnsi="宋体" w:hint="eastAsia"/>
          <w:szCs w:val="21"/>
          <w:highlight w:val="white"/>
          <w:lang w:eastAsia="zh-CN"/>
        </w:rPr>
        <w:t>）备案：基金份额持有人大会更换基金托管人的决议须报中国证监会备案；</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5</w:t>
      </w:r>
      <w:r>
        <w:rPr>
          <w:rFonts w:ascii="宋体" w:hAnsi="宋体" w:hint="eastAsia"/>
          <w:szCs w:val="21"/>
          <w:highlight w:val="white"/>
          <w:lang w:eastAsia="zh-CN"/>
        </w:rPr>
        <w:t>）公告：基金托管人更</w:t>
      </w:r>
      <w:r>
        <w:rPr>
          <w:rFonts w:ascii="宋体" w:hAnsi="宋体" w:hint="eastAsia"/>
          <w:szCs w:val="21"/>
          <w:highlight w:val="white"/>
          <w:lang w:eastAsia="zh-CN"/>
        </w:rPr>
        <w:t>换后，由基金管理人在更换基金托管人的基金份额持有人大会决议生效后</w:t>
      </w:r>
      <w:r>
        <w:rPr>
          <w:rFonts w:ascii="宋体" w:hAnsi="宋体" w:hint="eastAsia"/>
          <w:szCs w:val="21"/>
          <w:highlight w:val="white"/>
          <w:lang w:eastAsia="zh-CN"/>
        </w:rPr>
        <w:t>2</w:t>
      </w:r>
      <w:r>
        <w:rPr>
          <w:rFonts w:ascii="宋体" w:hAnsi="宋体" w:hint="eastAsia"/>
          <w:szCs w:val="21"/>
          <w:highlight w:val="white"/>
          <w:lang w:eastAsia="zh-CN"/>
        </w:rPr>
        <w:t>日内在规定媒介公告；</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6</w:t>
      </w:r>
      <w:r>
        <w:rPr>
          <w:rFonts w:ascii="宋体" w:hAnsi="宋体" w:hint="eastAsia"/>
          <w:szCs w:val="21"/>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7</w:t>
      </w:r>
      <w:r>
        <w:rPr>
          <w:rFonts w:ascii="宋体" w:hAnsi="宋体" w:hint="eastAsia"/>
          <w:szCs w:val="21"/>
          <w:highlight w:val="white"/>
          <w:lang w:eastAsia="zh-CN"/>
        </w:rPr>
        <w:t>）审计：基金托管人职责终止的，应当按照法律法规规定聘请会计师事务所对基金财产进行审计，并将审计结果予以公告，同时报中国证监会备案。审计费用从基金财产中列支。</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3.</w:t>
      </w:r>
      <w:r>
        <w:rPr>
          <w:rFonts w:ascii="宋体" w:hAnsi="宋体" w:hint="eastAsia"/>
          <w:szCs w:val="21"/>
          <w:highlight w:val="white"/>
          <w:lang w:eastAsia="zh-CN"/>
        </w:rPr>
        <w:t>原基金托管人职责终止后，新任基金托管人或临时基金托</w:t>
      </w:r>
      <w:r>
        <w:rPr>
          <w:rFonts w:ascii="宋体" w:hAnsi="宋体" w:hint="eastAsia"/>
          <w:szCs w:val="21"/>
          <w:highlight w:val="white"/>
          <w:lang w:eastAsia="zh-CN"/>
        </w:rPr>
        <w:t>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9944EC">
      <w:pPr>
        <w:spacing w:line="360" w:lineRule="auto"/>
        <w:ind w:firstLine="420"/>
        <w:rPr>
          <w:rFonts w:ascii="宋体" w:hAnsi="宋体"/>
          <w:bCs/>
          <w:szCs w:val="21"/>
          <w:lang w:eastAsia="zh-CN"/>
        </w:rPr>
      </w:pPr>
      <w:r>
        <w:rPr>
          <w:rFonts w:ascii="宋体" w:hAnsi="宋体" w:hint="eastAsia"/>
          <w:bCs/>
          <w:szCs w:val="21"/>
          <w:highlight w:val="white"/>
          <w:lang w:eastAsia="zh-CN"/>
        </w:rPr>
        <w:t>（三）基金管理人和基金托管人的同时更换程序</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1</w:t>
      </w:r>
      <w:r w:rsidR="00492F23">
        <w:rPr>
          <w:rFonts w:ascii="宋体" w:hAnsi="宋体" w:hint="eastAsia"/>
          <w:szCs w:val="21"/>
          <w:highlight w:val="white"/>
          <w:lang w:eastAsia="zh-CN"/>
        </w:rPr>
        <w:t>.</w:t>
      </w:r>
      <w:r>
        <w:rPr>
          <w:rFonts w:ascii="宋体" w:hAnsi="宋体" w:hint="eastAsia"/>
          <w:szCs w:val="21"/>
          <w:highlight w:val="white"/>
          <w:lang w:eastAsia="zh-CN"/>
        </w:rPr>
        <w:t>提名：如果基金管理人和基金托管人同时更换，由单独或合计持有基金总份额</w:t>
      </w:r>
      <w:r>
        <w:rPr>
          <w:rFonts w:ascii="宋体" w:hAnsi="宋体" w:hint="eastAsia"/>
          <w:szCs w:val="21"/>
          <w:highlight w:val="white"/>
          <w:lang w:eastAsia="zh-CN"/>
        </w:rPr>
        <w:t>10%</w:t>
      </w:r>
      <w:r>
        <w:rPr>
          <w:rFonts w:ascii="宋体" w:hAnsi="宋体" w:hint="eastAsia"/>
          <w:szCs w:val="21"/>
          <w:highlight w:val="white"/>
          <w:lang w:eastAsia="zh-CN"/>
        </w:rPr>
        <w:t>以上（含</w:t>
      </w:r>
      <w:r>
        <w:rPr>
          <w:rFonts w:ascii="宋体" w:hAnsi="宋体" w:hint="eastAsia"/>
          <w:szCs w:val="21"/>
          <w:highlight w:val="white"/>
          <w:lang w:eastAsia="zh-CN"/>
        </w:rPr>
        <w:t>10%</w:t>
      </w:r>
      <w:r>
        <w:rPr>
          <w:rFonts w:ascii="宋体" w:hAnsi="宋体" w:hint="eastAsia"/>
          <w:szCs w:val="21"/>
          <w:highlight w:val="white"/>
          <w:lang w:eastAsia="zh-CN"/>
        </w:rPr>
        <w:t>）的基金份额持有人提名新的基金管理人和基金托管人；</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2</w:t>
      </w:r>
      <w:r w:rsidR="00492F23">
        <w:rPr>
          <w:rFonts w:ascii="宋体" w:hAnsi="宋体"/>
          <w:szCs w:val="21"/>
          <w:highlight w:val="white"/>
          <w:lang w:eastAsia="zh-CN"/>
        </w:rPr>
        <w:t>.</w:t>
      </w:r>
      <w:r>
        <w:rPr>
          <w:rFonts w:ascii="宋体" w:hAnsi="宋体" w:hint="eastAsia"/>
          <w:szCs w:val="21"/>
          <w:highlight w:val="white"/>
          <w:lang w:eastAsia="zh-CN"/>
        </w:rPr>
        <w:t>基金管理人和基金托管人的更换分别按上述程序进行；</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3</w:t>
      </w:r>
      <w:r w:rsidR="00492F23">
        <w:rPr>
          <w:rFonts w:ascii="宋体" w:hAnsi="宋体"/>
          <w:szCs w:val="21"/>
          <w:highlight w:val="white"/>
          <w:lang w:eastAsia="zh-CN"/>
        </w:rPr>
        <w:t>.</w:t>
      </w:r>
      <w:r>
        <w:rPr>
          <w:rFonts w:ascii="宋体" w:hAnsi="宋体" w:hint="eastAsia"/>
          <w:szCs w:val="21"/>
          <w:highlight w:val="white"/>
          <w:lang w:eastAsia="zh-CN"/>
        </w:rPr>
        <w:t>公告：新任基金管理人和新任基金托管人应在更换基金管理人和基金托管人的基金份额持</w:t>
      </w:r>
      <w:r>
        <w:rPr>
          <w:rFonts w:ascii="宋体" w:hAnsi="宋体" w:hint="eastAsia"/>
          <w:szCs w:val="21"/>
          <w:highlight w:val="white"/>
          <w:lang w:eastAsia="zh-CN"/>
        </w:rPr>
        <w:t>有人大会决议生效后</w:t>
      </w:r>
      <w:r>
        <w:rPr>
          <w:rFonts w:ascii="宋体" w:hAnsi="宋体" w:hint="eastAsia"/>
          <w:szCs w:val="21"/>
          <w:highlight w:val="white"/>
          <w:lang w:eastAsia="zh-CN"/>
        </w:rPr>
        <w:t>2</w:t>
      </w:r>
      <w:r>
        <w:rPr>
          <w:rFonts w:ascii="宋体" w:hAnsi="宋体" w:hint="eastAsia"/>
          <w:szCs w:val="21"/>
          <w:highlight w:val="white"/>
          <w:lang w:eastAsia="zh-CN"/>
        </w:rPr>
        <w:t>日内在规定媒介上联合公告。</w:t>
      </w:r>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112" w:name="_Toc69134105"/>
      <w:r>
        <w:rPr>
          <w:rFonts w:ascii="宋体" w:eastAsia="宋体" w:hAnsi="宋体" w:cs="Arial" w:hint="eastAsia"/>
          <w:sz w:val="21"/>
          <w:szCs w:val="21"/>
          <w:highlight w:val="white"/>
        </w:rPr>
        <w:t>禁止行为</w:t>
      </w:r>
      <w:bookmarkEnd w:id="112"/>
    </w:p>
    <w:p w:rsidR="009944EC">
      <w:pPr>
        <w:spacing w:line="360" w:lineRule="auto"/>
        <w:ind w:firstLine="473"/>
        <w:rPr>
          <w:rFonts w:ascii="宋体" w:hAnsi="宋体"/>
          <w:szCs w:val="21"/>
          <w:lang w:eastAsia="zh-CN"/>
        </w:rPr>
      </w:pPr>
      <w:r>
        <w:rPr>
          <w:rFonts w:ascii="宋体" w:hAnsi="宋体" w:hint="eastAsia"/>
          <w:szCs w:val="21"/>
          <w:highlight w:val="white"/>
          <w:lang w:eastAsia="zh-CN"/>
        </w:rPr>
        <w:t>托管协议当事人禁止从事的行为，包括但不限于：</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（一）基金管理人、基金托管人将其固有财产或者他人财产混同于基金财产从事证券投资。</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（二）基金管理人、基金托管人不公平地对待其管理或托管的不同基金财产。</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（三）基金管理人、基金托管人利用基金财产为基金份额持有人以外的第三人牟取利益。</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（四）基金管理人、基金托管人向基金份额持有人违规承诺收益或者承担损失。</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（五）基金管理人、基金托管人对他人泄漏基金经营过程中任何尚未按法律法规规定的方式公开披露的信息。</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（六）基金管理人在没有充足资金的情况下向基金托管人发出投资指令和赎回、分红资金的划拨指令，或违规向基金托管人发出指令。</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（七）基金托管人对基金管理人的符合本协议约定的有效指令拖延或拒绝执行。</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（八）基金管理人、基金托管人在行政上、财务上不独立，其高级基金管理人员相互兼职。</w:t>
      </w:r>
      <w:r>
        <w:rPr>
          <w:rFonts w:ascii="宋体" w:hAnsi="宋体" w:hint="eastAsia"/>
          <w:szCs w:val="21"/>
          <w:highlight w:val="white"/>
          <w:lang w:eastAsia="zh-CN"/>
        </w:rPr>
        <w:t xml:space="preserve"> </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（九）基金托管人私自动用或处分基金资产，根据基金管理人的合法指令、基金合同或托管协议的规定进行处分的除外。</w:t>
      </w:r>
      <w:r>
        <w:rPr>
          <w:rFonts w:ascii="宋体" w:hAnsi="宋体" w:hint="eastAsia"/>
          <w:szCs w:val="21"/>
          <w:highlight w:val="white"/>
          <w:lang w:eastAsia="zh-CN"/>
        </w:rPr>
        <w:t xml:space="preserve"> </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（十）基金管理人、基金托管人不得利用基金财产用于下列投资或者活动：</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1</w:t>
      </w:r>
      <w:r>
        <w:rPr>
          <w:rFonts w:ascii="宋体" w:hAnsi="宋体"/>
          <w:szCs w:val="21"/>
          <w:highlight w:val="white"/>
          <w:lang w:eastAsia="zh-CN"/>
        </w:rPr>
        <w:t>.</w:t>
      </w:r>
      <w:r w:rsidR="007233FB">
        <w:rPr>
          <w:rFonts w:ascii="宋体" w:hAnsi="宋体" w:hint="eastAsia"/>
          <w:szCs w:val="21"/>
          <w:highlight w:val="white"/>
          <w:lang w:eastAsia="zh-CN"/>
        </w:rPr>
        <w:t>承销证券；</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2</w:t>
      </w:r>
      <w:r>
        <w:rPr>
          <w:rFonts w:ascii="宋体" w:hAnsi="宋体"/>
          <w:szCs w:val="21"/>
          <w:highlight w:val="white"/>
          <w:lang w:eastAsia="zh-CN"/>
        </w:rPr>
        <w:t>.</w:t>
      </w:r>
      <w:r w:rsidR="007233FB">
        <w:rPr>
          <w:rFonts w:ascii="宋体" w:hAnsi="宋体" w:hint="eastAsia"/>
          <w:szCs w:val="21"/>
          <w:highlight w:val="white"/>
          <w:lang w:eastAsia="zh-CN"/>
        </w:rPr>
        <w:t>违反规定向他人贷款或者提供担保；</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3</w:t>
      </w:r>
      <w:r>
        <w:rPr>
          <w:rFonts w:ascii="宋体" w:hAnsi="宋体"/>
          <w:szCs w:val="21"/>
          <w:highlight w:val="white"/>
          <w:lang w:eastAsia="zh-CN"/>
        </w:rPr>
        <w:t>.</w:t>
      </w:r>
      <w:r w:rsidR="007233FB">
        <w:rPr>
          <w:rFonts w:ascii="宋体" w:hAnsi="宋体" w:hint="eastAsia"/>
          <w:szCs w:val="21"/>
          <w:highlight w:val="white"/>
          <w:lang w:eastAsia="zh-CN"/>
        </w:rPr>
        <w:t>从事承担无限责任的投资；</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4</w:t>
      </w:r>
      <w:r>
        <w:rPr>
          <w:rFonts w:ascii="宋体" w:hAnsi="宋体"/>
          <w:szCs w:val="21"/>
          <w:highlight w:val="white"/>
          <w:lang w:eastAsia="zh-CN"/>
        </w:rPr>
        <w:t>.</w:t>
      </w:r>
      <w:r w:rsidR="007233FB">
        <w:rPr>
          <w:rFonts w:ascii="宋体" w:hAnsi="宋体" w:hint="eastAsia"/>
          <w:szCs w:val="21"/>
          <w:highlight w:val="white"/>
          <w:lang w:eastAsia="zh-CN"/>
        </w:rPr>
        <w:t>向其基金管理人、基金托管人出资；</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5</w:t>
      </w:r>
      <w:r>
        <w:rPr>
          <w:rFonts w:ascii="宋体" w:hAnsi="宋体"/>
          <w:szCs w:val="21"/>
          <w:highlight w:val="white"/>
          <w:lang w:eastAsia="zh-CN"/>
        </w:rPr>
        <w:t>.</w:t>
      </w:r>
      <w:r w:rsidR="007233FB">
        <w:rPr>
          <w:rFonts w:ascii="宋体" w:hAnsi="宋体" w:hint="eastAsia"/>
          <w:szCs w:val="21"/>
          <w:highlight w:val="white"/>
          <w:lang w:eastAsia="zh-CN"/>
        </w:rPr>
        <w:t>从事内幕交易、操纵证券交易价格及其他不正当的证券交易活动；</w:t>
      </w:r>
    </w:p>
    <w:p w:rsidR="009944EC">
      <w:pPr>
        <w:spacing w:line="360" w:lineRule="auto"/>
        <w:ind w:firstLine="420"/>
        <w:jc w:val="left"/>
        <w:rPr>
          <w:rFonts w:ascii="宋体" w:hAnsi="宋体"/>
          <w:szCs w:val="21"/>
          <w:lang w:eastAsia="zh-CN"/>
        </w:rPr>
      </w:pPr>
      <w:r>
        <w:rPr>
          <w:rFonts w:ascii="宋体" w:hAnsi="宋体" w:hint="eastAsia"/>
          <w:szCs w:val="21"/>
          <w:highlight w:val="white"/>
          <w:lang w:eastAsia="zh-CN"/>
        </w:rPr>
        <w:t>6</w:t>
      </w:r>
      <w:r>
        <w:rPr>
          <w:rFonts w:ascii="宋体" w:hAnsi="宋体"/>
          <w:szCs w:val="21"/>
          <w:highlight w:val="white"/>
          <w:lang w:eastAsia="zh-CN"/>
        </w:rPr>
        <w:t>.</w:t>
      </w:r>
      <w:r w:rsidR="007233FB">
        <w:rPr>
          <w:rFonts w:ascii="宋体" w:hAnsi="宋体" w:hint="eastAsia"/>
          <w:szCs w:val="21"/>
          <w:highlight w:val="white"/>
          <w:lang w:eastAsia="zh-CN"/>
        </w:rPr>
        <w:t>法律、行政法规和中国证监会规定禁止的其他活动。</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十一）法律法规和基金合同禁止的其他行为，以及依照法律法规有关规定，由中国证监会规定禁止基金管理人、基金托管人从事的其他行为。法律、行政法规或监管部门取消或变更上述禁止性规定，基金管理人有权按照法律法规或监管部门调整或修改后的规定执行。</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13" w:name="_Toc69134106"/>
      <w:r>
        <w:rPr>
          <w:rFonts w:ascii="宋体" w:eastAsia="宋体" w:hAnsi="宋体" w:cs="Arial" w:hint="eastAsia"/>
          <w:sz w:val="21"/>
          <w:szCs w:val="21"/>
          <w:highlight w:val="white"/>
          <w:lang w:eastAsia="zh-CN"/>
        </w:rPr>
        <w:t>基金托管协议的变更、终止与基金财产的清算</w:t>
      </w:r>
      <w:bookmarkEnd w:id="113"/>
    </w:p>
    <w:p w:rsidR="009944EC">
      <w:pPr>
        <w:spacing w:line="360" w:lineRule="auto"/>
        <w:ind w:firstLine="473"/>
        <w:rPr>
          <w:rFonts w:ascii="宋体" w:hAnsi="宋体"/>
          <w:szCs w:val="21"/>
          <w:lang w:eastAsia="zh-CN"/>
        </w:rPr>
      </w:pPr>
      <w:r>
        <w:rPr>
          <w:rFonts w:ascii="宋体" w:hAnsi="宋体"/>
          <w:szCs w:val="21"/>
          <w:highlight w:val="white"/>
          <w:lang w:eastAsia="zh-CN"/>
        </w:rPr>
        <w:t>（一）托管协议的变更与终止</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1.</w:t>
      </w:r>
      <w:r>
        <w:rPr>
          <w:rFonts w:ascii="宋体" w:hAnsi="宋体" w:hint="eastAsia"/>
          <w:szCs w:val="21"/>
          <w:highlight w:val="white"/>
          <w:lang w:eastAsia="zh-CN"/>
        </w:rPr>
        <w:t>托管协议的变更程序</w:t>
      </w:r>
    </w:p>
    <w:p w:rsidR="009944EC">
      <w:pPr>
        <w:spacing w:line="360" w:lineRule="auto"/>
        <w:ind w:firstLine="473"/>
        <w:rPr>
          <w:rFonts w:ascii="宋体" w:hAnsi="宋体"/>
          <w:lang w:eastAsia="zh-CN"/>
        </w:rPr>
      </w:pPr>
      <w:r>
        <w:rPr>
          <w:rFonts w:ascii="宋体" w:hAnsi="宋体" w:hint="eastAsia"/>
          <w:highlight w:val="white"/>
          <w:lang w:eastAsia="zh-CN"/>
        </w:rPr>
        <w:t>本协议双方当事人经协商一致，可以对协议的内容进行变更。变更后的托管协议，其内容不得与《基金合同》的规定有任何冲突。基金托管协议的变更报中国证监会备案。</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2.</w:t>
      </w:r>
      <w:r>
        <w:rPr>
          <w:rFonts w:ascii="宋体" w:hAnsi="宋体" w:hint="eastAsia"/>
          <w:szCs w:val="21"/>
          <w:highlight w:val="white"/>
          <w:lang w:eastAsia="zh-CN"/>
        </w:rPr>
        <w:t>基金托管协议终止的情形</w:t>
      </w:r>
    </w:p>
    <w:p w:rsidR="009944EC">
      <w:pPr>
        <w:spacing w:line="360" w:lineRule="auto"/>
        <w:ind w:firstLine="473"/>
        <w:rPr>
          <w:rFonts w:ascii="宋体" w:hAnsi="宋体"/>
          <w:lang w:eastAsia="zh-CN"/>
        </w:rPr>
      </w:pPr>
      <w:r>
        <w:rPr>
          <w:rFonts w:ascii="宋体" w:hAnsi="宋体" w:hint="eastAsia"/>
          <w:highlight w:val="white"/>
          <w:lang w:eastAsia="zh-CN"/>
        </w:rPr>
        <w:t>发生以下情况，本托管协议终止：</w:t>
      </w:r>
    </w:p>
    <w:p w:rsidR="009944EC">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1</w:t>
      </w:r>
      <w:r>
        <w:rPr>
          <w:rFonts w:ascii="宋体" w:hAnsi="宋体"/>
          <w:highlight w:val="white"/>
          <w:lang w:eastAsia="zh-CN"/>
        </w:rPr>
        <w:t>）《基金合同》终止；</w:t>
      </w:r>
    </w:p>
    <w:p w:rsidR="009944EC">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2</w:t>
      </w:r>
      <w:r>
        <w:rPr>
          <w:rFonts w:ascii="宋体" w:hAnsi="宋体"/>
          <w:highlight w:val="white"/>
          <w:lang w:eastAsia="zh-CN"/>
        </w:rPr>
        <w:t>）基金托管人解散、依法被撤销、破产或有其他基金托管人接管基金资产；</w:t>
      </w:r>
    </w:p>
    <w:p w:rsidR="009944EC">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3</w:t>
      </w:r>
      <w:r>
        <w:rPr>
          <w:rFonts w:ascii="宋体" w:hAnsi="宋体"/>
          <w:highlight w:val="white"/>
          <w:lang w:eastAsia="zh-CN"/>
        </w:rPr>
        <w:t>）基金管理人解散、依法被撤销、破产或有其他基金管理人接管基金管理权；</w:t>
      </w:r>
    </w:p>
    <w:p w:rsidR="009944EC">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4</w:t>
      </w:r>
      <w:r>
        <w:rPr>
          <w:rFonts w:ascii="宋体" w:hAnsi="宋体"/>
          <w:highlight w:val="white"/>
          <w:lang w:eastAsia="zh-CN"/>
        </w:rPr>
        <w:t>）发生法律法规或《基金合同》规定的终止事项。</w:t>
      </w:r>
    </w:p>
    <w:p w:rsidR="009944EC">
      <w:pPr>
        <w:spacing w:line="360" w:lineRule="auto"/>
        <w:ind w:firstLine="473"/>
        <w:rPr>
          <w:rFonts w:ascii="宋体" w:hAnsi="宋体"/>
          <w:szCs w:val="21"/>
          <w:lang w:eastAsia="zh-CN"/>
        </w:rPr>
      </w:pPr>
      <w:r>
        <w:rPr>
          <w:rFonts w:ascii="宋体" w:hAnsi="宋体" w:hint="eastAsia"/>
          <w:szCs w:val="21"/>
          <w:highlight w:val="white"/>
          <w:lang w:eastAsia="zh-CN"/>
        </w:rPr>
        <w:t>（二）基金财产的清算</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1</w:t>
      </w:r>
      <w:r w:rsidR="00492F23">
        <w:rPr>
          <w:rFonts w:ascii="宋体" w:hAnsi="宋体" w:hint="eastAsia"/>
          <w:szCs w:val="21"/>
          <w:highlight w:val="white"/>
          <w:lang w:eastAsia="zh-CN"/>
        </w:rPr>
        <w:t>.</w:t>
      </w:r>
      <w:r>
        <w:rPr>
          <w:rFonts w:ascii="宋体" w:hAnsi="宋体" w:hint="eastAsia"/>
          <w:szCs w:val="21"/>
          <w:highlight w:val="white"/>
          <w:lang w:eastAsia="zh-CN"/>
        </w:rPr>
        <w:t>基金财产清算小组：自出现《基金合同》终止事由之日起</w:t>
      </w:r>
      <w:r>
        <w:rPr>
          <w:rFonts w:ascii="宋体" w:hAnsi="宋体" w:hint="eastAsia"/>
          <w:szCs w:val="21"/>
          <w:highlight w:val="white"/>
          <w:lang w:eastAsia="zh-CN"/>
        </w:rPr>
        <w:t>30</w:t>
      </w:r>
      <w:r>
        <w:rPr>
          <w:rFonts w:ascii="宋体" w:hAnsi="宋体" w:hint="eastAsia"/>
          <w:szCs w:val="21"/>
          <w:highlight w:val="white"/>
          <w:lang w:eastAsia="zh-CN"/>
        </w:rPr>
        <w:t>个工作日内成立清算小组，基金管理人组织基金财产清算小组并在中国证监会的监督下进行基金清算。</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2</w:t>
      </w:r>
      <w:r w:rsidR="00492F23">
        <w:rPr>
          <w:rFonts w:ascii="宋体" w:hAnsi="宋体"/>
          <w:szCs w:val="21"/>
          <w:highlight w:val="white"/>
          <w:lang w:eastAsia="zh-CN"/>
        </w:rPr>
        <w:t>.</w:t>
      </w:r>
      <w:r>
        <w:rPr>
          <w:rFonts w:ascii="宋体" w:hAnsi="宋体" w:hint="eastAsia"/>
          <w:highlight w:val="white"/>
          <w:lang w:eastAsia="zh-CN"/>
        </w:rPr>
        <w:t>基金财产清算小组</w:t>
      </w:r>
      <w:r>
        <w:rPr>
          <w:rFonts w:ascii="宋体" w:hAnsi="宋体" w:hint="eastAsia"/>
          <w:szCs w:val="21"/>
          <w:highlight w:val="white"/>
          <w:lang w:eastAsia="zh-CN"/>
        </w:rPr>
        <w:t>组成：基金财产清算小组成员由基金管理人、基金托管人、注册会计师、律师以及中国证监会指定的人员组成。基金财产清算小组可以聘用必要的工作人员。</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3</w:t>
      </w:r>
      <w:r w:rsidR="00492F23">
        <w:rPr>
          <w:rFonts w:ascii="宋体" w:hAnsi="宋体"/>
          <w:szCs w:val="21"/>
          <w:highlight w:val="white"/>
          <w:lang w:eastAsia="zh-CN"/>
        </w:rPr>
        <w:t>.</w:t>
      </w:r>
      <w:r>
        <w:rPr>
          <w:rFonts w:ascii="宋体" w:hAnsi="宋体" w:hint="eastAsia"/>
          <w:szCs w:val="21"/>
          <w:highlight w:val="white"/>
          <w:lang w:eastAsia="zh-CN"/>
        </w:rPr>
        <w:t>基金财产清算小组职责：基金财产清算小组负责基金财产的保管、清理、估价、变现和分配。基金财产清算小组可以依法进行必要的民事活动。</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4</w:t>
      </w:r>
      <w:r w:rsidR="00492F23">
        <w:rPr>
          <w:rFonts w:ascii="宋体" w:hAnsi="宋体"/>
          <w:szCs w:val="21"/>
          <w:highlight w:val="white"/>
          <w:lang w:eastAsia="zh-CN"/>
        </w:rPr>
        <w:t>.</w:t>
      </w:r>
      <w:r>
        <w:rPr>
          <w:rFonts w:ascii="宋体" w:hAnsi="宋体" w:hint="eastAsia"/>
          <w:szCs w:val="21"/>
          <w:highlight w:val="white"/>
          <w:lang w:eastAsia="zh-CN"/>
        </w:rPr>
        <w:t>基金财产清算程序：</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1</w:t>
      </w:r>
      <w:r>
        <w:rPr>
          <w:rFonts w:ascii="宋体" w:hAnsi="宋体" w:hint="eastAsia"/>
          <w:szCs w:val="21"/>
          <w:highlight w:val="white"/>
          <w:lang w:eastAsia="zh-CN"/>
        </w:rPr>
        <w:t>）《基金合同》终止情形出现时，由基金财产清算小</w:t>
      </w:r>
      <w:r>
        <w:rPr>
          <w:rFonts w:ascii="宋体" w:hAnsi="宋体" w:hint="eastAsia"/>
          <w:szCs w:val="21"/>
          <w:highlight w:val="white"/>
          <w:lang w:eastAsia="zh-CN"/>
        </w:rPr>
        <w:t>组统一接管基金；</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2</w:t>
      </w:r>
      <w:r>
        <w:rPr>
          <w:rFonts w:ascii="宋体" w:hAnsi="宋体" w:hint="eastAsia"/>
          <w:szCs w:val="21"/>
          <w:highlight w:val="white"/>
          <w:lang w:eastAsia="zh-CN"/>
        </w:rPr>
        <w:t>）对基金财产和债权债务进行清理和确认；</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3</w:t>
      </w:r>
      <w:r>
        <w:rPr>
          <w:rFonts w:ascii="宋体" w:hAnsi="宋体" w:hint="eastAsia"/>
          <w:szCs w:val="21"/>
          <w:highlight w:val="white"/>
          <w:lang w:eastAsia="zh-CN"/>
        </w:rPr>
        <w:t>）对基金财产进行估值和变现；</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4</w:t>
      </w:r>
      <w:r>
        <w:rPr>
          <w:rFonts w:ascii="宋体" w:hAnsi="宋体" w:hint="eastAsia"/>
          <w:szCs w:val="21"/>
          <w:highlight w:val="white"/>
          <w:lang w:eastAsia="zh-CN"/>
        </w:rPr>
        <w:t>）制作清算报告；</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5</w:t>
      </w:r>
      <w:r>
        <w:rPr>
          <w:rFonts w:ascii="宋体" w:hAnsi="宋体" w:hint="eastAsia"/>
          <w:szCs w:val="21"/>
          <w:highlight w:val="white"/>
          <w:lang w:eastAsia="zh-CN"/>
        </w:rPr>
        <w:t>）聘请会计师事务所对清算报告进行外部审计，聘请律师事务所对清算报告出具法律意见书；</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6</w:t>
      </w:r>
      <w:r>
        <w:rPr>
          <w:rFonts w:ascii="宋体" w:hAnsi="宋体" w:hint="eastAsia"/>
          <w:szCs w:val="21"/>
          <w:highlight w:val="white"/>
          <w:lang w:eastAsia="zh-CN"/>
        </w:rPr>
        <w:t>）将清算报告报中国证监会备案并公告；</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w:t>
      </w:r>
      <w:r>
        <w:rPr>
          <w:rFonts w:ascii="宋体" w:hAnsi="宋体" w:hint="eastAsia"/>
          <w:szCs w:val="21"/>
          <w:highlight w:val="white"/>
          <w:lang w:eastAsia="zh-CN"/>
        </w:rPr>
        <w:t>7</w:t>
      </w:r>
      <w:r>
        <w:rPr>
          <w:rFonts w:ascii="宋体" w:hAnsi="宋体" w:hint="eastAsia"/>
          <w:szCs w:val="21"/>
          <w:highlight w:val="white"/>
          <w:lang w:eastAsia="zh-CN"/>
        </w:rPr>
        <w:t>）对基金剩余财产进行分配。</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5</w:t>
      </w:r>
      <w:r w:rsidR="00492F23">
        <w:rPr>
          <w:rFonts w:ascii="宋体" w:hAnsi="宋体"/>
          <w:szCs w:val="21"/>
          <w:highlight w:val="white"/>
          <w:lang w:eastAsia="zh-CN"/>
        </w:rPr>
        <w:t>.</w:t>
      </w:r>
      <w:r>
        <w:rPr>
          <w:rFonts w:ascii="宋体" w:hAnsi="宋体" w:hint="eastAsia"/>
          <w:szCs w:val="21"/>
          <w:highlight w:val="white"/>
          <w:lang w:eastAsia="zh-CN"/>
        </w:rPr>
        <w:t>基金财产清算的期限为</w:t>
      </w:r>
      <w:r>
        <w:rPr>
          <w:rFonts w:ascii="宋体" w:hAnsi="宋体" w:hint="eastAsia"/>
          <w:szCs w:val="21"/>
          <w:highlight w:val="white"/>
          <w:lang w:eastAsia="zh-CN"/>
        </w:rPr>
        <w:t>6</w:t>
      </w:r>
      <w:r>
        <w:rPr>
          <w:rFonts w:ascii="宋体" w:hAnsi="宋体" w:hint="eastAsia"/>
          <w:szCs w:val="21"/>
          <w:highlight w:val="white"/>
          <w:lang w:eastAsia="zh-CN"/>
        </w:rPr>
        <w:t>个月，但因本基金所持证券的流动性受到限制而不能及时变现的，清算期限相应顺延。</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6</w:t>
      </w:r>
      <w:r w:rsidR="00492F23">
        <w:rPr>
          <w:rFonts w:ascii="宋体" w:hAnsi="宋体"/>
          <w:szCs w:val="21"/>
          <w:highlight w:val="white"/>
          <w:lang w:eastAsia="zh-CN"/>
        </w:rPr>
        <w:t>.</w:t>
      </w:r>
      <w:r>
        <w:rPr>
          <w:rFonts w:ascii="宋体" w:hAnsi="宋体" w:hint="eastAsia"/>
          <w:szCs w:val="21"/>
          <w:highlight w:val="white"/>
          <w:lang w:eastAsia="zh-CN"/>
        </w:rPr>
        <w:t>清算费用</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清算费用是指基金财产清算小组在进行基金清算过程中发生的所有合理费用，清算费用由基金财产清算小组优先从基金财产中支付</w:t>
      </w:r>
      <w:r>
        <w:rPr>
          <w:rFonts w:ascii="宋体" w:hAnsi="宋体" w:hint="eastAsia"/>
          <w:szCs w:val="21"/>
          <w:highlight w:val="white"/>
          <w:lang w:eastAsia="zh-CN"/>
        </w:rPr>
        <w:t>。</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7</w:t>
      </w:r>
      <w:r w:rsidR="00492F23">
        <w:rPr>
          <w:rFonts w:ascii="宋体" w:hAnsi="宋体"/>
          <w:szCs w:val="21"/>
          <w:highlight w:val="white"/>
          <w:lang w:eastAsia="zh-CN"/>
        </w:rPr>
        <w:t>.</w:t>
      </w:r>
      <w:r>
        <w:rPr>
          <w:rFonts w:ascii="宋体" w:hAnsi="宋体" w:hint="eastAsia"/>
          <w:szCs w:val="21"/>
          <w:highlight w:val="white"/>
          <w:lang w:eastAsia="zh-CN"/>
        </w:rPr>
        <w:t>基金财产清算剩余资产的分配</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8</w:t>
      </w:r>
      <w:r w:rsidR="00492F23">
        <w:rPr>
          <w:rFonts w:ascii="宋体" w:hAnsi="宋体"/>
          <w:szCs w:val="21"/>
          <w:highlight w:val="white"/>
          <w:lang w:eastAsia="zh-CN"/>
        </w:rPr>
        <w:t>.</w:t>
      </w:r>
      <w:r>
        <w:rPr>
          <w:rFonts w:ascii="宋体" w:hAnsi="宋体" w:hint="eastAsia"/>
          <w:szCs w:val="21"/>
          <w:highlight w:val="white"/>
          <w:lang w:eastAsia="zh-CN"/>
        </w:rPr>
        <w:t>基金财产清</w:t>
      </w:r>
      <w:r>
        <w:rPr>
          <w:rFonts w:ascii="宋体" w:hAnsi="宋体" w:hint="eastAsia"/>
          <w:highlight w:val="white"/>
          <w:lang w:eastAsia="zh-CN"/>
        </w:rPr>
        <w:t>算的公告</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hint="eastAsia"/>
          <w:szCs w:val="21"/>
          <w:highlight w:val="white"/>
          <w:lang w:eastAsia="zh-CN"/>
        </w:rPr>
        <w:t>5</w:t>
      </w:r>
      <w:r>
        <w:rPr>
          <w:rFonts w:ascii="宋体" w:hAnsi="宋体" w:hint="eastAsia"/>
          <w:szCs w:val="21"/>
          <w:highlight w:val="white"/>
          <w:lang w:eastAsia="zh-CN"/>
        </w:rPr>
        <w:t>个工作日内由基金财产清算小组进行公告。</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9</w:t>
      </w:r>
      <w:r w:rsidR="00492F23">
        <w:rPr>
          <w:rFonts w:ascii="宋体" w:hAnsi="宋体"/>
          <w:szCs w:val="21"/>
          <w:highlight w:val="white"/>
          <w:lang w:eastAsia="zh-CN"/>
        </w:rPr>
        <w:t>.</w:t>
      </w:r>
      <w:r>
        <w:rPr>
          <w:rFonts w:ascii="宋体" w:hAnsi="宋体" w:hint="eastAsia"/>
          <w:highlight w:val="white"/>
          <w:lang w:eastAsia="zh-CN"/>
        </w:rPr>
        <w:t>基金财产清算账册及文件的保存</w:t>
      </w:r>
    </w:p>
    <w:p w:rsidR="009944EC">
      <w:pPr>
        <w:spacing w:line="360" w:lineRule="auto"/>
        <w:ind w:firstLine="473"/>
        <w:jc w:val="left"/>
        <w:rPr>
          <w:rFonts w:ascii="宋体" w:hAnsi="宋体"/>
          <w:szCs w:val="21"/>
          <w:lang w:eastAsia="zh-CN"/>
        </w:rPr>
      </w:pPr>
      <w:r>
        <w:rPr>
          <w:rFonts w:ascii="宋体" w:hAnsi="宋体" w:hint="eastAsia"/>
          <w:szCs w:val="21"/>
          <w:highlight w:val="white"/>
          <w:lang w:eastAsia="zh-CN"/>
        </w:rPr>
        <w:t>基金财产清算账册及有关文件由基金托管人保存，保存期限不少于</w:t>
      </w:r>
      <w:r>
        <w:rPr>
          <w:rFonts w:ascii="宋体" w:hAnsi="宋体" w:hint="eastAsia"/>
          <w:szCs w:val="21"/>
          <w:highlight w:val="white"/>
          <w:lang w:eastAsia="zh-CN"/>
        </w:rPr>
        <w:t>20</w:t>
      </w:r>
      <w:r>
        <w:rPr>
          <w:rFonts w:ascii="宋体" w:hAnsi="宋体" w:hint="eastAsia"/>
          <w:szCs w:val="21"/>
          <w:highlight w:val="white"/>
          <w:lang w:eastAsia="zh-CN"/>
        </w:rPr>
        <w:t>年，法律法规或监管部门另有规定的除外。</w:t>
      </w:r>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114" w:name="_Toc69134107"/>
      <w:r>
        <w:rPr>
          <w:rFonts w:ascii="宋体" w:eastAsia="宋体" w:hAnsi="宋体" w:cs="Arial" w:hint="eastAsia"/>
          <w:sz w:val="21"/>
          <w:szCs w:val="21"/>
          <w:highlight w:val="white"/>
        </w:rPr>
        <w:t>违约责任</w:t>
      </w:r>
      <w:bookmarkEnd w:id="114"/>
    </w:p>
    <w:p w:rsidR="009944EC">
      <w:pPr>
        <w:spacing w:line="360" w:lineRule="auto"/>
        <w:ind w:firstLine="473"/>
        <w:rPr>
          <w:rFonts w:ascii="宋体" w:hAnsi="宋体"/>
          <w:lang w:eastAsia="zh-CN"/>
        </w:rPr>
      </w:pPr>
      <w:r>
        <w:rPr>
          <w:rFonts w:ascii="宋体" w:hAnsi="宋体" w:hint="eastAsia"/>
          <w:szCs w:val="21"/>
          <w:highlight w:val="white"/>
          <w:lang w:eastAsia="zh-CN"/>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ascii="宋体" w:hAnsi="宋体" w:hint="eastAsia"/>
          <w:highlight w:val="white"/>
          <w:lang w:eastAsia="zh-CN"/>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highlight w:val="white"/>
          <w:lang w:eastAsia="zh-CN"/>
        </w:rPr>
        <w:t>但是发生下列情况，当事人免责：</w:t>
      </w:r>
    </w:p>
    <w:p w:rsidR="009944EC">
      <w:pPr>
        <w:spacing w:line="360" w:lineRule="auto"/>
        <w:ind w:firstLine="473"/>
        <w:jc w:val="left"/>
        <w:rPr>
          <w:rFonts w:ascii="宋体" w:hAnsi="宋体"/>
          <w:lang w:eastAsia="zh-CN"/>
        </w:rPr>
      </w:pPr>
      <w:r>
        <w:rPr>
          <w:rFonts w:ascii="宋体" w:hAnsi="宋体"/>
          <w:highlight w:val="white"/>
          <w:lang w:eastAsia="zh-CN"/>
        </w:rPr>
        <w:t>1</w:t>
      </w:r>
      <w:r w:rsidR="00492F23">
        <w:rPr>
          <w:rFonts w:ascii="宋体" w:hAnsi="宋体"/>
          <w:highlight w:val="white"/>
          <w:lang w:eastAsia="zh-CN"/>
        </w:rPr>
        <w:t>.</w:t>
      </w:r>
      <w:r>
        <w:rPr>
          <w:rFonts w:ascii="宋体" w:hAnsi="宋体"/>
          <w:highlight w:val="white"/>
          <w:lang w:eastAsia="zh-CN"/>
        </w:rPr>
        <w:t>不可抗力；</w:t>
      </w:r>
    </w:p>
    <w:p w:rsidR="009944EC">
      <w:pPr>
        <w:spacing w:line="360" w:lineRule="auto"/>
        <w:ind w:firstLine="473"/>
        <w:jc w:val="left"/>
        <w:rPr>
          <w:rFonts w:ascii="宋体" w:hAnsi="宋体"/>
          <w:lang w:eastAsia="zh-CN"/>
        </w:rPr>
      </w:pPr>
      <w:r>
        <w:rPr>
          <w:rFonts w:ascii="宋体" w:hAnsi="宋体"/>
          <w:highlight w:val="white"/>
          <w:lang w:eastAsia="zh-CN"/>
        </w:rPr>
        <w:t>2</w:t>
      </w:r>
      <w:r w:rsidR="00492F23">
        <w:rPr>
          <w:rFonts w:ascii="宋体" w:hAnsi="宋体"/>
          <w:highlight w:val="white"/>
          <w:lang w:eastAsia="zh-CN"/>
        </w:rPr>
        <w:t>.</w:t>
      </w:r>
      <w:r>
        <w:rPr>
          <w:rFonts w:ascii="宋体" w:hAnsi="宋体"/>
          <w:highlight w:val="white"/>
          <w:lang w:eastAsia="zh-CN"/>
        </w:rPr>
        <w:t>基金管理人和</w:t>
      </w:r>
      <w:r>
        <w:rPr>
          <w:rFonts w:ascii="宋体" w:hAnsi="宋体"/>
          <w:highlight w:val="white"/>
          <w:lang w:eastAsia="zh-CN"/>
        </w:rPr>
        <w:t>/</w:t>
      </w:r>
      <w:r>
        <w:rPr>
          <w:rFonts w:ascii="宋体" w:hAnsi="宋体"/>
          <w:highlight w:val="white"/>
          <w:lang w:eastAsia="zh-CN"/>
        </w:rPr>
        <w:t>或基金托管人按照当时有效的法律法规或中国证监会的规定作为或不作为而造成的损失等；</w:t>
      </w:r>
    </w:p>
    <w:p w:rsidR="009944EC">
      <w:pPr>
        <w:spacing w:line="360" w:lineRule="auto"/>
        <w:ind w:firstLine="473"/>
        <w:jc w:val="left"/>
        <w:rPr>
          <w:rFonts w:ascii="宋体" w:hAnsi="宋体"/>
          <w:lang w:eastAsia="zh-CN"/>
        </w:rPr>
      </w:pPr>
      <w:r>
        <w:rPr>
          <w:rFonts w:ascii="宋体" w:hAnsi="宋体"/>
          <w:highlight w:val="white"/>
          <w:lang w:eastAsia="zh-CN"/>
        </w:rPr>
        <w:t>3</w:t>
      </w:r>
      <w:r w:rsidR="00492F23">
        <w:rPr>
          <w:rFonts w:ascii="宋体" w:hAnsi="宋体"/>
          <w:highlight w:val="white"/>
          <w:lang w:eastAsia="zh-CN"/>
        </w:rPr>
        <w:t>.</w:t>
      </w:r>
      <w:r>
        <w:rPr>
          <w:rFonts w:ascii="宋体" w:hAnsi="宋体"/>
          <w:highlight w:val="white"/>
          <w:lang w:eastAsia="zh-CN"/>
        </w:rPr>
        <w:t>基金管理人由于按照基金合同规定的投资原则投资或不投资造成的损失等。</w:t>
      </w:r>
    </w:p>
    <w:p w:rsidR="009944EC">
      <w:pPr>
        <w:spacing w:line="360" w:lineRule="auto"/>
        <w:ind w:firstLine="473"/>
        <w:rPr>
          <w:rFonts w:ascii="宋体" w:hAnsi="宋体"/>
          <w:lang w:eastAsia="zh-CN"/>
        </w:rPr>
      </w:pPr>
      <w:r>
        <w:rPr>
          <w:rFonts w:ascii="宋体" w:hAnsi="宋体" w:hint="eastAsia"/>
          <w:szCs w:val="21"/>
          <w:highlight w:val="white"/>
          <w:lang w:eastAsia="zh-CN"/>
        </w:rPr>
        <w:t>（二）</w:t>
      </w:r>
      <w:r>
        <w:rPr>
          <w:rFonts w:ascii="宋体" w:hAnsi="宋体" w:hint="eastAsia"/>
          <w:highlight w:val="white"/>
          <w:lang w:eastAsia="zh-CN"/>
        </w:rPr>
        <w:t>在发生一方或多方违约的情况下，在最大限度地保护基金份额持有人利益的前提下，《基金合同》能够继续履行的应当</w:t>
      </w:r>
      <w:r>
        <w:rPr>
          <w:rFonts w:ascii="宋体" w:hAnsi="宋体" w:hint="eastAsia"/>
          <w:highlight w:val="white"/>
          <w:lang w:eastAsia="zh-CN"/>
        </w:rPr>
        <w:t>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944EC">
      <w:pPr>
        <w:spacing w:line="360" w:lineRule="auto"/>
        <w:ind w:firstLine="473"/>
        <w:rPr>
          <w:rFonts w:ascii="宋体" w:hAnsi="宋体"/>
          <w:szCs w:val="21"/>
          <w:lang w:eastAsia="zh-CN"/>
        </w:rPr>
      </w:pPr>
      <w:r>
        <w:rPr>
          <w:rFonts w:ascii="宋体" w:hAnsi="宋体" w:hint="eastAsia"/>
          <w:highlight w:val="white"/>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944EC">
      <w:pPr>
        <w:pStyle w:val="11"/>
        <w:keepNext w:val="0"/>
        <w:keepLines w:val="0"/>
        <w:numPr>
          <w:ilvl w:val="0"/>
          <w:numId w:val="2"/>
        </w:numPr>
        <w:tabs>
          <w:tab w:val="left" w:pos="420"/>
        </w:tabs>
        <w:spacing w:before="360" w:after="360"/>
        <w:rPr>
          <w:rFonts w:ascii="宋体" w:eastAsia="宋体" w:hAnsi="宋体"/>
          <w:b w:val="0"/>
          <w:sz w:val="21"/>
          <w:lang w:eastAsia="zh-CN"/>
        </w:rPr>
      </w:pPr>
      <w:bookmarkStart w:id="115" w:name="_Toc69134108"/>
      <w:r>
        <w:rPr>
          <w:rFonts w:ascii="宋体" w:eastAsia="宋体" w:hAnsi="宋体" w:cs="Arial" w:hint="eastAsia"/>
          <w:sz w:val="21"/>
          <w:szCs w:val="21"/>
          <w:highlight w:val="white"/>
          <w:lang w:eastAsia="zh-CN"/>
        </w:rPr>
        <w:t>适用法律及争议解决方式</w:t>
      </w:r>
      <w:bookmarkEnd w:id="115"/>
    </w:p>
    <w:p w:rsidR="009944EC">
      <w:pPr>
        <w:spacing w:line="360" w:lineRule="auto"/>
        <w:ind w:firstLine="420"/>
        <w:rPr>
          <w:rFonts w:ascii="宋体" w:hAnsi="宋体"/>
          <w:lang w:val="zh-CN" w:eastAsia="zh-CN"/>
        </w:rPr>
      </w:pPr>
      <w:r>
        <w:rPr>
          <w:rFonts w:ascii="宋体" w:hAnsi="宋体" w:hint="eastAsia"/>
          <w:highlight w:val="white"/>
          <w:lang w:val="zh-CN" w:eastAsia="zh-CN"/>
        </w:rPr>
        <w:t>（一）</w:t>
      </w:r>
      <w:r>
        <w:rPr>
          <w:rFonts w:ascii="宋体" w:hAnsi="宋体" w:hint="eastAsia"/>
          <w:szCs w:val="21"/>
          <w:highlight w:val="white"/>
          <w:lang w:eastAsia="zh-CN"/>
        </w:rPr>
        <w:t>本协议适用中华人民共和国法律（为本协议之目的，在此不包括香港特别行政区、澳门特别行政区和台湾地区法律），并从其解释。</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二）相关各方当事人同意，因本协议而产生的或与本协议有关的一切争议，除经友好协商可以解决的，应提交上海国际经济贸易仲裁委员会，根据该会届时有效的仲裁规则进行仲裁，仲裁的地点在上海，仲裁裁决是终局性的并对相关各方均有约束力。除非仲裁裁决另有决定，仲裁费用由败诉方承担。</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争议处理期间，相关各方当事人应恪守基金管理人和基金托管人职责，继续忠实、勤勉、尽责地履行《基金合同》和本托管协议规定的义</w:t>
      </w:r>
      <w:r>
        <w:rPr>
          <w:rFonts w:ascii="宋体" w:hAnsi="宋体" w:hint="eastAsia"/>
          <w:szCs w:val="21"/>
          <w:highlight w:val="white"/>
          <w:lang w:eastAsia="zh-CN"/>
        </w:rPr>
        <w:t>务，维护基金份额持有人的合法权益。</w:t>
      </w:r>
    </w:p>
    <w:p w:rsidR="009944EC">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16" w:name="_Toc69134109"/>
      <w:r>
        <w:rPr>
          <w:rFonts w:ascii="宋体" w:eastAsia="宋体" w:hAnsi="宋体" w:cs="Arial" w:hint="eastAsia"/>
          <w:sz w:val="21"/>
          <w:szCs w:val="21"/>
          <w:highlight w:val="white"/>
          <w:lang w:eastAsia="zh-CN"/>
        </w:rPr>
        <w:t>基金托管协议的效力和文本</w:t>
      </w:r>
      <w:bookmarkEnd w:id="116"/>
    </w:p>
    <w:p w:rsidR="009944EC">
      <w:pPr>
        <w:pStyle w:val="BodyTextIndent"/>
        <w:rPr>
          <w:rFonts w:ascii="宋体" w:hAnsi="宋体"/>
          <w:szCs w:val="21"/>
          <w:lang w:eastAsia="zh-CN"/>
        </w:rPr>
      </w:pPr>
      <w:r>
        <w:rPr>
          <w:rFonts w:ascii="宋体" w:hAnsi="宋体" w:hint="eastAsia"/>
          <w:szCs w:val="21"/>
          <w:highlight w:val="white"/>
          <w:lang w:eastAsia="zh-CN"/>
        </w:rPr>
        <w:t>（一）</w:t>
      </w:r>
      <w:r>
        <w:rPr>
          <w:rFonts w:ascii="宋体" w:hAnsi="宋体" w:cs="Arial" w:hint="eastAsia"/>
          <w:szCs w:val="21"/>
          <w:highlight w:val="white"/>
          <w:lang w:eastAsia="zh-CN"/>
        </w:rPr>
        <w:t>本协议经基金管理人、基金托管人双方法定代表人或授权代理人签字（或盖章）并加盖公章（或合同专用章）后成立</w:t>
      </w:r>
      <w:r>
        <w:rPr>
          <w:rFonts w:ascii="宋体" w:hAnsi="宋体" w:hint="eastAsia"/>
          <w:szCs w:val="21"/>
          <w:highlight w:val="white"/>
          <w:lang w:eastAsia="zh-CN"/>
        </w:rPr>
        <w:t>。本协议以中国证监会注册的文本为正式文本。</w:t>
      </w:r>
    </w:p>
    <w:p w:rsidR="009944EC">
      <w:pPr>
        <w:pStyle w:val="BodyTextIndent"/>
        <w:rPr>
          <w:rFonts w:ascii="宋体" w:hAnsi="宋体"/>
          <w:szCs w:val="21"/>
          <w:lang w:eastAsia="zh-CN"/>
        </w:rPr>
      </w:pPr>
      <w:r>
        <w:rPr>
          <w:rFonts w:ascii="宋体" w:hAnsi="宋体" w:hint="eastAsia"/>
          <w:szCs w:val="21"/>
          <w:highlight w:val="white"/>
          <w:lang w:eastAsia="zh-CN"/>
        </w:rPr>
        <w:t>（二）本协议自《基金合同》生效之日起生效，有效期自其生效之日起至该基金财产清算结果报中国证监会备案并公告之日止。</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（三）本协议自生效之日起对各当事人具有同等的法律约束力。</w:t>
      </w:r>
    </w:p>
    <w:p w:rsidR="009944EC">
      <w:pPr>
        <w:spacing w:line="360" w:lineRule="auto"/>
        <w:ind w:firstLine="420"/>
        <w:rPr>
          <w:rFonts w:ascii="宋体" w:hAnsi="宋体"/>
          <w:szCs w:val="21"/>
          <w:lang w:eastAsia="zh-CN"/>
        </w:rPr>
      </w:pPr>
      <w:r>
        <w:rPr>
          <w:rFonts w:ascii="宋体" w:hAnsi="宋体" w:hint="eastAsia"/>
          <w:szCs w:val="21"/>
          <w:highlight w:val="white"/>
          <w:lang w:eastAsia="zh-CN"/>
        </w:rPr>
        <w:t>（四）本协议一式三份，除上报有关监管机构一份外，基金管理人和基金托管人分别持一份，每份具有同等的法律效力。</w:t>
      </w:r>
    </w:p>
    <w:p w:rsidR="009944EC">
      <w:pPr>
        <w:pStyle w:val="11"/>
        <w:keepNext w:val="0"/>
        <w:keepLines w:val="0"/>
        <w:numPr>
          <w:ilvl w:val="0"/>
          <w:numId w:val="2"/>
        </w:numPr>
        <w:tabs>
          <w:tab w:val="left" w:pos="420"/>
        </w:tabs>
        <w:spacing w:before="360" w:after="360"/>
        <w:rPr>
          <w:rFonts w:ascii="宋体" w:eastAsia="宋体" w:hAnsi="宋体" w:cs="Arial"/>
          <w:sz w:val="21"/>
          <w:szCs w:val="21"/>
        </w:rPr>
      </w:pPr>
      <w:bookmarkStart w:id="117" w:name="_Toc69134110"/>
      <w:r>
        <w:rPr>
          <w:rFonts w:ascii="宋体" w:eastAsia="宋体" w:hAnsi="宋体" w:cs="Arial" w:hint="eastAsia"/>
          <w:sz w:val="21"/>
          <w:szCs w:val="21"/>
          <w:highlight w:val="white"/>
        </w:rPr>
        <w:t>其他事项</w:t>
      </w:r>
      <w:bookmarkEnd w:id="117"/>
    </w:p>
    <w:p w:rsidR="009944EC">
      <w:pPr>
        <w:pStyle w:val="BodyTextIndent"/>
        <w:rPr>
          <w:rFonts w:ascii="宋体" w:hAnsi="宋体"/>
          <w:szCs w:val="21"/>
          <w:lang w:eastAsia="zh-CN"/>
        </w:rPr>
      </w:pPr>
      <w:r>
        <w:rPr>
          <w:rFonts w:ascii="宋体" w:hAnsi="宋体" w:hint="eastAsia"/>
          <w:szCs w:val="21"/>
          <w:highlight w:val="white"/>
          <w:lang w:eastAsia="zh-CN"/>
        </w:rPr>
        <w:t>（一）双</w:t>
      </w:r>
      <w:r>
        <w:rPr>
          <w:rFonts w:ascii="宋体" w:hAnsi="宋体" w:hint="eastAsia"/>
          <w:szCs w:val="21"/>
          <w:highlight w:val="white"/>
          <w:lang w:eastAsia="zh-CN"/>
        </w:rPr>
        <w:t>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9944EC">
      <w:pPr>
        <w:pStyle w:val="BodyTextIndent"/>
        <w:rPr>
          <w:rFonts w:ascii="宋体" w:hAnsi="宋体"/>
          <w:szCs w:val="21"/>
          <w:lang w:eastAsia="zh-CN"/>
        </w:rPr>
      </w:pPr>
      <w:r>
        <w:rPr>
          <w:rFonts w:ascii="宋体" w:hAnsi="宋体" w:hint="eastAsia"/>
          <w:szCs w:val="21"/>
          <w:highlight w:val="white"/>
          <w:lang w:eastAsia="zh-CN"/>
        </w:rPr>
        <w:t>（二）反洗钱义务</w:t>
      </w:r>
    </w:p>
    <w:p w:rsidR="009944EC">
      <w:pPr>
        <w:pStyle w:val="BodyTextIndent"/>
        <w:rPr>
          <w:rFonts w:ascii="宋体" w:hAnsi="宋体"/>
          <w:szCs w:val="21"/>
          <w:lang w:eastAsia="zh-CN"/>
        </w:rPr>
      </w:pPr>
      <w:r>
        <w:rPr>
          <w:rFonts w:ascii="宋体" w:hAnsi="宋体" w:hint="eastAsia"/>
          <w:szCs w:val="21"/>
          <w:highlight w:val="white"/>
          <w:lang w:eastAsia="zh-CN"/>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w:t>
      </w:r>
      <w:r>
        <w:rPr>
          <w:rFonts w:ascii="宋体" w:hAnsi="宋体" w:hint="eastAsia"/>
          <w:szCs w:val="21"/>
          <w:highlight w:val="white"/>
          <w:lang w:eastAsia="zh-CN"/>
        </w:rPr>
        <w:t>的客户，任何一方有权按照中国人民银行反洗钱监管规定采取必要管控措施，或单方面终止本合作。</w:t>
      </w:r>
    </w:p>
    <w:p w:rsidR="009944EC">
      <w:pPr>
        <w:pStyle w:val="BodyTextIndent"/>
        <w:rPr>
          <w:rFonts w:ascii="宋体" w:hAnsi="宋体"/>
          <w:szCs w:val="21"/>
          <w:lang w:eastAsia="zh-CN"/>
        </w:rPr>
      </w:pPr>
      <w:r>
        <w:rPr>
          <w:rFonts w:ascii="宋体" w:hAnsi="宋体" w:hint="eastAsia"/>
          <w:szCs w:val="21"/>
          <w:highlight w:val="white"/>
          <w:lang w:eastAsia="zh-CN"/>
        </w:rPr>
        <w:t>（三）本协议未尽事宜，当事人依据《基金合同》以及有关法律、法规和规定协商办理。</w:t>
      </w:r>
    </w:p>
    <w:p w:rsidR="009944EC">
      <w:pPr>
        <w:pStyle w:val="BodyTextIndent"/>
        <w:ind w:firstLine="0"/>
        <w:rPr>
          <w:rFonts w:ascii="宋体" w:hAnsi="宋体"/>
          <w:szCs w:val="21"/>
          <w:lang w:eastAsia="zh-CN"/>
        </w:rPr>
      </w:pPr>
      <w:r>
        <w:rPr>
          <w:rFonts w:ascii="宋体" w:hAnsi="宋体" w:hint="eastAsia"/>
          <w:szCs w:val="21"/>
          <w:highlight w:val="white"/>
          <w:lang w:eastAsia="zh-CN"/>
        </w:rPr>
        <w:t>（以下无正文）</w:t>
      </w:r>
    </w:p>
    <w:p w:rsidR="009944EC">
      <w:pPr>
        <w:widowControl/>
        <w:spacing w:beforeAutospacing="1" w:line="360" w:lineRule="auto"/>
        <w:jc w:val="left"/>
        <w:rPr>
          <w:rFonts w:ascii="宋体" w:hAnsi="宋体"/>
          <w:szCs w:val="21"/>
          <w:lang w:val="zh-CN" w:eastAsia="zh-CN"/>
        </w:rPr>
        <w:sectPr>
          <w:footerReference w:type="default" r:id="rId7"/>
          <w:pgSz w:w="11906" w:h="16838"/>
          <w:pgMar w:top="1440" w:right="1800" w:bottom="1440" w:left="1800" w:header="851" w:footer="992" w:gutter="0"/>
          <w:pgNumType w:start="1"/>
          <w:cols w:space="720"/>
          <w:docGrid w:type="lines" w:linePitch="312"/>
        </w:sectPr>
      </w:pPr>
    </w:p>
    <w:p w:rsidR="009944EC">
      <w:pPr>
        <w:spacing w:after="120" w:line="360" w:lineRule="auto"/>
        <w:ind w:firstLine="422"/>
        <w:rPr>
          <w:rFonts w:ascii="宋体" w:hAnsi="宋体"/>
          <w:b/>
          <w:lang w:eastAsia="zh-CN"/>
        </w:rPr>
      </w:pPr>
      <w:r>
        <w:rPr>
          <w:rFonts w:ascii="宋体" w:hAnsi="宋体" w:hint="eastAsia"/>
          <w:b/>
          <w:szCs w:val="21"/>
          <w:highlight w:val="white"/>
          <w:lang w:eastAsia="zh-CN"/>
        </w:rPr>
        <w:t>（本页为易方达中证消费电子主题交易型开放式指数证券投资基金发起式联接基金托管协议签署页</w:t>
      </w:r>
      <w:r>
        <w:rPr>
          <w:rFonts w:ascii="宋体" w:hAnsi="宋体" w:hint="eastAsia"/>
          <w:b/>
          <w:highlight w:val="white"/>
          <w:lang w:eastAsia="zh-CN"/>
        </w:rPr>
        <w:t>，无正文）</w:t>
      </w:r>
    </w:p>
    <w:p w:rsidR="009944EC">
      <w:pPr>
        <w:spacing w:line="360" w:lineRule="auto"/>
        <w:ind w:right="26"/>
        <w:rPr>
          <w:rFonts w:ascii="宋体" w:hAnsi="宋体"/>
          <w:b/>
          <w:bCs/>
          <w:szCs w:val="21"/>
          <w:lang w:eastAsia="zh-CN"/>
        </w:rPr>
      </w:pPr>
    </w:p>
    <w:p w:rsidR="009944EC">
      <w:pPr>
        <w:spacing w:line="360" w:lineRule="auto"/>
        <w:ind w:right="26"/>
        <w:rPr>
          <w:rFonts w:ascii="宋体" w:hAnsi="宋体"/>
          <w:b/>
          <w:szCs w:val="21"/>
          <w:lang w:eastAsia="zh-CN"/>
        </w:rPr>
      </w:pPr>
      <w:r>
        <w:rPr>
          <w:rFonts w:ascii="宋体" w:hAnsi="宋体" w:hint="eastAsia"/>
          <w:b/>
          <w:bCs/>
          <w:szCs w:val="21"/>
          <w:highlight w:val="white"/>
          <w:lang w:eastAsia="zh-CN"/>
        </w:rPr>
        <w:t xml:space="preserve">    </w:t>
      </w:r>
      <w:r>
        <w:rPr>
          <w:rFonts w:ascii="宋体" w:hAnsi="宋体" w:hint="eastAsia"/>
          <w:b/>
          <w:szCs w:val="21"/>
          <w:highlight w:val="white"/>
          <w:lang w:eastAsia="zh-CN"/>
        </w:rPr>
        <w:t>本协议由下述双方于</w:t>
      </w:r>
      <w:r>
        <w:rPr>
          <w:rFonts w:ascii="宋体" w:hAnsi="宋体" w:hint="eastAsia"/>
          <w:b/>
          <w:szCs w:val="21"/>
          <w:highlight w:val="white"/>
          <w:lang w:eastAsia="zh-CN"/>
        </w:rPr>
        <w:t>__________</w:t>
      </w:r>
      <w:r>
        <w:rPr>
          <w:rFonts w:ascii="宋体" w:hAnsi="宋体" w:hint="eastAsia"/>
          <w:b/>
          <w:szCs w:val="21"/>
          <w:highlight w:val="white"/>
          <w:lang w:eastAsia="zh-CN"/>
        </w:rPr>
        <w:t>年</w:t>
      </w:r>
      <w:r>
        <w:rPr>
          <w:rFonts w:ascii="宋体" w:hAnsi="宋体" w:hint="eastAsia"/>
          <w:b/>
          <w:szCs w:val="21"/>
          <w:highlight w:val="white"/>
          <w:lang w:eastAsia="zh-CN"/>
        </w:rPr>
        <w:t>______</w:t>
      </w:r>
      <w:r>
        <w:rPr>
          <w:rFonts w:ascii="宋体" w:hAnsi="宋体" w:hint="eastAsia"/>
          <w:b/>
          <w:szCs w:val="21"/>
          <w:highlight w:val="white"/>
          <w:lang w:eastAsia="zh-CN"/>
        </w:rPr>
        <w:t>月</w:t>
      </w:r>
      <w:r>
        <w:rPr>
          <w:rFonts w:ascii="宋体" w:hAnsi="宋体" w:hint="eastAsia"/>
          <w:b/>
          <w:szCs w:val="21"/>
          <w:highlight w:val="white"/>
          <w:lang w:eastAsia="zh-CN"/>
        </w:rPr>
        <w:t>______</w:t>
      </w:r>
      <w:r>
        <w:rPr>
          <w:rFonts w:ascii="宋体" w:hAnsi="宋体" w:hint="eastAsia"/>
          <w:b/>
          <w:szCs w:val="21"/>
          <w:highlight w:val="white"/>
          <w:lang w:eastAsia="zh-CN"/>
        </w:rPr>
        <w:t>日签署。双方确认，在签署本协议时，双方已就全部条款进行了详细地说明和讨论，双方对协议的全部条款均无疑义，并对本协议中当事人有关权利义务和责任限制或免除条款的法律含义有准确无误的理解。</w:t>
      </w:r>
    </w:p>
    <w:p w:rsidR="009944EC">
      <w:pPr>
        <w:spacing w:line="360" w:lineRule="auto"/>
        <w:ind w:right="26"/>
        <w:rPr>
          <w:rFonts w:ascii="宋体" w:hAnsi="宋体"/>
          <w:szCs w:val="21"/>
          <w:lang w:eastAsia="zh-CN"/>
        </w:rPr>
      </w:pPr>
    </w:p>
    <w:p w:rsidR="009944EC">
      <w:pPr>
        <w:spacing w:line="360" w:lineRule="auto"/>
        <w:ind w:right="26"/>
        <w:rPr>
          <w:rFonts w:ascii="宋体" w:hAnsi="宋体"/>
          <w:szCs w:val="21"/>
          <w:lang w:eastAsia="zh-CN"/>
        </w:rPr>
      </w:pPr>
    </w:p>
    <w:p w:rsidR="009944EC">
      <w:pPr>
        <w:spacing w:line="360" w:lineRule="auto"/>
        <w:ind w:right="26"/>
        <w:rPr>
          <w:rFonts w:ascii="宋体" w:hAnsi="宋体"/>
          <w:szCs w:val="21"/>
          <w:lang w:eastAsia="zh-CN"/>
        </w:rPr>
      </w:pPr>
    </w:p>
    <w:p w:rsidR="009944EC">
      <w:pPr>
        <w:spacing w:line="360" w:lineRule="auto"/>
        <w:ind w:right="26"/>
        <w:rPr>
          <w:rFonts w:ascii="宋体" w:hAnsi="宋体"/>
          <w:szCs w:val="21"/>
          <w:lang w:eastAsia="zh-CN"/>
        </w:rPr>
      </w:pPr>
    </w:p>
    <w:p w:rsidR="009944EC">
      <w:pPr>
        <w:spacing w:line="360" w:lineRule="auto"/>
        <w:ind w:right="26"/>
        <w:rPr>
          <w:rFonts w:ascii="宋体" w:hAnsi="宋体"/>
          <w:szCs w:val="21"/>
          <w:lang w:eastAsia="zh-CN"/>
        </w:rPr>
      </w:pPr>
      <w:r>
        <w:rPr>
          <w:rFonts w:ascii="宋体" w:hAnsi="宋体" w:hint="eastAsia"/>
          <w:b/>
          <w:bCs/>
          <w:szCs w:val="21"/>
          <w:highlight w:val="white"/>
          <w:lang w:eastAsia="zh-CN"/>
        </w:rPr>
        <w:t>基金管理人（公章或合同专用章）</w:t>
      </w:r>
      <w:r>
        <w:rPr>
          <w:rFonts w:ascii="宋体" w:hAnsi="宋体" w:hint="eastAsia"/>
          <w:b/>
          <w:bCs/>
          <w:szCs w:val="21"/>
          <w:highlight w:val="white"/>
          <w:lang w:eastAsia="zh-CN"/>
        </w:rPr>
        <w:t xml:space="preserve">             </w:t>
      </w:r>
      <w:r>
        <w:rPr>
          <w:rFonts w:ascii="宋体" w:hAnsi="宋体" w:hint="eastAsia"/>
          <w:b/>
          <w:bCs/>
          <w:szCs w:val="21"/>
          <w:highlight w:val="white"/>
          <w:lang w:eastAsia="zh-CN"/>
        </w:rPr>
        <w:t>基金托管人（公章或合同专用章）</w:t>
      </w:r>
    </w:p>
    <w:p w:rsidR="009944EC">
      <w:pPr>
        <w:spacing w:line="360" w:lineRule="auto"/>
        <w:ind w:right="26"/>
        <w:rPr>
          <w:rFonts w:ascii="宋体" w:hAnsi="宋体"/>
          <w:szCs w:val="21"/>
          <w:lang w:eastAsia="zh-CN"/>
        </w:rPr>
      </w:pPr>
    </w:p>
    <w:p w:rsidR="009944EC">
      <w:pPr>
        <w:spacing w:line="360" w:lineRule="auto"/>
        <w:ind w:right="-17"/>
        <w:rPr>
          <w:rFonts w:ascii="宋体" w:hAnsi="宋体"/>
          <w:b/>
          <w:bCs/>
          <w:szCs w:val="21"/>
          <w:lang w:eastAsia="zh-CN"/>
        </w:rPr>
      </w:pPr>
      <w:r>
        <w:rPr>
          <w:rFonts w:ascii="宋体" w:hAnsi="宋体" w:hint="eastAsia"/>
          <w:b/>
          <w:bCs/>
          <w:szCs w:val="21"/>
          <w:highlight w:val="white"/>
          <w:lang w:eastAsia="zh-CN"/>
        </w:rPr>
        <w:t>法定代表人或授权代理人</w:t>
      </w:r>
      <w:r>
        <w:rPr>
          <w:rFonts w:ascii="宋体" w:hAnsi="宋体" w:hint="eastAsia"/>
          <w:b/>
          <w:bCs/>
          <w:szCs w:val="21"/>
          <w:highlight w:val="white"/>
          <w:lang w:eastAsia="zh-CN"/>
        </w:rPr>
        <w:t xml:space="preserve">                     </w:t>
      </w:r>
      <w:r>
        <w:rPr>
          <w:rFonts w:ascii="宋体" w:hAnsi="宋体" w:hint="eastAsia"/>
          <w:b/>
          <w:bCs/>
          <w:szCs w:val="21"/>
          <w:highlight w:val="white"/>
          <w:lang w:eastAsia="zh-CN"/>
        </w:rPr>
        <w:t>法定代表人或授权代理人</w:t>
      </w:r>
    </w:p>
    <w:p w:rsidR="009944EC">
      <w:pPr>
        <w:spacing w:line="360" w:lineRule="auto"/>
        <w:ind w:right="-17"/>
        <w:rPr>
          <w:rFonts w:ascii="宋体" w:hAnsi="宋体"/>
          <w:b/>
          <w:bCs/>
          <w:szCs w:val="21"/>
          <w:lang w:eastAsia="zh-CN"/>
        </w:rPr>
      </w:pPr>
      <w:r>
        <w:rPr>
          <w:rFonts w:ascii="宋体" w:hAnsi="宋体" w:hint="eastAsia"/>
          <w:b/>
          <w:bCs/>
          <w:szCs w:val="21"/>
          <w:highlight w:val="white"/>
          <w:lang w:eastAsia="zh-CN"/>
        </w:rPr>
        <w:t>（签字或盖章）</w:t>
      </w:r>
      <w:r>
        <w:rPr>
          <w:rFonts w:ascii="宋体" w:hAnsi="宋体" w:hint="eastAsia"/>
          <w:b/>
          <w:bCs/>
          <w:szCs w:val="21"/>
          <w:highlight w:val="white"/>
          <w:lang w:eastAsia="zh-CN"/>
        </w:rPr>
        <w:t xml:space="preserve">                           </w:t>
      </w:r>
      <w:r>
        <w:rPr>
          <w:rFonts w:ascii="宋体" w:hAnsi="宋体" w:hint="eastAsia"/>
          <w:b/>
          <w:bCs/>
          <w:szCs w:val="21"/>
          <w:highlight w:val="white"/>
          <w:lang w:eastAsia="zh-CN"/>
        </w:rPr>
        <w:t>（签字或</w:t>
      </w:r>
      <w:r>
        <w:rPr>
          <w:rFonts w:ascii="宋体" w:hAnsi="宋体" w:hint="eastAsia"/>
          <w:b/>
          <w:bCs/>
          <w:szCs w:val="21"/>
          <w:highlight w:val="white"/>
          <w:lang w:eastAsia="zh-CN"/>
        </w:rPr>
        <w:t>盖章）</w:t>
      </w:r>
    </w:p>
    <w:p w:rsidR="009944EC">
      <w:pPr>
        <w:rPr>
          <w:rFonts w:ascii="宋体" w:hAnsi="宋体"/>
          <w:lang w:eastAsia="zh-CN"/>
        </w:rPr>
      </w:pPr>
    </w:p>
    <w:p w:rsidR="009944EC">
      <w:pPr>
        <w:rPr>
          <w:rFonts w:ascii="宋体" w:hAnsi="宋体"/>
          <w:lang w:eastAsia="zh-CN"/>
        </w:rPr>
      </w:pPr>
    </w:p>
    <w:sectPr>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Consola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4EC">
    <w:pPr>
      <w:pStyle w:val="1"/>
      <w:snapToGrid/>
      <w:jc w:val="center"/>
    </w:pPr>
  </w:p>
  <w:p w:rsidR="009944EC">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9799649"/>
      <w:richText/>
    </w:sdtPr>
    <w:sdtContent>
      <w:p w:rsidR="009944EC">
        <w:pPr>
          <w:pStyle w:val="1"/>
          <w:snapToGrid/>
          <w:jc w:val="center"/>
        </w:pPr>
        <w:r>
          <w:fldChar w:fldCharType="begin"/>
        </w:r>
        <w:r>
          <w:rPr>
            <w:highlight w:val="white"/>
          </w:rPr>
          <w:instrText>PAGE   \* MERGEFORMAT</w:instrText>
        </w:r>
        <w:r>
          <w:fldChar w:fldCharType="separate"/>
        </w:r>
        <w:r w:rsidRPr="005D34A6">
          <w:rPr>
            <w:noProof/>
            <w:highlight w:val="white"/>
            <w:lang w:val="zh-CN"/>
          </w:rPr>
          <w:t>34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4EC">
    <w:pPr>
      <w:pStyle w:val="1"/>
      <w:snapToGrid/>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F49824"/>
    <w:multiLevelType w:val="multilevel"/>
    <w:tmpl w:val="34F49824"/>
    <w:lvl w:ilvl="0">
      <w:start w:val="1"/>
      <w:numFmt w:val="chineseCountingThousand"/>
      <w:suff w:val="nothing"/>
      <w:lvlText w:val="%1、"/>
      <w:lvlJc w:val="center"/>
      <w:pPr>
        <w:ind w:left="-288" w:firstLine="288"/>
      </w:pPr>
      <w:rPr>
        <w:rFonts w:hint="eastAsia"/>
        <w:b/>
        <w:sz w:val="21"/>
        <w:szCs w:val="21"/>
        <w:lang w:val="en-US"/>
      </w:rPr>
    </w:lvl>
    <w:lvl w:ilvl="1">
      <w:start w:val="1"/>
      <w:numFmt w:val="chi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bullet"/>
      <w:lvlText w:val="o"/>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bullet"/>
      <w:lvlText w:val="·"/>
      <w:lvlJc w:val="left"/>
      <w:pPr>
        <w:tabs>
          <w:tab w:val="left" w:pos="3827"/>
        </w:tabs>
        <w:ind w:left="3827" w:hanging="1276"/>
      </w:pPr>
      <w:rPr>
        <w:rFonts w:hint="eastAsia"/>
      </w:rPr>
    </w:lvl>
    <w:lvl w:ilvl="7">
      <w:start w:val="1"/>
      <w:numFmt w:val="bullet"/>
      <w:lvlText w:val="o"/>
      <w:lvlJc w:val="left"/>
      <w:pPr>
        <w:tabs>
          <w:tab w:val="left" w:pos="4394"/>
        </w:tabs>
        <w:ind w:left="4394" w:hanging="1418"/>
      </w:pPr>
      <w:rPr>
        <w:rFonts w:hint="eastAsia"/>
      </w:rPr>
    </w:lvl>
    <w:lvl w:ilvl="8">
      <w:start w:val="1"/>
      <w:numFmt w:val="bullet"/>
      <w:lvlText w:val="§"/>
      <w:lvlJc w:val="left"/>
      <w:pPr>
        <w:tabs>
          <w:tab w:val="left" w:pos="5102"/>
        </w:tabs>
        <w:ind w:left="5102" w:hanging="1700"/>
      </w:pPr>
      <w:rPr>
        <w:rFonts w:hint="eastAsia"/>
      </w:rPr>
    </w:lvl>
  </w:abstractNum>
  <w:abstractNum w:abstractNumId="1">
    <w:nsid w:val="4D2CB553"/>
    <w:multiLevelType w:val="multilevel"/>
    <w:tmpl w:val="4D2CB553"/>
    <w:lvl w:ilvl="0">
      <w:start w:val="1"/>
      <w:numFmt w:val="chineseCountingThousand"/>
      <w:pStyle w:val="1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suff w:val="nothing"/>
      <w:lvlText w:val="%3、"/>
      <w:lvlJc w:val="left"/>
      <w:pPr>
        <w:ind w:left="0" w:firstLine="482"/>
      </w:pPr>
      <w:rPr>
        <w:rFonts w:ascii="黑体" w:eastAsia="黑体" w:hint="eastAsia"/>
        <w:b/>
        <w:i w:val="0"/>
        <w:sz w:val="24"/>
      </w:rPr>
    </w:lvl>
    <w:lvl w:ilvl="3">
      <w:start w:val="1"/>
      <w:numFmt w:val="chineseCountingThousand"/>
      <w:suff w:val="nothing"/>
      <w:lvlText w:val="(%4)"/>
      <w:lvlJc w:val="left"/>
      <w:pPr>
        <w:ind w:left="0" w:firstLine="482"/>
      </w:pPr>
      <w:rPr>
        <w:rFonts w:ascii="仿宋_GB2312" w:eastAsia="仿宋_GB2312" w:hint="eastAsia"/>
        <w:b w:val="0"/>
        <w:i w:val="0"/>
        <w:sz w:val="24"/>
      </w:rPr>
    </w:lvl>
    <w:lvl w:ilvl="4">
      <w:start w:val="1"/>
      <w:numFmt w:val="decimal"/>
      <w:suff w:val="nothing"/>
      <w:lvlText w:val="%5."/>
      <w:lvlJc w:val="left"/>
      <w:pPr>
        <w:ind w:left="0" w:firstLine="527"/>
      </w:pPr>
      <w:rPr>
        <w:rFonts w:ascii="仿宋_GB2312" w:eastAsia="仿宋_GB2312" w:hint="eastAsia"/>
        <w:b w:val="0"/>
        <w:i w:val="0"/>
        <w:sz w:val="24"/>
      </w:rPr>
    </w:lvl>
    <w:lvl w:ilvl="5">
      <w:start w:val="1"/>
      <w:numFmt w:val="decimal"/>
      <w:suff w:val="nothing"/>
      <w:lvlText w:val="(%6)"/>
      <w:lvlJc w:val="left"/>
      <w:pPr>
        <w:ind w:left="0" w:firstLine="482"/>
      </w:pPr>
      <w:rPr>
        <w:rFonts w:ascii="仿宋_GB2312" w:eastAsia="仿宋_GB2312" w:hint="eastAsia"/>
        <w:b w:val="0"/>
        <w:i w:val="0"/>
        <w:sz w:val="24"/>
      </w:rPr>
    </w:lvl>
    <w:lvl w:ilvl="6">
      <w:start w:val="1"/>
      <w:numFmt w:val="bullet"/>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30"/>
    <w:rsid w:val="001F6B21"/>
    <w:rsid w:val="002C6C4D"/>
    <w:rsid w:val="002E626F"/>
    <w:rsid w:val="0033579D"/>
    <w:rsid w:val="003E6E99"/>
    <w:rsid w:val="00492F23"/>
    <w:rsid w:val="004D46A4"/>
    <w:rsid w:val="005C283E"/>
    <w:rsid w:val="005D34A6"/>
    <w:rsid w:val="007233FB"/>
    <w:rsid w:val="0087081B"/>
    <w:rsid w:val="00955F74"/>
    <w:rsid w:val="009944EC"/>
    <w:rsid w:val="00A62EE9"/>
    <w:rsid w:val="00BE77AF"/>
    <w:rsid w:val="00CA106B"/>
    <w:rsid w:val="00CD0F30"/>
    <w:rsid w:val="00E07C02"/>
    <w:rsid w:val="00ED77C5"/>
    <w:rsid w:val="00F21E4F"/>
    <w:rsid w:val="00FC2181"/>
    <w:rsid w:val="32E8092A"/>
    <w:rsid w:val="4B2D52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DAD9015-A210-4E75-B3A8-CF8ADFDB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FFFFFF" w:fill="FFFFFF"/>
      <w:jc w:val="both"/>
    </w:pPr>
    <w:rPr>
      <w:rFonts w:ascii="Times New Roman" w:hAnsi="Times New Roman" w:cs="Times New Roma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link w:val="Char7"/>
    <w:uiPriority w:val="99"/>
    <w:qFormat/>
    <w:pPr>
      <w:ind w:firstLine="420"/>
    </w:pPr>
    <w:rPr>
      <w:rFonts w:ascii="Calibri" w:hAnsi="Calibri"/>
    </w:rPr>
  </w:style>
  <w:style w:type="paragraph" w:styleId="DocumentMap">
    <w:name w:val="Document Map"/>
    <w:basedOn w:val="Normal"/>
    <w:link w:val="Char11"/>
    <w:uiPriority w:val="99"/>
    <w:semiHidden/>
    <w:unhideWhenUsed/>
    <w:qFormat/>
    <w:rPr>
      <w:rFonts w:ascii="宋体"/>
      <w:sz w:val="18"/>
      <w:szCs w:val="18"/>
    </w:rPr>
  </w:style>
  <w:style w:type="paragraph" w:styleId="CommentText">
    <w:name w:val="annotation text"/>
    <w:basedOn w:val="Normal"/>
    <w:link w:val="Char9"/>
    <w:unhideWhenUsed/>
    <w:qFormat/>
    <w:pPr>
      <w:jc w:val="left"/>
    </w:pPr>
  </w:style>
  <w:style w:type="paragraph" w:styleId="BodyTextIndent">
    <w:name w:val="Body Text Indent"/>
    <w:basedOn w:val="Normal"/>
    <w:link w:val="Char6"/>
    <w:qFormat/>
    <w:pPr>
      <w:spacing w:line="360" w:lineRule="auto"/>
      <w:ind w:firstLine="359"/>
    </w:pPr>
    <w:rPr>
      <w:lang w:val="zh-CN"/>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uiPriority w:val="39"/>
    <w:unhideWhenUsed/>
    <w:qFormat/>
    <w:pPr>
      <w:spacing w:after="57"/>
      <w:ind w:left="567"/>
    </w:p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0"/>
    <w:qFormat/>
    <w:pPr>
      <w:spacing w:line="360" w:lineRule="auto"/>
      <w:ind w:firstLine="480"/>
      <w:outlineLvl w:val="0"/>
    </w:pPr>
    <w:rPr>
      <w:rFonts w:ascii="仿宋_GB2312" w:eastAsia="仿宋_GB2312" w:hAnsi="Calibri"/>
      <w:sz w:val="24"/>
      <w:szCs w:val="20"/>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8"/>
    <w:uiPriority w:val="99"/>
    <w:semiHidden/>
    <w:unhideWhenUsed/>
    <w:qFormat/>
    <w:rPr>
      <w:sz w:val="18"/>
      <w:szCs w:val="18"/>
    </w:rPr>
  </w:style>
  <w:style w:type="paragraph" w:styleId="Footer">
    <w:name w:val="footer"/>
    <w:basedOn w:val="Normal"/>
    <w:link w:val="Char13"/>
    <w:uiPriority w:val="99"/>
    <w:unhideWhenUsed/>
    <w:qFormat/>
    <w:pPr>
      <w:tabs>
        <w:tab w:val="center" w:pos="4153"/>
        <w:tab w:val="right" w:pos="8306"/>
      </w:tabs>
      <w:snapToGrid w:val="0"/>
      <w:jc w:val="left"/>
    </w:pPr>
    <w:rPr>
      <w:sz w:val="18"/>
      <w:szCs w:val="18"/>
    </w:rPr>
  </w:style>
  <w:style w:type="paragraph" w:styleId="Header">
    <w:name w:val="header"/>
    <w:basedOn w:val="Normal"/>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1"/>
    <w:uiPriority w:val="11"/>
    <w:qFormat/>
    <w:pPr>
      <w:spacing w:before="200" w:after="200"/>
    </w:pPr>
    <w:rPr>
      <w:sz w:val="24"/>
    </w:rPr>
  </w:style>
  <w:style w:type="paragraph" w:styleId="FootnoteText">
    <w:name w:val="footnote text"/>
    <w:basedOn w:val="Normal"/>
    <w:link w:val="Char4"/>
    <w:uiPriority w:val="99"/>
    <w:semiHidden/>
    <w:unhideWhenUsed/>
    <w:qFormat/>
    <w:pPr>
      <w:spacing w:after="40"/>
    </w:pPr>
    <w:rPr>
      <w:sz w:val="18"/>
    </w:rPr>
  </w:style>
  <w:style w:type="paragraph" w:styleId="TOC6">
    <w:name w:val="toc 6"/>
    <w:basedOn w:val="Normal"/>
    <w:next w:val="Normal"/>
    <w:uiPriority w:val="39"/>
    <w:unhideWhenUsed/>
    <w:qFormat/>
    <w:pPr>
      <w:spacing w:after="57"/>
      <w:ind w:left="1417"/>
    </w:p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ind w:left="420"/>
    </w:pPr>
  </w:style>
  <w:style w:type="paragraph" w:styleId="TOC9">
    <w:name w:val="toc 9"/>
    <w:basedOn w:val="Normal"/>
    <w:next w:val="Normal"/>
    <w:uiPriority w:val="39"/>
    <w:unhideWhenUsed/>
    <w:qFormat/>
    <w:pPr>
      <w:spacing w:after="57"/>
      <w:ind w:left="2268"/>
    </w:p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rPr>
  </w:style>
  <w:style w:type="paragraph" w:styleId="Title">
    <w:name w:val="Title"/>
    <w:basedOn w:val="Normal"/>
    <w:next w:val="Normal"/>
    <w:link w:val="Char0"/>
    <w:uiPriority w:val="10"/>
    <w:qFormat/>
    <w:pPr>
      <w:spacing w:before="300" w:after="200"/>
      <w:contextualSpacing/>
    </w:pPr>
    <w:rPr>
      <w:sz w:val="48"/>
      <w:szCs w:val="48"/>
    </w:rPr>
  </w:style>
  <w:style w:type="paragraph" w:styleId="CommentSubject">
    <w:name w:val="annotation subject"/>
    <w:basedOn w:val="CommentText"/>
    <w:next w:val="CommentText"/>
    <w:link w:val="Char10"/>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uiPriority w:val="99"/>
    <w:unhideWhenUsed/>
    <w:qFormat/>
    <w:rPr>
      <w:vertAlign w:val="superscript"/>
    </w:rPr>
  </w:style>
  <w:style w:type="paragraph" w:customStyle="1" w:styleId="11">
    <w:name w:val="标题 11"/>
    <w:basedOn w:val="Normal"/>
    <w:next w:val="Normal"/>
    <w:link w:val="1Char"/>
    <w:qFormat/>
    <w:pPr>
      <w:keepNext/>
      <w:keepLines/>
      <w:numPr>
        <w:numId w:val="1"/>
      </w:numPr>
      <w:spacing w:before="120" w:after="120" w:line="360" w:lineRule="auto"/>
      <w:jc w:val="center"/>
      <w:outlineLvl w:val="0"/>
    </w:pPr>
    <w:rPr>
      <w:rFonts w:ascii="黑体" w:eastAsia="黑体"/>
      <w:b/>
      <w:sz w:val="32"/>
      <w:szCs w:val="20"/>
      <w:lang w:val="zh-CN"/>
    </w:rPr>
  </w:style>
  <w:style w:type="paragraph" w:customStyle="1" w:styleId="21">
    <w:name w:val="标题 21"/>
    <w:basedOn w:val="Normal"/>
    <w:next w:val="Normal"/>
    <w:link w:val="2Char"/>
    <w:qFormat/>
    <w:pPr>
      <w:keepNext/>
      <w:keepLines/>
      <w:spacing w:before="260" w:after="260" w:line="416" w:lineRule="auto"/>
      <w:outlineLvl w:val="1"/>
    </w:pPr>
    <w:rPr>
      <w:rFonts w:ascii="Arial" w:eastAsia="黑体" w:hAnsi="Arial"/>
      <w:b/>
      <w:bCs/>
      <w:sz w:val="32"/>
      <w:szCs w:val="32"/>
    </w:rPr>
  </w:style>
  <w:style w:type="paragraph" w:customStyle="1" w:styleId="1">
    <w:name w:val="页脚1"/>
    <w:basedOn w:val="Normal"/>
    <w:link w:val="Char5"/>
    <w:uiPriority w:val="99"/>
    <w:unhideWhenUsed/>
    <w:qFormat/>
    <w:pPr>
      <w:tabs>
        <w:tab w:val="center" w:pos="4153"/>
        <w:tab w:val="right" w:pos="8306"/>
      </w:tabs>
      <w:snapToGrid w:val="0"/>
      <w:jc w:val="left"/>
    </w:pPr>
    <w:rPr>
      <w:sz w:val="18"/>
      <w:szCs w:val="18"/>
    </w:rPr>
  </w:style>
  <w:style w:type="character" w:customStyle="1" w:styleId="Char">
    <w:name w:val="尾注文本 Char"/>
    <w:link w:val="EndnoteText"/>
    <w:uiPriority w:val="99"/>
    <w:qFormat/>
    <w:rPr>
      <w:sz w:val="20"/>
    </w:rPr>
  </w:style>
  <w:style w:type="paragraph" w:styleId="ListParagraph">
    <w:name w:val="List Paragraph"/>
    <w:basedOn w:val="Normal"/>
    <w:uiPriority w:val="34"/>
    <w:qFormat/>
    <w:pPr>
      <w:ind w:left="720"/>
      <w:contextualSpacing/>
    </w:pPr>
  </w:style>
  <w:style w:type="paragraph" w:styleId="NoSpacing">
    <w:name w:val="No Spacing"/>
    <w:uiPriority w:val="1"/>
    <w:qFormat/>
    <w:pPr>
      <w:shd w:val="clear" w:color="FFFFFF" w:fill="FFFFFF"/>
    </w:pPr>
    <w:rPr>
      <w:sz w:val="22"/>
      <w:szCs w:val="22"/>
      <w:lang w:eastAsia="en-US"/>
    </w:rPr>
  </w:style>
  <w:style w:type="character" w:customStyle="1" w:styleId="Char0">
    <w:name w:val="标题 Char"/>
    <w:basedOn w:val="DefaultParagraphFont"/>
    <w:link w:val="Title"/>
    <w:uiPriority w:val="10"/>
    <w:qFormat/>
    <w:rPr>
      <w:sz w:val="48"/>
      <w:szCs w:val="48"/>
    </w:rPr>
  </w:style>
  <w:style w:type="character" w:customStyle="1" w:styleId="Char1">
    <w:name w:val="副标题 Char"/>
    <w:basedOn w:val="DefaultParagraphFont"/>
    <w:link w:val="Subtitle"/>
    <w:uiPriority w:val="11"/>
    <w:qFormat/>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qFormat/>
    <w:rPr>
      <w:i/>
    </w:rPr>
  </w:style>
  <w:style w:type="character" w:customStyle="1" w:styleId="Char4">
    <w:name w:val="脚注文本 Char"/>
    <w:link w:val="FootnoteText"/>
    <w:uiPriority w:val="99"/>
    <w:qFormat/>
    <w:rPr>
      <w:sz w:val="18"/>
    </w:rPr>
  </w:style>
  <w:style w:type="character" w:customStyle="1" w:styleId="Char5">
    <w:name w:val="页脚 Char"/>
    <w:basedOn w:val="DefaultParagraphFont"/>
    <w:link w:val="1"/>
    <w:uiPriority w:val="99"/>
    <w:qFormat/>
    <w:rPr>
      <w:rFonts w:ascii="Times New Roman" w:eastAsia="宋体" w:hAnsi="Times New Roman" w:cs="Times New Roman"/>
      <w:sz w:val="18"/>
      <w:szCs w:val="18"/>
    </w:rPr>
  </w:style>
  <w:style w:type="character" w:customStyle="1" w:styleId="1Char">
    <w:name w:val="标题 1 Char"/>
    <w:basedOn w:val="DefaultParagraphFont"/>
    <w:link w:val="11"/>
    <w:qFormat/>
    <w:rPr>
      <w:rFonts w:ascii="黑体" w:eastAsia="黑体" w:hAnsi="Times New Roman" w:cs="Times New Roman"/>
      <w:b/>
      <w:sz w:val="32"/>
      <w:lang w:val="zh-CN"/>
    </w:rPr>
  </w:style>
  <w:style w:type="character" w:customStyle="1" w:styleId="2Char">
    <w:name w:val="标题 2 Char"/>
    <w:basedOn w:val="DefaultParagraphFont"/>
    <w:link w:val="21"/>
    <w:qFormat/>
    <w:rPr>
      <w:rFonts w:ascii="Arial" w:eastAsia="黑体" w:hAnsi="Arial" w:cs="Times New Roman"/>
      <w:b/>
      <w:bCs/>
      <w:sz w:val="32"/>
      <w:szCs w:val="32"/>
    </w:rPr>
  </w:style>
  <w:style w:type="character" w:customStyle="1" w:styleId="2Char0">
    <w:name w:val="正文文本缩进 2 Char"/>
    <w:basedOn w:val="DefaultParagraphFont"/>
    <w:link w:val="BodyTextIndent2"/>
    <w:qFormat/>
    <w:rPr>
      <w:rFonts w:ascii="仿宋_GB2312" w:eastAsia="仿宋_GB2312" w:hAnsi="Calibri" w:cs="Times New Roman"/>
      <w:sz w:val="24"/>
      <w:szCs w:val="20"/>
    </w:rPr>
  </w:style>
  <w:style w:type="character" w:customStyle="1" w:styleId="Char6">
    <w:name w:val="正文文本缩进 Char"/>
    <w:basedOn w:val="DefaultParagraphFont"/>
    <w:link w:val="BodyTextIndent"/>
    <w:qFormat/>
    <w:rPr>
      <w:rFonts w:ascii="Times New Roman" w:eastAsia="宋体" w:hAnsi="Times New Roman" w:cs="Times New Roman"/>
      <w:sz w:val="24"/>
      <w:szCs w:val="24"/>
      <w:lang w:val="zh-CN" w:eastAsia="zh-CN"/>
    </w:rPr>
  </w:style>
  <w:style w:type="character" w:customStyle="1" w:styleId="Char7">
    <w:name w:val="正文缩进 Char"/>
    <w:link w:val="NormalIndent"/>
    <w:uiPriority w:val="99"/>
    <w:qFormat/>
    <w:rPr>
      <w:rFonts w:ascii="Calibri" w:eastAsia="宋体" w:hAnsi="Calibri" w:cs="Times New Roman"/>
      <w:sz w:val="21"/>
      <w:szCs w:val="24"/>
    </w:rPr>
  </w:style>
  <w:style w:type="character" w:customStyle="1" w:styleId="Char8">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9">
    <w:name w:val="批注文字 Char"/>
    <w:basedOn w:val="DefaultParagraphFont"/>
    <w:link w:val="CommentText"/>
    <w:qFormat/>
    <w:rPr>
      <w:rFonts w:ascii="Times New Roman" w:eastAsia="宋体" w:hAnsi="Times New Roman" w:cs="Times New Roman"/>
      <w:sz w:val="24"/>
      <w:szCs w:val="24"/>
    </w:rPr>
  </w:style>
  <w:style w:type="character" w:customStyle="1" w:styleId="Char10">
    <w:name w:val="批注主题 Char"/>
    <w:basedOn w:val="Char9"/>
    <w:link w:val="CommentSubject"/>
    <w:uiPriority w:val="99"/>
    <w:semiHidden/>
    <w:qFormat/>
    <w:rPr>
      <w:rFonts w:ascii="Times New Roman" w:eastAsia="宋体" w:hAnsi="Times New Roman" w:cs="Times New Roman"/>
      <w:b/>
      <w:bCs/>
      <w:sz w:val="21"/>
      <w:szCs w:val="24"/>
    </w:rPr>
  </w:style>
  <w:style w:type="character" w:customStyle="1" w:styleId="Char11">
    <w:name w:val="文档结构图 Char"/>
    <w:basedOn w:val="DefaultParagraphFont"/>
    <w:link w:val="DocumentMap"/>
    <w:uiPriority w:val="99"/>
    <w:semiHidden/>
    <w:qFormat/>
    <w:rPr>
      <w:rFonts w:ascii="宋体" w:eastAsia="宋体" w:hAnsi="Times New Roman" w:cs="Times New Roman"/>
      <w:sz w:val="18"/>
      <w:szCs w:val="18"/>
    </w:rPr>
  </w:style>
  <w:style w:type="character" w:customStyle="1" w:styleId="Char12">
    <w:name w:val="页眉 Char"/>
    <w:basedOn w:val="DefaultParagraphFont"/>
    <w:link w:val="Header"/>
    <w:uiPriority w:val="99"/>
    <w:qFormat/>
    <w:rPr>
      <w:rFonts w:ascii="Times New Roman" w:hAnsi="Times New Roman" w:cs="Times New Roman"/>
      <w:sz w:val="18"/>
      <w:szCs w:val="18"/>
      <w:shd w:val="clear" w:color="FFFFFF" w:fill="FFFFFF"/>
    </w:rPr>
  </w:style>
  <w:style w:type="character" w:customStyle="1" w:styleId="Char13">
    <w:name w:val="页脚 Char1"/>
    <w:basedOn w:val="DefaultParagraphFont"/>
    <w:link w:val="Footer"/>
    <w:uiPriority w:val="99"/>
    <w:rPr>
      <w:rFonts w:ascii="Times New Roman" w:hAnsi="Times New Roman" w:cs="Times New Roman"/>
      <w:sz w:val="18"/>
      <w:szCs w:val="18"/>
      <w:shd w:val="clear" w:color="FFFFFF" w:fill="FFFFFF"/>
    </w:rPr>
  </w:style>
  <w:style w:type="paragraph" w:styleId="Revision">
    <w:name w:val="Revision"/>
    <w:hidden/>
    <w:uiPriority w:val="99"/>
    <w:semiHidden/>
    <w:rsid w:val="00CA106B"/>
    <w:rPr>
      <w:rFonts w:ascii="Times New Roman" w:hAnsi="Times New Roman" w:cs="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37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62D1E646B5D84D7A989E048B4E208953</vt:lpwstr>
  </property>
  <property fmtid="{D5CDD505-2E9C-101B-9397-08002B2CF9AE}" pid="3" name="KSOProductBuildVer">
    <vt:lpwstr>2052-11.8.2.11515</vt:lpwstr>
  </property>
</Properties>
</file>