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BEBA" w14:textId="77777777" w:rsidR="004154D1" w:rsidRPr="00EC3B16" w:rsidRDefault="004154D1">
      <w:pPr>
        <w:tabs>
          <w:tab w:val="left" w:pos="6660"/>
        </w:tabs>
        <w:spacing w:line="360" w:lineRule="auto"/>
        <w:jc w:val="center"/>
        <w:rPr>
          <w:rFonts w:ascii="宋体" w:hAnsi="宋体"/>
          <w:bCs/>
          <w:sz w:val="44"/>
          <w:lang w:eastAsia="zh-CN"/>
        </w:rPr>
        <w:sectPr w:rsidR="004154D1" w:rsidRPr="00EC3B16">
          <w:headerReference w:type="default" r:id="rId7"/>
          <w:footerReference w:type="default" r:id="rId8"/>
          <w:type w:val="continuous"/>
          <w:pgSz w:w="11906" w:h="16838"/>
          <w:pgMar w:top="1440" w:right="1800" w:bottom="1440" w:left="1800" w:header="851" w:footer="992" w:gutter="0"/>
          <w:pgNumType w:start="1"/>
          <w:cols w:space="720"/>
          <w:titlePg/>
          <w:docGrid w:type="lines" w:linePitch="312"/>
        </w:sectPr>
      </w:pPr>
      <w:bookmarkStart w:id="0" w:name="TITLE_46ff4a54562c4d729f24e02b9a219003"/>
    </w:p>
    <w:p w14:paraId="5FDCD882" w14:textId="77777777" w:rsidR="004154D1" w:rsidRPr="00EC3B16" w:rsidRDefault="004154D1">
      <w:pPr>
        <w:jc w:val="center"/>
        <w:rPr>
          <w:rFonts w:ascii="宋体" w:hAnsi="宋体"/>
          <w:b/>
          <w:sz w:val="52"/>
        </w:rPr>
      </w:pPr>
      <w:bookmarkStart w:id="1" w:name="CTS_367894d6eb434069aa187b1a56ae1828"/>
      <w:bookmarkStart w:id="2" w:name="CLAUSE_367894d6eb434069aa187b1a56ae1828"/>
      <w:bookmarkEnd w:id="0"/>
      <w:bookmarkEnd w:id="1"/>
    </w:p>
    <w:p w14:paraId="366AE5A5" w14:textId="77777777" w:rsidR="004154D1" w:rsidRPr="00EC3B16" w:rsidRDefault="004154D1">
      <w:pPr>
        <w:jc w:val="center"/>
        <w:rPr>
          <w:rFonts w:ascii="宋体" w:hAnsi="宋体"/>
          <w:b/>
          <w:sz w:val="52"/>
          <w:lang w:eastAsia="zh-CN"/>
        </w:rPr>
      </w:pPr>
      <w:r w:rsidRPr="00EC3B16">
        <w:rPr>
          <w:rFonts w:ascii="宋体" w:hAnsi="宋体"/>
          <w:b/>
          <w:sz w:val="52"/>
          <w:lang w:eastAsia="zh-CN"/>
        </w:rPr>
        <w:t>中信建投基金管理有限公司</w:t>
      </w:r>
    </w:p>
    <w:p w14:paraId="3DF8AC6E" w14:textId="77777777" w:rsidR="004154D1" w:rsidRPr="00EC3B16" w:rsidRDefault="004154D1">
      <w:pPr>
        <w:rPr>
          <w:rFonts w:ascii="宋体" w:hAnsi="宋体"/>
          <w:b/>
          <w:lang w:eastAsia="zh-CN"/>
        </w:rPr>
      </w:pPr>
    </w:p>
    <w:p w14:paraId="07FBC85D" w14:textId="77777777" w:rsidR="004154D1" w:rsidRPr="00EC3B16" w:rsidRDefault="004154D1">
      <w:pPr>
        <w:jc w:val="center"/>
        <w:rPr>
          <w:rFonts w:ascii="宋体" w:hAnsi="宋体"/>
          <w:b/>
          <w:sz w:val="52"/>
          <w:lang w:eastAsia="zh-CN"/>
        </w:rPr>
      </w:pPr>
    </w:p>
    <w:p w14:paraId="61424770" w14:textId="77777777" w:rsidR="004154D1" w:rsidRPr="00EC3B16" w:rsidRDefault="005E142F">
      <w:pPr>
        <w:jc w:val="center"/>
        <w:rPr>
          <w:rFonts w:ascii="宋体" w:hAnsi="宋体"/>
          <w:b/>
          <w:sz w:val="48"/>
          <w:lang w:eastAsia="zh-CN"/>
        </w:rPr>
      </w:pPr>
      <w:bookmarkStart w:id="3" w:name="_Toc123112262"/>
      <w:bookmarkStart w:id="4" w:name="_Toc123112223"/>
      <w:bookmarkStart w:id="5" w:name="_Toc139991725"/>
      <w:bookmarkStart w:id="6" w:name="_Toc139992300"/>
      <w:bookmarkStart w:id="7" w:name="_Toc123701382"/>
      <w:r>
        <w:rPr>
          <w:rFonts w:ascii="宋体" w:hAnsi="宋体"/>
          <w:b/>
          <w:sz w:val="48"/>
          <w:lang w:eastAsia="zh-CN"/>
        </w:rPr>
        <w:t>中信建投消费升级混合型发起式证券投资基金</w:t>
      </w:r>
      <w:r w:rsidR="004154D1" w:rsidRPr="00EC3B16">
        <w:rPr>
          <w:rFonts w:ascii="宋体" w:hAnsi="宋体"/>
          <w:b/>
          <w:sz w:val="48"/>
          <w:lang w:eastAsia="zh-CN"/>
        </w:rPr>
        <w:t>基金合同</w:t>
      </w:r>
      <w:bookmarkEnd w:id="3"/>
      <w:bookmarkEnd w:id="4"/>
      <w:bookmarkEnd w:id="5"/>
      <w:bookmarkEnd w:id="6"/>
      <w:bookmarkEnd w:id="7"/>
    </w:p>
    <w:p w14:paraId="46BB819B" w14:textId="6CA0FA47" w:rsidR="004154D1" w:rsidRPr="00EC3B16" w:rsidRDefault="004154D1">
      <w:pPr>
        <w:jc w:val="center"/>
        <w:rPr>
          <w:rFonts w:ascii="宋体" w:hAnsi="宋体"/>
          <w:b/>
          <w:sz w:val="52"/>
          <w:lang w:eastAsia="zh-CN"/>
        </w:rPr>
      </w:pPr>
    </w:p>
    <w:p w14:paraId="2268030F" w14:textId="77777777" w:rsidR="004154D1" w:rsidRPr="00EC3B16" w:rsidRDefault="004154D1">
      <w:pPr>
        <w:jc w:val="center"/>
        <w:rPr>
          <w:rFonts w:ascii="宋体" w:hAnsi="宋体"/>
          <w:b/>
          <w:sz w:val="52"/>
          <w:lang w:eastAsia="zh-CN"/>
        </w:rPr>
      </w:pPr>
    </w:p>
    <w:p w14:paraId="0B4A1192" w14:textId="77777777" w:rsidR="004154D1" w:rsidRPr="00EC3B16" w:rsidRDefault="004154D1">
      <w:pPr>
        <w:jc w:val="center"/>
        <w:rPr>
          <w:rFonts w:ascii="宋体" w:hAnsi="宋体"/>
          <w:b/>
          <w:sz w:val="52"/>
          <w:lang w:eastAsia="zh-CN"/>
        </w:rPr>
      </w:pPr>
    </w:p>
    <w:p w14:paraId="3390CD94" w14:textId="77777777" w:rsidR="004154D1" w:rsidRPr="00EC3B16" w:rsidRDefault="004154D1">
      <w:pPr>
        <w:jc w:val="center"/>
        <w:rPr>
          <w:rFonts w:ascii="宋体" w:hAnsi="宋体"/>
          <w:b/>
          <w:sz w:val="52"/>
          <w:lang w:eastAsia="zh-CN"/>
        </w:rPr>
      </w:pPr>
    </w:p>
    <w:p w14:paraId="552B81CD" w14:textId="77777777" w:rsidR="004154D1" w:rsidRPr="00EC3B16" w:rsidRDefault="004154D1">
      <w:pPr>
        <w:jc w:val="center"/>
        <w:rPr>
          <w:rFonts w:ascii="宋体" w:hAnsi="宋体"/>
          <w:b/>
          <w:sz w:val="52"/>
          <w:lang w:eastAsia="zh-CN"/>
        </w:rPr>
      </w:pPr>
    </w:p>
    <w:p w14:paraId="011F89EA" w14:textId="77777777" w:rsidR="004154D1" w:rsidRPr="00EC3B16" w:rsidRDefault="004154D1">
      <w:pPr>
        <w:rPr>
          <w:rFonts w:ascii="宋体" w:hAnsi="宋体"/>
          <w:b/>
          <w:lang w:eastAsia="zh-CN"/>
        </w:rPr>
      </w:pPr>
    </w:p>
    <w:p w14:paraId="31FA93D3" w14:textId="77777777" w:rsidR="004154D1" w:rsidRPr="00EC3B16" w:rsidRDefault="004154D1">
      <w:pPr>
        <w:jc w:val="center"/>
        <w:rPr>
          <w:rFonts w:ascii="宋体" w:hAnsi="宋体"/>
          <w:b/>
          <w:sz w:val="36"/>
          <w:lang w:eastAsia="zh-CN"/>
        </w:rPr>
      </w:pPr>
      <w:bookmarkStart w:id="8" w:name="_Toc123112224"/>
      <w:bookmarkStart w:id="9" w:name="_Toc139992301"/>
      <w:bookmarkStart w:id="10" w:name="_Toc139991726"/>
      <w:bookmarkStart w:id="11" w:name="_Toc123112263"/>
      <w:bookmarkStart w:id="12" w:name="_Toc123701383"/>
      <w:r w:rsidRPr="00EC3B16">
        <w:rPr>
          <w:rFonts w:ascii="宋体" w:hAnsi="宋体"/>
          <w:b/>
          <w:sz w:val="36"/>
          <w:lang w:eastAsia="zh-CN"/>
        </w:rPr>
        <w:t>基金管理人：</w:t>
      </w:r>
      <w:bookmarkEnd w:id="8"/>
      <w:bookmarkEnd w:id="9"/>
      <w:bookmarkEnd w:id="10"/>
      <w:bookmarkEnd w:id="11"/>
      <w:bookmarkEnd w:id="12"/>
      <w:r w:rsidRPr="00EC3B16">
        <w:rPr>
          <w:rFonts w:ascii="宋体" w:hAnsi="宋体"/>
          <w:b/>
          <w:sz w:val="36"/>
          <w:lang w:eastAsia="zh-CN"/>
        </w:rPr>
        <w:t>中信建投基金管理有限公司</w:t>
      </w:r>
    </w:p>
    <w:p w14:paraId="7505D9DF" w14:textId="77777777" w:rsidR="004154D1" w:rsidRPr="00EC3B16" w:rsidRDefault="004154D1">
      <w:pPr>
        <w:jc w:val="center"/>
        <w:rPr>
          <w:rFonts w:ascii="宋体" w:hAnsi="宋体"/>
          <w:b/>
          <w:sz w:val="36"/>
          <w:lang w:eastAsia="zh-CN"/>
        </w:rPr>
      </w:pPr>
      <w:bookmarkStart w:id="13" w:name="_Toc139992302"/>
      <w:bookmarkStart w:id="14" w:name="_Toc123112225"/>
      <w:bookmarkStart w:id="15" w:name="_Toc139991727"/>
      <w:bookmarkStart w:id="16" w:name="_Toc123701384"/>
      <w:bookmarkStart w:id="17" w:name="_Toc123112264"/>
      <w:r w:rsidRPr="00EC3B16">
        <w:rPr>
          <w:rFonts w:ascii="宋体" w:hAnsi="宋体"/>
          <w:b/>
          <w:sz w:val="36"/>
          <w:lang w:eastAsia="zh-CN"/>
        </w:rPr>
        <w:t>基金托管人：</w:t>
      </w:r>
      <w:bookmarkEnd w:id="13"/>
      <w:bookmarkEnd w:id="14"/>
      <w:bookmarkEnd w:id="15"/>
      <w:bookmarkEnd w:id="16"/>
      <w:bookmarkEnd w:id="17"/>
      <w:r w:rsidR="005E142F">
        <w:rPr>
          <w:rFonts w:ascii="宋体" w:hAnsi="宋体"/>
          <w:b/>
          <w:sz w:val="36"/>
          <w:lang w:eastAsia="zh-CN"/>
        </w:rPr>
        <w:t>上海浦东发展银行股份有限公司</w:t>
      </w:r>
    </w:p>
    <w:p w14:paraId="7C842BA5" w14:textId="77777777" w:rsidR="004154D1" w:rsidRPr="00EC3B16" w:rsidRDefault="004154D1">
      <w:pPr>
        <w:jc w:val="center"/>
        <w:rPr>
          <w:rFonts w:ascii="宋体" w:hAnsi="宋体"/>
          <w:bCs/>
          <w:sz w:val="32"/>
          <w:lang w:eastAsia="zh-CN"/>
        </w:rPr>
      </w:pPr>
    </w:p>
    <w:p w14:paraId="758B4343" w14:textId="77777777" w:rsidR="004154D1" w:rsidRPr="00EC3B16" w:rsidRDefault="004154D1">
      <w:pPr>
        <w:jc w:val="center"/>
        <w:rPr>
          <w:rFonts w:ascii="宋体" w:hAnsi="宋体"/>
          <w:bCs/>
          <w:sz w:val="28"/>
          <w:lang w:eastAsia="zh-CN"/>
        </w:rPr>
      </w:pPr>
      <w:bookmarkStart w:id="18" w:name="_Toc123112227"/>
      <w:bookmarkStart w:id="19" w:name="_Toc123112266"/>
      <w:bookmarkStart w:id="20" w:name="_Toc123701386"/>
      <w:bookmarkStart w:id="21" w:name="_Toc139991729"/>
    </w:p>
    <w:p w14:paraId="7AA057F3" w14:textId="4F9E7C47" w:rsidR="009D49B9" w:rsidRPr="00EC3B16" w:rsidRDefault="004154D1" w:rsidP="009D49B9">
      <w:pPr>
        <w:jc w:val="center"/>
        <w:rPr>
          <w:rFonts w:ascii="宋体" w:hAnsi="宋体"/>
          <w:b/>
          <w:bCs/>
          <w:sz w:val="30"/>
          <w:lang w:eastAsia="zh-CN"/>
        </w:rPr>
      </w:pPr>
      <w:r w:rsidRPr="00EC3B16">
        <w:rPr>
          <w:rFonts w:ascii="宋体" w:hAnsi="宋体"/>
          <w:b/>
          <w:bCs/>
          <w:sz w:val="30"/>
          <w:lang w:eastAsia="zh-CN"/>
        </w:rPr>
        <w:t>二零二</w:t>
      </w:r>
      <w:r w:rsidRPr="00EC3B16">
        <w:rPr>
          <w:rFonts w:ascii="宋体" w:hAnsi="宋体" w:hint="eastAsia"/>
          <w:b/>
          <w:bCs/>
          <w:sz w:val="30"/>
          <w:lang w:eastAsia="zh-CN"/>
        </w:rPr>
        <w:t>三</w:t>
      </w:r>
      <w:r w:rsidRPr="00EC3B16">
        <w:rPr>
          <w:rFonts w:ascii="宋体" w:hAnsi="宋体"/>
          <w:b/>
          <w:bCs/>
          <w:sz w:val="30"/>
          <w:lang w:eastAsia="zh-CN"/>
        </w:rPr>
        <w:t>年</w:t>
      </w:r>
      <w:r w:rsidR="00A3117C">
        <w:rPr>
          <w:rFonts w:ascii="宋体" w:hAnsi="宋体" w:hint="eastAsia"/>
          <w:b/>
          <w:bCs/>
          <w:sz w:val="30"/>
          <w:lang w:eastAsia="zh-CN"/>
        </w:rPr>
        <w:t>七</w:t>
      </w:r>
      <w:r w:rsidRPr="00EC3B16">
        <w:rPr>
          <w:rFonts w:ascii="宋体" w:hAnsi="宋体"/>
          <w:b/>
          <w:bCs/>
          <w:sz w:val="30"/>
          <w:lang w:eastAsia="zh-CN"/>
        </w:rPr>
        <w:t>月</w:t>
      </w:r>
    </w:p>
    <w:p w14:paraId="745AF3CB" w14:textId="77777777" w:rsidR="009D49B9" w:rsidRPr="00EC3B16" w:rsidRDefault="009D49B9" w:rsidP="009D49B9">
      <w:pPr>
        <w:rPr>
          <w:rFonts w:ascii="宋体" w:hAnsi="宋体"/>
          <w:b/>
          <w:bCs/>
          <w:sz w:val="30"/>
          <w:lang w:eastAsia="zh-CN"/>
        </w:rPr>
      </w:pPr>
    </w:p>
    <w:p w14:paraId="6047AFF3" w14:textId="77777777" w:rsidR="009D49B9" w:rsidRPr="00EC3B16" w:rsidRDefault="009D49B9" w:rsidP="009D49B9">
      <w:pPr>
        <w:rPr>
          <w:rFonts w:ascii="宋体" w:hAnsi="宋体"/>
          <w:b/>
          <w:bCs/>
          <w:sz w:val="30"/>
          <w:lang w:eastAsia="zh-CN"/>
        </w:rPr>
        <w:sectPr w:rsidR="009D49B9" w:rsidRPr="00EC3B16">
          <w:type w:val="continuous"/>
          <w:pgSz w:w="11906" w:h="16838"/>
          <w:pgMar w:top="1440" w:right="1800" w:bottom="1440" w:left="1800" w:header="851" w:footer="992" w:gutter="0"/>
          <w:pgNumType w:start="1"/>
          <w:cols w:space="720"/>
          <w:titlePg/>
          <w:docGrid w:type="lines" w:linePitch="312"/>
        </w:sectPr>
      </w:pPr>
    </w:p>
    <w:p w14:paraId="3935EB33" w14:textId="77777777" w:rsidR="004154D1" w:rsidRPr="00EC3B16" w:rsidRDefault="004154D1">
      <w:pPr>
        <w:jc w:val="center"/>
        <w:rPr>
          <w:rFonts w:ascii="宋体" w:hAnsi="宋体"/>
          <w:bCs/>
          <w:sz w:val="28"/>
          <w:lang w:eastAsia="zh-CN"/>
        </w:rPr>
      </w:pPr>
      <w:bookmarkStart w:id="22" w:name="CTS_b97d662e36cd4b788026177ad24da0ae"/>
      <w:bookmarkStart w:id="23" w:name="CLAUSE_b97d662e36cd4b788026177ad24da0ae"/>
      <w:bookmarkEnd w:id="2"/>
      <w:bookmarkEnd w:id="22"/>
      <w:r w:rsidRPr="00EC3B16">
        <w:rPr>
          <w:rFonts w:ascii="宋体" w:hAnsi="宋体"/>
          <w:bCs/>
          <w:sz w:val="28"/>
          <w:lang w:eastAsia="zh-CN"/>
        </w:rPr>
        <w:lastRenderedPageBreak/>
        <w:t>目录</w:t>
      </w:r>
      <w:bookmarkEnd w:id="18"/>
      <w:bookmarkEnd w:id="19"/>
      <w:bookmarkEnd w:id="20"/>
      <w:bookmarkEnd w:id="21"/>
    </w:p>
    <w:p w14:paraId="648CC8E9" w14:textId="3CAC0387" w:rsidR="00023BE0" w:rsidRPr="00753119" w:rsidRDefault="004154D1">
      <w:pPr>
        <w:pStyle w:val="11"/>
        <w:rPr>
          <w:rFonts w:ascii="宋体" w:hAnsi="宋体"/>
          <w:noProof/>
          <w:kern w:val="2"/>
          <w:sz w:val="22"/>
          <w:lang w:eastAsia="zh-CN" w:bidi="ar-SA"/>
        </w:rPr>
      </w:pPr>
      <w:r w:rsidRPr="00023BE0">
        <w:rPr>
          <w:rFonts w:ascii="宋体" w:hAnsi="宋体"/>
          <w:bCs/>
          <w:sz w:val="22"/>
        </w:rPr>
        <w:fldChar w:fldCharType="begin"/>
      </w:r>
      <w:r w:rsidRPr="00023BE0">
        <w:rPr>
          <w:rFonts w:ascii="宋体" w:hAnsi="宋体"/>
          <w:bCs/>
          <w:sz w:val="22"/>
        </w:rPr>
        <w:instrText xml:space="preserve"> TOC \o "1-1" \h \z \u </w:instrText>
      </w:r>
      <w:r w:rsidRPr="00023BE0">
        <w:rPr>
          <w:rFonts w:ascii="宋体" w:hAnsi="宋体"/>
          <w:bCs/>
          <w:sz w:val="22"/>
        </w:rPr>
        <w:fldChar w:fldCharType="separate"/>
      </w:r>
      <w:hyperlink w:anchor="_Toc132016781" w:history="1">
        <w:r w:rsidR="00023BE0" w:rsidRPr="00023BE0">
          <w:rPr>
            <w:rStyle w:val="af8"/>
            <w:rFonts w:ascii="宋体" w:hAnsi="宋体"/>
            <w:noProof/>
            <w:sz w:val="22"/>
            <w:lang w:eastAsia="zh-CN"/>
          </w:rPr>
          <w:t>第一部分  前言</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_Toc132016781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1</w:t>
        </w:r>
        <w:r w:rsidR="00023BE0" w:rsidRPr="00023BE0">
          <w:rPr>
            <w:rFonts w:ascii="宋体" w:hAnsi="宋体"/>
            <w:noProof/>
            <w:webHidden/>
            <w:sz w:val="22"/>
          </w:rPr>
          <w:fldChar w:fldCharType="end"/>
        </w:r>
      </w:hyperlink>
    </w:p>
    <w:p w14:paraId="08047421" w14:textId="332A6FF0" w:rsidR="00023BE0" w:rsidRPr="00753119" w:rsidRDefault="00697D8A">
      <w:pPr>
        <w:pStyle w:val="11"/>
        <w:rPr>
          <w:rFonts w:ascii="宋体" w:hAnsi="宋体"/>
          <w:noProof/>
          <w:kern w:val="2"/>
          <w:sz w:val="22"/>
          <w:lang w:eastAsia="zh-CN" w:bidi="ar-SA"/>
        </w:rPr>
      </w:pPr>
      <w:hyperlink w:anchor="_Toc132016782" w:history="1">
        <w:r w:rsidR="00023BE0" w:rsidRPr="00023BE0">
          <w:rPr>
            <w:rStyle w:val="af8"/>
            <w:rFonts w:ascii="宋体" w:hAnsi="宋体"/>
            <w:noProof/>
            <w:sz w:val="22"/>
            <w:lang w:eastAsia="zh-CN"/>
          </w:rPr>
          <w:t>第二部分  释义</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_Toc132016782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3</w:t>
        </w:r>
        <w:r w:rsidR="00023BE0" w:rsidRPr="00023BE0">
          <w:rPr>
            <w:rFonts w:ascii="宋体" w:hAnsi="宋体"/>
            <w:noProof/>
            <w:webHidden/>
            <w:sz w:val="22"/>
          </w:rPr>
          <w:fldChar w:fldCharType="end"/>
        </w:r>
      </w:hyperlink>
    </w:p>
    <w:p w14:paraId="2DE7D587" w14:textId="2885FD4E" w:rsidR="00023BE0" w:rsidRPr="00753119" w:rsidRDefault="00697D8A">
      <w:pPr>
        <w:pStyle w:val="11"/>
        <w:rPr>
          <w:rFonts w:ascii="宋体" w:hAnsi="宋体"/>
          <w:noProof/>
          <w:kern w:val="2"/>
          <w:sz w:val="22"/>
          <w:lang w:eastAsia="zh-CN" w:bidi="ar-SA"/>
        </w:rPr>
      </w:pPr>
      <w:hyperlink w:anchor="_Toc132016783" w:history="1">
        <w:r w:rsidR="00023BE0" w:rsidRPr="00023BE0">
          <w:rPr>
            <w:rStyle w:val="af8"/>
            <w:rFonts w:ascii="宋体" w:hAnsi="宋体"/>
            <w:noProof/>
            <w:sz w:val="22"/>
            <w:lang w:eastAsia="zh-CN"/>
          </w:rPr>
          <w:t>第三部分  基金的基本情况</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_Toc132016783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9</w:t>
        </w:r>
        <w:r w:rsidR="00023BE0" w:rsidRPr="00023BE0">
          <w:rPr>
            <w:rFonts w:ascii="宋体" w:hAnsi="宋体"/>
            <w:noProof/>
            <w:webHidden/>
            <w:sz w:val="22"/>
          </w:rPr>
          <w:fldChar w:fldCharType="end"/>
        </w:r>
      </w:hyperlink>
    </w:p>
    <w:p w14:paraId="31F77715" w14:textId="6E5A50C9" w:rsidR="00023BE0" w:rsidRPr="00753119" w:rsidRDefault="00697D8A">
      <w:pPr>
        <w:pStyle w:val="11"/>
        <w:rPr>
          <w:rFonts w:ascii="宋体" w:hAnsi="宋体"/>
          <w:noProof/>
          <w:kern w:val="2"/>
          <w:sz w:val="22"/>
          <w:lang w:eastAsia="zh-CN" w:bidi="ar-SA"/>
        </w:rPr>
      </w:pPr>
      <w:hyperlink w:anchor="_Toc132016784" w:history="1">
        <w:r w:rsidR="00023BE0" w:rsidRPr="00023BE0">
          <w:rPr>
            <w:rStyle w:val="af8"/>
            <w:rFonts w:ascii="宋体" w:hAnsi="宋体"/>
            <w:noProof/>
            <w:sz w:val="22"/>
            <w:lang w:eastAsia="zh-CN"/>
          </w:rPr>
          <w:t>第四部分  基金份额的发售</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_Toc132016784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11</w:t>
        </w:r>
        <w:r w:rsidR="00023BE0" w:rsidRPr="00023BE0">
          <w:rPr>
            <w:rFonts w:ascii="宋体" w:hAnsi="宋体"/>
            <w:noProof/>
            <w:webHidden/>
            <w:sz w:val="22"/>
          </w:rPr>
          <w:fldChar w:fldCharType="end"/>
        </w:r>
      </w:hyperlink>
    </w:p>
    <w:p w14:paraId="7DA02EB3" w14:textId="6726C15F" w:rsidR="00023BE0" w:rsidRPr="00753119" w:rsidRDefault="00697D8A">
      <w:pPr>
        <w:pStyle w:val="11"/>
        <w:rPr>
          <w:rFonts w:ascii="宋体" w:hAnsi="宋体"/>
          <w:noProof/>
          <w:kern w:val="2"/>
          <w:sz w:val="22"/>
          <w:lang w:eastAsia="zh-CN" w:bidi="ar-SA"/>
        </w:rPr>
      </w:pPr>
      <w:hyperlink w:anchor="_Toc132016785" w:history="1">
        <w:r w:rsidR="00023BE0" w:rsidRPr="00023BE0">
          <w:rPr>
            <w:rStyle w:val="af8"/>
            <w:rFonts w:ascii="宋体" w:hAnsi="宋体"/>
            <w:noProof/>
            <w:sz w:val="22"/>
            <w:lang w:eastAsia="zh-CN"/>
          </w:rPr>
          <w:t>第五部分  基金备案</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_Toc132016785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13</w:t>
        </w:r>
        <w:r w:rsidR="00023BE0" w:rsidRPr="00023BE0">
          <w:rPr>
            <w:rFonts w:ascii="宋体" w:hAnsi="宋体"/>
            <w:noProof/>
            <w:webHidden/>
            <w:sz w:val="22"/>
          </w:rPr>
          <w:fldChar w:fldCharType="end"/>
        </w:r>
      </w:hyperlink>
    </w:p>
    <w:p w14:paraId="052C9393" w14:textId="515E6E7A" w:rsidR="00023BE0" w:rsidRPr="00753119" w:rsidRDefault="00697D8A">
      <w:pPr>
        <w:pStyle w:val="11"/>
        <w:rPr>
          <w:rFonts w:ascii="宋体" w:hAnsi="宋体"/>
          <w:noProof/>
          <w:kern w:val="2"/>
          <w:sz w:val="22"/>
          <w:lang w:eastAsia="zh-CN" w:bidi="ar-SA"/>
        </w:rPr>
      </w:pPr>
      <w:hyperlink w:anchor="_Toc132016786" w:history="1">
        <w:r w:rsidR="00023BE0" w:rsidRPr="00023BE0">
          <w:rPr>
            <w:rStyle w:val="af8"/>
            <w:rFonts w:ascii="宋体" w:hAnsi="宋体"/>
            <w:noProof/>
            <w:sz w:val="22"/>
            <w:lang w:eastAsia="zh-CN"/>
          </w:rPr>
          <w:t>第六部分  基金份额的申购与赎回</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_Toc132016786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15</w:t>
        </w:r>
        <w:r w:rsidR="00023BE0" w:rsidRPr="00023BE0">
          <w:rPr>
            <w:rFonts w:ascii="宋体" w:hAnsi="宋体"/>
            <w:noProof/>
            <w:webHidden/>
            <w:sz w:val="22"/>
          </w:rPr>
          <w:fldChar w:fldCharType="end"/>
        </w:r>
      </w:hyperlink>
    </w:p>
    <w:p w14:paraId="1A261C56" w14:textId="7112BBA5" w:rsidR="00023BE0" w:rsidRPr="00753119" w:rsidRDefault="00697D8A">
      <w:pPr>
        <w:pStyle w:val="11"/>
        <w:rPr>
          <w:rFonts w:ascii="宋体" w:hAnsi="宋体"/>
          <w:noProof/>
          <w:kern w:val="2"/>
          <w:sz w:val="22"/>
          <w:lang w:eastAsia="zh-CN" w:bidi="ar-SA"/>
        </w:rPr>
      </w:pPr>
      <w:hyperlink w:anchor="_Toc132016787" w:history="1">
        <w:r w:rsidR="00023BE0" w:rsidRPr="00023BE0">
          <w:rPr>
            <w:rStyle w:val="af8"/>
            <w:rFonts w:ascii="宋体" w:hAnsi="宋体"/>
            <w:noProof/>
            <w:sz w:val="22"/>
            <w:lang w:eastAsia="zh-CN"/>
          </w:rPr>
          <w:t>第七部分  基金合同当事人及权利义务</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_Toc132016787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24</w:t>
        </w:r>
        <w:r w:rsidR="00023BE0" w:rsidRPr="00023BE0">
          <w:rPr>
            <w:rFonts w:ascii="宋体" w:hAnsi="宋体"/>
            <w:noProof/>
            <w:webHidden/>
            <w:sz w:val="22"/>
          </w:rPr>
          <w:fldChar w:fldCharType="end"/>
        </w:r>
      </w:hyperlink>
    </w:p>
    <w:p w14:paraId="4319CFFB" w14:textId="3D0312B9" w:rsidR="00023BE0" w:rsidRPr="00753119" w:rsidRDefault="00697D8A">
      <w:pPr>
        <w:pStyle w:val="11"/>
        <w:rPr>
          <w:rFonts w:ascii="宋体" w:hAnsi="宋体"/>
          <w:noProof/>
          <w:kern w:val="2"/>
          <w:sz w:val="22"/>
          <w:lang w:eastAsia="zh-CN" w:bidi="ar-SA"/>
        </w:rPr>
      </w:pPr>
      <w:hyperlink w:anchor="_Toc132016788" w:history="1">
        <w:r w:rsidR="00023BE0" w:rsidRPr="00023BE0">
          <w:rPr>
            <w:rStyle w:val="af8"/>
            <w:rFonts w:ascii="宋体" w:hAnsi="宋体"/>
            <w:noProof/>
            <w:sz w:val="22"/>
            <w:lang w:eastAsia="zh-CN"/>
          </w:rPr>
          <w:t>第八部分  基金份额持有人大会</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_Toc132016788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32</w:t>
        </w:r>
        <w:r w:rsidR="00023BE0" w:rsidRPr="00023BE0">
          <w:rPr>
            <w:rFonts w:ascii="宋体" w:hAnsi="宋体"/>
            <w:noProof/>
            <w:webHidden/>
            <w:sz w:val="22"/>
          </w:rPr>
          <w:fldChar w:fldCharType="end"/>
        </w:r>
      </w:hyperlink>
    </w:p>
    <w:p w14:paraId="504CA7A0" w14:textId="753D521B" w:rsidR="00023BE0" w:rsidRPr="00753119" w:rsidRDefault="00697D8A">
      <w:pPr>
        <w:pStyle w:val="11"/>
        <w:rPr>
          <w:rFonts w:ascii="宋体" w:hAnsi="宋体"/>
          <w:noProof/>
          <w:kern w:val="2"/>
          <w:sz w:val="22"/>
          <w:lang w:eastAsia="zh-CN" w:bidi="ar-SA"/>
        </w:rPr>
      </w:pPr>
      <w:hyperlink w:anchor="_Toc132016789" w:history="1">
        <w:r w:rsidR="00023BE0" w:rsidRPr="00023BE0">
          <w:rPr>
            <w:rStyle w:val="af8"/>
            <w:rFonts w:ascii="宋体" w:hAnsi="宋体"/>
            <w:noProof/>
            <w:sz w:val="22"/>
            <w:lang w:eastAsia="zh-CN"/>
          </w:rPr>
          <w:t>第九部分  基金管理人、基金托管人的更换条件和程序</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_Toc132016789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41</w:t>
        </w:r>
        <w:r w:rsidR="00023BE0" w:rsidRPr="00023BE0">
          <w:rPr>
            <w:rFonts w:ascii="宋体" w:hAnsi="宋体"/>
            <w:noProof/>
            <w:webHidden/>
            <w:sz w:val="22"/>
          </w:rPr>
          <w:fldChar w:fldCharType="end"/>
        </w:r>
      </w:hyperlink>
    </w:p>
    <w:p w14:paraId="27C77DFE" w14:textId="51A13D48" w:rsidR="00023BE0" w:rsidRPr="00753119" w:rsidRDefault="00697D8A">
      <w:pPr>
        <w:pStyle w:val="11"/>
        <w:rPr>
          <w:rFonts w:ascii="宋体" w:hAnsi="宋体"/>
          <w:noProof/>
          <w:kern w:val="2"/>
          <w:sz w:val="22"/>
          <w:lang w:eastAsia="zh-CN" w:bidi="ar-SA"/>
        </w:rPr>
      </w:pPr>
      <w:hyperlink w:anchor="_Toc132016790" w:history="1">
        <w:r w:rsidR="00023BE0" w:rsidRPr="00023BE0">
          <w:rPr>
            <w:rStyle w:val="af8"/>
            <w:rFonts w:ascii="宋体" w:hAnsi="宋体"/>
            <w:noProof/>
            <w:sz w:val="22"/>
            <w:lang w:eastAsia="zh-CN"/>
          </w:rPr>
          <w:t>第十部分  基金的托管</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_Toc132016790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44</w:t>
        </w:r>
        <w:r w:rsidR="00023BE0" w:rsidRPr="00023BE0">
          <w:rPr>
            <w:rFonts w:ascii="宋体" w:hAnsi="宋体"/>
            <w:noProof/>
            <w:webHidden/>
            <w:sz w:val="22"/>
          </w:rPr>
          <w:fldChar w:fldCharType="end"/>
        </w:r>
      </w:hyperlink>
    </w:p>
    <w:p w14:paraId="2B393D16" w14:textId="19BDAC7E" w:rsidR="00023BE0" w:rsidRPr="00753119" w:rsidRDefault="00697D8A">
      <w:pPr>
        <w:pStyle w:val="11"/>
        <w:rPr>
          <w:rFonts w:ascii="宋体" w:hAnsi="宋体"/>
          <w:noProof/>
          <w:kern w:val="2"/>
          <w:sz w:val="22"/>
          <w:lang w:eastAsia="zh-CN" w:bidi="ar-SA"/>
        </w:rPr>
      </w:pPr>
      <w:hyperlink w:anchor="_Toc132016791" w:history="1">
        <w:r w:rsidR="00023BE0" w:rsidRPr="00023BE0">
          <w:rPr>
            <w:rStyle w:val="af8"/>
            <w:rFonts w:ascii="宋体" w:hAnsi="宋体"/>
            <w:noProof/>
            <w:sz w:val="22"/>
            <w:lang w:eastAsia="zh-CN"/>
          </w:rPr>
          <w:t>第十一部分  基金份额的登记</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_Toc132016791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45</w:t>
        </w:r>
        <w:r w:rsidR="00023BE0" w:rsidRPr="00023BE0">
          <w:rPr>
            <w:rFonts w:ascii="宋体" w:hAnsi="宋体"/>
            <w:noProof/>
            <w:webHidden/>
            <w:sz w:val="22"/>
          </w:rPr>
          <w:fldChar w:fldCharType="end"/>
        </w:r>
      </w:hyperlink>
    </w:p>
    <w:p w14:paraId="4DE9373A" w14:textId="3B3F0753" w:rsidR="00023BE0" w:rsidRPr="00753119" w:rsidRDefault="00697D8A">
      <w:pPr>
        <w:pStyle w:val="11"/>
        <w:rPr>
          <w:rFonts w:ascii="宋体" w:hAnsi="宋体"/>
          <w:noProof/>
          <w:kern w:val="2"/>
          <w:sz w:val="22"/>
          <w:lang w:eastAsia="zh-CN" w:bidi="ar-SA"/>
        </w:rPr>
      </w:pPr>
      <w:hyperlink w:anchor="_Toc132016792" w:history="1">
        <w:r w:rsidR="00023BE0" w:rsidRPr="00023BE0">
          <w:rPr>
            <w:rStyle w:val="af8"/>
            <w:rFonts w:ascii="宋体" w:hAnsi="宋体"/>
            <w:noProof/>
            <w:sz w:val="22"/>
            <w:lang w:eastAsia="zh-CN"/>
          </w:rPr>
          <w:t>第十二部分  基金的投资</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_Toc132016792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47</w:t>
        </w:r>
        <w:r w:rsidR="00023BE0" w:rsidRPr="00023BE0">
          <w:rPr>
            <w:rFonts w:ascii="宋体" w:hAnsi="宋体"/>
            <w:noProof/>
            <w:webHidden/>
            <w:sz w:val="22"/>
          </w:rPr>
          <w:fldChar w:fldCharType="end"/>
        </w:r>
      </w:hyperlink>
    </w:p>
    <w:p w14:paraId="06F89BCB" w14:textId="22A97487" w:rsidR="00023BE0" w:rsidRPr="00753119" w:rsidRDefault="00697D8A">
      <w:pPr>
        <w:pStyle w:val="11"/>
        <w:rPr>
          <w:rFonts w:ascii="宋体" w:hAnsi="宋体"/>
          <w:noProof/>
          <w:kern w:val="2"/>
          <w:sz w:val="22"/>
          <w:lang w:eastAsia="zh-CN" w:bidi="ar-SA"/>
        </w:rPr>
      </w:pPr>
      <w:hyperlink w:anchor="_Toc132016793" w:history="1">
        <w:r w:rsidR="00023BE0" w:rsidRPr="00023BE0">
          <w:rPr>
            <w:rStyle w:val="af8"/>
            <w:rFonts w:ascii="宋体" w:hAnsi="宋体"/>
            <w:noProof/>
            <w:sz w:val="22"/>
            <w:lang w:eastAsia="zh-CN"/>
          </w:rPr>
          <w:t>第十三部分  基金的财产</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_Toc132016793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56</w:t>
        </w:r>
        <w:r w:rsidR="00023BE0" w:rsidRPr="00023BE0">
          <w:rPr>
            <w:rFonts w:ascii="宋体" w:hAnsi="宋体"/>
            <w:noProof/>
            <w:webHidden/>
            <w:sz w:val="22"/>
          </w:rPr>
          <w:fldChar w:fldCharType="end"/>
        </w:r>
      </w:hyperlink>
    </w:p>
    <w:p w14:paraId="0A7D678F" w14:textId="66417F71" w:rsidR="00023BE0" w:rsidRPr="00753119" w:rsidRDefault="00697D8A">
      <w:pPr>
        <w:pStyle w:val="11"/>
        <w:rPr>
          <w:rFonts w:ascii="宋体" w:hAnsi="宋体"/>
          <w:noProof/>
          <w:kern w:val="2"/>
          <w:sz w:val="22"/>
          <w:lang w:eastAsia="zh-CN" w:bidi="ar-SA"/>
        </w:rPr>
      </w:pPr>
      <w:hyperlink w:anchor="_Toc132016794" w:history="1">
        <w:r w:rsidR="00023BE0" w:rsidRPr="00023BE0">
          <w:rPr>
            <w:rStyle w:val="af8"/>
            <w:rFonts w:ascii="宋体" w:hAnsi="宋体"/>
            <w:noProof/>
            <w:sz w:val="22"/>
            <w:lang w:eastAsia="zh-CN"/>
          </w:rPr>
          <w:t>第十四部分  基金资产估值</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_Toc132016794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57</w:t>
        </w:r>
        <w:r w:rsidR="00023BE0" w:rsidRPr="00023BE0">
          <w:rPr>
            <w:rFonts w:ascii="宋体" w:hAnsi="宋体"/>
            <w:noProof/>
            <w:webHidden/>
            <w:sz w:val="22"/>
          </w:rPr>
          <w:fldChar w:fldCharType="end"/>
        </w:r>
      </w:hyperlink>
    </w:p>
    <w:p w14:paraId="07FA7DE5" w14:textId="38780045" w:rsidR="00023BE0" w:rsidRPr="00753119" w:rsidRDefault="00697D8A">
      <w:pPr>
        <w:pStyle w:val="11"/>
        <w:rPr>
          <w:rFonts w:ascii="宋体" w:hAnsi="宋体"/>
          <w:noProof/>
          <w:kern w:val="2"/>
          <w:sz w:val="22"/>
          <w:lang w:eastAsia="zh-CN" w:bidi="ar-SA"/>
        </w:rPr>
      </w:pPr>
      <w:hyperlink w:anchor="_Toc132016795" w:history="1">
        <w:r w:rsidR="00023BE0" w:rsidRPr="00023BE0">
          <w:rPr>
            <w:rStyle w:val="af8"/>
            <w:rFonts w:ascii="宋体" w:hAnsi="宋体"/>
            <w:noProof/>
            <w:sz w:val="22"/>
            <w:lang w:eastAsia="zh-CN"/>
          </w:rPr>
          <w:t>第十五部分  基金费用与税收</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_Toc132016795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65</w:t>
        </w:r>
        <w:r w:rsidR="00023BE0" w:rsidRPr="00023BE0">
          <w:rPr>
            <w:rFonts w:ascii="宋体" w:hAnsi="宋体"/>
            <w:noProof/>
            <w:webHidden/>
            <w:sz w:val="22"/>
          </w:rPr>
          <w:fldChar w:fldCharType="end"/>
        </w:r>
      </w:hyperlink>
    </w:p>
    <w:p w14:paraId="2FBC5C5C" w14:textId="62C69567" w:rsidR="00023BE0" w:rsidRPr="00753119" w:rsidRDefault="00697D8A">
      <w:pPr>
        <w:pStyle w:val="11"/>
        <w:rPr>
          <w:rFonts w:ascii="宋体" w:hAnsi="宋体"/>
          <w:noProof/>
          <w:kern w:val="2"/>
          <w:sz w:val="22"/>
          <w:lang w:eastAsia="zh-CN" w:bidi="ar-SA"/>
        </w:rPr>
      </w:pPr>
      <w:hyperlink w:anchor="_Toc132016796" w:history="1">
        <w:r w:rsidR="00023BE0" w:rsidRPr="00023BE0">
          <w:rPr>
            <w:rStyle w:val="af8"/>
            <w:rFonts w:ascii="宋体" w:hAnsi="宋体"/>
            <w:noProof/>
            <w:sz w:val="22"/>
            <w:lang w:eastAsia="zh-CN"/>
          </w:rPr>
          <w:t>第十六部分  基金的收益与分配</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_Toc132016796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68</w:t>
        </w:r>
        <w:r w:rsidR="00023BE0" w:rsidRPr="00023BE0">
          <w:rPr>
            <w:rFonts w:ascii="宋体" w:hAnsi="宋体"/>
            <w:noProof/>
            <w:webHidden/>
            <w:sz w:val="22"/>
          </w:rPr>
          <w:fldChar w:fldCharType="end"/>
        </w:r>
      </w:hyperlink>
    </w:p>
    <w:p w14:paraId="683008AA" w14:textId="39FE5883" w:rsidR="00023BE0" w:rsidRPr="00753119" w:rsidRDefault="00697D8A">
      <w:pPr>
        <w:pStyle w:val="11"/>
        <w:rPr>
          <w:rFonts w:ascii="宋体" w:hAnsi="宋体"/>
          <w:noProof/>
          <w:kern w:val="2"/>
          <w:sz w:val="22"/>
          <w:lang w:eastAsia="zh-CN" w:bidi="ar-SA"/>
        </w:rPr>
      </w:pPr>
      <w:hyperlink w:anchor="_Toc132016797" w:history="1">
        <w:r w:rsidR="00023BE0" w:rsidRPr="00023BE0">
          <w:rPr>
            <w:rStyle w:val="af8"/>
            <w:rFonts w:ascii="宋体" w:hAnsi="宋体"/>
            <w:noProof/>
            <w:sz w:val="22"/>
            <w:lang w:eastAsia="zh-CN"/>
          </w:rPr>
          <w:t>第十七部分  基金的会计与审计</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_Toc132016797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70</w:t>
        </w:r>
        <w:r w:rsidR="00023BE0" w:rsidRPr="00023BE0">
          <w:rPr>
            <w:rFonts w:ascii="宋体" w:hAnsi="宋体"/>
            <w:noProof/>
            <w:webHidden/>
            <w:sz w:val="22"/>
          </w:rPr>
          <w:fldChar w:fldCharType="end"/>
        </w:r>
      </w:hyperlink>
    </w:p>
    <w:p w14:paraId="15C95A65" w14:textId="72D4165E" w:rsidR="00023BE0" w:rsidRPr="00753119" w:rsidRDefault="00697D8A">
      <w:pPr>
        <w:pStyle w:val="11"/>
        <w:rPr>
          <w:rFonts w:ascii="宋体" w:hAnsi="宋体"/>
          <w:noProof/>
          <w:kern w:val="2"/>
          <w:sz w:val="22"/>
          <w:lang w:eastAsia="zh-CN" w:bidi="ar-SA"/>
        </w:rPr>
      </w:pPr>
      <w:hyperlink w:anchor="_Toc132016798" w:history="1">
        <w:r w:rsidR="00023BE0" w:rsidRPr="00023BE0">
          <w:rPr>
            <w:rStyle w:val="af8"/>
            <w:rFonts w:ascii="宋体" w:hAnsi="宋体"/>
            <w:noProof/>
            <w:sz w:val="22"/>
            <w:lang w:eastAsia="zh-CN"/>
          </w:rPr>
          <w:t>第十八部分  基金的信息披露</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_Toc132016798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71</w:t>
        </w:r>
        <w:r w:rsidR="00023BE0" w:rsidRPr="00023BE0">
          <w:rPr>
            <w:rFonts w:ascii="宋体" w:hAnsi="宋体"/>
            <w:noProof/>
            <w:webHidden/>
            <w:sz w:val="22"/>
          </w:rPr>
          <w:fldChar w:fldCharType="end"/>
        </w:r>
      </w:hyperlink>
    </w:p>
    <w:p w14:paraId="689D9919" w14:textId="0D5A0D77" w:rsidR="00023BE0" w:rsidRPr="00753119" w:rsidRDefault="00697D8A">
      <w:pPr>
        <w:pStyle w:val="11"/>
        <w:rPr>
          <w:rFonts w:ascii="宋体" w:hAnsi="宋体"/>
          <w:noProof/>
          <w:kern w:val="2"/>
          <w:sz w:val="22"/>
          <w:lang w:eastAsia="zh-CN" w:bidi="ar-SA"/>
        </w:rPr>
      </w:pPr>
      <w:hyperlink w:anchor="_Toc132016799" w:history="1">
        <w:r w:rsidR="00023BE0" w:rsidRPr="00023BE0">
          <w:rPr>
            <w:rStyle w:val="af8"/>
            <w:rFonts w:ascii="宋体" w:hAnsi="宋体"/>
            <w:noProof/>
            <w:sz w:val="22"/>
            <w:lang w:eastAsia="zh-CN"/>
          </w:rPr>
          <w:t>第十九部分  基金合同的变更、终止与基金财产的清算</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_Toc132016799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79</w:t>
        </w:r>
        <w:r w:rsidR="00023BE0" w:rsidRPr="00023BE0">
          <w:rPr>
            <w:rFonts w:ascii="宋体" w:hAnsi="宋体"/>
            <w:noProof/>
            <w:webHidden/>
            <w:sz w:val="22"/>
          </w:rPr>
          <w:fldChar w:fldCharType="end"/>
        </w:r>
      </w:hyperlink>
    </w:p>
    <w:p w14:paraId="01074E12" w14:textId="60EB702C" w:rsidR="00023BE0" w:rsidRPr="00753119" w:rsidRDefault="00697D8A">
      <w:pPr>
        <w:pStyle w:val="11"/>
        <w:rPr>
          <w:rFonts w:ascii="宋体" w:hAnsi="宋体"/>
          <w:noProof/>
          <w:kern w:val="2"/>
          <w:sz w:val="22"/>
          <w:lang w:eastAsia="zh-CN" w:bidi="ar-SA"/>
        </w:rPr>
      </w:pPr>
      <w:hyperlink w:anchor="_Toc132016800" w:history="1">
        <w:r w:rsidR="00023BE0" w:rsidRPr="00023BE0">
          <w:rPr>
            <w:rStyle w:val="af8"/>
            <w:rFonts w:ascii="宋体" w:hAnsi="宋体"/>
            <w:noProof/>
            <w:sz w:val="22"/>
            <w:lang w:eastAsia="zh-CN"/>
          </w:rPr>
          <w:t>第二十部分  违约责任</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_Toc132016800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81</w:t>
        </w:r>
        <w:r w:rsidR="00023BE0" w:rsidRPr="00023BE0">
          <w:rPr>
            <w:rFonts w:ascii="宋体" w:hAnsi="宋体"/>
            <w:noProof/>
            <w:webHidden/>
            <w:sz w:val="22"/>
          </w:rPr>
          <w:fldChar w:fldCharType="end"/>
        </w:r>
      </w:hyperlink>
    </w:p>
    <w:p w14:paraId="104AB0EE" w14:textId="701E91CA" w:rsidR="00023BE0" w:rsidRPr="00753119" w:rsidRDefault="00697D8A">
      <w:pPr>
        <w:pStyle w:val="11"/>
        <w:rPr>
          <w:rFonts w:ascii="宋体" w:hAnsi="宋体"/>
          <w:noProof/>
          <w:kern w:val="2"/>
          <w:sz w:val="22"/>
          <w:lang w:eastAsia="zh-CN" w:bidi="ar-SA"/>
        </w:rPr>
      </w:pPr>
      <w:hyperlink w:anchor="_Toc132016801" w:history="1">
        <w:r w:rsidR="00023BE0" w:rsidRPr="00023BE0">
          <w:rPr>
            <w:rStyle w:val="af8"/>
            <w:rFonts w:ascii="宋体" w:hAnsi="宋体"/>
            <w:noProof/>
            <w:sz w:val="22"/>
            <w:lang w:eastAsia="zh-CN"/>
          </w:rPr>
          <w:t>第二十一部分  争议的处理和适用的法律</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_Toc132016801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82</w:t>
        </w:r>
        <w:r w:rsidR="00023BE0" w:rsidRPr="00023BE0">
          <w:rPr>
            <w:rFonts w:ascii="宋体" w:hAnsi="宋体"/>
            <w:noProof/>
            <w:webHidden/>
            <w:sz w:val="22"/>
          </w:rPr>
          <w:fldChar w:fldCharType="end"/>
        </w:r>
      </w:hyperlink>
    </w:p>
    <w:p w14:paraId="1C724A45" w14:textId="2641F3CB" w:rsidR="00023BE0" w:rsidRPr="00753119" w:rsidRDefault="00697D8A">
      <w:pPr>
        <w:pStyle w:val="11"/>
        <w:rPr>
          <w:rFonts w:ascii="宋体" w:hAnsi="宋体"/>
          <w:noProof/>
          <w:kern w:val="2"/>
          <w:sz w:val="22"/>
          <w:lang w:eastAsia="zh-CN" w:bidi="ar-SA"/>
        </w:rPr>
      </w:pPr>
      <w:hyperlink w:anchor="_Toc132016802" w:history="1">
        <w:r w:rsidR="00023BE0" w:rsidRPr="00023BE0">
          <w:rPr>
            <w:rStyle w:val="af8"/>
            <w:rFonts w:ascii="宋体" w:hAnsi="宋体"/>
            <w:noProof/>
            <w:sz w:val="22"/>
            <w:lang w:eastAsia="zh-CN"/>
          </w:rPr>
          <w:t>第二十二部分  基金合同的效力</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_Toc132016802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83</w:t>
        </w:r>
        <w:r w:rsidR="00023BE0" w:rsidRPr="00023BE0">
          <w:rPr>
            <w:rFonts w:ascii="宋体" w:hAnsi="宋体"/>
            <w:noProof/>
            <w:webHidden/>
            <w:sz w:val="22"/>
          </w:rPr>
          <w:fldChar w:fldCharType="end"/>
        </w:r>
      </w:hyperlink>
    </w:p>
    <w:p w14:paraId="6797F3B2" w14:textId="10C560EE" w:rsidR="00023BE0" w:rsidRPr="00753119" w:rsidRDefault="00697D8A">
      <w:pPr>
        <w:pStyle w:val="11"/>
        <w:rPr>
          <w:rFonts w:ascii="宋体" w:hAnsi="宋体"/>
          <w:noProof/>
          <w:kern w:val="2"/>
          <w:sz w:val="22"/>
          <w:lang w:eastAsia="zh-CN" w:bidi="ar-SA"/>
        </w:rPr>
      </w:pPr>
      <w:hyperlink w:anchor="_Toc132016803" w:history="1">
        <w:r w:rsidR="00023BE0" w:rsidRPr="00023BE0">
          <w:rPr>
            <w:rStyle w:val="af8"/>
            <w:rFonts w:ascii="宋体" w:hAnsi="宋体"/>
            <w:noProof/>
            <w:sz w:val="22"/>
            <w:lang w:eastAsia="zh-CN"/>
          </w:rPr>
          <w:t>第二十三部分  其他事项</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_Toc132016803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84</w:t>
        </w:r>
        <w:r w:rsidR="00023BE0" w:rsidRPr="00023BE0">
          <w:rPr>
            <w:rFonts w:ascii="宋体" w:hAnsi="宋体"/>
            <w:noProof/>
            <w:webHidden/>
            <w:sz w:val="22"/>
          </w:rPr>
          <w:fldChar w:fldCharType="end"/>
        </w:r>
      </w:hyperlink>
    </w:p>
    <w:p w14:paraId="4B6CE5D1" w14:textId="3FF5C516" w:rsidR="00023BE0" w:rsidRPr="00753119" w:rsidRDefault="00697D8A">
      <w:pPr>
        <w:pStyle w:val="11"/>
        <w:rPr>
          <w:rFonts w:ascii="宋体" w:hAnsi="宋体"/>
          <w:noProof/>
          <w:kern w:val="2"/>
          <w:sz w:val="22"/>
          <w:lang w:eastAsia="zh-CN" w:bidi="ar-SA"/>
        </w:rPr>
      </w:pPr>
      <w:hyperlink w:anchor="_Toc132016804" w:history="1">
        <w:r w:rsidR="00023BE0" w:rsidRPr="00023BE0">
          <w:rPr>
            <w:rStyle w:val="af8"/>
            <w:rFonts w:ascii="宋体" w:hAnsi="宋体"/>
            <w:noProof/>
            <w:sz w:val="22"/>
            <w:lang w:eastAsia="zh-CN"/>
          </w:rPr>
          <w:t>第二十四部分  基金合同内容摘要</w:t>
        </w:r>
        <w:r w:rsidR="00023BE0" w:rsidRPr="00023BE0">
          <w:rPr>
            <w:rFonts w:ascii="宋体" w:hAnsi="宋体"/>
            <w:noProof/>
            <w:webHidden/>
            <w:sz w:val="22"/>
          </w:rPr>
          <w:tab/>
        </w:r>
        <w:r w:rsidR="00023BE0" w:rsidRPr="00023BE0">
          <w:rPr>
            <w:rFonts w:ascii="宋体" w:hAnsi="宋体"/>
            <w:noProof/>
            <w:webHidden/>
            <w:sz w:val="22"/>
          </w:rPr>
          <w:fldChar w:fldCharType="begin"/>
        </w:r>
        <w:r w:rsidR="00023BE0" w:rsidRPr="00023BE0">
          <w:rPr>
            <w:rFonts w:ascii="宋体" w:hAnsi="宋体"/>
            <w:noProof/>
            <w:webHidden/>
            <w:sz w:val="22"/>
          </w:rPr>
          <w:instrText xml:space="preserve"> PAGEREF _Toc132016804 \h </w:instrText>
        </w:r>
        <w:r w:rsidR="00023BE0" w:rsidRPr="00023BE0">
          <w:rPr>
            <w:rFonts w:ascii="宋体" w:hAnsi="宋体"/>
            <w:noProof/>
            <w:webHidden/>
            <w:sz w:val="22"/>
          </w:rPr>
        </w:r>
        <w:r w:rsidR="00023BE0" w:rsidRPr="00023BE0">
          <w:rPr>
            <w:rFonts w:ascii="宋体" w:hAnsi="宋体"/>
            <w:noProof/>
            <w:webHidden/>
            <w:sz w:val="22"/>
          </w:rPr>
          <w:fldChar w:fldCharType="separate"/>
        </w:r>
        <w:r w:rsidR="004625F7">
          <w:rPr>
            <w:rFonts w:ascii="宋体" w:hAnsi="宋体"/>
            <w:noProof/>
            <w:webHidden/>
            <w:sz w:val="22"/>
          </w:rPr>
          <w:t>85</w:t>
        </w:r>
        <w:r w:rsidR="00023BE0" w:rsidRPr="00023BE0">
          <w:rPr>
            <w:rFonts w:ascii="宋体" w:hAnsi="宋体"/>
            <w:noProof/>
            <w:webHidden/>
            <w:sz w:val="22"/>
          </w:rPr>
          <w:fldChar w:fldCharType="end"/>
        </w:r>
      </w:hyperlink>
    </w:p>
    <w:p w14:paraId="2BB96588" w14:textId="77777777" w:rsidR="004154D1" w:rsidRPr="00EC3B16" w:rsidRDefault="004154D1">
      <w:pPr>
        <w:pStyle w:val="1"/>
        <w:spacing w:before="0" w:after="0"/>
        <w:rPr>
          <w:rFonts w:hAnsi="宋体"/>
          <w:b w:val="0"/>
          <w:bCs/>
        </w:rPr>
        <w:sectPr w:rsidR="004154D1" w:rsidRPr="00EC3B16">
          <w:headerReference w:type="default" r:id="rId9"/>
          <w:pgSz w:w="11906" w:h="16838"/>
          <w:pgMar w:top="1440" w:right="1800" w:bottom="1440" w:left="1800" w:header="851" w:footer="992" w:gutter="0"/>
          <w:pgNumType w:start="1"/>
          <w:cols w:space="720"/>
          <w:docGrid w:type="lines" w:linePitch="312"/>
        </w:sectPr>
      </w:pPr>
      <w:r w:rsidRPr="00023BE0">
        <w:rPr>
          <w:rFonts w:hAnsi="宋体"/>
          <w:b w:val="0"/>
          <w:bCs/>
          <w:sz w:val="22"/>
        </w:rPr>
        <w:fldChar w:fldCharType="end"/>
      </w:r>
      <w:bookmarkStart w:id="24" w:name="_Toc4867"/>
      <w:bookmarkStart w:id="25" w:name="_Toc139991730"/>
      <w:bookmarkStart w:id="26" w:name="_Toc30935"/>
      <w:bookmarkStart w:id="27" w:name="_Toc6306"/>
      <w:bookmarkStart w:id="28" w:name="_Toc4966"/>
      <w:bookmarkStart w:id="29" w:name="_Toc23386"/>
      <w:bookmarkStart w:id="30" w:name="_Toc29629"/>
      <w:bookmarkStart w:id="31" w:name="_Toc26897"/>
      <w:bookmarkStart w:id="32" w:name="_Toc141703880"/>
      <w:bookmarkStart w:id="33" w:name="_Toc15517"/>
      <w:bookmarkStart w:id="34" w:name="_Toc32639"/>
      <w:bookmarkStart w:id="35" w:name="_Toc8727"/>
      <w:bookmarkStart w:id="36" w:name="_Toc123701389"/>
      <w:bookmarkStart w:id="37" w:name="_Toc123112268"/>
      <w:bookmarkStart w:id="38" w:name="_Toc123112229"/>
      <w:bookmarkStart w:id="39" w:name="_Toc233456271"/>
    </w:p>
    <w:p w14:paraId="0278EDBF" w14:textId="77777777" w:rsidR="004154D1" w:rsidRPr="00EC3B16" w:rsidRDefault="004154D1">
      <w:pPr>
        <w:pStyle w:val="1"/>
        <w:spacing w:before="0" w:after="0"/>
        <w:jc w:val="center"/>
        <w:rPr>
          <w:rFonts w:hAnsi="宋体"/>
          <w:sz w:val="30"/>
          <w:lang w:eastAsia="zh-CN"/>
        </w:rPr>
      </w:pPr>
      <w:bookmarkStart w:id="40" w:name="CTS_19e25437b74d4477ad15f91184899d07"/>
      <w:bookmarkStart w:id="41" w:name="_Toc447270824"/>
      <w:bookmarkStart w:id="42" w:name="_Toc11660"/>
      <w:bookmarkStart w:id="43" w:name="_Toc132016781"/>
      <w:bookmarkEnd w:id="23"/>
      <w:bookmarkEnd w:id="40"/>
      <w:r w:rsidRPr="00EC3B16">
        <w:rPr>
          <w:rFonts w:hAnsi="宋体"/>
          <w:sz w:val="30"/>
          <w:lang w:eastAsia="zh-CN"/>
        </w:rPr>
        <w:lastRenderedPageBreak/>
        <w:t>第一部分  前言</w:t>
      </w:r>
      <w:bookmarkEnd w:id="24"/>
      <w:bookmarkEnd w:id="25"/>
      <w:bookmarkEnd w:id="26"/>
      <w:bookmarkEnd w:id="27"/>
      <w:bookmarkEnd w:id="28"/>
      <w:bookmarkEnd w:id="29"/>
      <w:bookmarkEnd w:id="30"/>
      <w:bookmarkEnd w:id="31"/>
      <w:bookmarkEnd w:id="32"/>
      <w:bookmarkEnd w:id="33"/>
      <w:bookmarkEnd w:id="34"/>
      <w:bookmarkEnd w:id="35"/>
      <w:bookmarkEnd w:id="41"/>
      <w:bookmarkEnd w:id="42"/>
      <w:bookmarkEnd w:id="43"/>
    </w:p>
    <w:p w14:paraId="74457BF8" w14:textId="77777777" w:rsidR="004154D1" w:rsidRPr="00EC3B16" w:rsidRDefault="004154D1" w:rsidP="009D49B9">
      <w:pPr>
        <w:spacing w:line="360" w:lineRule="auto"/>
        <w:ind w:firstLine="480"/>
        <w:jc w:val="both"/>
        <w:rPr>
          <w:rFonts w:ascii="宋体" w:hAnsi="宋体"/>
          <w:bCs/>
          <w:sz w:val="24"/>
          <w:lang w:eastAsia="zh-CN"/>
        </w:rPr>
      </w:pPr>
      <w:bookmarkStart w:id="44" w:name="_Toc139991731"/>
    </w:p>
    <w:p w14:paraId="28B1D328" w14:textId="77777777" w:rsidR="004154D1" w:rsidRPr="00EC3B16" w:rsidRDefault="004154D1" w:rsidP="009D49B9">
      <w:pPr>
        <w:spacing w:line="360" w:lineRule="auto"/>
        <w:ind w:firstLine="480"/>
        <w:jc w:val="both"/>
        <w:rPr>
          <w:rFonts w:ascii="宋体" w:hAnsi="宋体"/>
          <w:bCs/>
          <w:sz w:val="24"/>
          <w:lang w:eastAsia="zh-CN"/>
        </w:rPr>
      </w:pPr>
      <w:bookmarkStart w:id="45" w:name="_Toc258829399"/>
      <w:bookmarkEnd w:id="36"/>
      <w:bookmarkEnd w:id="37"/>
      <w:bookmarkEnd w:id="38"/>
      <w:bookmarkEnd w:id="44"/>
      <w:r w:rsidRPr="00EC3B16">
        <w:rPr>
          <w:rFonts w:ascii="宋体" w:hAnsi="宋体"/>
          <w:bCs/>
          <w:sz w:val="24"/>
          <w:lang w:eastAsia="zh-CN"/>
        </w:rPr>
        <w:t>一、订立本基金合同的目的、依据和原则</w:t>
      </w:r>
    </w:p>
    <w:p w14:paraId="48FE6BE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1、订立本基金合同的目的是保护投资人合法权益，明确基金合同当事人的权利义务，规范基金运作。</w:t>
      </w:r>
    </w:p>
    <w:p w14:paraId="637DD2CE"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w:t>
      </w:r>
      <w:r w:rsidRPr="00EC3B16">
        <w:rPr>
          <w:rFonts w:ascii="宋体" w:hAnsi="宋体" w:hint="eastAsia"/>
          <w:bCs/>
          <w:sz w:val="24"/>
          <w:lang w:eastAsia="zh-CN"/>
        </w:rPr>
        <w:t>订立本基金合同的依据是《中华人民共和国民法典》（以下简称</w:t>
      </w:r>
      <w:r w:rsidR="00AB3A99" w:rsidRPr="00EC3B16">
        <w:rPr>
          <w:rFonts w:ascii="宋体" w:hAnsi="宋体" w:hint="eastAsia"/>
          <w:bCs/>
          <w:sz w:val="24"/>
          <w:lang w:eastAsia="zh-CN"/>
        </w:rPr>
        <w:t>“</w:t>
      </w:r>
      <w:r w:rsidRPr="00EC3B16">
        <w:rPr>
          <w:rFonts w:ascii="宋体" w:hAnsi="宋体" w:hint="eastAsia"/>
          <w:bCs/>
          <w:sz w:val="24"/>
          <w:lang w:eastAsia="zh-CN"/>
        </w:rPr>
        <w:t>《民法典》</w:t>
      </w:r>
      <w:r w:rsidRPr="00EC3B16">
        <w:rPr>
          <w:rFonts w:ascii="宋体" w:hAnsi="宋体"/>
          <w:bCs/>
          <w:sz w:val="24"/>
          <w:lang w:eastAsia="zh-CN"/>
        </w:rPr>
        <w:t>”</w:t>
      </w:r>
      <w:r w:rsidRPr="00EC3B16">
        <w:rPr>
          <w:rFonts w:ascii="宋体" w:hAnsi="宋体" w:hint="eastAsia"/>
          <w:bCs/>
          <w:sz w:val="24"/>
          <w:lang w:eastAsia="zh-CN"/>
        </w:rPr>
        <w:t>）、《中华人民共和国证券投资基金法》（以下简称</w:t>
      </w:r>
      <w:r w:rsidRPr="00EC3B16">
        <w:rPr>
          <w:rFonts w:ascii="宋体" w:hAnsi="宋体"/>
          <w:bCs/>
          <w:sz w:val="24"/>
          <w:lang w:eastAsia="zh-CN"/>
        </w:rPr>
        <w:t>“</w:t>
      </w:r>
      <w:r w:rsidRPr="00EC3B16">
        <w:rPr>
          <w:rFonts w:ascii="宋体" w:hAnsi="宋体" w:hint="eastAsia"/>
          <w:bCs/>
          <w:sz w:val="24"/>
          <w:lang w:eastAsia="zh-CN"/>
        </w:rPr>
        <w:t>《基金法》</w:t>
      </w:r>
      <w:r w:rsidRPr="00EC3B16">
        <w:rPr>
          <w:rFonts w:ascii="宋体" w:hAnsi="宋体"/>
          <w:bCs/>
          <w:sz w:val="24"/>
          <w:lang w:eastAsia="zh-CN"/>
        </w:rPr>
        <w:t>”</w:t>
      </w:r>
      <w:r w:rsidRPr="00EC3B16">
        <w:rPr>
          <w:rFonts w:ascii="宋体" w:hAnsi="宋体" w:hint="eastAsia"/>
          <w:bCs/>
          <w:sz w:val="24"/>
          <w:lang w:eastAsia="zh-CN"/>
        </w:rPr>
        <w:t>）、《公开募集证券投资基金运作管理办法》（以下简称</w:t>
      </w:r>
      <w:r w:rsidRPr="00EC3B16">
        <w:rPr>
          <w:rFonts w:ascii="宋体" w:hAnsi="宋体"/>
          <w:bCs/>
          <w:sz w:val="24"/>
          <w:lang w:eastAsia="zh-CN"/>
        </w:rPr>
        <w:t>“</w:t>
      </w:r>
      <w:r w:rsidRPr="00EC3B16">
        <w:rPr>
          <w:rFonts w:ascii="宋体" w:hAnsi="宋体" w:hint="eastAsia"/>
          <w:bCs/>
          <w:sz w:val="24"/>
          <w:lang w:eastAsia="zh-CN"/>
        </w:rPr>
        <w:t>《运作办法》</w:t>
      </w:r>
      <w:r w:rsidRPr="00EC3B16">
        <w:rPr>
          <w:rFonts w:ascii="宋体" w:hAnsi="宋体"/>
          <w:bCs/>
          <w:sz w:val="24"/>
          <w:lang w:eastAsia="zh-CN"/>
        </w:rPr>
        <w:t>”</w:t>
      </w:r>
      <w:r w:rsidRPr="00EC3B16">
        <w:rPr>
          <w:rFonts w:ascii="宋体" w:hAnsi="宋体" w:hint="eastAsia"/>
          <w:bCs/>
          <w:sz w:val="24"/>
          <w:lang w:eastAsia="zh-CN"/>
        </w:rPr>
        <w:t>）、《公开募集证券投资基金销售机构监督管理办法》（以下简称</w:t>
      </w:r>
      <w:r w:rsidRPr="00EC3B16">
        <w:rPr>
          <w:rFonts w:ascii="宋体" w:hAnsi="宋体"/>
          <w:bCs/>
          <w:sz w:val="24"/>
          <w:lang w:eastAsia="zh-CN"/>
        </w:rPr>
        <w:t>“</w:t>
      </w:r>
      <w:r w:rsidRPr="00EC3B16">
        <w:rPr>
          <w:rFonts w:ascii="宋体" w:hAnsi="宋体" w:hint="eastAsia"/>
          <w:bCs/>
          <w:sz w:val="24"/>
          <w:lang w:eastAsia="zh-CN"/>
        </w:rPr>
        <w:t>《销售办法》</w:t>
      </w:r>
      <w:r w:rsidRPr="00EC3B16">
        <w:rPr>
          <w:rFonts w:ascii="宋体" w:hAnsi="宋体"/>
          <w:bCs/>
          <w:sz w:val="24"/>
          <w:lang w:eastAsia="zh-CN"/>
        </w:rPr>
        <w:t>”</w:t>
      </w:r>
      <w:r w:rsidRPr="00EC3B16">
        <w:rPr>
          <w:rFonts w:ascii="宋体" w:hAnsi="宋体" w:hint="eastAsia"/>
          <w:bCs/>
          <w:sz w:val="24"/>
          <w:lang w:eastAsia="zh-CN"/>
        </w:rPr>
        <w:t>）、《公开募集证券投资基金信息披露管理办法》（以下简称</w:t>
      </w:r>
      <w:r w:rsidRPr="00EC3B16">
        <w:rPr>
          <w:rFonts w:ascii="宋体" w:hAnsi="宋体"/>
          <w:bCs/>
          <w:sz w:val="24"/>
          <w:lang w:eastAsia="zh-CN"/>
        </w:rPr>
        <w:t>“</w:t>
      </w:r>
      <w:r w:rsidRPr="00EC3B16">
        <w:rPr>
          <w:rFonts w:ascii="宋体" w:hAnsi="宋体" w:hint="eastAsia"/>
          <w:bCs/>
          <w:sz w:val="24"/>
          <w:lang w:eastAsia="zh-CN"/>
        </w:rPr>
        <w:t>《信息披露办法》</w:t>
      </w:r>
      <w:r w:rsidRPr="00EC3B16">
        <w:rPr>
          <w:rFonts w:ascii="宋体" w:hAnsi="宋体"/>
          <w:bCs/>
          <w:sz w:val="24"/>
          <w:lang w:eastAsia="zh-CN"/>
        </w:rPr>
        <w:t>”</w:t>
      </w:r>
      <w:r w:rsidRPr="00EC3B16">
        <w:rPr>
          <w:rFonts w:ascii="宋体" w:hAnsi="宋体" w:hint="eastAsia"/>
          <w:bCs/>
          <w:sz w:val="24"/>
          <w:lang w:eastAsia="zh-CN"/>
        </w:rPr>
        <w:t>）、《公开募集开放式证券投资基金流动性风险管理规定》（以下简称</w:t>
      </w:r>
      <w:r w:rsidRPr="00EC3B16">
        <w:rPr>
          <w:rFonts w:ascii="宋体" w:hAnsi="宋体"/>
          <w:bCs/>
          <w:sz w:val="24"/>
          <w:lang w:eastAsia="zh-CN"/>
        </w:rPr>
        <w:t>“</w:t>
      </w:r>
      <w:r w:rsidRPr="00EC3B16">
        <w:rPr>
          <w:rFonts w:ascii="宋体" w:hAnsi="宋体" w:hint="eastAsia"/>
          <w:bCs/>
          <w:sz w:val="24"/>
          <w:lang w:eastAsia="zh-CN"/>
        </w:rPr>
        <w:t>《流动性风险管理规定》</w:t>
      </w:r>
      <w:r w:rsidRPr="00EC3B16">
        <w:rPr>
          <w:rFonts w:ascii="宋体" w:hAnsi="宋体"/>
          <w:bCs/>
          <w:sz w:val="24"/>
          <w:lang w:eastAsia="zh-CN"/>
        </w:rPr>
        <w:t>”</w:t>
      </w:r>
      <w:r w:rsidRPr="00EC3B16">
        <w:rPr>
          <w:rFonts w:ascii="宋体" w:hAnsi="宋体" w:hint="eastAsia"/>
          <w:bCs/>
          <w:sz w:val="24"/>
          <w:lang w:eastAsia="zh-CN"/>
        </w:rPr>
        <w:t>）和其他有关法律法规。</w:t>
      </w:r>
    </w:p>
    <w:p w14:paraId="6D0D25E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3、订立本基金合同的原则是平等自愿、诚实信用、充分保护投资人合法权益。</w:t>
      </w:r>
    </w:p>
    <w:p w14:paraId="2C737BB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55EC851"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037B049"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三、</w:t>
      </w:r>
      <w:r w:rsidR="005E142F">
        <w:rPr>
          <w:rFonts w:ascii="宋体" w:hAnsi="宋体"/>
          <w:bCs/>
          <w:sz w:val="24"/>
          <w:lang w:eastAsia="zh-CN"/>
        </w:rPr>
        <w:t>中信建投消费升级混合型发起式证券投资基金</w:t>
      </w:r>
      <w:r w:rsidRPr="00EC3B16">
        <w:rPr>
          <w:rFonts w:ascii="宋体" w:hAnsi="宋体"/>
          <w:bCs/>
          <w:sz w:val="24"/>
          <w:lang w:eastAsia="zh-CN"/>
        </w:rPr>
        <w:t>由基金管理人依照《基金法》、基金合同及其他有关规定募集，并经中国证券监督管理委员会（</w:t>
      </w:r>
      <w:r w:rsidRPr="00EC3B16">
        <w:rPr>
          <w:rFonts w:ascii="宋体" w:hAnsi="宋体" w:hint="eastAsia"/>
          <w:bCs/>
          <w:sz w:val="24"/>
          <w:lang w:eastAsia="zh-CN"/>
        </w:rPr>
        <w:t>以下简称</w:t>
      </w:r>
      <w:r w:rsidRPr="00EC3B16">
        <w:rPr>
          <w:rFonts w:ascii="宋体" w:hAnsi="宋体"/>
          <w:bCs/>
          <w:sz w:val="24"/>
          <w:lang w:eastAsia="zh-CN"/>
        </w:rPr>
        <w:t>“</w:t>
      </w:r>
      <w:r w:rsidRPr="00EC3B16">
        <w:rPr>
          <w:rFonts w:ascii="宋体" w:hAnsi="宋体" w:hint="eastAsia"/>
          <w:bCs/>
          <w:sz w:val="24"/>
          <w:lang w:eastAsia="zh-CN"/>
        </w:rPr>
        <w:t>中国证监会</w:t>
      </w:r>
      <w:r w:rsidRPr="00EC3B16">
        <w:rPr>
          <w:rFonts w:ascii="宋体" w:hAnsi="宋体"/>
          <w:bCs/>
          <w:sz w:val="24"/>
          <w:lang w:eastAsia="zh-CN"/>
        </w:rPr>
        <w:t>”</w:t>
      </w:r>
      <w:r w:rsidRPr="00EC3B16">
        <w:rPr>
          <w:rFonts w:ascii="宋体" w:hAnsi="宋体" w:hint="eastAsia"/>
          <w:bCs/>
          <w:sz w:val="24"/>
          <w:lang w:eastAsia="zh-CN"/>
        </w:rPr>
        <w:t>）注册。</w:t>
      </w:r>
    </w:p>
    <w:p w14:paraId="7372805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中国证监会对本基金募集的注册，并不表明其对本基金的价</w:t>
      </w:r>
      <w:r w:rsidRPr="00EC3B16">
        <w:rPr>
          <w:rFonts w:ascii="宋体" w:hAnsi="宋体"/>
          <w:bCs/>
          <w:sz w:val="24"/>
          <w:lang w:eastAsia="zh-CN"/>
        </w:rPr>
        <w:t>值和收益做出实质性判断或保证，也不表明投资于本基金没有风险。中国证监会不对基金的投资价值及市场前景等作出实质性判断或者保证。</w:t>
      </w:r>
    </w:p>
    <w:p w14:paraId="0AB3513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基金管理人依照恪尽职守、诚实信用、谨慎勤勉的原则管理和运用基金财产，但不保证投资于本基金一定盈利，也不保证最低收益。</w:t>
      </w:r>
    </w:p>
    <w:p w14:paraId="1C3EB220"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投资者应当认真阅读基金合同、基金招募说明书、基金产品资料概要等信息披露文件，自主判断基金的投资价值，自主做出投资决策，自行承担投资风险。</w:t>
      </w:r>
    </w:p>
    <w:p w14:paraId="2C4429A0"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四、基金管理人、基金托管人在本基金合同之外披露涉及本基金的信息，其内容涉及界定基金合同当事人之间权利义务关系的，如与基金合同有冲突，以基金合同为准。</w:t>
      </w:r>
    </w:p>
    <w:p w14:paraId="4DFDBB3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五、本基金按照中国法律法规成立并运作，若基金合同的内容与届时有效的法律法规的强制性规定不一致，应当以届时有效的法律法规的规定为准。</w:t>
      </w:r>
    </w:p>
    <w:p w14:paraId="1A03E98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hint="eastAsia"/>
          <w:bCs/>
          <w:sz w:val="24"/>
          <w:lang w:eastAsia="zh-CN"/>
        </w:rPr>
        <w:t>六、本基金投资内地与香港股票市场交易互联互通机制允许买卖的规定范围内的香港联合交易所上市的股票（以下简称“港股通标的股票”），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的“风险揭示”章节的具体内容。本基金可根据投资策略需要或不同配置地市场环境的变化，选择将部分基金资产投资于港股或选择不将基金资产投资于港股，基金资产并非必然投资港股。</w:t>
      </w:r>
    </w:p>
    <w:p w14:paraId="23228A88" w14:textId="77777777" w:rsidR="009D49B9" w:rsidRPr="00EC3B16" w:rsidRDefault="009D49B9">
      <w:pPr>
        <w:spacing w:line="360" w:lineRule="auto"/>
        <w:ind w:firstLine="480"/>
        <w:jc w:val="both"/>
        <w:rPr>
          <w:rFonts w:ascii="宋体" w:hAnsi="宋体"/>
          <w:bCs/>
          <w:sz w:val="24"/>
          <w:lang w:eastAsia="zh-CN"/>
        </w:rPr>
      </w:pPr>
    </w:p>
    <w:p w14:paraId="7F293681" w14:textId="77777777" w:rsidR="004154D1" w:rsidRPr="00EC3B16" w:rsidRDefault="004154D1">
      <w:pPr>
        <w:pStyle w:val="1"/>
        <w:spacing w:before="0" w:after="0"/>
        <w:jc w:val="center"/>
        <w:rPr>
          <w:rFonts w:hAnsi="宋体"/>
          <w:sz w:val="30"/>
          <w:lang w:eastAsia="zh-CN"/>
        </w:rPr>
      </w:pPr>
      <w:r w:rsidRPr="00EC3B16">
        <w:rPr>
          <w:rFonts w:hAnsi="宋体"/>
          <w:b w:val="0"/>
          <w:bCs/>
          <w:sz w:val="21"/>
          <w:lang w:eastAsia="zh-CN"/>
        </w:rPr>
        <w:br w:type="page"/>
      </w:r>
      <w:bookmarkStart w:id="46" w:name="_Toc19592"/>
      <w:bookmarkStart w:id="47" w:name="_Toc21301"/>
      <w:bookmarkStart w:id="48" w:name="_Toc13020"/>
      <w:bookmarkStart w:id="49" w:name="_Toc24860"/>
      <w:bookmarkStart w:id="50" w:name="_Toc819"/>
      <w:bookmarkStart w:id="51" w:name="_Toc31551"/>
      <w:bookmarkStart w:id="52" w:name="_Toc3224"/>
      <w:bookmarkStart w:id="53" w:name="_Toc6617"/>
      <w:bookmarkStart w:id="54" w:name="_Toc2465"/>
      <w:bookmarkStart w:id="55" w:name="_Toc15067"/>
      <w:bookmarkStart w:id="56" w:name="_Toc447270825"/>
      <w:bookmarkStart w:id="57" w:name="_Toc22864"/>
      <w:bookmarkStart w:id="58" w:name="_Toc132016782"/>
      <w:r w:rsidRPr="00EC3B16">
        <w:rPr>
          <w:rFonts w:hAnsi="宋体"/>
          <w:sz w:val="30"/>
          <w:lang w:eastAsia="zh-CN"/>
        </w:rPr>
        <w:lastRenderedPageBreak/>
        <w:t>第二部分</w:t>
      </w:r>
      <w:r w:rsidRPr="00EC3B16">
        <w:rPr>
          <w:rFonts w:hAnsi="宋体" w:hint="eastAsia"/>
          <w:sz w:val="30"/>
          <w:lang w:eastAsia="zh-CN"/>
        </w:rPr>
        <w:t xml:space="preserve"> </w:t>
      </w:r>
      <w:r w:rsidRPr="00EC3B16">
        <w:rPr>
          <w:rFonts w:hAnsi="宋体"/>
          <w:sz w:val="30"/>
          <w:lang w:eastAsia="zh-CN"/>
        </w:rPr>
        <w:t xml:space="preserve"> 释义</w:t>
      </w:r>
      <w:bookmarkEnd w:id="39"/>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B1CEE6B" w14:textId="77777777" w:rsidR="004154D1" w:rsidRPr="00EC3B16" w:rsidRDefault="004154D1">
      <w:pPr>
        <w:spacing w:line="360" w:lineRule="auto"/>
        <w:ind w:firstLine="480"/>
        <w:jc w:val="both"/>
        <w:rPr>
          <w:rFonts w:ascii="宋体" w:hAnsi="宋体"/>
          <w:bCs/>
          <w:sz w:val="24"/>
          <w:lang w:eastAsia="zh-CN"/>
        </w:rPr>
      </w:pPr>
      <w:bookmarkStart w:id="59" w:name="CLAUSE_19e25437b74d4477ad15f91184899d07"/>
    </w:p>
    <w:p w14:paraId="4FF36CF1"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在本基金合同中，除非文意另有所指，下列词语或简称具有如下含义：</w:t>
      </w:r>
    </w:p>
    <w:p w14:paraId="48A72CF2"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1、基金或本基金：指</w:t>
      </w:r>
      <w:r w:rsidR="005E142F">
        <w:rPr>
          <w:rFonts w:ascii="宋体" w:hAnsi="宋体"/>
          <w:bCs/>
          <w:sz w:val="24"/>
          <w:lang w:eastAsia="zh-CN"/>
        </w:rPr>
        <w:t>中信建投消费升级混合型发起式证券投资基金</w:t>
      </w:r>
    </w:p>
    <w:p w14:paraId="5074201F"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2、基金管理人：指中信建投基金管理有限公司</w:t>
      </w:r>
    </w:p>
    <w:p w14:paraId="120127C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3、基金托管人：指</w:t>
      </w:r>
      <w:r w:rsidR="005E142F">
        <w:rPr>
          <w:rFonts w:ascii="宋体" w:hAnsi="宋体"/>
          <w:bCs/>
          <w:sz w:val="24"/>
          <w:lang w:eastAsia="zh-CN"/>
        </w:rPr>
        <w:t>上海浦东发展银行股份有限公司</w:t>
      </w:r>
    </w:p>
    <w:p w14:paraId="51606B1D"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4、基金合同或本基金合同：指《</w:t>
      </w:r>
      <w:r w:rsidR="005E142F">
        <w:rPr>
          <w:rFonts w:ascii="宋体" w:hAnsi="宋体"/>
          <w:bCs/>
          <w:sz w:val="24"/>
          <w:lang w:eastAsia="zh-CN"/>
        </w:rPr>
        <w:t>中信建投消费升级混合型发起式证券投资基金</w:t>
      </w:r>
      <w:r w:rsidRPr="00EC3B16">
        <w:rPr>
          <w:rFonts w:ascii="宋体" w:hAnsi="宋体"/>
          <w:bCs/>
          <w:sz w:val="24"/>
          <w:lang w:eastAsia="zh-CN"/>
        </w:rPr>
        <w:t>基金合同》及对本基金合同的任何有效修订和补充</w:t>
      </w:r>
    </w:p>
    <w:p w14:paraId="7AFA259A"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5、托管协议：指基金管理人与基金托管人就本基金签订之《</w:t>
      </w:r>
      <w:r w:rsidR="005E142F">
        <w:rPr>
          <w:rFonts w:ascii="宋体" w:hAnsi="宋体"/>
          <w:bCs/>
          <w:sz w:val="24"/>
          <w:lang w:eastAsia="zh-CN"/>
        </w:rPr>
        <w:t>中信建投消费升级混合型发起式证券投资基金</w:t>
      </w:r>
      <w:r w:rsidRPr="00EC3B16">
        <w:rPr>
          <w:rFonts w:ascii="宋体" w:hAnsi="宋体"/>
          <w:bCs/>
          <w:sz w:val="24"/>
          <w:lang w:eastAsia="zh-CN"/>
        </w:rPr>
        <w:t>托管协议》及对该托管协议的任何有效修订和补充</w:t>
      </w:r>
    </w:p>
    <w:p w14:paraId="69817EA0"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6、招募说明书：指《</w:t>
      </w:r>
      <w:r w:rsidR="005E142F">
        <w:rPr>
          <w:rFonts w:ascii="宋体" w:hAnsi="宋体"/>
          <w:bCs/>
          <w:sz w:val="24"/>
          <w:lang w:eastAsia="zh-CN"/>
        </w:rPr>
        <w:t>中信建投消费升级混合型发起式证券投资基金</w:t>
      </w:r>
      <w:r w:rsidRPr="00EC3B16">
        <w:rPr>
          <w:rFonts w:ascii="宋体" w:hAnsi="宋体"/>
          <w:bCs/>
          <w:sz w:val="24"/>
          <w:lang w:eastAsia="zh-CN"/>
        </w:rPr>
        <w:t>招募说明书》及其更新</w:t>
      </w:r>
    </w:p>
    <w:p w14:paraId="27E3BFBB"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7、基金产品资料概要：指《</w:t>
      </w:r>
      <w:r w:rsidR="005E142F">
        <w:rPr>
          <w:rFonts w:ascii="宋体" w:hAnsi="宋体"/>
          <w:bCs/>
          <w:sz w:val="24"/>
          <w:lang w:eastAsia="zh-CN"/>
        </w:rPr>
        <w:t>中信建投消费升级混合型发起式证券投资基金</w:t>
      </w:r>
      <w:r w:rsidRPr="00EC3B16">
        <w:rPr>
          <w:rFonts w:ascii="宋体" w:hAnsi="宋体"/>
          <w:bCs/>
          <w:sz w:val="24"/>
          <w:lang w:eastAsia="zh-CN"/>
        </w:rPr>
        <w:t>基金产品资料概要》及其更新</w:t>
      </w:r>
    </w:p>
    <w:p w14:paraId="673F2938"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8、基金份额发售公告：指《</w:t>
      </w:r>
      <w:r w:rsidR="005E142F">
        <w:rPr>
          <w:rFonts w:ascii="宋体" w:hAnsi="宋体"/>
          <w:bCs/>
          <w:sz w:val="24"/>
          <w:lang w:eastAsia="zh-CN"/>
        </w:rPr>
        <w:t>中信建投消费升级混合型发起式证券投资基金</w:t>
      </w:r>
      <w:r w:rsidRPr="00EC3B16">
        <w:rPr>
          <w:rFonts w:ascii="宋体" w:hAnsi="宋体"/>
          <w:bCs/>
          <w:sz w:val="24"/>
          <w:lang w:eastAsia="zh-CN"/>
        </w:rPr>
        <w:t>基金份额发售公告》</w:t>
      </w:r>
    </w:p>
    <w:p w14:paraId="7D1D43B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9、法律法规：指中国现行有效并公布实施的法律、行政法规、规范性文件、司法解释、行政规章以及其他对基金合同当事人有约束力的决定、决议、通知等</w:t>
      </w:r>
    </w:p>
    <w:p w14:paraId="66BB1B9E"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331F645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11、《销售办法》：指中国证监会2020年8月28日颁布、同年10月1日实施的《公开募集证券投资基金销售机构监督管理办法》及颁布机关对其不时做出的修订</w:t>
      </w:r>
    </w:p>
    <w:p w14:paraId="56589B85"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12、《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20530F37"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13、《运作办法》：指中国证监会2014年7月7日颁布、同年8月8日实施的《公开募集证券投资基金运作管理办法》及颁布机关对其不时做出的修订</w:t>
      </w:r>
    </w:p>
    <w:p w14:paraId="2D7B78EA"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14、《流动性风险管理规定》：指中国证监会2017年8月31日颁布、同年10月1日实施的《公开募集开放式证券投资基金流动性风险管理规定》及颁布机关对其不时做出的修订</w:t>
      </w:r>
    </w:p>
    <w:p w14:paraId="74DA6ADE"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15、中国证监会：指中国证券监督管理委员会</w:t>
      </w:r>
    </w:p>
    <w:p w14:paraId="7A42B9E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16、银行业监督管理机构：指中国人民银行和/或</w:t>
      </w:r>
      <w:r w:rsidR="00B47209" w:rsidRPr="00B47209">
        <w:rPr>
          <w:rFonts w:ascii="宋体" w:hAnsi="宋体" w:hint="eastAsia"/>
          <w:bCs/>
          <w:sz w:val="24"/>
          <w:lang w:eastAsia="zh-CN"/>
        </w:rPr>
        <w:t>国家金融监督管理总局</w:t>
      </w:r>
    </w:p>
    <w:p w14:paraId="6CE2216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17、基金合同当事人：指受基金合同约束，根据基金合同享有权利并承担义务的法律主体，包括基金管理人、基金托管人和基金份额持有人</w:t>
      </w:r>
    </w:p>
    <w:p w14:paraId="3A27D0C5"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18、个人投资者：指依据有关法律法规规定可投资于证券投资基金的自然人</w:t>
      </w:r>
    </w:p>
    <w:p w14:paraId="2480EE82"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19、机构投资者：指依法可以投资证券投资基金的、在中华人民共和国境内合法登记并存续或经有关政府部门批准设立并存续的企业法人、事业法人、社会团体或其他组织</w:t>
      </w:r>
    </w:p>
    <w:p w14:paraId="014ABC02"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20、合格境外机构投资者：指符合《合格境外机构投资者和人民币合格境外机构投资者境内证券期货投资管理办法》及相关法律法规规定可以投资于在中国境内依法募集的证券投资基金的中国境外的机构投资者</w:t>
      </w:r>
    </w:p>
    <w:p w14:paraId="2B1B56D8"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21、人民币合格境外机构投资者：指按照《合格境外机构投资者和人民币合格境外机构投资者境内证券期货投资管理办法》及相关法律法规规定，运用来自境外的人民币资金进行境内证券投资的境外法人</w:t>
      </w:r>
    </w:p>
    <w:p w14:paraId="52DF663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22、投资人、投资者：指个人投资者、机构投资者</w:t>
      </w:r>
      <w:r w:rsidRPr="00EC3B16">
        <w:rPr>
          <w:rFonts w:ascii="宋体" w:hAnsi="宋体" w:hint="eastAsia"/>
          <w:bCs/>
          <w:sz w:val="24"/>
          <w:lang w:eastAsia="zh-CN"/>
        </w:rPr>
        <w:t>、</w:t>
      </w:r>
      <w:r w:rsidRPr="00EC3B16">
        <w:rPr>
          <w:rFonts w:ascii="宋体" w:hAnsi="宋体"/>
          <w:bCs/>
          <w:sz w:val="24"/>
          <w:lang w:eastAsia="zh-CN"/>
        </w:rPr>
        <w:t>合格境外机构投资者</w:t>
      </w:r>
      <w:r w:rsidRPr="00EC3B16">
        <w:rPr>
          <w:rFonts w:ascii="宋体" w:hAnsi="宋体" w:hint="eastAsia"/>
          <w:bCs/>
          <w:sz w:val="24"/>
          <w:lang w:eastAsia="zh-CN"/>
        </w:rPr>
        <w:t>、人民币合格境外机构投资者和发起资金提供方</w:t>
      </w:r>
      <w:r w:rsidRPr="00EC3B16">
        <w:rPr>
          <w:rFonts w:ascii="宋体" w:hAnsi="宋体"/>
          <w:bCs/>
          <w:sz w:val="24"/>
          <w:lang w:eastAsia="zh-CN"/>
        </w:rPr>
        <w:t>以及法律法规或中国证监会允许购买证券投资基金的其他投资人的合称</w:t>
      </w:r>
    </w:p>
    <w:p w14:paraId="5F608DAD"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23、基金份额持有人：指依基金合同和招募说明书合法取得基金份额的投资人</w:t>
      </w:r>
    </w:p>
    <w:p w14:paraId="16281199"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hint="eastAsia"/>
          <w:bCs/>
          <w:sz w:val="24"/>
          <w:lang w:eastAsia="zh-CN"/>
        </w:rPr>
        <w:lastRenderedPageBreak/>
        <w:t>2</w:t>
      </w:r>
      <w:r w:rsidRPr="00EC3B16">
        <w:rPr>
          <w:rFonts w:ascii="宋体" w:hAnsi="宋体"/>
          <w:bCs/>
          <w:sz w:val="24"/>
          <w:lang w:eastAsia="zh-CN"/>
        </w:rPr>
        <w:t>4</w:t>
      </w:r>
      <w:r w:rsidRPr="00EC3B16">
        <w:rPr>
          <w:rFonts w:ascii="宋体" w:hAnsi="宋体" w:hint="eastAsia"/>
          <w:bCs/>
          <w:sz w:val="24"/>
          <w:lang w:eastAsia="zh-CN"/>
        </w:rPr>
        <w:t>、发起资金：指用于认购发起式基金且来源于基金管理人的股东资金、基金管理人固有资金、基金管理人高级管理人员或基金经理（指基金管理人员工中依法具有基金经理资格者，包括但不限于本基金的基金经理，下同）等人员的资金</w:t>
      </w:r>
    </w:p>
    <w:p w14:paraId="1A37D5B4"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hint="eastAsia"/>
          <w:bCs/>
          <w:sz w:val="24"/>
          <w:lang w:eastAsia="zh-CN"/>
        </w:rPr>
        <w:t>2</w:t>
      </w:r>
      <w:r w:rsidRPr="00EC3B16">
        <w:rPr>
          <w:rFonts w:ascii="宋体" w:hAnsi="宋体"/>
          <w:bCs/>
          <w:sz w:val="24"/>
          <w:lang w:eastAsia="zh-CN"/>
        </w:rPr>
        <w:t>5</w:t>
      </w:r>
      <w:r w:rsidRPr="00EC3B16">
        <w:rPr>
          <w:rFonts w:ascii="宋体" w:hAnsi="宋体" w:hint="eastAsia"/>
          <w:bCs/>
          <w:sz w:val="24"/>
          <w:lang w:eastAsia="zh-CN"/>
        </w:rPr>
        <w:t>、发起资金提供方：指以发起资金认购本基金且承诺以发起资金认购的基金份额持有期限不少于3年的基金管理人的股东、基金管理人、基金管理人高级管理人员或基金经理等人员</w:t>
      </w:r>
    </w:p>
    <w:p w14:paraId="6B0E19ED"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26、基金销售业务：指基金管理人或销售机构宣传推介基金，发售基金份额，办理基金份额的申购、赎回、转换、转托管及定期定额投资等业务</w:t>
      </w:r>
    </w:p>
    <w:p w14:paraId="17059A80"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27、销售机构：指中信建投基金管理有限公司以及符合《销售办法》和中国证监会规定的其他条件，取得基金销售业务资格并与基金管理人签订了基金销售服务协议，办理基金销售业务的机构</w:t>
      </w:r>
    </w:p>
    <w:p w14:paraId="4D04EEA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28、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1444174"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29、登记机构：指办理登记业务的机构。基金的登记机构为中信建投基金管理有限公司或接受中信建投基金管理有限公司委托代为办理登记业务的机构</w:t>
      </w:r>
    </w:p>
    <w:p w14:paraId="428FCF3D"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30、基金账户：指登记机构为投资人开立的、记录其持有的、基金管理人所管理的基金份额余额及其变动情况的账户</w:t>
      </w:r>
    </w:p>
    <w:p w14:paraId="220E37A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31、基金交易账户：指销售机构为投资人开立的、记录投资人通过该销售机构办理认购、申购、赎回、转换、转托管及定期定额投资等业务而引起的基金份额变动及结余情况的账户</w:t>
      </w:r>
    </w:p>
    <w:p w14:paraId="167A732A"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32、基金合同生效日：指基金募集达到法律法规规定及基金合同规定的条件，基金管理人向中国证监会办理基金备案手续完毕，并获得中国证监会书面确认的日期</w:t>
      </w:r>
    </w:p>
    <w:p w14:paraId="72A0D624"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33、基金合同终止日：指基金合同规定的基金合同终止事由出现后，基金财产清算完毕，清算结果报中国证监会备案并予以公告的日期</w:t>
      </w:r>
    </w:p>
    <w:p w14:paraId="1F4412A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34、基金募集期：指自基金份额发售之日起至发售结束之日止的期间，最长不得超过3个月</w:t>
      </w:r>
    </w:p>
    <w:p w14:paraId="118C2F9E"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35、存续期：指基金合同生效至终止之间的不定期期限</w:t>
      </w:r>
    </w:p>
    <w:p w14:paraId="4A0B748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36、工作日：指上海证券交易所、深圳证券交易所的正常交易日</w:t>
      </w:r>
    </w:p>
    <w:p w14:paraId="348308E2"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37、T日：指销售机构在规定时间受理投资人申购、赎回或其他业务申请的开放日</w:t>
      </w:r>
    </w:p>
    <w:p w14:paraId="21F8A0C4"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38、T+n日：指自T日起第n个工作日（不包含T日）</w:t>
      </w:r>
    </w:p>
    <w:p w14:paraId="5A3C50C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39、开放日：指为投资人办理基金份额申购、赎回或其他业务的工作日</w:t>
      </w:r>
      <w:r w:rsidRPr="00EC3B16">
        <w:rPr>
          <w:rFonts w:ascii="宋体" w:hAnsi="宋体" w:hint="eastAsia"/>
          <w:bCs/>
          <w:sz w:val="24"/>
          <w:lang w:eastAsia="zh-CN"/>
        </w:rPr>
        <w:t>（若本基金参与港股通交易且该工作日为非港股通交易日时，则基金管理人有权暂停办理基金份额的申购、赎回及转换业务，具体以届时的公告为准）</w:t>
      </w:r>
    </w:p>
    <w:p w14:paraId="56F49AE5"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40、开放时间：指开放日基金接受申购、赎回或其他交易的时间段</w:t>
      </w:r>
    </w:p>
    <w:p w14:paraId="00E7158B"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41、《业务规则》：指《中信建投基金管理有限公司开放式基金业务规则》，是规范基金管理人所管理的开放式证券投资基金登记方面的业务规则，由基金管理人和投资人共同遵守</w:t>
      </w:r>
    </w:p>
    <w:p w14:paraId="3C321A8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42、认购：指在基金募集期内，投资人根据基金合同和招募说明书的规定申请购买基金份额的行为</w:t>
      </w:r>
    </w:p>
    <w:p w14:paraId="692FE31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43、申购：指基金合同生效后，投资人根据基金合同和招募说明书的规定申请购买基金份额的行为</w:t>
      </w:r>
    </w:p>
    <w:p w14:paraId="6D27C3F1"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44、赎回：指基金合同生效后，基金份额持有人按基金合同和招募说明书规定的条件要求将基金份额兑换为现金的行为</w:t>
      </w:r>
    </w:p>
    <w:p w14:paraId="2994E58B"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45、基金转换：指基金份额持有人按照本基金合同和基金管理人届时有效公告规定的条件，申请将其持有基金管理人管理的、某一基金的基金份额转换为基金管理人管理的其他基金基金份额的行为</w:t>
      </w:r>
    </w:p>
    <w:p w14:paraId="5036DC0A"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46、转托管：指基金份额持有人在本基金的不同销售机构之间实施的变更所持基金份额销售机构的操作</w:t>
      </w:r>
    </w:p>
    <w:p w14:paraId="63A43D9A"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47、定期定额投资计划：指投资人通过有关销售机构提出申请，约定每期申购日、申购金额及扣款方式，由销售机构于每期约定申购日在投资人指定资金账户内自动完成扣款及受理基金申购申请的一种投资方式</w:t>
      </w:r>
    </w:p>
    <w:p w14:paraId="2EDC323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48、巨额赎回：指本基金单个开放日，基金净赎回申请（赎回申请份额总数加上基金转换中转出申请份额总数后扣除申购申请份额总数及基金转换中转入申请份额总数后的余额）超过上一开放日基金总份额的10%</w:t>
      </w:r>
    </w:p>
    <w:p w14:paraId="507EFF5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49、元：指人民币元</w:t>
      </w:r>
    </w:p>
    <w:p w14:paraId="331739AD"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50、基金收益：指基金投资所得红利、股息、债券利息、买卖证券价差、银行存款利息、已实现的其他合法收入及因运用基金财产带来的成本和费用的节约</w:t>
      </w:r>
    </w:p>
    <w:p w14:paraId="1D0C5FBE"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51、基金资产总值：指基金拥有的各类有价证券、银行存款本息、基金应收申购款及其他资产的价值总和</w:t>
      </w:r>
    </w:p>
    <w:p w14:paraId="7EC1B0D8"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52、基金资产净值：指基金资产总值减去基金负债后的价值</w:t>
      </w:r>
    </w:p>
    <w:p w14:paraId="67AA50D8"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53、基金份额净值：指计算日基金资产净值除以计算日基金份额总数</w:t>
      </w:r>
    </w:p>
    <w:p w14:paraId="0BEC4A69"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54、基金资产估值：指计算评估基金资产和负债的价值，以确定基金资产净值和基金份额净值的过程</w:t>
      </w:r>
    </w:p>
    <w:p w14:paraId="02EF4CC1"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55、基金份额的类别：指本基金根据认购费、申购费、销售服务费收取方式等的不同，将基金份额分为不同的类别</w:t>
      </w:r>
    </w:p>
    <w:p w14:paraId="31603AD7"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56、A类基金份额：指在投资者认购、申购时收取认购、申购费用而不收取销售服务费，在赎回时根据持有期限收取赎回费用的基金份额</w:t>
      </w:r>
    </w:p>
    <w:p w14:paraId="53BE22D2"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57、C类基金份额：指从本类别基金资产中计提销售服务费而不收取认购、申购费用，在赎回时根据持有期限收取赎回费用的基金份额</w:t>
      </w:r>
    </w:p>
    <w:p w14:paraId="404AC587"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58、规定媒介：指符合中国证监会规定条件的用以进行信息披露的全国性报刊及《信息披露办法》规定的互联网网站（包括基金管理人网站、基金托管人网站、中国证监会基金电子披露网站）等媒介</w:t>
      </w:r>
    </w:p>
    <w:p w14:paraId="0F88B3D2"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59、销售服务费：指从基金财产中计提的，用于本基金市场推广、销售以及基金份额持有人服务的费用</w:t>
      </w:r>
    </w:p>
    <w:p w14:paraId="0A6748B9"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60、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75D94F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61</w:t>
      </w:r>
      <w:r w:rsidRPr="00EC3B16">
        <w:rPr>
          <w:rFonts w:ascii="宋体" w:hAnsi="宋体" w:hint="eastAsia"/>
          <w:bCs/>
          <w:sz w:val="24"/>
          <w:lang w:eastAsia="zh-CN"/>
        </w:rPr>
        <w:t>、港股通：指内地投资者委托内地证券公司，经由内地证券交易所设立的证券交易服务公司，向香港联合交易所进行申报，买卖规定范围内的香港联合交易所上市的股票</w:t>
      </w:r>
    </w:p>
    <w:p w14:paraId="1C294EBB"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62、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77BE24D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63、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4981BD4"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64、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A70780B"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65、不可抗力：指本基金合同当事人不能预见、不能避免且不能克服的客观事件</w:t>
      </w:r>
    </w:p>
    <w:p w14:paraId="77BA2AA4" w14:textId="77777777" w:rsidR="009D49B9" w:rsidRPr="00EC3B16" w:rsidRDefault="009D49B9">
      <w:pPr>
        <w:spacing w:line="360" w:lineRule="auto"/>
        <w:ind w:firstLine="480"/>
        <w:jc w:val="both"/>
        <w:rPr>
          <w:rFonts w:ascii="宋体" w:hAnsi="宋体"/>
          <w:bCs/>
          <w:sz w:val="24"/>
          <w:lang w:eastAsia="zh-CN"/>
        </w:rPr>
      </w:pPr>
    </w:p>
    <w:p w14:paraId="3C02BDF4" w14:textId="77777777" w:rsidR="004154D1" w:rsidRPr="00EC3B16" w:rsidRDefault="004154D1">
      <w:pPr>
        <w:pStyle w:val="1"/>
        <w:spacing w:before="0" w:after="0"/>
        <w:jc w:val="center"/>
        <w:rPr>
          <w:rFonts w:hAnsi="宋体"/>
          <w:sz w:val="30"/>
          <w:lang w:eastAsia="zh-CN"/>
        </w:rPr>
      </w:pPr>
      <w:r w:rsidRPr="00EC3B16">
        <w:rPr>
          <w:rFonts w:hAnsi="宋体"/>
          <w:b w:val="0"/>
          <w:bCs/>
          <w:lang w:eastAsia="zh-CN"/>
        </w:rPr>
        <w:br w:type="page"/>
      </w:r>
      <w:bookmarkStart w:id="60" w:name="_Toc20318"/>
      <w:bookmarkStart w:id="61" w:name="_Toc5246"/>
      <w:bookmarkStart w:id="62" w:name="_Toc6149"/>
      <w:bookmarkStart w:id="63" w:name="_Toc447270826"/>
      <w:bookmarkStart w:id="64" w:name="_Toc733"/>
      <w:bookmarkStart w:id="65" w:name="_Toc545"/>
      <w:bookmarkStart w:id="66" w:name="_Toc18631"/>
      <w:bookmarkStart w:id="67" w:name="_Toc20627"/>
      <w:bookmarkStart w:id="68" w:name="_Toc13288"/>
      <w:bookmarkStart w:id="69" w:name="_Toc24571"/>
      <w:bookmarkStart w:id="70" w:name="_Toc6683"/>
      <w:bookmarkStart w:id="71" w:name="_Toc22708"/>
      <w:bookmarkStart w:id="72" w:name="_Toc132016783"/>
      <w:bookmarkStart w:id="73" w:name="_Toc233456272"/>
      <w:bookmarkStart w:id="74" w:name="_Toc258829400"/>
      <w:r w:rsidRPr="00EC3B16">
        <w:rPr>
          <w:rFonts w:hAnsi="宋体"/>
          <w:sz w:val="30"/>
          <w:lang w:eastAsia="zh-CN"/>
        </w:rPr>
        <w:lastRenderedPageBreak/>
        <w:t>第三部分</w:t>
      </w:r>
      <w:r w:rsidRPr="00EC3B16">
        <w:rPr>
          <w:rFonts w:hAnsi="宋体" w:hint="eastAsia"/>
          <w:sz w:val="30"/>
          <w:lang w:eastAsia="zh-CN"/>
        </w:rPr>
        <w:t xml:space="preserve"> </w:t>
      </w:r>
      <w:r w:rsidRPr="00EC3B16">
        <w:rPr>
          <w:rFonts w:hAnsi="宋体"/>
          <w:sz w:val="30"/>
          <w:lang w:eastAsia="zh-CN"/>
        </w:rPr>
        <w:t xml:space="preserve"> 基金的基本情况</w:t>
      </w:r>
      <w:bookmarkStart w:id="75" w:name="_Toc79392573"/>
      <w:bookmarkEnd w:id="60"/>
      <w:bookmarkEnd w:id="61"/>
      <w:bookmarkEnd w:id="62"/>
      <w:bookmarkEnd w:id="63"/>
      <w:bookmarkEnd w:id="64"/>
      <w:bookmarkEnd w:id="65"/>
      <w:bookmarkEnd w:id="66"/>
      <w:bookmarkEnd w:id="67"/>
      <w:bookmarkEnd w:id="68"/>
      <w:bookmarkEnd w:id="69"/>
      <w:bookmarkEnd w:id="70"/>
      <w:bookmarkEnd w:id="71"/>
      <w:bookmarkEnd w:id="72"/>
    </w:p>
    <w:p w14:paraId="503E1487" w14:textId="77777777" w:rsidR="004154D1" w:rsidRPr="00EC3B16" w:rsidRDefault="004154D1">
      <w:pPr>
        <w:spacing w:line="360" w:lineRule="auto"/>
        <w:ind w:firstLine="480"/>
        <w:jc w:val="both"/>
        <w:rPr>
          <w:rFonts w:ascii="宋体" w:hAnsi="宋体"/>
          <w:bCs/>
          <w:sz w:val="24"/>
          <w:lang w:eastAsia="zh-CN"/>
        </w:rPr>
      </w:pPr>
      <w:bookmarkStart w:id="76" w:name="_Hlt88031774"/>
      <w:bookmarkStart w:id="77" w:name="_Hlt88031741"/>
      <w:bookmarkEnd w:id="76"/>
    </w:p>
    <w:bookmarkEnd w:id="77"/>
    <w:p w14:paraId="78A6658B"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一、基金名称</w:t>
      </w:r>
      <w:bookmarkEnd w:id="75"/>
    </w:p>
    <w:p w14:paraId="229271EB" w14:textId="77777777" w:rsidR="004154D1" w:rsidRPr="00EC3B16" w:rsidRDefault="005E142F">
      <w:pPr>
        <w:spacing w:line="360" w:lineRule="auto"/>
        <w:ind w:firstLine="480"/>
        <w:jc w:val="both"/>
        <w:rPr>
          <w:rFonts w:ascii="宋体" w:hAnsi="宋体"/>
          <w:bCs/>
          <w:sz w:val="24"/>
          <w:lang w:eastAsia="zh-CN"/>
        </w:rPr>
      </w:pPr>
      <w:r>
        <w:rPr>
          <w:rFonts w:ascii="宋体" w:hAnsi="宋体"/>
          <w:bCs/>
          <w:sz w:val="24"/>
          <w:lang w:eastAsia="zh-CN"/>
        </w:rPr>
        <w:t>中信建投消费升级混合型发起式证券投资基金</w:t>
      </w:r>
    </w:p>
    <w:p w14:paraId="672917EA" w14:textId="77777777" w:rsidR="004154D1" w:rsidRPr="00EC3B16" w:rsidRDefault="004154D1">
      <w:pPr>
        <w:spacing w:line="360" w:lineRule="auto"/>
        <w:ind w:firstLine="480"/>
        <w:jc w:val="both"/>
        <w:rPr>
          <w:rFonts w:ascii="宋体" w:hAnsi="宋体"/>
          <w:bCs/>
          <w:sz w:val="24"/>
          <w:lang w:eastAsia="zh-CN"/>
        </w:rPr>
      </w:pPr>
    </w:p>
    <w:p w14:paraId="2E875A27" w14:textId="77777777" w:rsidR="004154D1" w:rsidRPr="00EC3B16" w:rsidRDefault="004154D1">
      <w:pPr>
        <w:spacing w:line="360" w:lineRule="auto"/>
        <w:ind w:firstLine="480"/>
        <w:jc w:val="both"/>
        <w:rPr>
          <w:rFonts w:ascii="宋体" w:hAnsi="宋体"/>
          <w:bCs/>
          <w:sz w:val="24"/>
          <w:lang w:eastAsia="zh-CN"/>
        </w:rPr>
      </w:pPr>
      <w:bookmarkStart w:id="78" w:name="_Toc79392574"/>
      <w:r w:rsidRPr="00EC3B16">
        <w:rPr>
          <w:rFonts w:ascii="宋体" w:hAnsi="宋体"/>
          <w:bCs/>
          <w:sz w:val="24"/>
          <w:lang w:eastAsia="zh-CN"/>
        </w:rPr>
        <w:t>二、基金的类别</w:t>
      </w:r>
      <w:bookmarkEnd w:id="78"/>
    </w:p>
    <w:p w14:paraId="199A647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混合型证券投资基金</w:t>
      </w:r>
    </w:p>
    <w:p w14:paraId="530CB19F" w14:textId="77777777" w:rsidR="004154D1" w:rsidRPr="00EC3B16" w:rsidRDefault="004154D1">
      <w:pPr>
        <w:spacing w:line="360" w:lineRule="auto"/>
        <w:ind w:firstLine="480"/>
        <w:jc w:val="both"/>
        <w:rPr>
          <w:rFonts w:ascii="宋体" w:hAnsi="宋体"/>
          <w:bCs/>
          <w:sz w:val="24"/>
          <w:lang w:eastAsia="zh-CN"/>
        </w:rPr>
      </w:pPr>
    </w:p>
    <w:p w14:paraId="290707CA" w14:textId="77777777" w:rsidR="004154D1" w:rsidRPr="00EC3B16" w:rsidRDefault="004154D1">
      <w:pPr>
        <w:spacing w:line="360" w:lineRule="auto"/>
        <w:ind w:firstLine="480"/>
        <w:jc w:val="both"/>
        <w:rPr>
          <w:rFonts w:ascii="宋体" w:hAnsi="宋体"/>
          <w:bCs/>
          <w:sz w:val="24"/>
          <w:lang w:eastAsia="zh-CN"/>
        </w:rPr>
      </w:pPr>
      <w:bookmarkStart w:id="79" w:name="_Toc79392575"/>
      <w:r w:rsidRPr="00EC3B16">
        <w:rPr>
          <w:rFonts w:ascii="宋体" w:hAnsi="宋体"/>
          <w:bCs/>
          <w:sz w:val="24"/>
          <w:lang w:eastAsia="zh-CN"/>
        </w:rPr>
        <w:t>三、基金的运作方式</w:t>
      </w:r>
    </w:p>
    <w:p w14:paraId="0DC2A0D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契约型开放式</w:t>
      </w:r>
    </w:p>
    <w:p w14:paraId="7EA1CE8B" w14:textId="77777777" w:rsidR="004154D1" w:rsidRPr="00EC3B16" w:rsidRDefault="004154D1">
      <w:pPr>
        <w:spacing w:line="360" w:lineRule="auto"/>
        <w:ind w:firstLine="480"/>
        <w:jc w:val="both"/>
        <w:rPr>
          <w:rFonts w:ascii="宋体" w:hAnsi="宋体"/>
          <w:bCs/>
          <w:sz w:val="24"/>
          <w:lang w:eastAsia="zh-CN"/>
        </w:rPr>
      </w:pPr>
    </w:p>
    <w:p w14:paraId="207D944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四、基金的投资目标</w:t>
      </w:r>
      <w:bookmarkEnd w:id="79"/>
    </w:p>
    <w:p w14:paraId="0CAEED5F" w14:textId="77777777" w:rsidR="004154D1" w:rsidRPr="00EC3B16" w:rsidRDefault="005E142F">
      <w:pPr>
        <w:spacing w:line="360" w:lineRule="auto"/>
        <w:ind w:firstLine="480"/>
        <w:jc w:val="both"/>
        <w:rPr>
          <w:rFonts w:ascii="宋体" w:hAnsi="宋体"/>
          <w:bCs/>
          <w:sz w:val="24"/>
          <w:lang w:eastAsia="zh-CN"/>
        </w:rPr>
      </w:pPr>
      <w:bookmarkStart w:id="80" w:name="_Hlk70594434"/>
      <w:r w:rsidRPr="005E142F">
        <w:rPr>
          <w:rFonts w:ascii="宋体" w:hAnsi="宋体" w:hint="eastAsia"/>
          <w:bCs/>
          <w:sz w:val="24"/>
          <w:lang w:eastAsia="zh-CN"/>
        </w:rPr>
        <w:t>本基金在严格控制投资组合风险和保持资产流动性的前提下，力争为基金份额持有人获取超越业绩比较基准的投资回报。</w:t>
      </w:r>
      <w:bookmarkEnd w:id="80"/>
    </w:p>
    <w:p w14:paraId="2DD50D1C" w14:textId="77777777" w:rsidR="004154D1" w:rsidRPr="00EC3B16" w:rsidRDefault="004154D1">
      <w:pPr>
        <w:spacing w:line="360" w:lineRule="auto"/>
        <w:ind w:firstLine="480"/>
        <w:jc w:val="both"/>
        <w:rPr>
          <w:rFonts w:ascii="宋体" w:hAnsi="宋体"/>
          <w:bCs/>
          <w:sz w:val="24"/>
          <w:lang w:eastAsia="zh-CN"/>
        </w:rPr>
      </w:pPr>
      <w:bookmarkStart w:id="81" w:name="_Toc79392576"/>
    </w:p>
    <w:p w14:paraId="6164BC78"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五、</w:t>
      </w:r>
      <w:r w:rsidRPr="00EC3B16">
        <w:rPr>
          <w:rFonts w:ascii="宋体" w:hAnsi="宋体" w:hint="eastAsia"/>
          <w:bCs/>
          <w:sz w:val="24"/>
          <w:lang w:eastAsia="zh-CN"/>
        </w:rPr>
        <w:t>发起资金的认购金额下限、持有期限下限</w:t>
      </w:r>
    </w:p>
    <w:p w14:paraId="709F2481"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hint="eastAsia"/>
          <w:bCs/>
          <w:sz w:val="24"/>
          <w:lang w:eastAsia="zh-CN"/>
        </w:rPr>
        <w:t>认购本基金的发起资金金额不少于1000万元，且发起资金认购的基金份额持有期限自基金合同生效日起不少于3年。法律法规或中国证监会另有规定的，从其规定。</w:t>
      </w:r>
    </w:p>
    <w:bookmarkEnd w:id="81"/>
    <w:p w14:paraId="24484BB2" w14:textId="77777777" w:rsidR="004154D1" w:rsidRPr="00EC3B16" w:rsidRDefault="004154D1">
      <w:pPr>
        <w:spacing w:line="360" w:lineRule="auto"/>
        <w:ind w:firstLine="480"/>
        <w:jc w:val="both"/>
        <w:rPr>
          <w:rFonts w:ascii="宋体" w:hAnsi="宋体"/>
          <w:bCs/>
          <w:sz w:val="24"/>
          <w:lang w:eastAsia="zh-CN"/>
        </w:rPr>
      </w:pPr>
    </w:p>
    <w:p w14:paraId="048CB59F" w14:textId="77777777" w:rsidR="004154D1" w:rsidRPr="00EC3B16" w:rsidRDefault="004154D1">
      <w:pPr>
        <w:spacing w:line="360" w:lineRule="auto"/>
        <w:ind w:firstLine="480"/>
        <w:jc w:val="both"/>
        <w:rPr>
          <w:rFonts w:ascii="宋体" w:hAnsi="宋体"/>
          <w:bCs/>
          <w:sz w:val="24"/>
          <w:lang w:eastAsia="zh-CN"/>
        </w:rPr>
      </w:pPr>
      <w:bookmarkStart w:id="82" w:name="_Toc79392577"/>
      <w:r w:rsidRPr="00EC3B16">
        <w:rPr>
          <w:rFonts w:ascii="宋体" w:hAnsi="宋体"/>
          <w:bCs/>
          <w:sz w:val="24"/>
          <w:lang w:eastAsia="zh-CN"/>
        </w:rPr>
        <w:t>六、基金份额发售面值</w:t>
      </w:r>
      <w:bookmarkEnd w:id="82"/>
      <w:r w:rsidRPr="00EC3B16">
        <w:rPr>
          <w:rFonts w:ascii="宋体" w:hAnsi="宋体"/>
          <w:bCs/>
          <w:sz w:val="24"/>
          <w:lang w:eastAsia="zh-CN"/>
        </w:rPr>
        <w:t>和认购费用</w:t>
      </w:r>
    </w:p>
    <w:p w14:paraId="252052F4"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本基金基金份额发售面值为人民币1.00元。</w:t>
      </w:r>
    </w:p>
    <w:p w14:paraId="641B2B5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本基金A类基金份额收取认购费用，具体认购费率按招募说明书及基金产品资料概要的规定执行。本基金C类基金份额不收取认购费用。</w:t>
      </w:r>
    </w:p>
    <w:p w14:paraId="015A7423" w14:textId="77777777" w:rsidR="004154D1" w:rsidRPr="00EC3B16" w:rsidRDefault="004154D1">
      <w:pPr>
        <w:spacing w:line="360" w:lineRule="auto"/>
        <w:ind w:firstLine="480"/>
        <w:jc w:val="both"/>
        <w:rPr>
          <w:rFonts w:ascii="宋体" w:hAnsi="宋体"/>
          <w:bCs/>
          <w:sz w:val="24"/>
          <w:lang w:eastAsia="zh-CN"/>
        </w:rPr>
      </w:pPr>
    </w:p>
    <w:p w14:paraId="062619CA" w14:textId="77777777" w:rsidR="004154D1" w:rsidRPr="00EC3B16" w:rsidRDefault="004154D1">
      <w:pPr>
        <w:spacing w:line="360" w:lineRule="auto"/>
        <w:ind w:firstLine="480"/>
        <w:jc w:val="both"/>
        <w:rPr>
          <w:rFonts w:ascii="宋体" w:hAnsi="宋体"/>
          <w:bCs/>
          <w:sz w:val="24"/>
          <w:lang w:eastAsia="zh-CN"/>
        </w:rPr>
      </w:pPr>
      <w:bookmarkStart w:id="83" w:name="_Toc79392578"/>
      <w:r w:rsidRPr="00EC3B16">
        <w:rPr>
          <w:rFonts w:ascii="宋体" w:hAnsi="宋体"/>
          <w:bCs/>
          <w:sz w:val="24"/>
          <w:lang w:eastAsia="zh-CN"/>
        </w:rPr>
        <w:t>七、基金存续期限</w:t>
      </w:r>
      <w:bookmarkEnd w:id="83"/>
    </w:p>
    <w:p w14:paraId="7EB8214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不定期。</w:t>
      </w:r>
    </w:p>
    <w:p w14:paraId="78E10C98" w14:textId="77777777" w:rsidR="004154D1" w:rsidRPr="00EC3B16" w:rsidRDefault="004154D1">
      <w:pPr>
        <w:spacing w:line="360" w:lineRule="auto"/>
        <w:ind w:firstLine="480"/>
        <w:jc w:val="both"/>
        <w:rPr>
          <w:rFonts w:ascii="宋体" w:hAnsi="宋体"/>
          <w:bCs/>
          <w:sz w:val="24"/>
          <w:lang w:eastAsia="zh-CN"/>
        </w:rPr>
      </w:pPr>
    </w:p>
    <w:p w14:paraId="6CAD0A8B"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八、基金份额的类别</w:t>
      </w:r>
    </w:p>
    <w:p w14:paraId="457A62EB"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本基金根据认购费、申购费、销售服务费收取方式等的不同，将基金份额分为不同的类别。其中：</w:t>
      </w:r>
    </w:p>
    <w:p w14:paraId="0331A4E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1、在投资者认购、申购时收取认购、申购费用而不收取销售服务费，在赎回时根据持有期限收取赎回费用的基金份额，称为A类基金份额。</w:t>
      </w:r>
    </w:p>
    <w:p w14:paraId="22909328"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2、从本类别基金资产中计提销售服务费而不收取认购、申购费用，在赎回时根据持有期限收取赎回费用的基金份额，称为C类基金份额。</w:t>
      </w:r>
    </w:p>
    <w:p w14:paraId="1F6A197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本基金A类基金份额和C类基金份额分别设置代码。由于基金费用的不同，本基金A类基金份额和C类基金份额将分别计算基金份额净值，计算公式为计算日各类别基金资产净值除以计算日发售在外的该类别基金份额总数。</w:t>
      </w:r>
    </w:p>
    <w:p w14:paraId="445F89A0"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投资者可自行选择认购、申购基金份额类别。根据基金运作情况，基金管理人可在不损害已有基金份额持有人权益的情况下，经与基金托管人协商</w:t>
      </w:r>
      <w:r w:rsidRPr="00EC3B16">
        <w:rPr>
          <w:rFonts w:ascii="宋体" w:hAnsi="宋体" w:hint="eastAsia"/>
          <w:bCs/>
          <w:sz w:val="24"/>
          <w:lang w:eastAsia="zh-CN"/>
        </w:rPr>
        <w:t>一致</w:t>
      </w:r>
      <w:r w:rsidRPr="00EC3B16">
        <w:rPr>
          <w:rFonts w:ascii="宋体" w:hAnsi="宋体"/>
          <w:bCs/>
          <w:sz w:val="24"/>
          <w:lang w:eastAsia="zh-CN"/>
        </w:rPr>
        <w:t>，在履行适当程序后停止现有基金份额类别的销售、调整现有基金份额类别的</w:t>
      </w:r>
      <w:r w:rsidRPr="00EC3B16">
        <w:rPr>
          <w:rFonts w:ascii="宋体" w:hAnsi="宋体" w:hint="eastAsia"/>
          <w:bCs/>
          <w:sz w:val="24"/>
          <w:lang w:eastAsia="zh-CN"/>
        </w:rPr>
        <w:t>申购</w:t>
      </w:r>
      <w:r w:rsidRPr="00EC3B16">
        <w:rPr>
          <w:rFonts w:ascii="宋体" w:hAnsi="宋体"/>
          <w:bCs/>
          <w:sz w:val="24"/>
          <w:lang w:eastAsia="zh-CN"/>
        </w:rPr>
        <w:t>费率</w:t>
      </w:r>
      <w:r w:rsidRPr="00EC3B16">
        <w:rPr>
          <w:rFonts w:ascii="宋体" w:hAnsi="宋体" w:hint="eastAsia"/>
          <w:bCs/>
          <w:sz w:val="24"/>
          <w:lang w:eastAsia="zh-CN"/>
        </w:rPr>
        <w:t>、调低销售服务费或赎回费率或变更收费方式、</w:t>
      </w:r>
      <w:r w:rsidRPr="00EC3B16">
        <w:rPr>
          <w:rFonts w:ascii="宋体" w:hAnsi="宋体"/>
          <w:bCs/>
          <w:sz w:val="24"/>
          <w:lang w:eastAsia="zh-CN"/>
        </w:rPr>
        <w:t>增加新的基金份额类别等，调整实施前基金管理人需依照《信息披露办法》的规定及时公告。</w:t>
      </w:r>
    </w:p>
    <w:p w14:paraId="202F9D16" w14:textId="77777777" w:rsidR="004154D1" w:rsidRPr="00EC3B16" w:rsidRDefault="004154D1" w:rsidP="009D49B9">
      <w:pPr>
        <w:spacing w:line="360" w:lineRule="auto"/>
        <w:ind w:firstLine="480"/>
        <w:jc w:val="both"/>
        <w:rPr>
          <w:rFonts w:ascii="宋体" w:hAnsi="宋体"/>
          <w:bCs/>
          <w:sz w:val="24"/>
          <w:lang w:eastAsia="zh-CN"/>
        </w:rPr>
      </w:pPr>
    </w:p>
    <w:p w14:paraId="5DAA264A" w14:textId="77777777" w:rsidR="004154D1" w:rsidRPr="00EC3B16" w:rsidRDefault="004154D1">
      <w:pPr>
        <w:pStyle w:val="1"/>
        <w:spacing w:before="0" w:after="0"/>
        <w:jc w:val="center"/>
        <w:rPr>
          <w:rFonts w:hAnsi="宋体"/>
          <w:sz w:val="30"/>
          <w:lang w:eastAsia="zh-CN"/>
        </w:rPr>
      </w:pPr>
      <w:r w:rsidRPr="00EC3B16">
        <w:rPr>
          <w:rFonts w:hAnsi="宋体"/>
          <w:b w:val="0"/>
          <w:bCs/>
          <w:sz w:val="21"/>
          <w:lang w:eastAsia="zh-CN"/>
        </w:rPr>
        <w:br w:type="page"/>
      </w:r>
      <w:bookmarkStart w:id="84" w:name="_Toc27226"/>
      <w:bookmarkStart w:id="85" w:name="_Toc27189"/>
      <w:bookmarkStart w:id="86" w:name="_Toc29784"/>
      <w:bookmarkStart w:id="87" w:name="_Toc447270827"/>
      <w:bookmarkStart w:id="88" w:name="_Toc6714"/>
      <w:bookmarkStart w:id="89" w:name="_Toc24682"/>
      <w:bookmarkStart w:id="90" w:name="_Toc15203"/>
      <w:bookmarkStart w:id="91" w:name="_Toc90742321"/>
      <w:bookmarkStart w:id="92" w:name="_Toc29948"/>
      <w:bookmarkStart w:id="93" w:name="_Toc16265"/>
      <w:bookmarkStart w:id="94" w:name="_Toc3266"/>
      <w:bookmarkStart w:id="95" w:name="_Toc22074"/>
      <w:bookmarkStart w:id="96" w:name="_Toc7151"/>
      <w:bookmarkStart w:id="97" w:name="_Toc90742688"/>
      <w:bookmarkStart w:id="98" w:name="_Toc90742390"/>
      <w:bookmarkStart w:id="99" w:name="_Toc132016784"/>
      <w:r w:rsidRPr="00EC3B16">
        <w:rPr>
          <w:rFonts w:hAnsi="宋体"/>
          <w:sz w:val="30"/>
          <w:lang w:eastAsia="zh-CN"/>
        </w:rPr>
        <w:lastRenderedPageBreak/>
        <w:t>第四部分</w:t>
      </w:r>
      <w:r w:rsidRPr="00EC3B16">
        <w:rPr>
          <w:rFonts w:hAnsi="宋体" w:hint="eastAsia"/>
          <w:sz w:val="30"/>
          <w:lang w:eastAsia="zh-CN"/>
        </w:rPr>
        <w:t xml:space="preserve"> </w:t>
      </w:r>
      <w:r w:rsidRPr="00EC3B16">
        <w:rPr>
          <w:rFonts w:hAnsi="宋体"/>
          <w:sz w:val="30"/>
          <w:lang w:eastAsia="zh-CN"/>
        </w:rPr>
        <w:t xml:space="preserve"> 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38BC1CB" w14:textId="77777777" w:rsidR="004154D1" w:rsidRPr="00EC3B16" w:rsidRDefault="004154D1" w:rsidP="009D49B9">
      <w:pPr>
        <w:spacing w:line="360" w:lineRule="auto"/>
        <w:ind w:firstLine="480"/>
        <w:jc w:val="both"/>
        <w:rPr>
          <w:rFonts w:ascii="宋体" w:hAnsi="宋体"/>
          <w:bCs/>
          <w:sz w:val="24"/>
          <w:lang w:eastAsia="zh-CN"/>
        </w:rPr>
      </w:pPr>
    </w:p>
    <w:p w14:paraId="03966B9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一、基金份额的发售时间、发售方式、发售对象</w:t>
      </w:r>
    </w:p>
    <w:p w14:paraId="3CA9D6A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1、发售时间</w:t>
      </w:r>
    </w:p>
    <w:p w14:paraId="5A9C558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自基金份额发售之日起最长不得超过3个月，具体发售时间见基金份额发售公告。</w:t>
      </w:r>
    </w:p>
    <w:p w14:paraId="3A89F0D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2、发售方式</w:t>
      </w:r>
    </w:p>
    <w:p w14:paraId="58EA1970"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通过各销售机构的基金销售网点公开发售，各销售机构的具体名单见基金份额发售公告。基金管理人可根据情况变更或增减销售机构并在基金管理人网站公示。</w:t>
      </w:r>
    </w:p>
    <w:p w14:paraId="27DEBEA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销售机构对认购申请的受理并不代表该申请一定成功，而仅代表销售机构确实接收到认购申请。认购的确认以登记机构的确认结果为准。对于认购申请及认购份额的确认情况，投资者应及时查询。</w:t>
      </w:r>
    </w:p>
    <w:p w14:paraId="27449B6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3、发售对象</w:t>
      </w:r>
    </w:p>
    <w:p w14:paraId="0E0B9C7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符合法律法规规定的可投资于</w:t>
      </w:r>
      <w:r w:rsidRPr="00EC3B16">
        <w:rPr>
          <w:rFonts w:ascii="宋体" w:hAnsi="宋体" w:hint="eastAsia"/>
          <w:bCs/>
          <w:sz w:val="24"/>
          <w:lang w:eastAsia="zh-CN"/>
        </w:rPr>
        <w:t>证券投资基金</w:t>
      </w:r>
      <w:r w:rsidRPr="00EC3B16">
        <w:rPr>
          <w:rFonts w:ascii="宋体" w:hAnsi="宋体"/>
          <w:bCs/>
          <w:sz w:val="24"/>
          <w:lang w:eastAsia="zh-CN"/>
        </w:rPr>
        <w:t>的个人投资者、机构投资者</w:t>
      </w:r>
      <w:r w:rsidRPr="00EC3B16">
        <w:rPr>
          <w:rFonts w:ascii="宋体" w:hAnsi="宋体" w:hint="eastAsia"/>
          <w:bCs/>
          <w:sz w:val="24"/>
          <w:lang w:eastAsia="zh-CN"/>
        </w:rPr>
        <w:t>、发起资金提供方、</w:t>
      </w:r>
      <w:r w:rsidRPr="00EC3B16">
        <w:rPr>
          <w:rFonts w:ascii="宋体" w:hAnsi="宋体"/>
          <w:bCs/>
          <w:sz w:val="24"/>
          <w:lang w:eastAsia="zh-CN"/>
        </w:rPr>
        <w:t>合格境外机构投资者</w:t>
      </w:r>
      <w:r w:rsidRPr="00EC3B16">
        <w:rPr>
          <w:rFonts w:ascii="宋体" w:hAnsi="宋体" w:hint="eastAsia"/>
          <w:bCs/>
          <w:sz w:val="24"/>
          <w:lang w:eastAsia="zh-CN"/>
        </w:rPr>
        <w:t>和人民币合格境外机构投资者</w:t>
      </w:r>
      <w:r w:rsidRPr="00EC3B16">
        <w:rPr>
          <w:rFonts w:ascii="宋体" w:hAnsi="宋体"/>
          <w:bCs/>
          <w:sz w:val="24"/>
          <w:lang w:eastAsia="zh-CN"/>
        </w:rPr>
        <w:t>以及法律法规或中国证监会允许购买</w:t>
      </w:r>
      <w:r w:rsidRPr="00EC3B16">
        <w:rPr>
          <w:rFonts w:ascii="宋体" w:hAnsi="宋体" w:hint="eastAsia"/>
          <w:bCs/>
          <w:sz w:val="24"/>
          <w:lang w:eastAsia="zh-CN"/>
        </w:rPr>
        <w:t>证券投资基金</w:t>
      </w:r>
      <w:r w:rsidRPr="00EC3B16">
        <w:rPr>
          <w:rFonts w:ascii="宋体" w:hAnsi="宋体"/>
          <w:bCs/>
          <w:sz w:val="24"/>
          <w:lang w:eastAsia="zh-CN"/>
        </w:rPr>
        <w:t>的其他投资人</w:t>
      </w:r>
      <w:r w:rsidRPr="00EC3B16">
        <w:rPr>
          <w:rFonts w:ascii="宋体" w:hAnsi="宋体" w:hint="eastAsia"/>
          <w:bCs/>
          <w:sz w:val="24"/>
          <w:lang w:eastAsia="zh-CN"/>
        </w:rPr>
        <w:t>。</w:t>
      </w:r>
    </w:p>
    <w:p w14:paraId="6E7F0C7F"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二、基金份额的认购</w:t>
      </w:r>
    </w:p>
    <w:p w14:paraId="1B0F60F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1、发起资金的认购</w:t>
      </w:r>
    </w:p>
    <w:p w14:paraId="3807D53F"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发起资金提供方认购金额不低于1000万元人民币，认购的基金份额持有期限自基金合同生效日起不少于三年。本基金发起资金的认购情况见基金管理人届时发布的公告。</w:t>
      </w:r>
    </w:p>
    <w:p w14:paraId="1F8CB2D9"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2、认购费用</w:t>
      </w:r>
    </w:p>
    <w:p w14:paraId="73B5E3F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本基金A类基金份额的认购费率由基金管理人决定，并在招募说明书及基金产品资料概要中列示。基金认购费用不列入基金财产。</w:t>
      </w:r>
    </w:p>
    <w:p w14:paraId="23F6FF8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本基金C类基金份额不收取认购费用。</w:t>
      </w:r>
    </w:p>
    <w:p w14:paraId="55B5A97F"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3、募集期利息的处理方式</w:t>
      </w:r>
    </w:p>
    <w:p w14:paraId="3534439B"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有效认购款项在募集期间产生的利息将折算为基金份额归基金份额持有人所有，其中利息转份额以登记机构的记录为准。</w:t>
      </w:r>
    </w:p>
    <w:p w14:paraId="31125C50"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4、基金认购份额的计算</w:t>
      </w:r>
    </w:p>
    <w:p w14:paraId="286C3C1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基金认购份额具体的计算方法在招募说明书中列示。</w:t>
      </w:r>
    </w:p>
    <w:p w14:paraId="5B49D55B"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5、认购份额余额的处理方式</w:t>
      </w:r>
    </w:p>
    <w:p w14:paraId="3A8AFB3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认购份额</w:t>
      </w:r>
      <w:bookmarkStart w:id="100" w:name="OLE_LINK1"/>
      <w:r w:rsidRPr="00EC3B16">
        <w:rPr>
          <w:rFonts w:ascii="宋体" w:hAnsi="宋体"/>
          <w:bCs/>
          <w:sz w:val="24"/>
          <w:lang w:eastAsia="zh-CN"/>
        </w:rPr>
        <w:t>的计算</w:t>
      </w:r>
      <w:bookmarkEnd w:id="100"/>
      <w:r w:rsidRPr="00EC3B16">
        <w:rPr>
          <w:rFonts w:ascii="宋体" w:hAnsi="宋体"/>
          <w:bCs/>
          <w:sz w:val="24"/>
          <w:lang w:eastAsia="zh-CN"/>
        </w:rPr>
        <w:t>保留到小数点后2位，小数点2位以后的部分四舍五入，由此误差产生的收益或损失由基金财产承担。</w:t>
      </w:r>
    </w:p>
    <w:p w14:paraId="00D37FA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三、基金份额认购金额的限制</w:t>
      </w:r>
    </w:p>
    <w:p w14:paraId="4CD54FB5"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1、投资人认购时，需按销售机构规定的方式全额缴款。</w:t>
      </w:r>
    </w:p>
    <w:p w14:paraId="2E5FC060"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2、基金管理人可以对每个基金交易账户的单笔最低认购金额进行限制，具体限制请参看招募说明书或相关公告。</w:t>
      </w:r>
    </w:p>
    <w:p w14:paraId="2A63FE37"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3、基金管理人可以对募集期间的单个投资人的累计认购金额进行限制，具体限制和处理方法请参看招募说明书或相关公告。</w:t>
      </w:r>
    </w:p>
    <w:p w14:paraId="591C4791"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14:paraId="2CF2595F"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5、投资人在募集期内可以多次认购基金份额，但已受理的认购申请不得撤销。A类基金份额的认购费按每笔A类基金份额认购申请单独计算。</w:t>
      </w:r>
    </w:p>
    <w:p w14:paraId="685B673A" w14:textId="77777777" w:rsidR="009D49B9" w:rsidRPr="00EC3B16" w:rsidRDefault="009D49B9">
      <w:pPr>
        <w:spacing w:line="360" w:lineRule="auto"/>
        <w:ind w:firstLine="480"/>
        <w:jc w:val="both"/>
        <w:rPr>
          <w:rFonts w:ascii="宋体" w:hAnsi="宋体"/>
          <w:bCs/>
          <w:sz w:val="24"/>
          <w:lang w:eastAsia="zh-CN"/>
        </w:rPr>
      </w:pPr>
    </w:p>
    <w:p w14:paraId="1594147C" w14:textId="77777777" w:rsidR="004154D1" w:rsidRPr="00EC3B16" w:rsidRDefault="004154D1">
      <w:pPr>
        <w:pStyle w:val="1"/>
        <w:spacing w:before="0" w:after="0"/>
        <w:jc w:val="center"/>
        <w:rPr>
          <w:rFonts w:hAnsi="宋体"/>
          <w:sz w:val="30"/>
          <w:lang w:eastAsia="zh-CN"/>
        </w:rPr>
      </w:pPr>
      <w:r w:rsidRPr="00EC3B16">
        <w:rPr>
          <w:rFonts w:hAnsi="宋体"/>
          <w:b w:val="0"/>
          <w:bCs/>
          <w:sz w:val="21"/>
          <w:lang w:eastAsia="zh-CN"/>
        </w:rPr>
        <w:br w:type="page"/>
      </w:r>
      <w:bookmarkStart w:id="101" w:name="_Toc17912"/>
      <w:bookmarkStart w:id="102" w:name="_Toc1823"/>
      <w:bookmarkStart w:id="103" w:name="_Toc14893"/>
      <w:bookmarkStart w:id="104" w:name="_Toc447270828"/>
      <w:bookmarkStart w:id="105" w:name="_Toc7848"/>
      <w:bookmarkStart w:id="106" w:name="_Toc21988"/>
      <w:bookmarkStart w:id="107" w:name="_Toc139991735"/>
      <w:bookmarkStart w:id="108" w:name="_Toc18329"/>
      <w:bookmarkStart w:id="109" w:name="_Toc6559"/>
      <w:bookmarkStart w:id="110" w:name="_Toc18526"/>
      <w:bookmarkStart w:id="111" w:name="_Toc4741"/>
      <w:bookmarkStart w:id="112" w:name="_Toc141703885"/>
      <w:bookmarkStart w:id="113" w:name="_Toc26986"/>
      <w:bookmarkStart w:id="114" w:name="_Toc18797"/>
      <w:bookmarkStart w:id="115" w:name="_Toc132016785"/>
      <w:r w:rsidRPr="00EC3B16">
        <w:rPr>
          <w:rFonts w:hAnsi="宋体"/>
          <w:sz w:val="30"/>
          <w:lang w:eastAsia="zh-CN"/>
        </w:rPr>
        <w:lastRenderedPageBreak/>
        <w:t>第五部分</w:t>
      </w:r>
      <w:r w:rsidRPr="00EC3B16">
        <w:rPr>
          <w:rFonts w:hAnsi="宋体" w:hint="eastAsia"/>
          <w:sz w:val="30"/>
          <w:lang w:eastAsia="zh-CN"/>
        </w:rPr>
        <w:t xml:space="preserve"> </w:t>
      </w:r>
      <w:r w:rsidRPr="00EC3B16">
        <w:rPr>
          <w:rFonts w:hAnsi="宋体"/>
          <w:sz w:val="30"/>
          <w:lang w:eastAsia="zh-CN"/>
        </w:rPr>
        <w:t xml:space="preserve"> 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CE2888D" w14:textId="77777777" w:rsidR="004154D1" w:rsidRPr="00EC3B16" w:rsidRDefault="004154D1" w:rsidP="009D49B9">
      <w:pPr>
        <w:spacing w:line="360" w:lineRule="auto"/>
        <w:ind w:firstLine="480"/>
        <w:jc w:val="both"/>
        <w:rPr>
          <w:rFonts w:ascii="宋体" w:hAnsi="宋体"/>
          <w:bCs/>
          <w:sz w:val="24"/>
          <w:lang w:eastAsia="zh-CN"/>
        </w:rPr>
      </w:pPr>
    </w:p>
    <w:p w14:paraId="499D693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一、基金备案的条件</w:t>
      </w:r>
    </w:p>
    <w:p w14:paraId="36D9E3F5"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本基金自基金份额发售之日起</w:t>
      </w:r>
      <w:r w:rsidRPr="00EC3B16">
        <w:rPr>
          <w:rFonts w:ascii="宋体" w:hAnsi="宋体" w:hint="eastAsia"/>
          <w:bCs/>
          <w:sz w:val="24"/>
          <w:lang w:eastAsia="zh-CN"/>
        </w:rPr>
        <w:t>3</w:t>
      </w:r>
      <w:r w:rsidRPr="00EC3B16">
        <w:rPr>
          <w:rFonts w:ascii="宋体" w:hAnsi="宋体"/>
          <w:bCs/>
          <w:sz w:val="24"/>
          <w:lang w:eastAsia="zh-CN"/>
        </w:rPr>
        <w:t>个月内，</w:t>
      </w:r>
      <w:r w:rsidRPr="00EC3B16">
        <w:rPr>
          <w:rFonts w:ascii="宋体" w:hAnsi="宋体" w:hint="eastAsia"/>
          <w:bCs/>
          <w:sz w:val="24"/>
          <w:lang w:eastAsia="zh-CN"/>
        </w:rPr>
        <w:t>在发起资金提供方认购份额总额不少于1000万份，认购金额不少于1000万元人民币且承诺持有期限不少于3年的条件下</w:t>
      </w:r>
      <w:r w:rsidRPr="00EC3B16">
        <w:rPr>
          <w:rFonts w:ascii="宋体" w:hAnsi="宋体"/>
          <w:bCs/>
          <w:sz w:val="24"/>
          <w:lang w:eastAsia="zh-CN"/>
        </w:rPr>
        <w:t>，</w:t>
      </w:r>
      <w:r w:rsidRPr="00EC3B16">
        <w:rPr>
          <w:rFonts w:ascii="宋体" w:hAnsi="宋体" w:hint="eastAsia"/>
          <w:bCs/>
          <w:sz w:val="24"/>
          <w:lang w:eastAsia="zh-CN"/>
        </w:rPr>
        <w:t>基金募集期届满或</w:t>
      </w:r>
      <w:r w:rsidRPr="00EC3B16">
        <w:rPr>
          <w:rFonts w:ascii="宋体" w:hAnsi="宋体"/>
          <w:bCs/>
          <w:sz w:val="24"/>
          <w:lang w:eastAsia="zh-CN"/>
        </w:rPr>
        <w:t>基金管理人依据法律法规及招募说明书可以决定停止基金发售，并在</w:t>
      </w:r>
      <w:r w:rsidRPr="00EC3B16">
        <w:rPr>
          <w:rFonts w:ascii="宋体" w:hAnsi="宋体" w:hint="eastAsia"/>
          <w:bCs/>
          <w:sz w:val="24"/>
          <w:lang w:eastAsia="zh-CN"/>
        </w:rPr>
        <w:t>10</w:t>
      </w:r>
      <w:r w:rsidRPr="00EC3B16">
        <w:rPr>
          <w:rFonts w:ascii="宋体" w:hAnsi="宋体"/>
          <w:bCs/>
          <w:sz w:val="24"/>
          <w:lang w:eastAsia="zh-CN"/>
        </w:rPr>
        <w:t>日内聘请法定验资机构验资，</w:t>
      </w:r>
      <w:r w:rsidRPr="00EC3B16">
        <w:rPr>
          <w:rFonts w:ascii="宋体" w:hAnsi="宋体" w:hint="eastAsia"/>
          <w:bCs/>
          <w:sz w:val="24"/>
          <w:lang w:eastAsia="zh-CN"/>
        </w:rPr>
        <w:t>验资报告需对发起资金的持有人及其持有份额进行专门说明。基金管理人</w:t>
      </w:r>
      <w:r w:rsidRPr="00EC3B16">
        <w:rPr>
          <w:rFonts w:ascii="宋体" w:hAnsi="宋体"/>
          <w:bCs/>
          <w:sz w:val="24"/>
          <w:lang w:eastAsia="zh-CN"/>
        </w:rPr>
        <w:t>自收到验资报告之日起</w:t>
      </w:r>
      <w:r w:rsidRPr="00EC3B16">
        <w:rPr>
          <w:rFonts w:ascii="宋体" w:hAnsi="宋体" w:hint="eastAsia"/>
          <w:bCs/>
          <w:sz w:val="24"/>
          <w:lang w:eastAsia="zh-CN"/>
        </w:rPr>
        <w:t>10</w:t>
      </w:r>
      <w:r w:rsidRPr="00EC3B16">
        <w:rPr>
          <w:rFonts w:ascii="宋体" w:hAnsi="宋体"/>
          <w:bCs/>
          <w:sz w:val="24"/>
          <w:lang w:eastAsia="zh-CN"/>
        </w:rPr>
        <w:t>日内，向中国证监会办理基金备案手续。</w:t>
      </w:r>
    </w:p>
    <w:p w14:paraId="600AEF5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E8CC56F"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二、基金合同不能生效时募集资金的处理方式</w:t>
      </w:r>
    </w:p>
    <w:p w14:paraId="197EEB39"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如果募集期限届满，未满足基金备案条件，基金管理人应当承担下列责任：</w:t>
      </w:r>
    </w:p>
    <w:p w14:paraId="3512B084"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1、以其固有财产承担因募集行为而产生的债务和费用；</w:t>
      </w:r>
    </w:p>
    <w:p w14:paraId="290A8462"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2、在基金募集期限届满后30日内返还投资者已缴纳的款项，并加计银行同期活期存款利息；</w:t>
      </w:r>
    </w:p>
    <w:p w14:paraId="13856192"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3、如基金募集失败，基金管理人、基金托管人及销售机构不得请求报酬。基金管理人、基金托管人和销售机构为基金募集支付之一切费用应由各方各自承担。</w:t>
      </w:r>
    </w:p>
    <w:p w14:paraId="7EFCD9D4"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三、基金存续期内的基金份额持有人数量和资产规模</w:t>
      </w:r>
    </w:p>
    <w:p w14:paraId="453D984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《基金合同》</w:t>
      </w:r>
      <w:r w:rsidRPr="00EC3B16">
        <w:rPr>
          <w:rFonts w:ascii="宋体" w:hAnsi="宋体"/>
          <w:bCs/>
          <w:sz w:val="24"/>
          <w:lang w:eastAsia="zh-CN"/>
        </w:rPr>
        <w:t>生效之日起三年后的对应日，若基金资产</w:t>
      </w:r>
      <w:r w:rsidRPr="00EC3B16">
        <w:rPr>
          <w:rFonts w:ascii="宋体" w:hAnsi="宋体" w:hint="eastAsia"/>
          <w:bCs/>
          <w:sz w:val="24"/>
          <w:lang w:eastAsia="zh-CN"/>
        </w:rPr>
        <w:t>净值</w:t>
      </w:r>
      <w:r w:rsidRPr="00EC3B16">
        <w:rPr>
          <w:rFonts w:ascii="宋体" w:hAnsi="宋体"/>
          <w:bCs/>
          <w:sz w:val="24"/>
          <w:lang w:eastAsia="zh-CN"/>
        </w:rPr>
        <w:t>低于2亿元，</w:t>
      </w:r>
      <w:r w:rsidRPr="00EC3B16">
        <w:rPr>
          <w:rFonts w:ascii="宋体" w:hAnsi="宋体" w:hint="eastAsia"/>
          <w:bCs/>
          <w:sz w:val="24"/>
          <w:lang w:eastAsia="zh-CN"/>
        </w:rPr>
        <w:t>基金合同自动终止，</w:t>
      </w:r>
      <w:r w:rsidRPr="00EC3B16">
        <w:rPr>
          <w:rFonts w:ascii="宋体" w:hAnsi="宋体"/>
          <w:bCs/>
          <w:sz w:val="24"/>
          <w:lang w:eastAsia="zh-CN"/>
        </w:rPr>
        <w:t>且不得通过召开基金份额持有人大会延续</w:t>
      </w:r>
      <w:r w:rsidRPr="00EC3B16">
        <w:rPr>
          <w:rFonts w:ascii="宋体" w:hAnsi="宋体" w:hint="eastAsia"/>
          <w:bCs/>
          <w:sz w:val="24"/>
          <w:lang w:eastAsia="zh-CN"/>
        </w:rPr>
        <w:t>基金合同期限</w:t>
      </w:r>
      <w:r w:rsidRPr="00EC3B16">
        <w:rPr>
          <w:rFonts w:ascii="宋体" w:hAnsi="宋体"/>
          <w:bCs/>
          <w:sz w:val="24"/>
          <w:lang w:eastAsia="zh-CN"/>
        </w:rPr>
        <w:t>。若届时的法律法规发生变化，上述终止规定被取消、更改或补充，则本基金可以参照届时有效的法律法规执行。</w:t>
      </w:r>
    </w:p>
    <w:p w14:paraId="67076B7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lastRenderedPageBreak/>
        <w:t>《基金合同》</w:t>
      </w:r>
      <w:r w:rsidRPr="00EC3B16">
        <w:rPr>
          <w:rFonts w:ascii="宋体" w:hAnsi="宋体"/>
          <w:bCs/>
          <w:sz w:val="24"/>
          <w:lang w:eastAsia="zh-CN"/>
        </w:rPr>
        <w:t>生效满三年后继续存续的，</w:t>
      </w:r>
      <w:r w:rsidRPr="00EC3B16">
        <w:rPr>
          <w:rFonts w:ascii="宋体" w:hAnsi="宋体" w:hint="eastAsia"/>
          <w:bCs/>
          <w:sz w:val="24"/>
          <w:lang w:eastAsia="zh-CN"/>
        </w:rPr>
        <w:t>连续</w:t>
      </w:r>
      <w:r w:rsidRPr="00EC3B16">
        <w:rPr>
          <w:rFonts w:ascii="宋体" w:hAnsi="宋体"/>
          <w:bCs/>
          <w:sz w:val="24"/>
          <w:lang w:eastAsia="zh-CN"/>
        </w:rPr>
        <w:t>20</w:t>
      </w:r>
      <w:r w:rsidRPr="00EC3B16">
        <w:rPr>
          <w:rFonts w:ascii="宋体" w:hAnsi="宋体" w:hint="eastAsia"/>
          <w:bCs/>
          <w:sz w:val="24"/>
          <w:lang w:eastAsia="zh-CN"/>
        </w:rPr>
        <w:t>个工作日出现基金份额持有人数量不满</w:t>
      </w:r>
      <w:r w:rsidRPr="00EC3B16">
        <w:rPr>
          <w:rFonts w:ascii="宋体" w:hAnsi="宋体"/>
          <w:bCs/>
          <w:sz w:val="24"/>
          <w:lang w:eastAsia="zh-CN"/>
        </w:rPr>
        <w:t>200</w:t>
      </w:r>
      <w:r w:rsidRPr="00EC3B16">
        <w:rPr>
          <w:rFonts w:ascii="宋体" w:hAnsi="宋体" w:hint="eastAsia"/>
          <w:bCs/>
          <w:sz w:val="24"/>
          <w:lang w:eastAsia="zh-CN"/>
        </w:rPr>
        <w:t>人或者基金资产净值低于</w:t>
      </w:r>
      <w:r w:rsidRPr="00EC3B16">
        <w:rPr>
          <w:rFonts w:ascii="宋体" w:hAnsi="宋体"/>
          <w:bCs/>
          <w:sz w:val="24"/>
          <w:lang w:eastAsia="zh-CN"/>
        </w:rPr>
        <w:t>5000</w:t>
      </w:r>
      <w:r w:rsidRPr="00EC3B16">
        <w:rPr>
          <w:rFonts w:ascii="宋体" w:hAnsi="宋体" w:hint="eastAsia"/>
          <w:bCs/>
          <w:sz w:val="24"/>
          <w:lang w:eastAsia="zh-CN"/>
        </w:rPr>
        <w:t>万元情形的，基金管理人应当在定期报告中予以披露；连续</w:t>
      </w:r>
      <w:r w:rsidRPr="00EC3B16">
        <w:rPr>
          <w:rFonts w:ascii="宋体" w:hAnsi="宋体"/>
          <w:bCs/>
          <w:sz w:val="24"/>
          <w:lang w:eastAsia="zh-CN"/>
        </w:rPr>
        <w:t>50</w:t>
      </w:r>
      <w:r w:rsidRPr="00EC3B16">
        <w:rPr>
          <w:rFonts w:ascii="宋体" w:hAnsi="宋体" w:hint="eastAsia"/>
          <w:bCs/>
          <w:sz w:val="24"/>
          <w:lang w:eastAsia="zh-CN"/>
        </w:rPr>
        <w:t>个工作日出现前述情形的，基金管理人应当终止《基金合同》，并按照《基金合同》的约定程序进行清算，无需召开基金份额持有人大会。</w:t>
      </w:r>
    </w:p>
    <w:p w14:paraId="22B2198F"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法律法规</w:t>
      </w:r>
      <w:r w:rsidRPr="00EC3B16">
        <w:rPr>
          <w:rFonts w:ascii="宋体" w:hAnsi="宋体" w:hint="eastAsia"/>
          <w:bCs/>
          <w:sz w:val="24"/>
          <w:lang w:eastAsia="zh-CN"/>
        </w:rPr>
        <w:t>或中国证监会</w:t>
      </w:r>
      <w:r w:rsidRPr="00EC3B16">
        <w:rPr>
          <w:rFonts w:ascii="宋体" w:hAnsi="宋体"/>
          <w:bCs/>
          <w:sz w:val="24"/>
          <w:lang w:eastAsia="zh-CN"/>
        </w:rPr>
        <w:t>另有规定时，从其规定。</w:t>
      </w:r>
    </w:p>
    <w:p w14:paraId="258B4351" w14:textId="77777777" w:rsidR="009D49B9" w:rsidRPr="00EC3B16" w:rsidRDefault="009D49B9">
      <w:pPr>
        <w:spacing w:line="360" w:lineRule="auto"/>
        <w:ind w:firstLine="480"/>
        <w:jc w:val="both"/>
        <w:rPr>
          <w:rFonts w:ascii="宋体" w:hAnsi="宋体"/>
          <w:bCs/>
          <w:sz w:val="24"/>
          <w:lang w:eastAsia="zh-CN"/>
        </w:rPr>
      </w:pPr>
    </w:p>
    <w:p w14:paraId="6AA22F06" w14:textId="77777777" w:rsidR="004154D1" w:rsidRPr="00EC3B16" w:rsidRDefault="004154D1">
      <w:pPr>
        <w:pStyle w:val="1"/>
        <w:spacing w:before="0" w:after="0"/>
        <w:jc w:val="center"/>
        <w:rPr>
          <w:rFonts w:hAnsi="宋体"/>
          <w:sz w:val="30"/>
          <w:lang w:eastAsia="zh-CN"/>
        </w:rPr>
      </w:pPr>
      <w:r w:rsidRPr="00EC3B16">
        <w:rPr>
          <w:rFonts w:hAnsi="宋体"/>
          <w:b w:val="0"/>
          <w:bCs/>
          <w:sz w:val="21"/>
          <w:lang w:eastAsia="zh-CN"/>
        </w:rPr>
        <w:br w:type="page"/>
      </w:r>
      <w:bookmarkStart w:id="116" w:name="_Toc23822"/>
      <w:bookmarkStart w:id="117" w:name="_Toc7920"/>
      <w:bookmarkStart w:id="118" w:name="_Toc1270"/>
      <w:bookmarkStart w:id="119" w:name="_Toc98560352"/>
      <w:bookmarkStart w:id="120" w:name="_Toc141703886"/>
      <w:bookmarkStart w:id="121" w:name="_Toc17244"/>
      <w:bookmarkStart w:id="122" w:name="_Toc20733"/>
      <w:bookmarkStart w:id="123" w:name="_Toc79392606"/>
      <w:bookmarkStart w:id="124" w:name="_Toc139991736"/>
      <w:bookmarkStart w:id="125" w:name="_Toc4003"/>
      <w:bookmarkStart w:id="126" w:name="_Toc123051452"/>
      <w:bookmarkStart w:id="127" w:name="_Toc123112234"/>
      <w:bookmarkStart w:id="128" w:name="_Toc23261"/>
      <w:bookmarkStart w:id="129" w:name="_Toc11081"/>
      <w:bookmarkStart w:id="130" w:name="_Toc48649707"/>
      <w:bookmarkStart w:id="131" w:name="_Toc447270829"/>
      <w:bookmarkStart w:id="132" w:name="_Toc123102453"/>
      <w:bookmarkStart w:id="133" w:name="_Toc10463"/>
      <w:bookmarkStart w:id="134" w:name="_Toc610"/>
      <w:bookmarkStart w:id="135" w:name="_Toc1427"/>
      <w:bookmarkStart w:id="136" w:name="_Toc132016786"/>
      <w:r w:rsidRPr="00EC3B16">
        <w:rPr>
          <w:rFonts w:hAnsi="宋体"/>
          <w:sz w:val="30"/>
          <w:lang w:eastAsia="zh-CN"/>
        </w:rPr>
        <w:lastRenderedPageBreak/>
        <w:t>第六部分</w:t>
      </w:r>
      <w:r w:rsidRPr="00EC3B16">
        <w:rPr>
          <w:rFonts w:hAnsi="宋体" w:hint="eastAsia"/>
          <w:sz w:val="30"/>
          <w:lang w:eastAsia="zh-CN"/>
        </w:rPr>
        <w:t xml:space="preserve"> </w:t>
      </w:r>
      <w:r w:rsidRPr="00EC3B16">
        <w:rPr>
          <w:rFonts w:hAnsi="宋体"/>
          <w:sz w:val="30"/>
          <w:lang w:eastAsia="zh-CN"/>
        </w:rPr>
        <w:t xml:space="preserve"> 基金份额的申购与赎回</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6AF2E6A6" w14:textId="77777777" w:rsidR="004154D1" w:rsidRPr="00EC3B16" w:rsidRDefault="004154D1" w:rsidP="009D49B9">
      <w:pPr>
        <w:spacing w:line="360" w:lineRule="auto"/>
        <w:ind w:firstLine="480"/>
        <w:jc w:val="both"/>
        <w:rPr>
          <w:rFonts w:ascii="宋体" w:hAnsi="宋体"/>
          <w:bCs/>
          <w:sz w:val="24"/>
          <w:lang w:eastAsia="zh-CN"/>
        </w:rPr>
      </w:pPr>
    </w:p>
    <w:p w14:paraId="0387569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一、申购和赎回场所</w:t>
      </w:r>
    </w:p>
    <w:p w14:paraId="7A124C2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2B0057D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二、申购和赎回的开放日及时间</w:t>
      </w:r>
    </w:p>
    <w:p w14:paraId="4736039B"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1、开放日及开放时间</w:t>
      </w:r>
    </w:p>
    <w:p w14:paraId="7E3535D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投资人在开放日办理基金份额的申购和赎回，具体办理时间为上海证券交易所、深圳证券交易所的正常交易日的交易时间</w:t>
      </w:r>
      <w:r w:rsidRPr="00EC3B16">
        <w:rPr>
          <w:rFonts w:ascii="宋体" w:hAnsi="宋体" w:hint="eastAsia"/>
          <w:bCs/>
          <w:sz w:val="24"/>
          <w:lang w:eastAsia="zh-CN"/>
        </w:rPr>
        <w:t>（若本基金参与港股通交易且该工作日为非港股通交易日时，则基金管理人有权暂停办理基金份额的申购、赎回及转换业务，具体以届时的公告为准）</w:t>
      </w:r>
      <w:r w:rsidRPr="00EC3B16">
        <w:rPr>
          <w:rFonts w:ascii="宋体" w:hAnsi="宋体"/>
          <w:bCs/>
          <w:sz w:val="24"/>
          <w:lang w:eastAsia="zh-CN"/>
        </w:rPr>
        <w:t>，但基金管理人根据法律法规</w:t>
      </w:r>
      <w:r w:rsidRPr="00EC3B16">
        <w:rPr>
          <w:rFonts w:ascii="宋体" w:hAnsi="宋体" w:hint="eastAsia"/>
          <w:bCs/>
          <w:sz w:val="24"/>
          <w:lang w:eastAsia="zh-CN"/>
        </w:rPr>
        <w:t>规定</w:t>
      </w:r>
      <w:r w:rsidRPr="00EC3B16">
        <w:rPr>
          <w:rFonts w:ascii="宋体" w:hAnsi="宋体"/>
          <w:bCs/>
          <w:sz w:val="24"/>
          <w:lang w:eastAsia="zh-CN"/>
        </w:rPr>
        <w:t>、中国证监会的要求或本基金合同的规定公告暂停申购、赎回时除外。</w:t>
      </w:r>
    </w:p>
    <w:p w14:paraId="5A602FFB"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371DA227"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2、申购、赎回开始日及业务办理时间</w:t>
      </w:r>
    </w:p>
    <w:p w14:paraId="06E2703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基金管理人自基金合同生效之日起不超过3个月开始办理申购，具体业务办理时间在申购开始公告中规定。</w:t>
      </w:r>
    </w:p>
    <w:p w14:paraId="37F78A61"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基金管理人自基金合同生效之日起不超过3个月开始办理赎回，具体业务办理时间在赎回开始公告中规定。</w:t>
      </w:r>
    </w:p>
    <w:p w14:paraId="2E847F02"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在确定申购开始与赎回开始时间后，基金管理人应在申购、赎回开放日前依照《信息披露办法》的有关规定在规定媒介上公告申购与赎回的开始时间。</w:t>
      </w:r>
    </w:p>
    <w:p w14:paraId="2C094C6A"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w:t>
      </w:r>
    </w:p>
    <w:p w14:paraId="7BC54C6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三、申购与赎回的原则</w:t>
      </w:r>
    </w:p>
    <w:p w14:paraId="5B121491"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1、“未知价”原则，即申购、赎回价格以申请当日收市后计算的该类基金份额净值为基准进行计算；</w:t>
      </w:r>
    </w:p>
    <w:p w14:paraId="5FABDB3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2、“金额申购、份额赎回”原则，即申购以金额申请，赎回以份额申请；</w:t>
      </w:r>
    </w:p>
    <w:p w14:paraId="5F058CF8"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3、当日的申购与赎回申请可以在基金管理人规定的时间以内撤销，但申请经登记机构确认的不得撤销；</w:t>
      </w:r>
    </w:p>
    <w:p w14:paraId="72FDE49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4、赎回遵循“先进先出”原则，即按照投资人认购、申购的先后次序进行顺序赎回；</w:t>
      </w:r>
    </w:p>
    <w:p w14:paraId="1136DD7B"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5、办理申购、赎回业务时，应当遵循基金份额持有人利益优先原则，确保投资者的合法权益不受损害并得到公平对待。</w:t>
      </w:r>
    </w:p>
    <w:p w14:paraId="00DB77C0"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基金管理人可在法律法规允许的情况下，对上述原则进行调整。基金管理人必须在新规则开始实施前依照《信息披露办法》的有关规定在规定媒介上公告。</w:t>
      </w:r>
    </w:p>
    <w:p w14:paraId="7E8DBFD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四、申购与赎回的程序</w:t>
      </w:r>
    </w:p>
    <w:p w14:paraId="1F0572B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1、申购和赎回的申请方式</w:t>
      </w:r>
    </w:p>
    <w:p w14:paraId="2F0E091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投资人必须根据销售机构规定的程序，在开放日的具体业务办理时间内提出申购或赎回的申请。</w:t>
      </w:r>
    </w:p>
    <w:p w14:paraId="487F2C1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2、申购和赎回的款项支付</w:t>
      </w:r>
    </w:p>
    <w:p w14:paraId="51CC4B4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投资人申购基金份额时，必须全额交付申购款项，投资人交付申购款项，申购成立；基金份额登记机构确认基金份额时，申购生效。</w:t>
      </w:r>
    </w:p>
    <w:p w14:paraId="257178A1"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基金份额持有人递交赎回申请，赎回成立；基金份额登记机构确认赎回时，赎回生效。投资者赎回申请生效后，基金管理人将在T＋7日（包括该日）内支付赎回款项。在发生巨额赎回或本基金合同载明的延缓支付赎回款项的情形时，款项的支付办法参照本基金合同有关条款处理。遇交易所或交易市场数据传输延迟、通讯系统故障、银行数据交换系统故障或其他非基金管理人及基金托管人所能控制的因素影响业务处理流程，则赎回款项划付时间相应顺延。</w:t>
      </w:r>
    </w:p>
    <w:p w14:paraId="0D2D800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3、申购和赎回申请的确认</w:t>
      </w:r>
    </w:p>
    <w:p w14:paraId="259611BF"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基金管理人应以交易时间结束前受理有效申购和赎回申请的当天作为申购或赎回申请日（T日），在正常情况下，本基金登记机构在T+1日内对该交易的有效性进行确认。T日提交的有效申请，投资人可在T+2日后（包括该日）到销</w:t>
      </w:r>
      <w:r w:rsidRPr="00EC3B16">
        <w:rPr>
          <w:rFonts w:ascii="宋体" w:hAnsi="宋体"/>
          <w:bCs/>
          <w:sz w:val="24"/>
          <w:lang w:eastAsia="zh-CN"/>
        </w:rPr>
        <w:lastRenderedPageBreak/>
        <w:t>售网点柜台或以销售机构规定的其他方式查询申请的确认情况。若申购不成功，则申购款项退还给投资人。</w:t>
      </w:r>
    </w:p>
    <w:p w14:paraId="09338782"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销售机构对申购、赎回申请的受理并不代表申请一定成功，而仅代表销售机构确实接收到申购、赎回申请。申购、赎回申请的确认以登记机构的确认结果为准。对于申请的确认情况，投资者应及时查询</w:t>
      </w:r>
      <w:r w:rsidRPr="00EC3B16">
        <w:rPr>
          <w:rFonts w:ascii="宋体" w:hAnsi="宋体" w:hint="eastAsia"/>
          <w:bCs/>
          <w:sz w:val="24"/>
          <w:lang w:eastAsia="zh-CN"/>
        </w:rPr>
        <w:t>，否则，由此产生的投资人任何损失由投资人自行承担</w:t>
      </w:r>
      <w:r w:rsidRPr="00EC3B16">
        <w:rPr>
          <w:rFonts w:ascii="宋体" w:hAnsi="宋体"/>
          <w:bCs/>
          <w:sz w:val="24"/>
          <w:lang w:eastAsia="zh-CN"/>
        </w:rPr>
        <w:t>。</w:t>
      </w:r>
    </w:p>
    <w:p w14:paraId="18E245C5"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五、申购和赎回的数量限制</w:t>
      </w:r>
    </w:p>
    <w:p w14:paraId="3B9B4B3E"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1、基金管理人可以规定投资人首次申购和每次申购的最低金额以及每次赎回的最低份额，具体规定请参见招募说明书或相关公告。</w:t>
      </w:r>
    </w:p>
    <w:p w14:paraId="4FA25799"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2、基金管理人可以规定投资人每个基金交易账户的最低基金份额余额，具体规定请参见招募说明书或相关公告。</w:t>
      </w:r>
    </w:p>
    <w:p w14:paraId="22076CC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3、基金管理人可以规定单个投资人累计持有的基金份额上限，具体规定请参见招募说明书或相关公告。</w:t>
      </w:r>
    </w:p>
    <w:p w14:paraId="11E44910"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7DD3A494"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5、基金管理人可在法律法规允许的情况下，调整上述规定申购金额和赎回份额等数量限制。基金管理人必须在调整实施前依照《信息披露办法》的有关规定在规定媒介上公告。</w:t>
      </w:r>
    </w:p>
    <w:p w14:paraId="3B5DC3B1"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六、申购和赎回的价格、费用及其用途</w:t>
      </w:r>
    </w:p>
    <w:p w14:paraId="172935F2"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本基金A类基金份额和C类基金份额分别设置代码，分别计算和公告两类基金份额净值和两类基金份额累计净值。本基金两类基金份额净值的计算，保留到小数点后4位，小数点后第5位四舍五入，由此产生的收益或损失由基金财产承担。T日的两类基金份额净值在当天收市后分别计算，并在T+1日内分别公告。遇特殊情况，经履行适当程序，可以适当延迟计算或公告。</w:t>
      </w:r>
    </w:p>
    <w:p w14:paraId="230733D2"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2、申购份额的计算及余额的处理方式：本基金申购份额的计算详见《招募说明书》。本基金A类基金份额的申购费率由基金管理人决定，并在招募说明</w:t>
      </w:r>
      <w:r w:rsidRPr="00EC3B16">
        <w:rPr>
          <w:rFonts w:ascii="宋体" w:hAnsi="宋体"/>
          <w:bCs/>
          <w:sz w:val="24"/>
          <w:lang w:eastAsia="zh-CN"/>
        </w:rPr>
        <w:lastRenderedPageBreak/>
        <w:t>书及基金产品资料概要中列示。申购的有效份额为净申购金额除以当日的该类基金份额净值，有效份额单位为份，上述计算结果均按四舍五入方法，保留到小数点后2位，由此产生的收益或损失由基金财产承担。</w:t>
      </w:r>
    </w:p>
    <w:p w14:paraId="665BCDE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2位，由此产生的收益或损失由基金财产承担。</w:t>
      </w:r>
    </w:p>
    <w:p w14:paraId="6AF66C0F"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4、A类基金份额的申购费用由申购本基金A类基金份额的投资人承担，不列入基金财产。C类基金份额不收取申购费用。</w:t>
      </w:r>
    </w:p>
    <w:p w14:paraId="0A9C5930"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将收取不低于1.5%的赎回费，并将上述赎回费全额计入基金财产。</w:t>
      </w:r>
    </w:p>
    <w:p w14:paraId="2B1642E8"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1011882A"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7、基金管理人可以在不违背法律法规规定及基金合同约定</w:t>
      </w:r>
      <w:bookmarkStart w:id="137" w:name="_Hlk22049792"/>
      <w:r w:rsidRPr="00EC3B16">
        <w:rPr>
          <w:rFonts w:ascii="宋体" w:hAnsi="宋体"/>
          <w:bCs/>
          <w:sz w:val="24"/>
          <w:lang w:eastAsia="zh-CN"/>
        </w:rPr>
        <w:t>，以及对基金份额持有人利益无实质性不利影响的前提下</w:t>
      </w:r>
      <w:bookmarkEnd w:id="137"/>
      <w:r w:rsidRPr="00EC3B16">
        <w:rPr>
          <w:rFonts w:ascii="宋体" w:hAnsi="宋体"/>
          <w:bCs/>
          <w:sz w:val="24"/>
          <w:lang w:eastAsia="zh-CN"/>
        </w:rPr>
        <w:t>根据市场情况制定基金促销计划，定期或不定期地开展基金促销活动。在基金促销活动期间，按相关监管部门要求履行必要手续并提前告知基金托管人后，基金管理人可以适当调低基金申购费率和基金赎回费率。</w:t>
      </w:r>
    </w:p>
    <w:p w14:paraId="0BA16A7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8、当本基金发生大额申购或赎回情形时，基金管理人可以采用摆动定价机制，以确保基金估值的公平性。具体处理原则与操作规范遵循相关法律法规以及监管部门、自律规则的规定。</w:t>
      </w:r>
    </w:p>
    <w:p w14:paraId="4A7EC581"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七、拒绝或暂停申购的情形</w:t>
      </w:r>
    </w:p>
    <w:p w14:paraId="7C6BB10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发生下列情况时，基金管理人可拒绝或暂停接受投资人的申购申请：</w:t>
      </w:r>
    </w:p>
    <w:p w14:paraId="4A72C769"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1、因不可抗力导致基金无法正常运作。</w:t>
      </w:r>
    </w:p>
    <w:p w14:paraId="3058E2C8"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2、发生基金合同规定的暂停基金资产估值情况时，基金管理人可暂停接受投资人的申购申请。</w:t>
      </w:r>
    </w:p>
    <w:p w14:paraId="5D00F21D"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3、证券/期货交易所交易时间非正常停市，</w:t>
      </w:r>
      <w:r w:rsidRPr="00EC3B16">
        <w:rPr>
          <w:rFonts w:ascii="宋体" w:hAnsi="宋体" w:hint="eastAsia"/>
          <w:bCs/>
          <w:sz w:val="24"/>
          <w:lang w:eastAsia="zh-CN"/>
        </w:rPr>
        <w:t>或基金参与港股通交易且港股通暂停交易，</w:t>
      </w:r>
      <w:r w:rsidRPr="00EC3B16">
        <w:rPr>
          <w:rFonts w:ascii="宋体" w:hAnsi="宋体"/>
          <w:bCs/>
          <w:sz w:val="24"/>
          <w:lang w:eastAsia="zh-CN"/>
        </w:rPr>
        <w:t>导致基金管理人无法计算当日基金资产净值。</w:t>
      </w:r>
    </w:p>
    <w:p w14:paraId="08552C1D" w14:textId="77777777" w:rsidR="004154D1" w:rsidRPr="00EC3B16" w:rsidRDefault="004154D1">
      <w:pPr>
        <w:spacing w:line="360" w:lineRule="auto"/>
        <w:ind w:firstLine="480"/>
        <w:jc w:val="both"/>
        <w:rPr>
          <w:rFonts w:ascii="宋体" w:hAnsi="宋体"/>
          <w:bCs/>
          <w:sz w:val="24"/>
          <w:lang w:eastAsia="zh-CN"/>
        </w:rPr>
      </w:pPr>
      <w:bookmarkStart w:id="138" w:name="_Hlt70481650"/>
      <w:bookmarkEnd w:id="138"/>
      <w:r w:rsidRPr="00EC3B16">
        <w:rPr>
          <w:rFonts w:ascii="宋体" w:hAnsi="宋体"/>
          <w:bCs/>
          <w:sz w:val="24"/>
          <w:lang w:eastAsia="zh-CN"/>
        </w:rPr>
        <w:t>4、接受某笔或某些申购申请可能会影响或损害现有基金份额持有人利益时。</w:t>
      </w:r>
    </w:p>
    <w:p w14:paraId="468A056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5、基金资产规模过大，使基金管理人无法找到合适的投资品种，或其他可能对基金业绩产生负面影响，或发生其他损害现有基金份额持有人利益的情形。</w:t>
      </w:r>
    </w:p>
    <w:p w14:paraId="37FD914A"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6、当前一估值日基金资产净值50%以上的资产出现无可参考的活跃市场价格且采用估值技术仍导致公允价值存在重大不确定性时，经与基金托管人协商确认后，基金管理人应当采取暂停接受基金申购申请的措施。</w:t>
      </w:r>
    </w:p>
    <w:p w14:paraId="15BB940F"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7、基金管理人、基金托管人、基金销售机构或登记机构的异常情况导致基金销售系统、基金登记系统或基金会计系统无法正常运行。</w:t>
      </w:r>
    </w:p>
    <w:p w14:paraId="582BC490"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8、基金管理人接受某笔或者某些申购申请有可能导致单一投资者持有基金份额的比例达到或者超过50%，或者变相规避50%集中度的情形。</w:t>
      </w:r>
    </w:p>
    <w:p w14:paraId="22209C3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hint="eastAsia"/>
          <w:bCs/>
          <w:sz w:val="24"/>
          <w:lang w:eastAsia="zh-CN"/>
        </w:rPr>
        <w:t>9、基金参与港股通交易且港股通交易每日额度不足。</w:t>
      </w:r>
    </w:p>
    <w:p w14:paraId="58166E0E"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10、法律法规规定或中国证监会认定的其他情形。</w:t>
      </w:r>
    </w:p>
    <w:p w14:paraId="6F88FB21"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发生上述第1、2、3、5、6、7、9</w:t>
      </w:r>
      <w:r w:rsidRPr="00EC3B16">
        <w:rPr>
          <w:rFonts w:ascii="宋体" w:hAnsi="宋体" w:hint="eastAsia"/>
          <w:bCs/>
          <w:sz w:val="24"/>
          <w:lang w:eastAsia="zh-CN"/>
        </w:rPr>
        <w:t>、1</w:t>
      </w:r>
      <w:r w:rsidRPr="00EC3B16">
        <w:rPr>
          <w:rFonts w:ascii="宋体" w:hAnsi="宋体"/>
          <w:bCs/>
          <w:sz w:val="24"/>
          <w:lang w:eastAsia="zh-CN"/>
        </w:rPr>
        <w:t>0项暂停申购情形之一且基金管理人决定暂停接受投资人申购申请时，基金管理人应当根据有关规定在规定媒介上刊登暂停申购公告。如果投资人的申购申请被全部或部分拒绝的，被拒绝的申购款项将退还给投资人。在暂停申购的情况消除时，基金管理人应及时恢复申购业务的办理。</w:t>
      </w:r>
    </w:p>
    <w:p w14:paraId="75171E5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八、暂停赎回或延缓支付赎回款项的情形</w:t>
      </w:r>
    </w:p>
    <w:p w14:paraId="12F3EB7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发生下列情形时，基金管理人可暂停接受投资人的赎回申请或延缓支付赎回款项：</w:t>
      </w:r>
    </w:p>
    <w:p w14:paraId="329CF17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1、因不可抗力导致基金管理人不能支付赎回款项。</w:t>
      </w:r>
    </w:p>
    <w:p w14:paraId="49E78B9D"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2、发生基金合同规定的暂停基金资产估值情况时，基金管理人可暂停接受投资人的赎回申请或延缓支付赎回款项。</w:t>
      </w:r>
    </w:p>
    <w:p w14:paraId="52E3E0C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3、证券/期货交易所交易时间非正常停市</w:t>
      </w:r>
      <w:r w:rsidRPr="00EC3B16">
        <w:rPr>
          <w:rFonts w:ascii="宋体" w:hAnsi="宋体" w:hint="eastAsia"/>
          <w:bCs/>
          <w:sz w:val="24"/>
          <w:lang w:eastAsia="zh-CN"/>
        </w:rPr>
        <w:t>，或基金参与港股通交易且港股通暂停交易</w:t>
      </w:r>
      <w:r w:rsidRPr="00EC3B16">
        <w:rPr>
          <w:rFonts w:ascii="宋体" w:hAnsi="宋体"/>
          <w:bCs/>
          <w:sz w:val="24"/>
          <w:lang w:eastAsia="zh-CN"/>
        </w:rPr>
        <w:t>，导致基金管理人无法计算当日基金资产</w:t>
      </w:r>
      <w:bookmarkStart w:id="139" w:name="_Hlt152500890"/>
      <w:r w:rsidRPr="00EC3B16">
        <w:rPr>
          <w:rFonts w:ascii="宋体" w:hAnsi="宋体"/>
          <w:bCs/>
          <w:sz w:val="24"/>
          <w:lang w:eastAsia="zh-CN"/>
        </w:rPr>
        <w:t>净值。</w:t>
      </w:r>
    </w:p>
    <w:p w14:paraId="0B32E480"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4、连续两个或两个以上开放日发生巨额赎回。</w:t>
      </w:r>
    </w:p>
    <w:p w14:paraId="3A74AA70"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5、发生继续接受赎回申请将损害现有基金份额持有人利益的情形时，基金管理人可暂停接受基金份额持有人的赎回申请。</w:t>
      </w:r>
    </w:p>
    <w:p w14:paraId="28BB5D69"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6、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14:paraId="36FB4D00"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7</w:t>
      </w:r>
      <w:bookmarkEnd w:id="139"/>
      <w:r w:rsidRPr="00EC3B16">
        <w:rPr>
          <w:rFonts w:ascii="宋体" w:hAnsi="宋体"/>
          <w:bCs/>
          <w:sz w:val="24"/>
          <w:lang w:eastAsia="zh-CN"/>
        </w:rPr>
        <w:t>、法律法规规定或中国证监会认定的其他情形。</w:t>
      </w:r>
    </w:p>
    <w:p w14:paraId="61C5DA41"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7E52E6F8"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九、巨额赎回的情形及处理方式</w:t>
      </w:r>
    </w:p>
    <w:p w14:paraId="4D73C5D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1、巨额赎回的认定</w:t>
      </w:r>
    </w:p>
    <w:p w14:paraId="6D7A55DF"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093D3AC2"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2、巨额赎回的处理方式</w:t>
      </w:r>
    </w:p>
    <w:p w14:paraId="0D03E9F0"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当基金出现巨额赎回时，基金管理人可以根据基金当时的资产组合状况决定全额赎回或部分延期赎回。</w:t>
      </w:r>
    </w:p>
    <w:p w14:paraId="6A325E4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（1）全额赎回：当基金管理人认为有能力支付投资人的全部赎回申请时，按正常赎回程序执行。</w:t>
      </w:r>
    </w:p>
    <w:p w14:paraId="29578536"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1D9E4408"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如发生巨额赎回且存在单个开放日内单个基金份额持有人申请赎回的基金份额占前一开放日基金总份额的比例超过30%时，本基金管理人可以对该单个基金份额持有人超过前述约定比例的赎回申请实施延期赎回，延期的赎回申请与下一开放日赎回申请一并处理，无优先权并以下一开放日的各类基金份额净值为基础计算赎回金额。如下一开放日，该单个基金份额持有人剩余未赎回部分仍旧超出前述比例约定的，继续按前述规则处理，直至该单个基金份额持有人单个开放日内申请赎回的基金份额占前一开放日基金总份额的比例低于前述比例。但是，如该持有人在提交赎回申请时选择取消赎回，则其当日未获受理的部分赎回申请将被撤销。</w:t>
      </w:r>
    </w:p>
    <w:p w14:paraId="5BA4B175"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对于该基金份额持有人未超过上述比例的部分，基金管理人有权根据前段“</w:t>
      </w:r>
      <w:r w:rsidRPr="00EC3B16">
        <w:rPr>
          <w:rFonts w:ascii="宋体" w:hAnsi="宋体" w:hint="eastAsia"/>
          <w:bCs/>
          <w:sz w:val="24"/>
          <w:lang w:eastAsia="zh-CN"/>
        </w:rPr>
        <w:t>（</w:t>
      </w:r>
      <w:r w:rsidRPr="00EC3B16">
        <w:rPr>
          <w:rFonts w:ascii="宋体" w:hAnsi="宋体"/>
          <w:bCs/>
          <w:sz w:val="24"/>
          <w:lang w:eastAsia="zh-CN"/>
        </w:rPr>
        <w:t>1</w:t>
      </w:r>
      <w:r w:rsidRPr="00EC3B16">
        <w:rPr>
          <w:rFonts w:ascii="宋体" w:hAnsi="宋体" w:hint="eastAsia"/>
          <w:bCs/>
          <w:sz w:val="24"/>
          <w:lang w:eastAsia="zh-CN"/>
        </w:rPr>
        <w:t>）全额赎回</w:t>
      </w:r>
      <w:r w:rsidRPr="00EC3B16">
        <w:rPr>
          <w:rFonts w:ascii="宋体" w:hAnsi="宋体"/>
          <w:bCs/>
          <w:sz w:val="24"/>
          <w:lang w:eastAsia="zh-CN"/>
        </w:rPr>
        <w:t>”</w:t>
      </w:r>
      <w:r w:rsidRPr="00EC3B16">
        <w:rPr>
          <w:rFonts w:ascii="宋体" w:hAnsi="宋体" w:hint="eastAsia"/>
          <w:bCs/>
          <w:sz w:val="24"/>
          <w:lang w:eastAsia="zh-CN"/>
        </w:rPr>
        <w:t>或</w:t>
      </w:r>
      <w:r w:rsidRPr="00EC3B16">
        <w:rPr>
          <w:rFonts w:ascii="宋体" w:hAnsi="宋体"/>
          <w:bCs/>
          <w:sz w:val="24"/>
          <w:lang w:eastAsia="zh-CN"/>
        </w:rPr>
        <w:t>“</w:t>
      </w:r>
      <w:r w:rsidRPr="00EC3B16">
        <w:rPr>
          <w:rFonts w:ascii="宋体" w:hAnsi="宋体" w:hint="eastAsia"/>
          <w:bCs/>
          <w:sz w:val="24"/>
          <w:lang w:eastAsia="zh-CN"/>
        </w:rPr>
        <w:t>（</w:t>
      </w:r>
      <w:r w:rsidRPr="00EC3B16">
        <w:rPr>
          <w:rFonts w:ascii="宋体" w:hAnsi="宋体"/>
          <w:bCs/>
          <w:sz w:val="24"/>
          <w:lang w:eastAsia="zh-CN"/>
        </w:rPr>
        <w:t>2</w:t>
      </w:r>
      <w:r w:rsidRPr="00EC3B16">
        <w:rPr>
          <w:rFonts w:ascii="宋体" w:hAnsi="宋体" w:hint="eastAsia"/>
          <w:bCs/>
          <w:sz w:val="24"/>
          <w:lang w:eastAsia="zh-CN"/>
        </w:rPr>
        <w:t>）部分延期赎回</w:t>
      </w:r>
      <w:r w:rsidRPr="00EC3B16">
        <w:rPr>
          <w:rFonts w:ascii="宋体" w:hAnsi="宋体"/>
          <w:bCs/>
          <w:sz w:val="24"/>
          <w:lang w:eastAsia="zh-CN"/>
        </w:rPr>
        <w:t>”的约定方式与其他基金份额持有人的赎回申请一并办理。</w:t>
      </w:r>
    </w:p>
    <w:p w14:paraId="5838CB71"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15E1842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3、巨额赎回的公告</w:t>
      </w:r>
    </w:p>
    <w:p w14:paraId="07974DF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当发生上述巨额赎回并延期办理时，基金管理人应当通过邮寄、传真或者招募说明书规定的其他方式在3个交易日内通知基金份额持有人，说明有关处理方法，并在2日内在规定媒介上刊登公告。</w:t>
      </w:r>
    </w:p>
    <w:p w14:paraId="5296E45B"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十、暂停申购或赎回的公告和重新开放申购或赎回的公告</w:t>
      </w:r>
    </w:p>
    <w:p w14:paraId="01C358EB"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1、发生上述暂停申购或赎回情况的，基金管理人应在规定期限内在规定媒介上刊登暂停公告。</w:t>
      </w:r>
    </w:p>
    <w:p w14:paraId="3E36EB64"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2、如发生暂停的时间为1日，基金管理人应于重新开放日，在规定媒介上刊登基金重新开放申购或赎回公告，并公布最近1个开放日的两类基金份额净值。</w:t>
      </w:r>
    </w:p>
    <w:p w14:paraId="5BF121C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3、如发生暂停的时间超过1日，基金管理人自行确定公告增加次数，并根据《信息披露办法》的规定在规定媒介刊登公告。</w:t>
      </w:r>
    </w:p>
    <w:p w14:paraId="4CA91CC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十一、基金转换</w:t>
      </w:r>
    </w:p>
    <w:p w14:paraId="0EC26141"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219B55B"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十二、基金的非交易过户</w:t>
      </w:r>
    </w:p>
    <w:p w14:paraId="3F4F4D7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05C575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8EFDB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十三、基金的转托管</w:t>
      </w:r>
    </w:p>
    <w:p w14:paraId="75A84B4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基金份额持有人可办理已持有基金份额在不同销售机构之间的转托管，基金销售机构可以按照规定的标准收取转托管费。</w:t>
      </w:r>
    </w:p>
    <w:p w14:paraId="545C5E39"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十四、定期定额投资计划</w:t>
      </w:r>
    </w:p>
    <w:p w14:paraId="7697878C"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2E37F3B5"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十五、基金份额的冻结和解冻</w:t>
      </w:r>
    </w:p>
    <w:p w14:paraId="338D2552"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基金登记机构只受理国家有权机关依法要求的基金份额的冻结与解冻，以及登记机构认可、符合法律法规的其他情况下的冻结与解冻。</w:t>
      </w:r>
    </w:p>
    <w:p w14:paraId="48DD87F7"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基金份额被冻结的，被冻结部分产生的权益一并冻结，被冻结部分份额仍然参与收益分配。法律法规或监管机构另有规定的除外。</w:t>
      </w:r>
    </w:p>
    <w:p w14:paraId="75B5EC0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十六、基金份额的转让</w:t>
      </w:r>
    </w:p>
    <w:p w14:paraId="5F2C34C3"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DF0F87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十七、实施侧袋机制期间本基金的申购与赎回</w:t>
      </w:r>
    </w:p>
    <w:p w14:paraId="60793FC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本基金实施侧袋机制的，本基金的申购和赎回安排详见招募说明书或相关公告。</w:t>
      </w:r>
    </w:p>
    <w:p w14:paraId="26909EDE" w14:textId="77777777" w:rsidR="004154D1" w:rsidRPr="00EC3B16" w:rsidRDefault="004154D1" w:rsidP="009D49B9">
      <w:pPr>
        <w:spacing w:line="360" w:lineRule="auto"/>
        <w:ind w:firstLine="480"/>
        <w:jc w:val="both"/>
        <w:rPr>
          <w:rFonts w:ascii="宋体" w:hAnsi="宋体"/>
          <w:bCs/>
          <w:sz w:val="24"/>
          <w:lang w:eastAsia="zh-CN"/>
        </w:rPr>
      </w:pPr>
    </w:p>
    <w:p w14:paraId="152B81DE" w14:textId="77777777" w:rsidR="004154D1" w:rsidRPr="00EC3B16" w:rsidRDefault="004154D1">
      <w:pPr>
        <w:pStyle w:val="1"/>
        <w:spacing w:before="0" w:after="0"/>
        <w:jc w:val="center"/>
        <w:rPr>
          <w:rFonts w:hAnsi="宋体"/>
          <w:sz w:val="30"/>
          <w:lang w:eastAsia="zh-CN"/>
        </w:rPr>
      </w:pPr>
      <w:r w:rsidRPr="00EC3B16">
        <w:rPr>
          <w:rFonts w:hAnsi="宋体"/>
          <w:b w:val="0"/>
          <w:bCs/>
          <w:lang w:eastAsia="zh-CN"/>
        </w:rPr>
        <w:br w:type="page"/>
      </w:r>
      <w:bookmarkStart w:id="140" w:name="_Toc139991737"/>
      <w:bookmarkStart w:id="141" w:name="_Toc447270830"/>
      <w:bookmarkStart w:id="142" w:name="_Toc15143"/>
      <w:bookmarkStart w:id="143" w:name="_Toc98560353"/>
      <w:bookmarkStart w:id="144" w:name="_Toc12245"/>
      <w:bookmarkStart w:id="145" w:name="_Toc3601"/>
      <w:bookmarkStart w:id="146" w:name="_Toc26207"/>
      <w:bookmarkStart w:id="147" w:name="_Toc123051453"/>
      <w:bookmarkStart w:id="148" w:name="_Toc16859"/>
      <w:bookmarkStart w:id="149" w:name="_Toc141703887"/>
      <w:bookmarkStart w:id="150" w:name="_Toc31235"/>
      <w:bookmarkStart w:id="151" w:name="_Toc123102454"/>
      <w:bookmarkStart w:id="152" w:name="_Toc6405"/>
      <w:bookmarkStart w:id="153" w:name="_Toc14835"/>
      <w:bookmarkStart w:id="154" w:name="_Toc31644"/>
      <w:bookmarkStart w:id="155" w:name="_Toc29251"/>
      <w:bookmarkStart w:id="156" w:name="_Toc123112235"/>
      <w:bookmarkStart w:id="157" w:name="_Toc31653"/>
      <w:bookmarkStart w:id="158" w:name="_Toc132016787"/>
      <w:bookmarkStart w:id="159" w:name="_Hlk73621697"/>
      <w:r w:rsidRPr="00EC3B16">
        <w:rPr>
          <w:rFonts w:hAnsi="宋体"/>
          <w:sz w:val="30"/>
          <w:lang w:eastAsia="zh-CN"/>
        </w:rPr>
        <w:lastRenderedPageBreak/>
        <w:t>第七部分</w:t>
      </w:r>
      <w:r w:rsidRPr="00EC3B16">
        <w:rPr>
          <w:rFonts w:hAnsi="宋体" w:hint="eastAsia"/>
          <w:sz w:val="30"/>
          <w:lang w:eastAsia="zh-CN"/>
        </w:rPr>
        <w:t xml:space="preserve"> </w:t>
      </w:r>
      <w:r w:rsidRPr="00EC3B16">
        <w:rPr>
          <w:rFonts w:hAnsi="宋体"/>
          <w:sz w:val="30"/>
          <w:lang w:eastAsia="zh-CN"/>
        </w:rPr>
        <w:t xml:space="preserve"> 基金合同当事人及权利义务</w:t>
      </w:r>
      <w:bookmarkStart w:id="160" w:name="_Hlt55355235"/>
      <w:bookmarkStart w:id="161" w:name="_Toc523711668"/>
      <w:bookmarkStart w:id="162" w:name="_Toc57530239"/>
      <w:bookmarkStart w:id="163" w:name="_Toc79392580"/>
      <w:bookmarkStart w:id="164" w:name="_Toc1511823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60"/>
    </w:p>
    <w:p w14:paraId="4121E59C" w14:textId="77777777" w:rsidR="004154D1" w:rsidRPr="00EC3B16" w:rsidRDefault="004154D1" w:rsidP="009D49B9">
      <w:pPr>
        <w:spacing w:line="360" w:lineRule="auto"/>
        <w:ind w:firstLine="480"/>
        <w:jc w:val="both"/>
        <w:rPr>
          <w:rFonts w:ascii="宋体" w:hAnsi="宋体"/>
          <w:bCs/>
          <w:sz w:val="24"/>
          <w:lang w:eastAsia="zh-CN"/>
        </w:rPr>
      </w:pPr>
    </w:p>
    <w:p w14:paraId="4C7261D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一、基金</w:t>
      </w:r>
      <w:bookmarkEnd w:id="161"/>
      <w:r w:rsidRPr="00EC3B16">
        <w:rPr>
          <w:rFonts w:ascii="宋体" w:hAnsi="宋体"/>
          <w:bCs/>
          <w:sz w:val="24"/>
          <w:lang w:eastAsia="zh-CN"/>
        </w:rPr>
        <w:t>管理人</w:t>
      </w:r>
      <w:bookmarkEnd w:id="162"/>
      <w:bookmarkEnd w:id="163"/>
      <w:bookmarkEnd w:id="164"/>
    </w:p>
    <w:p w14:paraId="5B2082F2" w14:textId="77777777" w:rsidR="004154D1" w:rsidRPr="00EC3B16" w:rsidRDefault="004154D1" w:rsidP="009D49B9">
      <w:pPr>
        <w:spacing w:line="360" w:lineRule="auto"/>
        <w:ind w:firstLine="480"/>
        <w:jc w:val="both"/>
        <w:rPr>
          <w:rFonts w:ascii="宋体" w:hAnsi="宋体"/>
          <w:bCs/>
          <w:sz w:val="24"/>
          <w:lang w:eastAsia="zh-CN"/>
        </w:rPr>
      </w:pPr>
      <w:bookmarkStart w:id="165" w:name="_Toc15118235"/>
      <w:r w:rsidRPr="00EC3B16">
        <w:rPr>
          <w:rFonts w:ascii="宋体" w:hAnsi="宋体"/>
          <w:bCs/>
          <w:sz w:val="24"/>
          <w:lang w:eastAsia="zh-CN"/>
        </w:rPr>
        <w:t>（一）基金管理人简况</w:t>
      </w:r>
      <w:bookmarkEnd w:id="165"/>
    </w:p>
    <w:p w14:paraId="094C51D6" w14:textId="77777777" w:rsidR="004154D1" w:rsidRPr="00EC3B16" w:rsidRDefault="004154D1" w:rsidP="009D49B9">
      <w:pPr>
        <w:spacing w:line="360" w:lineRule="auto"/>
        <w:ind w:firstLine="480"/>
        <w:jc w:val="both"/>
        <w:rPr>
          <w:rFonts w:ascii="宋体" w:hAnsi="宋体"/>
          <w:bCs/>
          <w:sz w:val="24"/>
          <w:lang w:eastAsia="zh-CN"/>
        </w:rPr>
      </w:pPr>
      <w:bookmarkStart w:id="166" w:name="_Toc15118236"/>
      <w:bookmarkStart w:id="167" w:name="_Hlk95467724"/>
      <w:bookmarkStart w:id="168" w:name="_Toc15118237"/>
      <w:r w:rsidRPr="00EC3B16">
        <w:rPr>
          <w:rFonts w:ascii="宋体" w:hAnsi="宋体"/>
          <w:bCs/>
          <w:sz w:val="24"/>
          <w:lang w:eastAsia="zh-CN"/>
        </w:rPr>
        <w:t>名称：</w:t>
      </w:r>
      <w:bookmarkEnd w:id="166"/>
      <w:r w:rsidRPr="00EC3B16">
        <w:rPr>
          <w:rFonts w:ascii="宋体" w:hAnsi="宋体"/>
          <w:bCs/>
          <w:sz w:val="24"/>
          <w:lang w:eastAsia="zh-CN"/>
        </w:rPr>
        <w:t>中信建投基金管理有限公司</w:t>
      </w:r>
    </w:p>
    <w:p w14:paraId="4FEC4300"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住所：北京市怀柔区桥梓镇八龙桥雅苑3号楼1室</w:t>
      </w:r>
    </w:p>
    <w:p w14:paraId="35D3430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法定代表人：</w:t>
      </w:r>
      <w:r w:rsidRPr="00EC3B16">
        <w:rPr>
          <w:rFonts w:ascii="宋体" w:hAnsi="宋体" w:hint="eastAsia"/>
          <w:bCs/>
          <w:sz w:val="24"/>
          <w:lang w:eastAsia="zh-CN"/>
        </w:rPr>
        <w:t>黄凌</w:t>
      </w:r>
    </w:p>
    <w:p w14:paraId="04BFFA5B"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设立日期：2013年9月9日</w:t>
      </w:r>
    </w:p>
    <w:p w14:paraId="53F4241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批准设立机关及批准设立文号：中国证监会证监许可〔2013〕1108号</w:t>
      </w:r>
    </w:p>
    <w:p w14:paraId="581A491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组织形式：有限责任公司</w:t>
      </w:r>
    </w:p>
    <w:p w14:paraId="03721DE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注册资本：30000万元人民币</w:t>
      </w:r>
    </w:p>
    <w:p w14:paraId="4BF19250"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存续期限：永久存续</w:t>
      </w:r>
    </w:p>
    <w:p w14:paraId="0D86E2C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联系电话：4009-108-108</w:t>
      </w:r>
    </w:p>
    <w:bookmarkEnd w:id="167"/>
    <w:p w14:paraId="0AB6AC5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（二）基金管理人的权利与义务</w:t>
      </w:r>
      <w:bookmarkEnd w:id="168"/>
    </w:p>
    <w:p w14:paraId="1CFF048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1、根据《基金法》、《运作办法》及其他有关规定，基金管理人的权利包括但不限于：</w:t>
      </w:r>
    </w:p>
    <w:p w14:paraId="7E5CED2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（1）依法募集资金；</w:t>
      </w:r>
    </w:p>
    <w:p w14:paraId="4E03E48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（2）自《基金合同》生效之日起，根据法律法规和《基金合同》独立运用并管理基金财产；</w:t>
      </w:r>
    </w:p>
    <w:p w14:paraId="0662578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（3）依照《基金合同》收取基金管理费以及法律法规规定或中国证监会批准的其他费用；</w:t>
      </w:r>
    </w:p>
    <w:p w14:paraId="05C472AB"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（4）在法律法规和《基金合同》规定的范围内调整本基金的认购费、申购费、赎回费、销售服务费等其他费用，或在对现有基金份额持有人利益无实质性不利影响的前提下变更收费方式；</w:t>
      </w:r>
    </w:p>
    <w:p w14:paraId="5C6FCC6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（5）销售基金份额；</w:t>
      </w:r>
    </w:p>
    <w:p w14:paraId="48028EA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（6）</w:t>
      </w:r>
      <w:bookmarkStart w:id="169" w:name="_Hlt88896155"/>
      <w:r w:rsidRPr="00EC3B16">
        <w:rPr>
          <w:rFonts w:ascii="宋体" w:hAnsi="宋体"/>
          <w:bCs/>
          <w:sz w:val="24"/>
          <w:lang w:eastAsia="zh-CN"/>
        </w:rPr>
        <w:t>按照规定召集</w:t>
      </w:r>
      <w:bookmarkEnd w:id="169"/>
      <w:r w:rsidRPr="00EC3B16">
        <w:rPr>
          <w:rFonts w:ascii="宋体" w:hAnsi="宋体"/>
          <w:bCs/>
          <w:sz w:val="24"/>
          <w:lang w:eastAsia="zh-CN"/>
        </w:rPr>
        <w:t>基金份额持有人大会；</w:t>
      </w:r>
    </w:p>
    <w:p w14:paraId="2527455B"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（7）依据《基金合同》及有关法律规定监督基金托管人，如认为基金托管人违反了《基金合同》及国家有关法律规定，应呈报中国证监会和其他监管部门，并采取必要措施保护基金投资者的利益；</w:t>
      </w:r>
    </w:p>
    <w:p w14:paraId="6E9C7FB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（8）在基金托管人更换时，提名新的基金托管人；</w:t>
      </w:r>
    </w:p>
    <w:p w14:paraId="04DD3AA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（9）选择、更换基金销售机构，对基金销售机构的相关行为进行监督和处理；</w:t>
      </w:r>
    </w:p>
    <w:p w14:paraId="3620973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（10）担任或委托其他符合条件的机构担任基金登记机构办理基金登记业务并获得《基金合同》规定的费用；</w:t>
      </w:r>
    </w:p>
    <w:p w14:paraId="1B555AA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（11）依据《基金合同》及有关法律规定决定基金收益的分配方案；</w:t>
      </w:r>
    </w:p>
    <w:p w14:paraId="34831A9F"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（12）在《基金合同》约定的范围内，拒绝或暂停受理申购与赎回申请；</w:t>
      </w:r>
    </w:p>
    <w:p w14:paraId="24A125D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（13）依照法律法规为基金的利益对被投资公司行使股东权利，为基金的利益行使因基金财产投资于证券所产生的权利；</w:t>
      </w:r>
    </w:p>
    <w:p w14:paraId="5534BDE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（14）在法律法规允许的前提下，为基金的利益依法为基金进行融资；</w:t>
      </w:r>
    </w:p>
    <w:p w14:paraId="636563B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（15）以基金管理人的名义，代表基金份额持有人的利益行使诉讼权利或者实施其他法律行为；</w:t>
      </w:r>
    </w:p>
    <w:p w14:paraId="43AF2A70"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（16）选择、更换律师事务所、会计师事务所、证券/期货经纪商或其他为基金提供服务的外部机构；</w:t>
      </w:r>
    </w:p>
    <w:p w14:paraId="31FBE50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（17）在符合有关法律、法规的前提下，制订和调整有关基金认购、申购、赎回、转换和非交易过户等业务规则；</w:t>
      </w:r>
    </w:p>
    <w:p w14:paraId="278EFFD0"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（18）法律法规及中国证监会规定的和《基金合同》约定的其他权利。</w:t>
      </w:r>
    </w:p>
    <w:p w14:paraId="33F88B1B"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2、根据《基金法》、《运作办法》及其他有关规定，基金管理人的义务包括但不限于：</w:t>
      </w:r>
    </w:p>
    <w:p w14:paraId="60FD5BA8" w14:textId="77777777" w:rsidR="004154D1" w:rsidRPr="00EC3B16" w:rsidRDefault="004154D1" w:rsidP="009D49B9">
      <w:pPr>
        <w:spacing w:line="360" w:lineRule="auto"/>
        <w:ind w:firstLine="480"/>
        <w:jc w:val="both"/>
        <w:rPr>
          <w:rFonts w:ascii="宋体" w:hAnsi="宋体"/>
          <w:bCs/>
          <w:sz w:val="24"/>
          <w:lang w:eastAsia="zh-CN"/>
        </w:rPr>
      </w:pPr>
      <w:bookmarkStart w:id="170" w:name="_Toc523711669"/>
      <w:r w:rsidRPr="00EC3B16">
        <w:rPr>
          <w:rFonts w:ascii="宋体" w:hAnsi="宋体"/>
          <w:bCs/>
          <w:sz w:val="24"/>
          <w:lang w:eastAsia="zh-CN"/>
        </w:rPr>
        <w:t>（1）依法募集资金，办理或者委托经中国证监会认定的其他机构代为办理基金份额的发售、申购、赎回和登记事宜；</w:t>
      </w:r>
    </w:p>
    <w:p w14:paraId="72B2157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（2）办理基金备案手续；</w:t>
      </w:r>
    </w:p>
    <w:p w14:paraId="34EF7E5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（3）自《基金合同》生效之日起，以诚实信用、谨慎勤勉的原则管理和运用基金财产；</w:t>
      </w:r>
    </w:p>
    <w:p w14:paraId="62CE4A9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（4）配备足够的具有专业资格的人员进行基金投资分析、决策，以专业化的经营方式管理和运作基金财产；</w:t>
      </w:r>
    </w:p>
    <w:p w14:paraId="1F102FD1"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（5）建立健全内部风险控制、监察与稽核、财务管理及人事管理等制度，保证所管理的基金财产和基金管理人的财产相互独立，对所管理的不同基金分别管理，分别记账，进行证券投资；</w:t>
      </w:r>
    </w:p>
    <w:p w14:paraId="4B0717C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（6）除依据《基金法》、《基金合同》及其他有关规定外，不得利用基金财产为自己及任何第三人谋取利益，不得委托第三人运作基金财产；</w:t>
      </w:r>
      <w:bookmarkStart w:id="171" w:name="_Hlt88897298"/>
      <w:bookmarkEnd w:id="171"/>
    </w:p>
    <w:p w14:paraId="6A28FA1F"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（7）依法接受基金托管人的监督；</w:t>
      </w:r>
    </w:p>
    <w:p w14:paraId="4110719F"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（8）采取适当合理的措施使计算基金份额认购、申购、赎回和注销价格的方法符合《基金合同》等法律文件的规定，按有关规定计算并公告基金净值信息，确定基金份额申购、赎回的价格；</w:t>
      </w:r>
    </w:p>
    <w:p w14:paraId="2EE3ABF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（9）进行基金会计核算并编制基金财务会计报告；</w:t>
      </w:r>
    </w:p>
    <w:p w14:paraId="6F49F0D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（10）编制季度报告、中期报告和年度报告；</w:t>
      </w:r>
    </w:p>
    <w:p w14:paraId="02A9191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（11）严格按照《基金法》、《基金合同》及其他有关规定，履行信息披露及报告义务；</w:t>
      </w:r>
    </w:p>
    <w:p w14:paraId="2C35193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12）保守基金商业秘密，不泄露基金投资计划、投资意向等。除《基金法》、《基金合同》及其他有关规定另有规定外，在基金信息公开披露前应予保密，不向他人泄露，但应监管机构、司法机关等有权机关的要求提供，或因审计、法律等外部专业顾问提供服务需要提供的情况除外；</w:t>
      </w:r>
    </w:p>
    <w:p w14:paraId="0C154F3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（13）按《基金合同》的约定确定基金收益分配方案，及时向基金份额持有人分配基金收益；</w:t>
      </w:r>
    </w:p>
    <w:p w14:paraId="288CC19B"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（14）按规定受理申购与赎回申请，及时、足额支付赎回款项；</w:t>
      </w:r>
    </w:p>
    <w:p w14:paraId="3AEC1BD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（15）依据《基金法》、《基金合同》及其他有关规定召集基金份额持有人大会或配合基金托管人、基金份额持有人依法召集基金份额持有人大会；</w:t>
      </w:r>
    </w:p>
    <w:p w14:paraId="0EF5F53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（16）按规定保存基金财产管理业务活动的会计账册、报表、记录和其他相关资料</w:t>
      </w:r>
      <w:r w:rsidRPr="00EC3B16">
        <w:rPr>
          <w:rFonts w:ascii="宋体" w:hAnsi="宋体" w:hint="eastAsia"/>
          <w:bCs/>
          <w:sz w:val="24"/>
          <w:lang w:eastAsia="zh-CN"/>
        </w:rPr>
        <w:t>，保存时间不低于法律法规规定的最低期限</w:t>
      </w:r>
      <w:r w:rsidRPr="00EC3B16">
        <w:rPr>
          <w:rFonts w:ascii="宋体" w:hAnsi="宋体"/>
          <w:bCs/>
          <w:sz w:val="24"/>
          <w:lang w:eastAsia="zh-CN"/>
        </w:rPr>
        <w:t>；</w:t>
      </w:r>
    </w:p>
    <w:p w14:paraId="0CCCB8C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4D8E7C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（18）组织并参加基金财产清算小组，参与基金财产的保管、清理、估价、变现和分配；</w:t>
      </w:r>
    </w:p>
    <w:p w14:paraId="303FCBE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（19）面临解散、依法被撤销或者被依法宣告破产时，及时报告中国证监会并通知基金托管人；</w:t>
      </w:r>
    </w:p>
    <w:p w14:paraId="1A7F23C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（20）因违反《基金合同》导致基金财产的损失或损害基金份额持有人合法权益时，应当承担赔偿责任，其赔偿责任不因其退任而免除；</w:t>
      </w:r>
    </w:p>
    <w:p w14:paraId="1A8B891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（21）监督基金托管人按法律法规和《基金合同》规定履行自己的义务，基金托管人违反《基金合同》造成基金财产损失时，基金管理人应为基金份额持有人利益向基金托管人追偿；</w:t>
      </w:r>
    </w:p>
    <w:p w14:paraId="7617195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（22）当基金管理人将其义务委托第三方处理时，应当对第三方处理有关基金事务的行为承担责任；</w:t>
      </w:r>
    </w:p>
    <w:p w14:paraId="6F34CEB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（23）以基金管理人名义，代表基金份额持有人利益行使诉讼权利或实施其他法律行为；</w:t>
      </w:r>
    </w:p>
    <w:p w14:paraId="57EC0D4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（24）基金在募集期间未能达到基金</w:t>
      </w:r>
      <w:bookmarkStart w:id="172" w:name="_Hlt88823209"/>
      <w:bookmarkEnd w:id="172"/>
      <w:r w:rsidRPr="00EC3B16">
        <w:rPr>
          <w:rFonts w:ascii="宋体" w:hAnsi="宋体"/>
          <w:bCs/>
          <w:sz w:val="24"/>
          <w:lang w:eastAsia="zh-CN"/>
        </w:rPr>
        <w:t>的备案条件，《基金合同》不能生效，基金管理人承担全部募集费用，将已募集资金并加计银行同期活期存款利息在基金募集期结束后30日内退还基金认购人；</w:t>
      </w:r>
    </w:p>
    <w:p w14:paraId="15C6A7A0"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（25）执行生效的基金份额持有人大会的决议；</w:t>
      </w:r>
    </w:p>
    <w:p w14:paraId="01197381"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（26）建立并保存基金份额持有人名册；</w:t>
      </w:r>
    </w:p>
    <w:p w14:paraId="4870CF30"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（27）法律法规及中国证监会规定的和《基金合同》约定的其他义务。</w:t>
      </w:r>
    </w:p>
    <w:p w14:paraId="2AC94E8A" w14:textId="77777777" w:rsidR="004154D1" w:rsidRPr="00EC3B16" w:rsidRDefault="004154D1" w:rsidP="009D49B9">
      <w:pPr>
        <w:spacing w:line="360" w:lineRule="auto"/>
        <w:ind w:firstLine="480"/>
        <w:jc w:val="both"/>
        <w:rPr>
          <w:rFonts w:ascii="宋体" w:hAnsi="宋体"/>
          <w:bCs/>
          <w:sz w:val="24"/>
          <w:lang w:eastAsia="zh-CN"/>
        </w:rPr>
      </w:pPr>
      <w:bookmarkStart w:id="173" w:name="_Toc79392581"/>
      <w:bookmarkStart w:id="174" w:name="_Toc57530240"/>
      <w:bookmarkStart w:id="175" w:name="_Toc15118238"/>
      <w:r w:rsidRPr="00EC3B16">
        <w:rPr>
          <w:rFonts w:ascii="宋体" w:hAnsi="宋体"/>
          <w:bCs/>
          <w:sz w:val="24"/>
          <w:lang w:eastAsia="zh-CN"/>
        </w:rPr>
        <w:t>二、基金托管人</w:t>
      </w:r>
      <w:bookmarkEnd w:id="170"/>
      <w:bookmarkEnd w:id="173"/>
      <w:bookmarkEnd w:id="174"/>
      <w:bookmarkEnd w:id="175"/>
    </w:p>
    <w:p w14:paraId="07D6CADE" w14:textId="77777777" w:rsidR="004154D1" w:rsidRPr="00EC3B16" w:rsidRDefault="004154D1" w:rsidP="009D49B9">
      <w:pPr>
        <w:spacing w:line="360" w:lineRule="auto"/>
        <w:ind w:firstLine="480"/>
        <w:jc w:val="both"/>
        <w:rPr>
          <w:rFonts w:ascii="宋体" w:hAnsi="宋体"/>
          <w:bCs/>
          <w:sz w:val="24"/>
          <w:lang w:eastAsia="zh-CN"/>
        </w:rPr>
      </w:pPr>
      <w:bookmarkStart w:id="176" w:name="_Toc15118239"/>
      <w:r w:rsidRPr="00EC3B16">
        <w:rPr>
          <w:rFonts w:ascii="宋体" w:hAnsi="宋体"/>
          <w:bCs/>
          <w:sz w:val="24"/>
          <w:lang w:eastAsia="zh-CN"/>
        </w:rPr>
        <w:t>（一）基金托管人简况</w:t>
      </w:r>
      <w:bookmarkEnd w:id="176"/>
    </w:p>
    <w:p w14:paraId="56316C1B"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名称：</w:t>
      </w:r>
      <w:r w:rsidR="00283999" w:rsidRPr="00283999">
        <w:rPr>
          <w:rFonts w:ascii="宋体" w:hAnsi="宋体" w:hint="eastAsia"/>
          <w:bCs/>
          <w:sz w:val="24"/>
          <w:lang w:eastAsia="zh-CN"/>
        </w:rPr>
        <w:t>上海浦东发展银行股份有限公司</w:t>
      </w:r>
    </w:p>
    <w:p w14:paraId="410D304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住所：</w:t>
      </w:r>
      <w:r w:rsidR="00283999" w:rsidRPr="00283999">
        <w:rPr>
          <w:rFonts w:ascii="宋体" w:hAnsi="宋体" w:hint="eastAsia"/>
          <w:bCs/>
          <w:sz w:val="24"/>
          <w:lang w:eastAsia="zh-CN"/>
        </w:rPr>
        <w:t>上海市中山东一路12号</w:t>
      </w:r>
    </w:p>
    <w:p w14:paraId="320135C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法定代表人：</w:t>
      </w:r>
      <w:r w:rsidR="00283999" w:rsidRPr="00283999">
        <w:rPr>
          <w:rFonts w:ascii="宋体" w:hAnsi="宋体" w:hint="eastAsia"/>
          <w:bCs/>
          <w:sz w:val="24"/>
          <w:lang w:eastAsia="zh-CN"/>
        </w:rPr>
        <w:t>郑杨</w:t>
      </w:r>
    </w:p>
    <w:p w14:paraId="73782EE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成立日期：</w:t>
      </w:r>
      <w:r w:rsidR="00283999" w:rsidRPr="00283999">
        <w:rPr>
          <w:rFonts w:ascii="宋体" w:hAnsi="宋体" w:hint="eastAsia"/>
          <w:bCs/>
          <w:sz w:val="24"/>
          <w:lang w:eastAsia="zh-CN"/>
        </w:rPr>
        <w:t>1992年10月19日</w:t>
      </w:r>
    </w:p>
    <w:p w14:paraId="64ABAB61"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批准设立机关和批准设立文号：</w:t>
      </w:r>
      <w:r w:rsidR="00283999" w:rsidRPr="00283999">
        <w:rPr>
          <w:rFonts w:ascii="宋体" w:hAnsi="宋体" w:hint="eastAsia"/>
          <w:bCs/>
          <w:sz w:val="24"/>
          <w:lang w:eastAsia="zh-CN"/>
        </w:rPr>
        <w:t>中国人民银行银复1992（601）号</w:t>
      </w:r>
    </w:p>
    <w:p w14:paraId="28DA9E41"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组织形式：</w:t>
      </w:r>
      <w:r w:rsidR="00283999" w:rsidRPr="00283999">
        <w:rPr>
          <w:rFonts w:ascii="宋体" w:hAnsi="宋体" w:hint="eastAsia"/>
          <w:bCs/>
          <w:sz w:val="24"/>
          <w:lang w:eastAsia="zh-CN"/>
        </w:rPr>
        <w:t>股份有限公司（上市）</w:t>
      </w:r>
    </w:p>
    <w:p w14:paraId="65F5DA4F"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注册资本：</w:t>
      </w:r>
      <w:r w:rsidR="00283999" w:rsidRPr="00283999">
        <w:rPr>
          <w:rFonts w:ascii="宋体" w:hAnsi="宋体" w:hint="eastAsia"/>
          <w:bCs/>
          <w:sz w:val="24"/>
          <w:lang w:eastAsia="zh-CN"/>
        </w:rPr>
        <w:t>293.52亿元人民币</w:t>
      </w:r>
    </w:p>
    <w:p w14:paraId="23C4F97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存续期间：</w:t>
      </w:r>
      <w:r w:rsidR="00082147" w:rsidRPr="00082147">
        <w:rPr>
          <w:rFonts w:ascii="宋体" w:hAnsi="宋体" w:hint="eastAsia"/>
          <w:bCs/>
          <w:sz w:val="24"/>
          <w:lang w:eastAsia="zh-CN"/>
        </w:rPr>
        <w:t>永久存续</w:t>
      </w:r>
    </w:p>
    <w:p w14:paraId="56A3323B"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基金托管资格批文及文号：</w:t>
      </w:r>
      <w:r w:rsidR="00283999" w:rsidRPr="00283999">
        <w:rPr>
          <w:rFonts w:ascii="宋体" w:hAnsi="宋体" w:hint="eastAsia"/>
          <w:bCs/>
          <w:sz w:val="24"/>
          <w:lang w:eastAsia="zh-CN"/>
        </w:rPr>
        <w:t>中国证监会证监基金字[2003]105号</w:t>
      </w:r>
    </w:p>
    <w:p w14:paraId="4DCADFC5" w14:textId="77777777" w:rsidR="004154D1" w:rsidRPr="00EC3B16" w:rsidRDefault="004154D1" w:rsidP="009D49B9">
      <w:pPr>
        <w:spacing w:line="360" w:lineRule="auto"/>
        <w:ind w:firstLine="480"/>
        <w:jc w:val="both"/>
        <w:rPr>
          <w:rFonts w:ascii="宋体" w:hAnsi="宋体"/>
          <w:bCs/>
          <w:sz w:val="24"/>
          <w:lang w:eastAsia="zh-CN"/>
        </w:rPr>
      </w:pPr>
      <w:bookmarkStart w:id="177" w:name="_Toc15118240"/>
      <w:r w:rsidRPr="00EC3B16">
        <w:rPr>
          <w:rFonts w:ascii="宋体" w:hAnsi="宋体"/>
          <w:bCs/>
          <w:sz w:val="24"/>
          <w:lang w:eastAsia="zh-CN"/>
        </w:rPr>
        <w:t>（二）基金托管人的权利与义务</w:t>
      </w:r>
      <w:bookmarkEnd w:id="177"/>
    </w:p>
    <w:p w14:paraId="7AF7565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1、根据《基金法》、《运作办法》及其他有关规定，基金托管人的权利包括但不限于：</w:t>
      </w:r>
    </w:p>
    <w:p w14:paraId="7DB8364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（1）自《基金合同》生效之日起，依《基金合同》的</w:t>
      </w:r>
      <w:r w:rsidRPr="00EC3B16">
        <w:rPr>
          <w:rFonts w:ascii="宋体" w:hAnsi="宋体" w:hint="eastAsia"/>
          <w:bCs/>
          <w:sz w:val="24"/>
          <w:lang w:eastAsia="zh-CN"/>
        </w:rPr>
        <w:t>约</w:t>
      </w:r>
      <w:r w:rsidRPr="00EC3B16">
        <w:rPr>
          <w:rFonts w:ascii="宋体" w:hAnsi="宋体"/>
          <w:bCs/>
          <w:sz w:val="24"/>
          <w:lang w:eastAsia="zh-CN"/>
        </w:rPr>
        <w:t>定安全保管基金财产；</w:t>
      </w:r>
    </w:p>
    <w:p w14:paraId="1F07003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（2）依《基金合同》约定</w:t>
      </w:r>
      <w:r w:rsidRPr="00EC3B16">
        <w:rPr>
          <w:rFonts w:ascii="宋体" w:hAnsi="宋体" w:hint="eastAsia"/>
          <w:bCs/>
          <w:sz w:val="24"/>
          <w:lang w:eastAsia="zh-CN"/>
        </w:rPr>
        <w:t>及时、足额</w:t>
      </w:r>
      <w:r w:rsidRPr="00EC3B16">
        <w:rPr>
          <w:rFonts w:ascii="宋体" w:hAnsi="宋体"/>
          <w:bCs/>
          <w:sz w:val="24"/>
          <w:lang w:eastAsia="zh-CN"/>
        </w:rPr>
        <w:t>获得基金托管费以及法律法规规定或监管部门批准的其他费用；</w:t>
      </w:r>
    </w:p>
    <w:p w14:paraId="6A9FD6E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监督基金管理人对本基金的投资运作，如发现基金管理人有违反《基金合同》及国家法律法规行为，对基金财产、其他当事人的利益造成重大损失的情形，有权呈报中国证监会，并采取必要措施保护基金投资者的利益；</w:t>
      </w:r>
    </w:p>
    <w:p w14:paraId="110554F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（4）根据相关市场规则，</w:t>
      </w:r>
      <w:r w:rsidRPr="00EC3B16">
        <w:rPr>
          <w:rFonts w:ascii="宋体" w:hAnsi="宋体" w:hint="eastAsia"/>
          <w:bCs/>
          <w:sz w:val="24"/>
          <w:lang w:eastAsia="zh-CN"/>
        </w:rPr>
        <w:t>协助管理人</w:t>
      </w:r>
      <w:r w:rsidRPr="00EC3B16">
        <w:rPr>
          <w:rFonts w:ascii="宋体" w:hAnsi="宋体"/>
          <w:bCs/>
          <w:sz w:val="24"/>
          <w:lang w:eastAsia="zh-CN"/>
        </w:rPr>
        <w:t>为基金开设资金账户、证券账户等投资所需账户，为基金办理证券/期货交易资金清算；</w:t>
      </w:r>
    </w:p>
    <w:p w14:paraId="1499157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（5）提议召开或召集基金份额持有人大会；</w:t>
      </w:r>
    </w:p>
    <w:p w14:paraId="4FD8731B"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（6）在基金管理人更换时，提名新的基金管理人；</w:t>
      </w:r>
    </w:p>
    <w:p w14:paraId="3DC4B19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（7）法律法规及中国证监会规定的和《基金合同》约定的其他权利。</w:t>
      </w:r>
    </w:p>
    <w:p w14:paraId="3DDDE571"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2、根据《基金法》、《运作办法》及其他有关规定，基金托管人的义务包括但不限于：</w:t>
      </w:r>
    </w:p>
    <w:p w14:paraId="04B7F5FF"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（1）以诚实信用、勤勉尽责的原则持有并安全保管基金财产；</w:t>
      </w:r>
    </w:p>
    <w:p w14:paraId="2064F83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（2）设立专门的基金托管部门，具有符合要求的营业场所，配备足够的、合格的熟悉基金托管业务的专职人员，负责基金财产托管事宜；</w:t>
      </w:r>
    </w:p>
    <w:p w14:paraId="5C93929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46AF28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（4）除依据《基金法》、《基金合同》及其他有关规定外，不得利用基金财产为自己及任何第三人谋取利益，不得委托第三人托管基金财产；</w:t>
      </w:r>
    </w:p>
    <w:p w14:paraId="35E64EA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（5）保管由基金管理人代表基金签订的与基金有关的重大合同及有关凭证；</w:t>
      </w:r>
    </w:p>
    <w:p w14:paraId="5F6425F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（6）按规定</w:t>
      </w:r>
      <w:r w:rsidRPr="00EC3B16">
        <w:rPr>
          <w:rFonts w:ascii="宋体" w:hAnsi="宋体" w:hint="eastAsia"/>
          <w:bCs/>
          <w:sz w:val="24"/>
          <w:lang w:eastAsia="zh-CN"/>
        </w:rPr>
        <w:t>协助管理人</w:t>
      </w:r>
      <w:r w:rsidRPr="00EC3B16">
        <w:rPr>
          <w:rFonts w:ascii="宋体" w:hAnsi="宋体"/>
          <w:bCs/>
          <w:sz w:val="24"/>
          <w:lang w:eastAsia="zh-CN"/>
        </w:rPr>
        <w:t>开设基金财产的资金账户、证券账户等投资所需账户，按照《基金合同》的约定，根据基金管理人的投资指令，及时办理清算、交割事宜；</w:t>
      </w:r>
    </w:p>
    <w:p w14:paraId="2010A77B"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（7）保守基金商业秘密，除法律法规及《基金法》、《基金合同》及其他有关规定另有规定</w:t>
      </w:r>
      <w:r w:rsidRPr="00EC3B16">
        <w:rPr>
          <w:rFonts w:ascii="宋体" w:hAnsi="宋体" w:hint="eastAsia"/>
          <w:bCs/>
          <w:sz w:val="24"/>
          <w:lang w:eastAsia="zh-CN"/>
        </w:rPr>
        <w:t>外，</w:t>
      </w:r>
      <w:r w:rsidRPr="00EC3B16">
        <w:rPr>
          <w:rFonts w:ascii="宋体" w:hAnsi="宋体"/>
          <w:bCs/>
          <w:sz w:val="24"/>
          <w:lang w:eastAsia="zh-CN"/>
        </w:rPr>
        <w:t>在基金信息公开披露前予以保密，不得向他人泄露</w:t>
      </w:r>
      <w:r w:rsidRPr="00EC3B16">
        <w:rPr>
          <w:rFonts w:ascii="宋体" w:hAnsi="宋体" w:hint="eastAsia"/>
          <w:bCs/>
          <w:sz w:val="24"/>
          <w:lang w:eastAsia="zh-CN"/>
        </w:rPr>
        <w:t>，但应监管机构、司法机关等有权机关的要求提供，或因审计、法律等外部专业顾问提供服务需要提供，或因基金托管人上市的证券交易所要求披露的情况除外</w:t>
      </w:r>
      <w:r w:rsidRPr="00EC3B16">
        <w:rPr>
          <w:rFonts w:ascii="宋体" w:hAnsi="宋体"/>
          <w:bCs/>
          <w:sz w:val="24"/>
          <w:lang w:eastAsia="zh-CN"/>
        </w:rPr>
        <w:t>；</w:t>
      </w:r>
    </w:p>
    <w:p w14:paraId="39F5E91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（8）复核、审查基金管理人计算的基金资产净值、各类基金份额净值、基金份额申购、赎回价格；</w:t>
      </w:r>
    </w:p>
    <w:p w14:paraId="29FC9F5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（9）办理与基金托管业务活动有关的信息披露事项；</w:t>
      </w:r>
    </w:p>
    <w:p w14:paraId="5B79304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33E210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（11）保存基金托管业务活动的记录、账册、报表和其他相关资料，保存时间不低于法律法规规定的最低期限；</w:t>
      </w:r>
    </w:p>
    <w:p w14:paraId="118618CF"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（12）</w:t>
      </w:r>
      <w:r w:rsidRPr="00EC3B16">
        <w:rPr>
          <w:rFonts w:ascii="宋体" w:hAnsi="宋体" w:hint="eastAsia"/>
          <w:bCs/>
          <w:sz w:val="24"/>
          <w:lang w:eastAsia="zh-CN"/>
        </w:rPr>
        <w:t>从基金管理人或其委托的登记机构处接收</w:t>
      </w:r>
      <w:r w:rsidRPr="00EC3B16">
        <w:rPr>
          <w:rFonts w:ascii="宋体" w:hAnsi="宋体"/>
          <w:bCs/>
          <w:sz w:val="24"/>
          <w:lang w:eastAsia="zh-CN"/>
        </w:rPr>
        <w:t>并保存基金份额持有人名册；</w:t>
      </w:r>
    </w:p>
    <w:p w14:paraId="60727C10"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（13）按规定制作相关账册并与基金管理人核对；</w:t>
      </w:r>
    </w:p>
    <w:p w14:paraId="230E5AD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（14）依据基金管理人的指令或有关规定向基金份额持有人支付基金收益和赎回款项；</w:t>
      </w:r>
    </w:p>
    <w:p w14:paraId="78C09D1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（15）依据《基金法》、《基金合同》及其他有关规定，召集基金份额持有人大会或配合基金管理人、基金份额持有人依法召集基金份额持有人大会；</w:t>
      </w:r>
    </w:p>
    <w:p w14:paraId="105735C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（16）按照《基金合同》的规定监督基金管理人的投资运作；</w:t>
      </w:r>
    </w:p>
    <w:p w14:paraId="7CB7C70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（17）参加基金财产清算小组，参与基金财产的保管、清理、估价、变现和分配；</w:t>
      </w:r>
    </w:p>
    <w:p w14:paraId="315B0AF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（18）面临解散、依法被撤销或者被依法宣告破产时，及时报告中国证监会和银行业监督管理机构，并通知基金管理人；</w:t>
      </w:r>
    </w:p>
    <w:p w14:paraId="0CBFB0C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（19）因违反《基金合同》导致基金财产损失时，应承担赔偿责任，其赔偿责任不因其退任而免除；</w:t>
      </w:r>
    </w:p>
    <w:p w14:paraId="30ED3AA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（20）基金管理人因违反《基金合同》造成基金财产损失时，</w:t>
      </w:r>
      <w:r w:rsidRPr="00EC3B16">
        <w:rPr>
          <w:rFonts w:ascii="宋体" w:hAnsi="宋体" w:hint="eastAsia"/>
          <w:bCs/>
          <w:sz w:val="24"/>
          <w:lang w:eastAsia="zh-CN"/>
        </w:rPr>
        <w:t>有权</w:t>
      </w:r>
      <w:r w:rsidRPr="00EC3B16">
        <w:rPr>
          <w:rFonts w:ascii="宋体" w:hAnsi="宋体"/>
          <w:bCs/>
          <w:sz w:val="24"/>
          <w:lang w:eastAsia="zh-CN"/>
        </w:rPr>
        <w:t>为基金份额持有人利益向基金管理人追偿</w:t>
      </w:r>
      <w:bookmarkStart w:id="178" w:name="_Hlt88825668"/>
      <w:bookmarkEnd w:id="178"/>
      <w:r w:rsidRPr="00EC3B16">
        <w:rPr>
          <w:rFonts w:ascii="宋体" w:hAnsi="宋体"/>
          <w:bCs/>
          <w:sz w:val="24"/>
          <w:lang w:eastAsia="zh-CN"/>
        </w:rPr>
        <w:t>；</w:t>
      </w:r>
    </w:p>
    <w:p w14:paraId="17EFDE4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（21）执行生效的基金份额持有人大会的决议；</w:t>
      </w:r>
    </w:p>
    <w:p w14:paraId="682F19D0"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（22）</w:t>
      </w:r>
      <w:bookmarkStart w:id="179" w:name="_Toc523711670"/>
      <w:r w:rsidRPr="00EC3B16">
        <w:rPr>
          <w:rFonts w:ascii="宋体" w:hAnsi="宋体"/>
          <w:bCs/>
          <w:sz w:val="24"/>
          <w:lang w:eastAsia="zh-CN"/>
        </w:rPr>
        <w:t>法律法规及中国证监会规定的和《基金合同》约定的其他义务。</w:t>
      </w:r>
    </w:p>
    <w:p w14:paraId="71FE4076" w14:textId="77777777" w:rsidR="004154D1" w:rsidRPr="00EC3B16" w:rsidRDefault="004154D1" w:rsidP="009D49B9">
      <w:pPr>
        <w:spacing w:line="360" w:lineRule="auto"/>
        <w:ind w:firstLine="480"/>
        <w:jc w:val="both"/>
        <w:rPr>
          <w:rFonts w:ascii="宋体" w:hAnsi="宋体"/>
          <w:bCs/>
          <w:sz w:val="24"/>
          <w:lang w:eastAsia="zh-CN"/>
        </w:rPr>
      </w:pPr>
      <w:bookmarkStart w:id="180" w:name="_Toc79392582"/>
      <w:bookmarkEnd w:id="179"/>
      <w:r w:rsidRPr="00EC3B16">
        <w:rPr>
          <w:rFonts w:ascii="宋体" w:hAnsi="宋体"/>
          <w:bCs/>
          <w:sz w:val="24"/>
          <w:lang w:eastAsia="zh-CN"/>
        </w:rPr>
        <w:t>三、基金份额持有人</w:t>
      </w:r>
      <w:bookmarkEnd w:id="180"/>
    </w:p>
    <w:p w14:paraId="41FBF16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基金投资者持有本基金</w:t>
      </w:r>
      <w:bookmarkStart w:id="181" w:name="_Hlt88899909"/>
      <w:bookmarkEnd w:id="181"/>
      <w:r w:rsidRPr="00EC3B16">
        <w:rPr>
          <w:rFonts w:ascii="宋体" w:hAnsi="宋体"/>
          <w:bCs/>
          <w:sz w:val="24"/>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9687359"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同一类别每份基金份额具有同等的合法权益。</w:t>
      </w:r>
    </w:p>
    <w:p w14:paraId="371E1E5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1、根据《基金法》、《运作办法》及其他有关规定，基金份额持有人的权利包括但不限于：</w:t>
      </w:r>
    </w:p>
    <w:p w14:paraId="197F812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（1）分享基金财产收益；</w:t>
      </w:r>
    </w:p>
    <w:p w14:paraId="4B8B2EF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（2）参与分配清算后的剩余基金财产；</w:t>
      </w:r>
      <w:bookmarkStart w:id="182" w:name="_Hlt88825574"/>
      <w:bookmarkEnd w:id="182"/>
    </w:p>
    <w:p w14:paraId="35961D4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（3）依法转让或者申请赎回其持有的基金份额；</w:t>
      </w:r>
    </w:p>
    <w:p w14:paraId="5AEE6C0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（4）按照规定要求召开基金份额持有人大会或者召集基金份额持有人大会；</w:t>
      </w:r>
    </w:p>
    <w:p w14:paraId="07B2778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（5）出席或者委派代表出席基金份额持有人大会，对基金份额持有人大会审议事项行使表决权；</w:t>
      </w:r>
    </w:p>
    <w:p w14:paraId="64A1022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（6）查阅或者复制公开披露的基金信息资料；</w:t>
      </w:r>
    </w:p>
    <w:p w14:paraId="0FDBCF1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（7）监督基金管理人的投资运作；</w:t>
      </w:r>
    </w:p>
    <w:p w14:paraId="7EA5293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（8）对基金管理人、基金托管人、基金服务机构损害其合法权益的行为依法提起诉讼或仲裁；</w:t>
      </w:r>
    </w:p>
    <w:p w14:paraId="212AAD6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（9）法律法规及中国证监会规定的和《基金合同》约定的其他权利。</w:t>
      </w:r>
    </w:p>
    <w:p w14:paraId="7D4ADF1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2、根据《基金法》、《运作办法》及其他有关规定，基金份额持有人的义务包括但不限于：</w:t>
      </w:r>
    </w:p>
    <w:p w14:paraId="3C5E838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（1）认真阅读并遵守《基金合同》、招募说明书及基金产品资料概要等信息披露文件；</w:t>
      </w:r>
    </w:p>
    <w:p w14:paraId="10E88ED0"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（2）了解所投资基金产品，了解自身风险承受能力，自主判断基金的投资价值，自主做出投资决策，自行承担投资风险；</w:t>
      </w:r>
    </w:p>
    <w:p w14:paraId="44BB80F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（3）关注基金信息披露，及时行使权利和履行义务；</w:t>
      </w:r>
    </w:p>
    <w:p w14:paraId="684EDDB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（4）交纳基金认购、申购款项及法律法规和《基金合同》所规定的费用；</w:t>
      </w:r>
    </w:p>
    <w:p w14:paraId="349D985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（5）在其持有的基金份额范围内，承担基金亏损或者《基金合同》终止的有限责任；</w:t>
      </w:r>
    </w:p>
    <w:p w14:paraId="1CEA250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（6）不从事任何有损基金及其他《基金合同》当事人合法权益的活动；</w:t>
      </w:r>
    </w:p>
    <w:p w14:paraId="5D9BA58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（7）执行生效的基金份额持有人大会的决议；</w:t>
      </w:r>
    </w:p>
    <w:p w14:paraId="372A356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（8）返还在基金交易过程中因任何原因获得的不当得利；</w:t>
      </w:r>
    </w:p>
    <w:p w14:paraId="694EEEC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（9）发起资金提供方持有认购的基金份额不少于3年，法律法规或监管机构另有规定的，从其规定；</w:t>
      </w:r>
    </w:p>
    <w:p w14:paraId="142B4401"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（10）法律法规及中国证监会规定的和《基金合同》约定的其他义务。</w:t>
      </w:r>
    </w:p>
    <w:p w14:paraId="5ADC8991" w14:textId="77777777" w:rsidR="009D49B9" w:rsidRPr="00EC3B16" w:rsidRDefault="009D49B9" w:rsidP="009D49B9">
      <w:pPr>
        <w:spacing w:line="360" w:lineRule="auto"/>
        <w:ind w:firstLine="480"/>
        <w:jc w:val="both"/>
        <w:rPr>
          <w:rFonts w:ascii="宋体" w:hAnsi="宋体"/>
          <w:bCs/>
          <w:sz w:val="24"/>
          <w:lang w:eastAsia="zh-CN"/>
        </w:rPr>
      </w:pPr>
    </w:p>
    <w:p w14:paraId="59966A26" w14:textId="77777777" w:rsidR="004154D1" w:rsidRPr="00EC3B16" w:rsidRDefault="004154D1">
      <w:pPr>
        <w:pStyle w:val="1"/>
        <w:spacing w:before="0" w:after="0"/>
        <w:jc w:val="center"/>
        <w:rPr>
          <w:rFonts w:hAnsi="宋体"/>
          <w:sz w:val="30"/>
          <w:lang w:eastAsia="zh-CN"/>
        </w:rPr>
      </w:pPr>
      <w:r w:rsidRPr="00EC3B16">
        <w:rPr>
          <w:rFonts w:hAnsi="宋体"/>
          <w:b w:val="0"/>
          <w:bCs/>
          <w:lang w:eastAsia="zh-CN"/>
        </w:rPr>
        <w:br w:type="page"/>
      </w:r>
      <w:bookmarkStart w:id="183" w:name="_Toc447270831"/>
      <w:bookmarkStart w:id="184" w:name="_Toc79392583"/>
      <w:bookmarkStart w:id="185" w:name="_Toc6447"/>
      <w:bookmarkStart w:id="186" w:name="_Toc10650"/>
      <w:bookmarkStart w:id="187" w:name="_Toc98560354"/>
      <w:bookmarkStart w:id="188" w:name="_Toc25783"/>
      <w:bookmarkStart w:id="189" w:name="_Toc3771"/>
      <w:bookmarkStart w:id="190" w:name="_Toc18567"/>
      <w:bookmarkStart w:id="191" w:name="_Toc123051454"/>
      <w:bookmarkStart w:id="192" w:name="_Toc123102455"/>
      <w:bookmarkStart w:id="193" w:name="_Toc123112236"/>
      <w:bookmarkStart w:id="194" w:name="_Toc9706"/>
      <w:bookmarkStart w:id="195" w:name="_Toc139991738"/>
      <w:bookmarkStart w:id="196" w:name="_Toc3321"/>
      <w:bookmarkStart w:id="197" w:name="_Toc141703888"/>
      <w:bookmarkStart w:id="198" w:name="_Toc11030"/>
      <w:bookmarkStart w:id="199" w:name="_Toc20768"/>
      <w:bookmarkStart w:id="200" w:name="_Toc4559"/>
      <w:bookmarkStart w:id="201" w:name="_Toc7058"/>
      <w:bookmarkStart w:id="202" w:name="_Toc132016788"/>
      <w:bookmarkStart w:id="203" w:name="_Hlk73621702"/>
      <w:bookmarkEnd w:id="159"/>
      <w:r w:rsidRPr="00EC3B16">
        <w:rPr>
          <w:rFonts w:hAnsi="宋体"/>
          <w:sz w:val="30"/>
          <w:lang w:eastAsia="zh-CN"/>
        </w:rPr>
        <w:lastRenderedPageBreak/>
        <w:t>第八部分</w:t>
      </w:r>
      <w:r w:rsidRPr="00EC3B16">
        <w:rPr>
          <w:rFonts w:hAnsi="宋体" w:hint="eastAsia"/>
          <w:sz w:val="30"/>
          <w:lang w:eastAsia="zh-CN"/>
        </w:rPr>
        <w:t xml:space="preserve"> </w:t>
      </w:r>
      <w:r w:rsidRPr="00EC3B16">
        <w:rPr>
          <w:rFonts w:hAnsi="宋体"/>
          <w:sz w:val="30"/>
          <w:lang w:eastAsia="zh-CN"/>
        </w:rPr>
        <w:t xml:space="preserve"> 基金份额持有人大会</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7A7311E9" w14:textId="77777777" w:rsidR="004154D1" w:rsidRPr="00EC3B16" w:rsidRDefault="004154D1" w:rsidP="009D49B9">
      <w:pPr>
        <w:spacing w:line="360" w:lineRule="auto"/>
        <w:ind w:firstLine="480"/>
        <w:jc w:val="both"/>
        <w:rPr>
          <w:rFonts w:ascii="宋体" w:hAnsi="宋体"/>
          <w:bCs/>
          <w:sz w:val="24"/>
          <w:lang w:eastAsia="zh-CN"/>
        </w:rPr>
      </w:pPr>
    </w:p>
    <w:p w14:paraId="2B831D3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基金份额持有人大会由基金份额持有人组成，基金份额持有人的合法授权代表有权代表基金份额持有人出席会议并表决。基金份额持有人持有的每一基金份额拥有平等的投票权。</w:t>
      </w:r>
    </w:p>
    <w:p w14:paraId="6005A84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本基金份额持有人大会不设日常机构。</w:t>
      </w:r>
    </w:p>
    <w:p w14:paraId="54152340" w14:textId="77777777" w:rsidR="004154D1" w:rsidRPr="00EC3B16" w:rsidRDefault="004154D1" w:rsidP="009D49B9">
      <w:pPr>
        <w:spacing w:line="360" w:lineRule="auto"/>
        <w:ind w:firstLine="480"/>
        <w:jc w:val="both"/>
        <w:rPr>
          <w:rFonts w:ascii="宋体" w:hAnsi="宋体"/>
          <w:bCs/>
          <w:sz w:val="24"/>
          <w:lang w:eastAsia="zh-CN"/>
        </w:rPr>
      </w:pPr>
      <w:bookmarkStart w:id="204" w:name="_Toc57530243"/>
      <w:bookmarkStart w:id="205" w:name="_Toc79392584"/>
      <w:bookmarkStart w:id="206" w:name="_Toc15641220"/>
      <w:r w:rsidRPr="00EC3B16">
        <w:rPr>
          <w:rFonts w:ascii="宋体" w:hAnsi="宋体"/>
          <w:bCs/>
          <w:sz w:val="24"/>
          <w:lang w:eastAsia="zh-CN"/>
        </w:rPr>
        <w:t>一、召开事由</w:t>
      </w:r>
      <w:bookmarkEnd w:id="204"/>
      <w:bookmarkEnd w:id="205"/>
      <w:bookmarkEnd w:id="206"/>
    </w:p>
    <w:p w14:paraId="49F6335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w:t>
      </w:r>
      <w:r w:rsidRPr="00EC3B16">
        <w:rPr>
          <w:rFonts w:ascii="宋体" w:hAnsi="宋体" w:hint="eastAsia"/>
          <w:bCs/>
          <w:sz w:val="24"/>
          <w:lang w:eastAsia="zh-CN"/>
        </w:rPr>
        <w:t>除法律法规和中国证监会另有规定或《基金合同》另有约定外，</w:t>
      </w:r>
      <w:r w:rsidRPr="00EC3B16">
        <w:rPr>
          <w:rFonts w:ascii="宋体" w:hAnsi="宋体"/>
          <w:bCs/>
          <w:sz w:val="24"/>
          <w:lang w:eastAsia="zh-CN"/>
        </w:rPr>
        <w:t>当出现或需要决定下列事由之一的，应当召开基金份额持有人大会：</w:t>
      </w:r>
    </w:p>
    <w:p w14:paraId="051BF8A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（1）终止《基金合同》；</w:t>
      </w:r>
    </w:p>
    <w:p w14:paraId="1D1E0D89"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（2）更换基金管理人；</w:t>
      </w:r>
    </w:p>
    <w:p w14:paraId="24F9FA7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（3）更换基金托管人；</w:t>
      </w:r>
    </w:p>
    <w:p w14:paraId="250A7BD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（4）转换基金运作方式；</w:t>
      </w:r>
    </w:p>
    <w:p w14:paraId="1E3D2A4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（5）</w:t>
      </w:r>
      <w:r w:rsidRPr="00EC3B16">
        <w:rPr>
          <w:rFonts w:ascii="宋体" w:hAnsi="宋体" w:hint="eastAsia"/>
          <w:bCs/>
          <w:sz w:val="24"/>
          <w:lang w:eastAsia="zh-CN"/>
        </w:rPr>
        <w:t>提高</w:t>
      </w:r>
      <w:r w:rsidRPr="00EC3B16">
        <w:rPr>
          <w:rFonts w:ascii="宋体" w:hAnsi="宋体"/>
          <w:bCs/>
          <w:sz w:val="24"/>
          <w:lang w:eastAsia="zh-CN"/>
        </w:rPr>
        <w:t>基金管理人、基金托管人的报酬标准或提高销售服务费；</w:t>
      </w:r>
    </w:p>
    <w:p w14:paraId="2B8B39A9"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（6）变更基金类别；</w:t>
      </w:r>
    </w:p>
    <w:p w14:paraId="172FE2C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（7）本基金与其他基金的合并；</w:t>
      </w:r>
    </w:p>
    <w:p w14:paraId="231B0891"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（8）变更基金投资目标、范围或策略；</w:t>
      </w:r>
    </w:p>
    <w:p w14:paraId="5F245F3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（9）变更基金份额持有人大会程序；</w:t>
      </w:r>
    </w:p>
    <w:p w14:paraId="1165B83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（10）基金管理人或基金托管人要求召开基金份额持有人大会；</w:t>
      </w:r>
    </w:p>
    <w:p w14:paraId="0658094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（11）单独或合计持有本基金总份额10%以上（含10%）基金份额的基金份额持有人（以基金管理人收到提议当日的基金份额计算，下同）就同一事项书面要求召开基金份额持有人大会；</w:t>
      </w:r>
    </w:p>
    <w:p w14:paraId="7A684AE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（12）对基金合同当事人权利和义务产生重大影响的其他事项；</w:t>
      </w:r>
    </w:p>
    <w:p w14:paraId="0E0E2131"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（13）法律法规、《基金合同》或中国证监会规定的其他应当召开基金份额持有人大会的事项。</w:t>
      </w:r>
    </w:p>
    <w:p w14:paraId="4F1BFAC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2、在法律法规规定和《基金合同》约定的范围内且在对基金份额持有人利益无实质性不利影响的前提下，以下情况可由基金管理人和基金托管人协商后修改，不需召开基金份额持有人大会：</w:t>
      </w:r>
    </w:p>
    <w:p w14:paraId="7F70F4B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（1）法律法规要求增加的基金费用的收取；</w:t>
      </w:r>
    </w:p>
    <w:p w14:paraId="2B6A034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（2）调整本基金的申购费率、调低销售服务费或降低赎回费、变更收费方式；</w:t>
      </w:r>
    </w:p>
    <w:p w14:paraId="1D0D7891"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（3）停止现有基金份额类别的销售、调整现有基金份额类别的费率水平、或者增加新的基金份额类别等；</w:t>
      </w:r>
    </w:p>
    <w:p w14:paraId="28D7131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（4）基金管理人、登记机构、基金销售机构调整有关基金认购、申购、赎回、转换、非交易过户、转托管等业务规则；</w:t>
      </w:r>
    </w:p>
    <w:p w14:paraId="5E05217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（5）基金推出新业务或服务；</w:t>
      </w:r>
    </w:p>
    <w:p w14:paraId="05E1BB9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（6）因相应的法律法规发生变动而应当对《基金合同》进行修改；</w:t>
      </w:r>
    </w:p>
    <w:p w14:paraId="3FE60571"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（7）对《基金合同》的修改对基金份额持有人利益无实质性不利影响或修改不涉及《基金合同》当事人权利义务关系发生重大变化；</w:t>
      </w:r>
    </w:p>
    <w:p w14:paraId="766B905F"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（8）按照法律法规和《基金合同》规定不需召开基金份额持有人大会的其他情形。</w:t>
      </w:r>
    </w:p>
    <w:p w14:paraId="178E81ED" w14:textId="77777777" w:rsidR="004154D1" w:rsidRPr="00EC3B16" w:rsidRDefault="004154D1" w:rsidP="009D49B9">
      <w:pPr>
        <w:spacing w:line="360" w:lineRule="auto"/>
        <w:ind w:firstLine="480"/>
        <w:jc w:val="both"/>
        <w:rPr>
          <w:rFonts w:ascii="宋体" w:hAnsi="宋体"/>
          <w:bCs/>
          <w:sz w:val="24"/>
          <w:lang w:eastAsia="zh-CN"/>
        </w:rPr>
      </w:pPr>
      <w:bookmarkStart w:id="207" w:name="_Toc15641221"/>
      <w:bookmarkStart w:id="208" w:name="_Toc79392585"/>
      <w:bookmarkStart w:id="209" w:name="_Toc57530244"/>
      <w:r w:rsidRPr="00EC3B16">
        <w:rPr>
          <w:rFonts w:ascii="宋体" w:hAnsi="宋体"/>
          <w:bCs/>
          <w:sz w:val="24"/>
          <w:lang w:eastAsia="zh-CN"/>
        </w:rPr>
        <w:t>二、会议召集人及召集方式</w:t>
      </w:r>
      <w:bookmarkEnd w:id="207"/>
      <w:bookmarkEnd w:id="208"/>
      <w:bookmarkEnd w:id="209"/>
    </w:p>
    <w:p w14:paraId="511B2CD9" w14:textId="77777777" w:rsidR="004154D1" w:rsidRPr="00EC3B16" w:rsidRDefault="004154D1" w:rsidP="009D49B9">
      <w:pPr>
        <w:spacing w:line="360" w:lineRule="auto"/>
        <w:ind w:firstLine="480"/>
        <w:jc w:val="both"/>
        <w:rPr>
          <w:rFonts w:ascii="宋体" w:hAnsi="宋体"/>
          <w:bCs/>
          <w:sz w:val="24"/>
          <w:lang w:eastAsia="zh-CN"/>
        </w:rPr>
      </w:pPr>
      <w:bookmarkStart w:id="210" w:name="_Toc15641222"/>
      <w:bookmarkStart w:id="211" w:name="_Toc57530245"/>
      <w:r w:rsidRPr="00EC3B16">
        <w:rPr>
          <w:rFonts w:ascii="宋体" w:hAnsi="宋体"/>
          <w:bCs/>
          <w:sz w:val="24"/>
          <w:lang w:eastAsia="zh-CN"/>
        </w:rPr>
        <w:t>1、除法律法规规定或《基金合同》另有约定外，基金份额持有人大会由基金管理人召集。</w:t>
      </w:r>
    </w:p>
    <w:p w14:paraId="1A94732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2、基金管理人未按规定召集或不能召集时，由基金托管人召集。</w:t>
      </w:r>
    </w:p>
    <w:p w14:paraId="4C133FD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1985FC2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w:t>
      </w:r>
      <w:r w:rsidRPr="00EC3B16">
        <w:rPr>
          <w:rFonts w:ascii="宋体" w:hAnsi="宋体"/>
          <w:bCs/>
          <w:sz w:val="24"/>
          <w:lang w:eastAsia="zh-CN"/>
        </w:rPr>
        <w:lastRenderedPageBreak/>
        <w:t>议的基金份额持有人代表和基金管理人；基金托管人决定召集的，应当自出具书面决定之日起60日内召开，并告知基金管理人，基金管理人应当配合。</w:t>
      </w:r>
    </w:p>
    <w:p w14:paraId="4427D34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6E0A2C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6、基金份额持有人会议的召集人负责选择确定开会时间、地点、方式和权益登记日。</w:t>
      </w:r>
    </w:p>
    <w:p w14:paraId="32D1ACA5" w14:textId="77777777" w:rsidR="004154D1" w:rsidRPr="00EC3B16" w:rsidRDefault="004154D1" w:rsidP="009D49B9">
      <w:pPr>
        <w:spacing w:line="360" w:lineRule="auto"/>
        <w:ind w:firstLine="480"/>
        <w:jc w:val="both"/>
        <w:rPr>
          <w:rFonts w:ascii="宋体" w:hAnsi="宋体"/>
          <w:bCs/>
          <w:sz w:val="24"/>
          <w:lang w:eastAsia="zh-CN"/>
        </w:rPr>
      </w:pPr>
      <w:bookmarkStart w:id="212" w:name="_Toc79392586"/>
      <w:r w:rsidRPr="00EC3B16">
        <w:rPr>
          <w:rFonts w:ascii="宋体" w:hAnsi="宋体"/>
          <w:bCs/>
          <w:sz w:val="24"/>
          <w:lang w:eastAsia="zh-CN"/>
        </w:rPr>
        <w:t>三、召开基金份额持有人大会的通知时间、通知内容、通知方式</w:t>
      </w:r>
      <w:bookmarkEnd w:id="210"/>
      <w:bookmarkEnd w:id="211"/>
      <w:bookmarkEnd w:id="212"/>
    </w:p>
    <w:p w14:paraId="30D9158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1、召开基金份额持有人大会，召集人应于会议召开前30日，在规定媒介公告。基金份额持有人大会通知应至少载明以下内容：</w:t>
      </w:r>
    </w:p>
    <w:p w14:paraId="131C9360"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（1）会议召开的时间、地点和会议形式；</w:t>
      </w:r>
    </w:p>
    <w:p w14:paraId="4A4E727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（2）会议拟审议的事项、议事程序和表决方式；</w:t>
      </w:r>
    </w:p>
    <w:p w14:paraId="3E8AEA1F"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（3）有权出席基金份额持有人大会的基金份额持有人的权益登记日；</w:t>
      </w:r>
    </w:p>
    <w:p w14:paraId="7244706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（4）授权委托证明的内容要求（包括但不限于代理人身份，代理权限和代理有效期限等）、送达时间和地点；</w:t>
      </w:r>
    </w:p>
    <w:p w14:paraId="469890F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（5）会务常设联系人姓名及联系电话；</w:t>
      </w:r>
    </w:p>
    <w:p w14:paraId="65FDDEB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（6）出席会议者必须准备的文件和必须履行的手续；</w:t>
      </w:r>
    </w:p>
    <w:p w14:paraId="575713C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（7）召集人需要通知的其他事项。</w:t>
      </w:r>
    </w:p>
    <w:p w14:paraId="429DF98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17A9A2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77838B6" w14:textId="77777777" w:rsidR="004154D1" w:rsidRPr="00EC3B16" w:rsidRDefault="004154D1" w:rsidP="009D49B9">
      <w:pPr>
        <w:spacing w:line="360" w:lineRule="auto"/>
        <w:ind w:firstLine="480"/>
        <w:jc w:val="both"/>
        <w:rPr>
          <w:rFonts w:ascii="宋体" w:hAnsi="宋体"/>
          <w:bCs/>
          <w:sz w:val="24"/>
          <w:lang w:eastAsia="zh-CN"/>
        </w:rPr>
      </w:pPr>
      <w:bookmarkStart w:id="213" w:name="_Toc79392587"/>
      <w:bookmarkStart w:id="214" w:name="_Toc15641223"/>
      <w:bookmarkStart w:id="215" w:name="_Toc57530246"/>
      <w:r w:rsidRPr="00EC3B16">
        <w:rPr>
          <w:rFonts w:ascii="宋体" w:hAnsi="宋体"/>
          <w:bCs/>
          <w:sz w:val="24"/>
          <w:lang w:eastAsia="zh-CN"/>
        </w:rPr>
        <w:lastRenderedPageBreak/>
        <w:t>四、基金份额持有人出席会议的方式</w:t>
      </w:r>
      <w:bookmarkEnd w:id="213"/>
      <w:bookmarkEnd w:id="214"/>
      <w:bookmarkEnd w:id="215"/>
    </w:p>
    <w:p w14:paraId="7A246B9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基金份额持有人大会可通过现场开会方式、通讯开会方式或法律法规、监管机构允许的其他方式召开，会议的召开方式由会议召集人确定。</w:t>
      </w:r>
    </w:p>
    <w:p w14:paraId="6240790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E6F5D5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15D29C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1E196AB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0201F89"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在同时符合以下条件时，通讯开会的方式视为有效：</w:t>
      </w:r>
    </w:p>
    <w:p w14:paraId="7B66ACE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（1）会议召集人按《基金合同》约定公布会议通知后，在2个工作日内连续公布相关提示性公告；</w:t>
      </w:r>
    </w:p>
    <w:p w14:paraId="2D04D7F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DDEE14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14:paraId="5A75F90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ADF41E7"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p>
    <w:p w14:paraId="61F03C3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w:t>
      </w:r>
      <w:r w:rsidRPr="00EC3B16">
        <w:rPr>
          <w:rFonts w:ascii="宋体" w:hAnsi="宋体" w:hint="eastAsia"/>
          <w:bCs/>
          <w:sz w:val="24"/>
          <w:lang w:eastAsia="zh-CN"/>
        </w:rPr>
        <w:t>在法律法规和监管机关允许的情况下，基金份额持有人可以采用纸质、网络、电话、短信或其他方式进行表决，也可以采用纸质、网络、电话、短信或其他方式授权他人代为出席会议并表决，具体方式由会议召集人确定并在会议通知中列明。</w:t>
      </w:r>
    </w:p>
    <w:p w14:paraId="58440424" w14:textId="77777777" w:rsidR="004154D1" w:rsidRPr="00EC3B16" w:rsidRDefault="004154D1" w:rsidP="009D49B9">
      <w:pPr>
        <w:spacing w:line="360" w:lineRule="auto"/>
        <w:ind w:firstLine="480"/>
        <w:jc w:val="both"/>
        <w:rPr>
          <w:rFonts w:ascii="宋体" w:hAnsi="宋体"/>
          <w:bCs/>
          <w:sz w:val="24"/>
          <w:lang w:eastAsia="zh-CN"/>
        </w:rPr>
      </w:pPr>
      <w:bookmarkStart w:id="216" w:name="_Toc57530247"/>
      <w:bookmarkStart w:id="217" w:name="_Toc15641224"/>
      <w:bookmarkStart w:id="218" w:name="_Toc79392588"/>
      <w:r w:rsidRPr="00EC3B16">
        <w:rPr>
          <w:rFonts w:ascii="宋体" w:hAnsi="宋体"/>
          <w:bCs/>
          <w:sz w:val="24"/>
          <w:lang w:eastAsia="zh-CN"/>
        </w:rPr>
        <w:t>五、议事内容与程序</w:t>
      </w:r>
      <w:bookmarkEnd w:id="216"/>
      <w:bookmarkEnd w:id="217"/>
      <w:bookmarkEnd w:id="218"/>
    </w:p>
    <w:p w14:paraId="445FCF51"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1、议事内容及提案权</w:t>
      </w:r>
    </w:p>
    <w:p w14:paraId="2AA1220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2A34AF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基金份额持有人大会的召集人发出召集会议的通知后，对原有提案的修改应当在基金份额持有人大会召开前及时公告。</w:t>
      </w:r>
    </w:p>
    <w:p w14:paraId="4D7F0F0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基金份额持有人大会不得对未事先公告的议事内容进行表决。</w:t>
      </w:r>
    </w:p>
    <w:p w14:paraId="1E70C66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2、议事程序</w:t>
      </w:r>
    </w:p>
    <w:p w14:paraId="6778511B"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（1）现场开会</w:t>
      </w:r>
    </w:p>
    <w:p w14:paraId="0DCC6409"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5265DF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会议召集人应当制作出席会议人员的签名册。签名册载明参加会议人员姓名（或单位名称）、身份证明文件号码、持有或代表有表决权的基金份额、委托人姓名（或单位名称）和联系方式等事项。</w:t>
      </w:r>
    </w:p>
    <w:p w14:paraId="5BEFF5D8"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（2）通讯开会</w:t>
      </w:r>
    </w:p>
    <w:p w14:paraId="1FB737F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在通讯开会的情况下，首先由召集人提前30日公布提案，在所通知的表决截止日期后2个工作日内在公证机关监督下由召集人统计全部有效表决，在公证机关监督下形成决议。</w:t>
      </w:r>
    </w:p>
    <w:p w14:paraId="52EA9FB3" w14:textId="77777777" w:rsidR="004154D1" w:rsidRPr="00EC3B16" w:rsidRDefault="004154D1" w:rsidP="009D49B9">
      <w:pPr>
        <w:spacing w:line="360" w:lineRule="auto"/>
        <w:ind w:firstLine="480"/>
        <w:jc w:val="both"/>
        <w:rPr>
          <w:rFonts w:ascii="宋体" w:hAnsi="宋体"/>
          <w:bCs/>
          <w:sz w:val="24"/>
          <w:lang w:eastAsia="zh-CN"/>
        </w:rPr>
      </w:pPr>
      <w:bookmarkStart w:id="219" w:name="_Toc57530248"/>
      <w:bookmarkStart w:id="220" w:name="_Toc15641225"/>
      <w:bookmarkStart w:id="221" w:name="_Toc79392589"/>
      <w:r w:rsidRPr="00EC3B16">
        <w:rPr>
          <w:rFonts w:ascii="宋体" w:hAnsi="宋体"/>
          <w:bCs/>
          <w:sz w:val="24"/>
          <w:lang w:eastAsia="zh-CN"/>
        </w:rPr>
        <w:t>六、表决</w:t>
      </w:r>
      <w:bookmarkEnd w:id="219"/>
      <w:bookmarkEnd w:id="220"/>
      <w:bookmarkEnd w:id="221"/>
    </w:p>
    <w:p w14:paraId="0DFD6CDF"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基金份额持有人所持每份基金份额有一票表决权。</w:t>
      </w:r>
    </w:p>
    <w:p w14:paraId="4E466E7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基金份额持有人大会决议分为一般决议和特别决议：</w:t>
      </w:r>
    </w:p>
    <w:p w14:paraId="7F09BC8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339352D4"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2、特别决议，特别决议应当经参加大会的基金份额持有人或其代理人所持表决权的三分之二以上（含三分之二）通过方可做出。</w:t>
      </w:r>
      <w:r w:rsidRPr="00EC3B16">
        <w:rPr>
          <w:rFonts w:ascii="宋体" w:hAnsi="宋体" w:hint="eastAsia"/>
          <w:bCs/>
          <w:sz w:val="24"/>
          <w:lang w:eastAsia="zh-CN"/>
        </w:rPr>
        <w:t>除《基金合同》另有约定外，</w:t>
      </w:r>
      <w:r w:rsidRPr="00EC3B16">
        <w:rPr>
          <w:rFonts w:ascii="宋体" w:hAnsi="宋体"/>
          <w:bCs/>
          <w:sz w:val="24"/>
          <w:lang w:eastAsia="zh-CN"/>
        </w:rPr>
        <w:t>转换基金运作方式、更换基金管理人或者基金托管人、终止《基金合同》、本基金与其他基金合并以特别决议通过方为有效。</w:t>
      </w:r>
    </w:p>
    <w:p w14:paraId="35DD4E2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基金份额持有人大会采取记名方式进行投票表决。</w:t>
      </w:r>
    </w:p>
    <w:p w14:paraId="060D194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F8F4EBF"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基金份额持有人大会的各项提案或同一项提案内并列的各项议题应当分开审议、逐项表决。</w:t>
      </w:r>
    </w:p>
    <w:p w14:paraId="77CCD7B1" w14:textId="77777777" w:rsidR="004154D1" w:rsidRPr="00EC3B16" w:rsidRDefault="004154D1" w:rsidP="009D49B9">
      <w:pPr>
        <w:spacing w:line="360" w:lineRule="auto"/>
        <w:ind w:firstLine="480"/>
        <w:jc w:val="both"/>
        <w:rPr>
          <w:rFonts w:ascii="宋体" w:hAnsi="宋体"/>
          <w:bCs/>
          <w:sz w:val="24"/>
          <w:lang w:eastAsia="zh-CN"/>
        </w:rPr>
      </w:pPr>
      <w:bookmarkStart w:id="222" w:name="_Toc79392590"/>
      <w:bookmarkStart w:id="223" w:name="_Toc15641226"/>
      <w:bookmarkStart w:id="224" w:name="_Toc57530249"/>
      <w:r w:rsidRPr="00EC3B16">
        <w:rPr>
          <w:rFonts w:ascii="宋体" w:hAnsi="宋体"/>
          <w:bCs/>
          <w:sz w:val="24"/>
          <w:lang w:eastAsia="zh-CN"/>
        </w:rPr>
        <w:t>七、计票</w:t>
      </w:r>
      <w:bookmarkEnd w:id="222"/>
      <w:bookmarkEnd w:id="223"/>
      <w:bookmarkEnd w:id="224"/>
    </w:p>
    <w:p w14:paraId="087B872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1、现场开会</w:t>
      </w:r>
    </w:p>
    <w:p w14:paraId="05FBD12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892DE8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（2）监票人应当在基金份额持有人表决后立即进行清点并由大会主持人当场公布计票结果。</w:t>
      </w:r>
    </w:p>
    <w:p w14:paraId="256F4DA3"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A023E5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（4）计票过程应由公证机关予以公证，基金管理人或基金托管人拒不出席大会的，不影响计票的效力。</w:t>
      </w:r>
    </w:p>
    <w:p w14:paraId="031E0DBC"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2、通讯开会</w:t>
      </w:r>
    </w:p>
    <w:p w14:paraId="3301AA6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在通讯开会的情况下，计票方式为：由大会召集人授权的两名监督员在基金托管人授权代表（若由基金托管人召集，则为基金管理人授权代表）的监督</w:t>
      </w:r>
      <w:r w:rsidRPr="00EC3B16">
        <w:rPr>
          <w:rFonts w:ascii="宋体" w:hAnsi="宋体"/>
          <w:bCs/>
          <w:sz w:val="24"/>
          <w:lang w:eastAsia="zh-CN"/>
        </w:rPr>
        <w:lastRenderedPageBreak/>
        <w:t>下进行计票，并由公证机关对其计票过程予以公证</w:t>
      </w:r>
      <w:bookmarkStart w:id="225" w:name="_Toc15641227"/>
      <w:bookmarkStart w:id="226" w:name="_Toc57530250"/>
      <w:bookmarkStart w:id="227" w:name="_Toc79392591"/>
      <w:r w:rsidRPr="00EC3B16">
        <w:rPr>
          <w:rFonts w:ascii="宋体" w:hAnsi="宋体"/>
          <w:bCs/>
          <w:sz w:val="24"/>
          <w:lang w:eastAsia="zh-CN"/>
        </w:rPr>
        <w:t>。基金管理人或基金托管人拒派代表对书面表决意见的计票进行监督的，不影响计票和表决结果。</w:t>
      </w:r>
    </w:p>
    <w:p w14:paraId="61F23736"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八、生效与公告</w:t>
      </w:r>
      <w:bookmarkEnd w:id="225"/>
      <w:bookmarkEnd w:id="226"/>
      <w:bookmarkEnd w:id="227"/>
    </w:p>
    <w:p w14:paraId="243CF9A5"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基金份额持有人大会的决议，召集人应当自通过之日起5日内报中国证监会备案。</w:t>
      </w:r>
    </w:p>
    <w:p w14:paraId="5241FF6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基金份额持有人大会的决议自表决通过之日起生效。</w:t>
      </w:r>
    </w:p>
    <w:p w14:paraId="48F0627E"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基金份额持有人大会决议自生效之日起2日内在规定媒介上公告。</w:t>
      </w:r>
      <w:bookmarkStart w:id="228" w:name="_Hlt88820702"/>
      <w:bookmarkEnd w:id="228"/>
      <w:r w:rsidRPr="00EC3B16">
        <w:rPr>
          <w:rFonts w:ascii="宋体" w:hAnsi="宋体"/>
          <w:bCs/>
          <w:sz w:val="24"/>
          <w:lang w:eastAsia="zh-CN"/>
        </w:rPr>
        <w:t>如果采用通讯方式进行表决，在公告基金份额持有人大会决议时，必须将公证书全文、公证机构、公证员姓名等一同公告。</w:t>
      </w:r>
    </w:p>
    <w:p w14:paraId="48FF6592"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基金管理人、基金托管人和基金份额持有人应当执行生效的基金份额持有人大会的决议。生效的基金份额持有人大会决议对全体基金份额持有人、基金管理人、基金托管人均有约束力。</w:t>
      </w:r>
    </w:p>
    <w:p w14:paraId="08E87E2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九、实施侧袋机制期间基金份额持有人大会的特殊约定</w:t>
      </w:r>
    </w:p>
    <w:p w14:paraId="5A3CC8D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8F24ADB"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1、基金份额持有人行使提议权、召集权、提名权所需单独或合计代表相关基金份额10%以上（含10%）；</w:t>
      </w:r>
    </w:p>
    <w:p w14:paraId="322E9079"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2、现场开会的到会者在权益登记日代表的基金份额不少于本基金在权益登记日相关基金份额的二分之一（含二分之一）；</w:t>
      </w:r>
    </w:p>
    <w:p w14:paraId="3F692E6D"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3、通讯开会的直接出具书面意见或授权他人代表出具书面意见的基金份额持有人所持有的基金份额不小于在权益登记日相关基金份额的二分之一（含二分之一）；</w:t>
      </w:r>
    </w:p>
    <w:p w14:paraId="4126D57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9D886E9"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5、现场开会由出席大会的基金份额持有人和代理人所持表决权的50%以上（含50%）选举产生一名基金份额持有人作为该次基金份额持有人大会的主持人；</w:t>
      </w:r>
    </w:p>
    <w:p w14:paraId="52BC4719"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6、一般决议须经参加大会的基金份额持有人或其代理人所持表决权的二分之一以上（含二分之一）通过；</w:t>
      </w:r>
    </w:p>
    <w:p w14:paraId="1C007B9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bCs/>
          <w:sz w:val="24"/>
          <w:lang w:eastAsia="zh-CN"/>
        </w:rPr>
        <w:t>7、特别决议应当经参加大会的基金份额持有人或其代理人所持表决权的三分之二以上（含三分之二）通过。</w:t>
      </w:r>
    </w:p>
    <w:p w14:paraId="59927D8A" w14:textId="77777777" w:rsidR="004154D1" w:rsidRPr="00EC3B16" w:rsidRDefault="004154D1" w:rsidP="009D49B9">
      <w:pPr>
        <w:spacing w:line="360" w:lineRule="auto"/>
        <w:ind w:firstLine="480"/>
        <w:jc w:val="both"/>
        <w:rPr>
          <w:rFonts w:ascii="宋体" w:hAnsi="宋体"/>
          <w:bCs/>
          <w:sz w:val="24"/>
          <w:lang w:eastAsia="zh-CN"/>
        </w:rPr>
      </w:pPr>
      <w:r w:rsidRPr="00EC3B16">
        <w:rPr>
          <w:rFonts w:ascii="宋体" w:hAnsi="宋体" w:hint="eastAsia"/>
          <w:bCs/>
          <w:sz w:val="24"/>
          <w:lang w:eastAsia="zh-CN"/>
        </w:rPr>
        <w:t>侧袋机制实施期间，基金份额持有人大会审议事项涉及主袋账户和侧袋账户的，应分别由主袋账户、侧袋账户的基金份额持有人进行表决，</w:t>
      </w:r>
      <w:r w:rsidRPr="00EC3B16">
        <w:rPr>
          <w:rFonts w:ascii="宋体" w:hAnsi="宋体"/>
          <w:bCs/>
          <w:sz w:val="24"/>
          <w:lang w:eastAsia="zh-CN"/>
        </w:rPr>
        <w:t>同一主侧袋账户内的每份基金份额具有平等的表决权</w:t>
      </w:r>
      <w:r w:rsidRPr="00EC3B16">
        <w:rPr>
          <w:rFonts w:ascii="宋体" w:hAnsi="宋体" w:hint="eastAsia"/>
          <w:bCs/>
          <w:sz w:val="24"/>
          <w:lang w:eastAsia="zh-CN"/>
        </w:rPr>
        <w:t>；表决事项未涉及侧袋账户的，侧袋账户份额无表决权</w:t>
      </w:r>
      <w:r w:rsidRPr="00EC3B16">
        <w:rPr>
          <w:rFonts w:ascii="宋体" w:hAnsi="宋体"/>
          <w:bCs/>
          <w:sz w:val="24"/>
          <w:lang w:eastAsia="zh-CN"/>
        </w:rPr>
        <w:t>。</w:t>
      </w:r>
    </w:p>
    <w:p w14:paraId="63E6F29E" w14:textId="77777777" w:rsidR="004154D1" w:rsidRPr="00EC3B16" w:rsidRDefault="004154D1" w:rsidP="009D49B9">
      <w:pPr>
        <w:spacing w:line="360" w:lineRule="auto"/>
        <w:ind w:firstLine="480"/>
        <w:jc w:val="both"/>
        <w:rPr>
          <w:rFonts w:ascii="宋体" w:hAnsi="宋体"/>
          <w:bCs/>
          <w:sz w:val="24"/>
          <w:lang w:eastAsia="zh-CN"/>
        </w:rPr>
      </w:pPr>
      <w:bookmarkStart w:id="229" w:name="_Toc18769"/>
      <w:bookmarkStart w:id="230" w:name="_Toc1745"/>
      <w:bookmarkStart w:id="231" w:name="_Toc3963"/>
      <w:r w:rsidRPr="00EC3B16">
        <w:rPr>
          <w:rFonts w:ascii="宋体" w:hAnsi="宋体"/>
          <w:bCs/>
          <w:sz w:val="24"/>
          <w:lang w:eastAsia="zh-CN"/>
        </w:rPr>
        <w:t>十、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DF68F49" w14:textId="77777777" w:rsidR="009D49B9" w:rsidRPr="00EC3B16" w:rsidRDefault="009D49B9" w:rsidP="006F1164">
      <w:pPr>
        <w:spacing w:line="360" w:lineRule="auto"/>
        <w:ind w:firstLine="480"/>
        <w:jc w:val="both"/>
        <w:rPr>
          <w:rFonts w:ascii="宋体" w:hAnsi="宋体"/>
          <w:bCs/>
          <w:sz w:val="24"/>
          <w:lang w:eastAsia="zh-CN"/>
        </w:rPr>
      </w:pPr>
    </w:p>
    <w:p w14:paraId="66E3AEF8" w14:textId="77777777" w:rsidR="004154D1" w:rsidRPr="00EC3B16" w:rsidRDefault="004154D1" w:rsidP="006F1164">
      <w:pPr>
        <w:pStyle w:val="1"/>
        <w:spacing w:before="0" w:after="0"/>
        <w:jc w:val="center"/>
        <w:rPr>
          <w:rFonts w:hAnsi="宋体"/>
          <w:sz w:val="30"/>
          <w:lang w:eastAsia="zh-CN"/>
        </w:rPr>
      </w:pPr>
      <w:r w:rsidRPr="00EC3B16">
        <w:rPr>
          <w:rFonts w:hAnsi="宋体"/>
          <w:b w:val="0"/>
          <w:bCs/>
          <w:lang w:eastAsia="zh-CN"/>
        </w:rPr>
        <w:br w:type="page"/>
      </w:r>
      <w:bookmarkStart w:id="232" w:name="_Toc21735"/>
      <w:bookmarkStart w:id="233" w:name="_Toc10398"/>
      <w:bookmarkStart w:id="234" w:name="_Toc447270832"/>
      <w:bookmarkStart w:id="235" w:name="_Toc123102456"/>
      <w:bookmarkStart w:id="236" w:name="_Toc98560355"/>
      <w:bookmarkStart w:id="237" w:name="_Toc18206"/>
      <w:bookmarkStart w:id="238" w:name="_Toc3572"/>
      <w:bookmarkStart w:id="239" w:name="_Toc123051455"/>
      <w:bookmarkStart w:id="240" w:name="_Toc141703889"/>
      <w:bookmarkStart w:id="241" w:name="_Toc3080"/>
      <w:bookmarkStart w:id="242" w:name="_Toc725"/>
      <w:bookmarkStart w:id="243" w:name="_Toc123112237"/>
      <w:bookmarkStart w:id="244" w:name="_Toc31821"/>
      <w:bookmarkStart w:id="245" w:name="_Toc139991739"/>
      <w:bookmarkStart w:id="246" w:name="_Toc16164"/>
      <w:bookmarkStart w:id="247" w:name="_Toc132016789"/>
      <w:bookmarkStart w:id="248" w:name="_Hlk535885293"/>
      <w:bookmarkEnd w:id="203"/>
      <w:r w:rsidRPr="00EC3B16">
        <w:rPr>
          <w:rFonts w:hAnsi="宋体"/>
          <w:sz w:val="30"/>
          <w:lang w:eastAsia="zh-CN"/>
        </w:rPr>
        <w:lastRenderedPageBreak/>
        <w:t>第九部分</w:t>
      </w:r>
      <w:r w:rsidRPr="00EC3B16">
        <w:rPr>
          <w:rFonts w:hAnsi="宋体" w:hint="eastAsia"/>
          <w:sz w:val="30"/>
          <w:lang w:eastAsia="zh-CN"/>
        </w:rPr>
        <w:t xml:space="preserve"> </w:t>
      </w:r>
      <w:r w:rsidRPr="00EC3B16">
        <w:rPr>
          <w:rFonts w:hAnsi="宋体"/>
          <w:sz w:val="30"/>
          <w:lang w:eastAsia="zh-CN"/>
        </w:rPr>
        <w:t xml:space="preserve"> 基金管理人、基金托管人的更换条件和程序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7BC5CED" w14:textId="77777777" w:rsidR="004154D1" w:rsidRPr="00EC3B16" w:rsidRDefault="004154D1" w:rsidP="006F1164">
      <w:pPr>
        <w:spacing w:line="360" w:lineRule="auto"/>
        <w:ind w:firstLine="480"/>
        <w:jc w:val="both"/>
        <w:rPr>
          <w:rFonts w:ascii="宋体" w:hAnsi="宋体"/>
          <w:bCs/>
          <w:sz w:val="24"/>
          <w:lang w:eastAsia="zh-CN"/>
        </w:rPr>
      </w:pPr>
      <w:bookmarkStart w:id="249" w:name="_Toc79392593"/>
      <w:bookmarkStart w:id="250" w:name="_Toc57530252"/>
      <w:bookmarkStart w:id="251" w:name="_Toc15118245"/>
    </w:p>
    <w:p w14:paraId="2045BB1A"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一、基金管理人和基金托管人职责终止的情形</w:t>
      </w:r>
      <w:bookmarkEnd w:id="249"/>
      <w:bookmarkEnd w:id="250"/>
      <w:bookmarkEnd w:id="251"/>
    </w:p>
    <w:p w14:paraId="2E27A778" w14:textId="77777777" w:rsidR="004154D1" w:rsidRPr="00EC3B16" w:rsidRDefault="004154D1" w:rsidP="006F1164">
      <w:pPr>
        <w:spacing w:line="360" w:lineRule="auto"/>
        <w:ind w:firstLine="480"/>
        <w:jc w:val="both"/>
        <w:rPr>
          <w:rFonts w:ascii="宋体" w:hAnsi="宋体"/>
          <w:bCs/>
          <w:sz w:val="24"/>
          <w:lang w:eastAsia="zh-CN"/>
        </w:rPr>
      </w:pPr>
      <w:bookmarkStart w:id="252" w:name="_Toc22005971"/>
      <w:r w:rsidRPr="00EC3B16">
        <w:rPr>
          <w:rFonts w:ascii="宋体" w:hAnsi="宋体"/>
          <w:bCs/>
          <w:sz w:val="24"/>
          <w:lang w:eastAsia="zh-CN"/>
        </w:rPr>
        <w:t>（一）基金管理人职责终止的情形</w:t>
      </w:r>
      <w:bookmarkEnd w:id="252"/>
    </w:p>
    <w:p w14:paraId="425063F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有下列情形之一的，基金管理人职责终止：</w:t>
      </w:r>
    </w:p>
    <w:p w14:paraId="2117A524" w14:textId="77777777" w:rsidR="004154D1" w:rsidRPr="00EC3B16" w:rsidRDefault="004154D1" w:rsidP="006F1164">
      <w:pPr>
        <w:spacing w:line="360" w:lineRule="auto"/>
        <w:ind w:firstLine="480"/>
        <w:jc w:val="both"/>
        <w:rPr>
          <w:rFonts w:ascii="宋体" w:hAnsi="宋体"/>
          <w:bCs/>
          <w:sz w:val="24"/>
          <w:lang w:eastAsia="zh-CN"/>
        </w:rPr>
      </w:pPr>
      <w:bookmarkStart w:id="253" w:name="_Hlk95469882"/>
      <w:r w:rsidRPr="00EC3B16">
        <w:rPr>
          <w:rFonts w:ascii="宋体" w:hAnsi="宋体"/>
          <w:bCs/>
          <w:sz w:val="24"/>
          <w:lang w:eastAsia="zh-CN"/>
        </w:rPr>
        <w:t>1、被依法取消基金管理资格；</w:t>
      </w:r>
    </w:p>
    <w:p w14:paraId="2327289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2、被基金份额持有人大会解任；</w:t>
      </w:r>
    </w:p>
    <w:p w14:paraId="304C68B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3、依法解散、被依法撤销或被依法宣告破产；</w:t>
      </w:r>
    </w:p>
    <w:p w14:paraId="7E5A221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4、法律法规及中国证监会规定的和《基金合同》约定的其他情形。</w:t>
      </w:r>
    </w:p>
    <w:p w14:paraId="62DB0F51" w14:textId="77777777" w:rsidR="004154D1" w:rsidRPr="00EC3B16" w:rsidRDefault="004154D1" w:rsidP="006F1164">
      <w:pPr>
        <w:spacing w:line="360" w:lineRule="auto"/>
        <w:ind w:firstLine="480"/>
        <w:jc w:val="both"/>
        <w:rPr>
          <w:rFonts w:ascii="宋体" w:hAnsi="宋体"/>
          <w:bCs/>
          <w:sz w:val="24"/>
          <w:lang w:eastAsia="zh-CN"/>
        </w:rPr>
      </w:pPr>
      <w:bookmarkStart w:id="254" w:name="_Toc22005972"/>
      <w:bookmarkEnd w:id="253"/>
      <w:r w:rsidRPr="00EC3B16">
        <w:rPr>
          <w:rFonts w:ascii="宋体" w:hAnsi="宋体"/>
          <w:bCs/>
          <w:sz w:val="24"/>
          <w:lang w:eastAsia="zh-CN"/>
        </w:rPr>
        <w:t>（二）基金托管人职责终止的情形</w:t>
      </w:r>
      <w:bookmarkEnd w:id="254"/>
    </w:p>
    <w:p w14:paraId="08E7888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有下列情形之一的，基金托管人职责终止：</w:t>
      </w:r>
    </w:p>
    <w:p w14:paraId="356E0879" w14:textId="77777777" w:rsidR="004154D1" w:rsidRPr="00EC3B16" w:rsidRDefault="004154D1" w:rsidP="006F1164">
      <w:pPr>
        <w:spacing w:line="360" w:lineRule="auto"/>
        <w:ind w:firstLine="480"/>
        <w:jc w:val="both"/>
        <w:rPr>
          <w:rFonts w:ascii="宋体" w:hAnsi="宋体"/>
          <w:bCs/>
          <w:sz w:val="24"/>
          <w:lang w:eastAsia="zh-CN"/>
        </w:rPr>
      </w:pPr>
      <w:bookmarkStart w:id="255" w:name="_Hlk95469970"/>
      <w:r w:rsidRPr="00EC3B16">
        <w:rPr>
          <w:rFonts w:ascii="宋体" w:hAnsi="宋体"/>
          <w:bCs/>
          <w:sz w:val="24"/>
          <w:lang w:eastAsia="zh-CN"/>
        </w:rPr>
        <w:t>1、被依法取消基金托管资格；</w:t>
      </w:r>
    </w:p>
    <w:p w14:paraId="5947EAD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2、被基金份额持有人大会解任；</w:t>
      </w:r>
    </w:p>
    <w:p w14:paraId="37090EA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3、依法解散、被依法撤销或被依法宣告破产；</w:t>
      </w:r>
    </w:p>
    <w:p w14:paraId="7182E5C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4、法律法规及中国证监会规定的和《基金合同》约定的其他情形。</w:t>
      </w:r>
      <w:bookmarkEnd w:id="255"/>
    </w:p>
    <w:p w14:paraId="45B581A5" w14:textId="77777777" w:rsidR="004154D1" w:rsidRPr="00EC3B16" w:rsidRDefault="004154D1" w:rsidP="006F1164">
      <w:pPr>
        <w:spacing w:line="360" w:lineRule="auto"/>
        <w:ind w:firstLine="480"/>
        <w:jc w:val="both"/>
        <w:rPr>
          <w:rFonts w:ascii="宋体" w:hAnsi="宋体"/>
          <w:bCs/>
          <w:sz w:val="24"/>
          <w:lang w:eastAsia="zh-CN"/>
        </w:rPr>
      </w:pPr>
      <w:bookmarkStart w:id="256" w:name="_Toc79392594"/>
      <w:bookmarkStart w:id="257" w:name="_Toc15118246"/>
      <w:bookmarkStart w:id="258" w:name="_Toc57530253"/>
      <w:r w:rsidRPr="00EC3B16">
        <w:rPr>
          <w:rFonts w:ascii="宋体" w:hAnsi="宋体"/>
          <w:bCs/>
          <w:sz w:val="24"/>
          <w:lang w:eastAsia="zh-CN"/>
        </w:rPr>
        <w:t>二、基金管理人和基金托管人的更换程序</w:t>
      </w:r>
      <w:bookmarkEnd w:id="256"/>
      <w:bookmarkEnd w:id="257"/>
      <w:bookmarkEnd w:id="258"/>
    </w:p>
    <w:p w14:paraId="5F3B7114" w14:textId="77777777" w:rsidR="004154D1" w:rsidRPr="00EC3B16" w:rsidRDefault="004154D1" w:rsidP="006F1164">
      <w:pPr>
        <w:spacing w:line="360" w:lineRule="auto"/>
        <w:ind w:firstLine="480"/>
        <w:jc w:val="both"/>
        <w:rPr>
          <w:rFonts w:ascii="宋体" w:hAnsi="宋体"/>
          <w:bCs/>
          <w:sz w:val="24"/>
          <w:lang w:eastAsia="zh-CN"/>
        </w:rPr>
      </w:pPr>
      <w:bookmarkStart w:id="259" w:name="_Toc22005974"/>
      <w:r w:rsidRPr="00EC3B16">
        <w:rPr>
          <w:rFonts w:ascii="宋体" w:hAnsi="宋体"/>
          <w:bCs/>
          <w:sz w:val="24"/>
          <w:lang w:eastAsia="zh-CN"/>
        </w:rPr>
        <w:t>（一）基金管理人的更换程序</w:t>
      </w:r>
      <w:bookmarkEnd w:id="259"/>
    </w:p>
    <w:p w14:paraId="066DF9D1" w14:textId="77777777" w:rsidR="004154D1" w:rsidRPr="00EC3B16" w:rsidRDefault="004154D1" w:rsidP="006F1164">
      <w:pPr>
        <w:spacing w:line="360" w:lineRule="auto"/>
        <w:ind w:firstLine="480"/>
        <w:jc w:val="both"/>
        <w:rPr>
          <w:rFonts w:ascii="宋体" w:hAnsi="宋体"/>
          <w:bCs/>
          <w:sz w:val="24"/>
          <w:lang w:eastAsia="zh-CN"/>
        </w:rPr>
      </w:pPr>
      <w:bookmarkStart w:id="260" w:name="_Hlk95469922"/>
      <w:r w:rsidRPr="00EC3B16">
        <w:rPr>
          <w:rFonts w:ascii="宋体" w:hAnsi="宋体"/>
          <w:bCs/>
          <w:sz w:val="24"/>
          <w:lang w:eastAsia="zh-CN"/>
        </w:rPr>
        <w:t>1、提名：新任基金管理人由基金托管人或由单独或合计持有10%以上（含10%）基金份额的基金份额持有人提名；</w:t>
      </w:r>
    </w:p>
    <w:p w14:paraId="4415697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047BF052"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3、临时基金管理人：新任基金管理人产生之前，由中国证监会指定临时基金管理人；</w:t>
      </w:r>
    </w:p>
    <w:p w14:paraId="21BF377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4、备案：基金份额持有人大会更换基金管理人的决议须报中国证监会备案；</w:t>
      </w:r>
    </w:p>
    <w:p w14:paraId="3FBF49C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5、公告：基金管理人更换后，由基金托管人在更换基金管理人的基金份额持有人大会决议生效后2日内在规定媒介公告；</w:t>
      </w:r>
    </w:p>
    <w:p w14:paraId="287E8C6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19DCD982"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7、审计：基金管理人职责终止的，应当按照法律法规规定聘请</w:t>
      </w:r>
      <w:r w:rsidRPr="00EC3B16">
        <w:rPr>
          <w:rFonts w:ascii="宋体" w:hAnsi="宋体" w:hint="eastAsia"/>
          <w:bCs/>
          <w:sz w:val="24"/>
          <w:lang w:eastAsia="zh-CN"/>
        </w:rPr>
        <w:t>符合《中华人民共和国证券法》规定的</w:t>
      </w:r>
      <w:r w:rsidRPr="00EC3B16">
        <w:rPr>
          <w:rFonts w:ascii="宋体" w:hAnsi="宋体"/>
          <w:bCs/>
          <w:sz w:val="24"/>
          <w:lang w:eastAsia="zh-CN"/>
        </w:rPr>
        <w:t>会计师事务所对基金财产进行审计，并将审计结果予以公告，同时报中国证监会备案；审计费用在基金资产中列支；</w:t>
      </w:r>
    </w:p>
    <w:p w14:paraId="4891096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8、基金名称变更：基金管理人更换后，如果原任或新任基金管理人要求，应按其要求替换或删除基金名称中与原基金管理人有关的名称字样。</w:t>
      </w:r>
      <w:bookmarkEnd w:id="260"/>
    </w:p>
    <w:p w14:paraId="7F22583B" w14:textId="77777777" w:rsidR="004154D1" w:rsidRPr="00EC3B16" w:rsidRDefault="004154D1" w:rsidP="006F1164">
      <w:pPr>
        <w:spacing w:line="360" w:lineRule="auto"/>
        <w:ind w:firstLine="480"/>
        <w:jc w:val="both"/>
        <w:rPr>
          <w:rFonts w:ascii="宋体" w:hAnsi="宋体"/>
          <w:bCs/>
          <w:sz w:val="24"/>
          <w:lang w:eastAsia="zh-CN"/>
        </w:rPr>
      </w:pPr>
      <w:bookmarkStart w:id="261" w:name="_Toc22005975"/>
      <w:r w:rsidRPr="00EC3B16">
        <w:rPr>
          <w:rFonts w:ascii="宋体" w:hAnsi="宋体"/>
          <w:bCs/>
          <w:sz w:val="24"/>
          <w:lang w:eastAsia="zh-CN"/>
        </w:rPr>
        <w:t>（二）基金托管人的更换程序</w:t>
      </w:r>
      <w:bookmarkEnd w:id="261"/>
    </w:p>
    <w:p w14:paraId="639FC8E4" w14:textId="77777777" w:rsidR="004154D1" w:rsidRPr="00EC3B16" w:rsidRDefault="004154D1" w:rsidP="006F1164">
      <w:pPr>
        <w:spacing w:line="360" w:lineRule="auto"/>
        <w:ind w:firstLine="480"/>
        <w:jc w:val="both"/>
        <w:rPr>
          <w:rFonts w:ascii="宋体" w:hAnsi="宋体"/>
          <w:bCs/>
          <w:sz w:val="24"/>
          <w:lang w:eastAsia="zh-CN"/>
        </w:rPr>
      </w:pPr>
      <w:bookmarkStart w:id="262" w:name="_Hlk95470009"/>
      <w:r w:rsidRPr="00EC3B16">
        <w:rPr>
          <w:rFonts w:ascii="宋体" w:hAnsi="宋体"/>
          <w:bCs/>
          <w:sz w:val="24"/>
          <w:lang w:eastAsia="zh-CN"/>
        </w:rPr>
        <w:t>1、提名：新任基金托管人由基金管理人或由单独或合计持有10%以上（含10%）基金份额的基金份额持有人提名；</w:t>
      </w:r>
    </w:p>
    <w:p w14:paraId="03EABD9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5F78909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3、临时基金托管人：新任基金托管人产生之前，由中国证监会指定临时基金托管人；</w:t>
      </w:r>
    </w:p>
    <w:p w14:paraId="2F4ED96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4、备案：基金份额持有人大会更换基金托管人的决议须报中国证监会备案；</w:t>
      </w:r>
    </w:p>
    <w:p w14:paraId="7EF800C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5、公告：基金托管人更换后，由基金管理人在更换基金托管人的基金份额持有人大会决议生效后2日内在规定媒介公告；</w:t>
      </w:r>
    </w:p>
    <w:p w14:paraId="0B4234B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6、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w:t>
      </w:r>
    </w:p>
    <w:p w14:paraId="05EC743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7、审计：基金托管人职责终止的，应当按照法律法规规定聘请</w:t>
      </w:r>
      <w:r w:rsidRPr="00EC3B16">
        <w:rPr>
          <w:rFonts w:ascii="宋体" w:hAnsi="宋体" w:hint="eastAsia"/>
          <w:bCs/>
          <w:sz w:val="24"/>
          <w:lang w:eastAsia="zh-CN"/>
        </w:rPr>
        <w:t>符合《中华人民共和国证券法》规定的</w:t>
      </w:r>
      <w:r w:rsidRPr="00EC3B16">
        <w:rPr>
          <w:rFonts w:ascii="宋体" w:hAnsi="宋体"/>
          <w:bCs/>
          <w:sz w:val="24"/>
          <w:lang w:eastAsia="zh-CN"/>
        </w:rPr>
        <w:t>会计师事务所对基金财产进行审计，并将审计结果予以公告，同时报中国证监会备案。审计费用在基金资产中列支。</w:t>
      </w:r>
      <w:bookmarkEnd w:id="262"/>
    </w:p>
    <w:p w14:paraId="5B3457B9" w14:textId="77777777" w:rsidR="004154D1" w:rsidRPr="00EC3B16" w:rsidRDefault="004154D1" w:rsidP="006F1164">
      <w:pPr>
        <w:spacing w:line="360" w:lineRule="auto"/>
        <w:ind w:firstLine="480"/>
        <w:jc w:val="both"/>
        <w:rPr>
          <w:rFonts w:ascii="宋体" w:hAnsi="宋体"/>
          <w:bCs/>
          <w:sz w:val="24"/>
          <w:lang w:eastAsia="zh-CN"/>
        </w:rPr>
      </w:pPr>
      <w:bookmarkStart w:id="263" w:name="_Toc1357"/>
      <w:r w:rsidRPr="00EC3B16">
        <w:rPr>
          <w:rFonts w:ascii="宋体" w:hAnsi="宋体"/>
          <w:bCs/>
          <w:sz w:val="24"/>
          <w:lang w:eastAsia="zh-CN"/>
        </w:rPr>
        <w:t>（三）基金管理人与基金托管人同时更换的条件和程序</w:t>
      </w:r>
      <w:bookmarkEnd w:id="263"/>
    </w:p>
    <w:p w14:paraId="02162EF3" w14:textId="77777777" w:rsidR="004154D1" w:rsidRPr="00EC3B16" w:rsidRDefault="004154D1" w:rsidP="006F1164">
      <w:pPr>
        <w:spacing w:line="360" w:lineRule="auto"/>
        <w:ind w:firstLine="480"/>
        <w:jc w:val="both"/>
        <w:rPr>
          <w:rFonts w:ascii="宋体" w:hAnsi="宋体"/>
          <w:bCs/>
          <w:sz w:val="24"/>
          <w:lang w:eastAsia="zh-CN"/>
        </w:rPr>
      </w:pPr>
      <w:bookmarkStart w:id="264" w:name="_Hlk95470054"/>
      <w:r w:rsidRPr="00EC3B16">
        <w:rPr>
          <w:rFonts w:ascii="宋体" w:hAnsi="宋体"/>
          <w:bCs/>
          <w:sz w:val="24"/>
          <w:lang w:eastAsia="zh-CN"/>
        </w:rPr>
        <w:lastRenderedPageBreak/>
        <w:t>1、提名：如果基金管理人和基金托管人同时更换，由单独或合计持有基金总份额10%以上（含10%）的基金份额持有人提名新的基金管理人和基金托管人；</w:t>
      </w:r>
    </w:p>
    <w:p w14:paraId="2813D27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2、基金管理人和基金托管人的更换分别按上述程序进行；</w:t>
      </w:r>
    </w:p>
    <w:p w14:paraId="1B7E86F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3、公告：新任或临时基金管理人和新任或临时基金托管人应在更换基金管理人和基金托管人的基金份额持有人大会决议生效后2日内在规定媒介上联合公告。</w:t>
      </w:r>
      <w:bookmarkEnd w:id="264"/>
    </w:p>
    <w:p w14:paraId="600D5B4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三、新任基金管理人或临时基金管理人接收基金管理业务或新任基金托管人或临时基金托管人接收基金财产和基金托管业务前，原基金管理人或</w:t>
      </w:r>
      <w:r w:rsidRPr="00EC3B16">
        <w:rPr>
          <w:rFonts w:ascii="宋体" w:hAnsi="宋体" w:hint="eastAsia"/>
          <w:bCs/>
          <w:sz w:val="24"/>
          <w:lang w:eastAsia="zh-CN"/>
        </w:rPr>
        <w:t>原</w:t>
      </w:r>
      <w:r w:rsidRPr="00EC3B16">
        <w:rPr>
          <w:rFonts w:ascii="宋体" w:hAnsi="宋体"/>
          <w:bCs/>
          <w:sz w:val="24"/>
          <w:lang w:eastAsia="zh-CN"/>
        </w:rPr>
        <w:t>基金托管人应依据法律法规</w:t>
      </w:r>
      <w:r w:rsidRPr="00EC3B16">
        <w:rPr>
          <w:rFonts w:ascii="宋体" w:hAnsi="宋体" w:hint="eastAsia"/>
          <w:bCs/>
          <w:sz w:val="24"/>
          <w:lang w:eastAsia="zh-CN"/>
        </w:rPr>
        <w:t>、</w:t>
      </w:r>
      <w:r w:rsidRPr="00EC3B16">
        <w:rPr>
          <w:rFonts w:ascii="宋体" w:hAnsi="宋体"/>
          <w:bCs/>
          <w:sz w:val="24"/>
          <w:lang w:eastAsia="zh-CN"/>
        </w:rPr>
        <w:t>本基金合同和</w:t>
      </w:r>
      <w:r w:rsidRPr="00EC3B16">
        <w:rPr>
          <w:rFonts w:ascii="宋体" w:hAnsi="宋体" w:hint="eastAsia"/>
          <w:bCs/>
          <w:sz w:val="24"/>
          <w:lang w:eastAsia="zh-CN"/>
        </w:rPr>
        <w:t>托管协议</w:t>
      </w:r>
      <w:r w:rsidRPr="00EC3B16">
        <w:rPr>
          <w:rFonts w:ascii="宋体" w:hAnsi="宋体"/>
          <w:bCs/>
          <w:sz w:val="24"/>
          <w:lang w:eastAsia="zh-CN"/>
        </w:rPr>
        <w:t>的规定继续履行相关职责，并保证不对基金份额持有人的利益造成损害。原基金管理人或</w:t>
      </w:r>
      <w:r w:rsidRPr="00EC3B16">
        <w:rPr>
          <w:rFonts w:ascii="宋体" w:hAnsi="宋体" w:hint="eastAsia"/>
          <w:bCs/>
          <w:sz w:val="24"/>
          <w:lang w:eastAsia="zh-CN"/>
        </w:rPr>
        <w:t>原</w:t>
      </w:r>
      <w:r w:rsidRPr="00EC3B16">
        <w:rPr>
          <w:rFonts w:ascii="宋体" w:hAnsi="宋体"/>
          <w:bCs/>
          <w:sz w:val="24"/>
          <w:lang w:eastAsia="zh-CN"/>
        </w:rPr>
        <w:t>基金托管人在继续履行相关职责期间，仍有权按照《基金合同》</w:t>
      </w:r>
      <w:r w:rsidRPr="00EC3B16">
        <w:rPr>
          <w:rFonts w:ascii="宋体" w:hAnsi="宋体" w:hint="eastAsia"/>
          <w:bCs/>
          <w:sz w:val="24"/>
          <w:lang w:eastAsia="zh-CN"/>
        </w:rPr>
        <w:t>和《托管协议》</w:t>
      </w:r>
      <w:r w:rsidRPr="00EC3B16">
        <w:rPr>
          <w:rFonts w:ascii="宋体" w:hAnsi="宋体"/>
          <w:bCs/>
          <w:sz w:val="24"/>
          <w:lang w:eastAsia="zh-CN"/>
        </w:rPr>
        <w:t>的规定收取基金管理费或基金托管费。</w:t>
      </w:r>
    </w:p>
    <w:p w14:paraId="7B734B3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四、</w:t>
      </w:r>
      <w:bookmarkStart w:id="265" w:name="_Hlk95470075"/>
      <w:r w:rsidRPr="00EC3B16">
        <w:rPr>
          <w:rFonts w:ascii="宋体" w:hAnsi="宋体"/>
          <w:bCs/>
          <w:sz w:val="24"/>
          <w:lang w:eastAsia="zh-CN"/>
        </w:rPr>
        <w:t>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bookmarkEnd w:id="265"/>
    </w:p>
    <w:p w14:paraId="1119856E" w14:textId="77777777" w:rsidR="006F1164" w:rsidRPr="00EC3B16" w:rsidRDefault="006F1164" w:rsidP="006F1164">
      <w:pPr>
        <w:spacing w:line="360" w:lineRule="auto"/>
        <w:ind w:firstLine="480"/>
        <w:jc w:val="both"/>
        <w:rPr>
          <w:rFonts w:ascii="宋体" w:hAnsi="宋体"/>
          <w:bCs/>
          <w:sz w:val="24"/>
          <w:lang w:eastAsia="zh-CN"/>
        </w:rPr>
      </w:pPr>
    </w:p>
    <w:p w14:paraId="1B207799" w14:textId="77777777" w:rsidR="004154D1" w:rsidRPr="00EC3B16" w:rsidRDefault="004154D1">
      <w:pPr>
        <w:pStyle w:val="1"/>
        <w:spacing w:before="0" w:after="0"/>
        <w:jc w:val="center"/>
        <w:rPr>
          <w:rFonts w:hAnsi="宋体"/>
          <w:sz w:val="30"/>
          <w:lang w:eastAsia="zh-CN"/>
        </w:rPr>
      </w:pPr>
      <w:r w:rsidRPr="00EC3B16">
        <w:rPr>
          <w:rFonts w:hAnsi="宋体"/>
          <w:b w:val="0"/>
          <w:bCs/>
          <w:lang w:eastAsia="zh-CN"/>
        </w:rPr>
        <w:br w:type="page"/>
      </w:r>
      <w:bookmarkStart w:id="266" w:name="_Toc123112238"/>
      <w:bookmarkStart w:id="267" w:name="_Toc79392622"/>
      <w:bookmarkStart w:id="268" w:name="_Toc29408"/>
      <w:bookmarkStart w:id="269" w:name="_Toc123051456"/>
      <w:bookmarkStart w:id="270" w:name="_Toc32584"/>
      <w:bookmarkStart w:id="271" w:name="_Toc98560356"/>
      <w:bookmarkStart w:id="272" w:name="_Toc739"/>
      <w:bookmarkStart w:id="273" w:name="_Toc17198"/>
      <w:bookmarkStart w:id="274" w:name="_Toc8791"/>
      <w:bookmarkStart w:id="275" w:name="_Toc32092"/>
      <w:bookmarkStart w:id="276" w:name="_Toc139991740"/>
      <w:bookmarkStart w:id="277" w:name="_Toc3329"/>
      <w:bookmarkStart w:id="278" w:name="_Toc141703890"/>
      <w:bookmarkStart w:id="279" w:name="_Toc5170"/>
      <w:bookmarkStart w:id="280" w:name="_Toc17920"/>
      <w:bookmarkStart w:id="281" w:name="_Toc21237"/>
      <w:bookmarkStart w:id="282" w:name="_Toc123102457"/>
      <w:bookmarkStart w:id="283" w:name="_Toc20976"/>
      <w:bookmarkStart w:id="284" w:name="_Toc48649708"/>
      <w:bookmarkStart w:id="285" w:name="_Toc447270833"/>
      <w:bookmarkStart w:id="286" w:name="_Toc132016790"/>
      <w:bookmarkEnd w:id="248"/>
      <w:r w:rsidRPr="00EC3B16">
        <w:rPr>
          <w:rFonts w:hAnsi="宋体"/>
          <w:sz w:val="30"/>
          <w:lang w:eastAsia="zh-CN"/>
        </w:rPr>
        <w:lastRenderedPageBreak/>
        <w:t>第十部分</w:t>
      </w:r>
      <w:r w:rsidRPr="00EC3B16">
        <w:rPr>
          <w:rFonts w:hAnsi="宋体" w:hint="eastAsia"/>
          <w:sz w:val="30"/>
          <w:lang w:eastAsia="zh-CN"/>
        </w:rPr>
        <w:t xml:space="preserve"> </w:t>
      </w:r>
      <w:r w:rsidRPr="00EC3B16">
        <w:rPr>
          <w:rFonts w:hAnsi="宋体"/>
          <w:sz w:val="30"/>
          <w:lang w:eastAsia="zh-CN"/>
        </w:rPr>
        <w:t xml:space="preserve"> 基金的托管</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798E99F" w14:textId="77777777" w:rsidR="004154D1" w:rsidRPr="00EC3B16" w:rsidRDefault="004154D1" w:rsidP="006F1164">
      <w:pPr>
        <w:spacing w:line="360" w:lineRule="auto"/>
        <w:ind w:firstLine="480"/>
        <w:jc w:val="both"/>
        <w:rPr>
          <w:rFonts w:ascii="宋体" w:hAnsi="宋体"/>
          <w:bCs/>
          <w:sz w:val="24"/>
          <w:lang w:eastAsia="zh-CN"/>
        </w:rPr>
      </w:pPr>
    </w:p>
    <w:p w14:paraId="504745B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基金托管人和基金管理人按照《基金法》、《基金合同》及其他有关规定订立托管协议</w:t>
      </w:r>
      <w:r w:rsidRPr="00EC3B16">
        <w:rPr>
          <w:rFonts w:ascii="宋体" w:hAnsi="宋体" w:hint="eastAsia"/>
          <w:bCs/>
          <w:sz w:val="24"/>
          <w:lang w:eastAsia="zh-CN"/>
        </w:rPr>
        <w:t>，《基金合同》未尽的基金托管事宜以托管协议约定为准</w:t>
      </w:r>
      <w:r w:rsidRPr="00EC3B16">
        <w:rPr>
          <w:rFonts w:ascii="宋体" w:hAnsi="宋体"/>
          <w:bCs/>
          <w:sz w:val="24"/>
          <w:lang w:eastAsia="zh-CN"/>
        </w:rPr>
        <w:t>。</w:t>
      </w:r>
    </w:p>
    <w:p w14:paraId="594A45D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166F499" w14:textId="77777777" w:rsidR="006F1164" w:rsidRPr="00EC3B16" w:rsidRDefault="006F1164" w:rsidP="006F1164">
      <w:pPr>
        <w:spacing w:line="360" w:lineRule="auto"/>
        <w:ind w:firstLine="480"/>
        <w:jc w:val="both"/>
        <w:rPr>
          <w:rFonts w:ascii="宋体" w:hAnsi="宋体"/>
          <w:bCs/>
          <w:sz w:val="24"/>
          <w:lang w:eastAsia="zh-CN"/>
        </w:rPr>
      </w:pPr>
    </w:p>
    <w:p w14:paraId="35C245BC" w14:textId="77777777" w:rsidR="004154D1" w:rsidRPr="00EC3B16" w:rsidRDefault="004154D1">
      <w:pPr>
        <w:pStyle w:val="1"/>
        <w:spacing w:before="0" w:after="0"/>
        <w:jc w:val="center"/>
        <w:rPr>
          <w:rFonts w:hAnsi="宋体"/>
          <w:sz w:val="30"/>
          <w:lang w:eastAsia="zh-CN"/>
        </w:rPr>
      </w:pPr>
      <w:r w:rsidRPr="00EC3B16">
        <w:rPr>
          <w:rFonts w:hAnsi="宋体"/>
          <w:b w:val="0"/>
          <w:bCs/>
          <w:lang w:eastAsia="zh-CN"/>
        </w:rPr>
        <w:br w:type="page"/>
      </w:r>
      <w:bookmarkStart w:id="287" w:name="_Toc26152"/>
      <w:bookmarkStart w:id="288" w:name="_Toc3244"/>
      <w:bookmarkStart w:id="289" w:name="_Toc123051457"/>
      <w:bookmarkStart w:id="290" w:name="_Toc139991741"/>
      <w:bookmarkStart w:id="291" w:name="_Toc19520"/>
      <w:bookmarkStart w:id="292" w:name="_Toc14725"/>
      <w:bookmarkStart w:id="293" w:name="_Toc141703891"/>
      <w:bookmarkStart w:id="294" w:name="_Toc123112239"/>
      <w:bookmarkStart w:id="295" w:name="_Toc447270834"/>
      <w:bookmarkStart w:id="296" w:name="_Toc22674"/>
      <w:bookmarkStart w:id="297" w:name="_Toc123102458"/>
      <w:bookmarkStart w:id="298" w:name="_Toc21886"/>
      <w:bookmarkStart w:id="299" w:name="_Toc48649710"/>
      <w:bookmarkStart w:id="300" w:name="_Toc26084"/>
      <w:bookmarkStart w:id="301" w:name="_Toc26383"/>
      <w:bookmarkStart w:id="302" w:name="_Toc79392624"/>
      <w:bookmarkStart w:id="303" w:name="_Toc16789"/>
      <w:bookmarkStart w:id="304" w:name="_Toc2255"/>
      <w:bookmarkStart w:id="305" w:name="_Toc31469"/>
      <w:bookmarkStart w:id="306" w:name="_Toc98560357"/>
      <w:bookmarkStart w:id="307" w:name="_Toc132016791"/>
      <w:r w:rsidRPr="00EC3B16">
        <w:rPr>
          <w:rFonts w:hAnsi="宋体"/>
          <w:sz w:val="30"/>
          <w:lang w:eastAsia="zh-CN"/>
        </w:rPr>
        <w:lastRenderedPageBreak/>
        <w:t>第十一部分</w:t>
      </w:r>
      <w:r w:rsidRPr="00EC3B16">
        <w:rPr>
          <w:rFonts w:hAnsi="宋体" w:hint="eastAsia"/>
          <w:sz w:val="30"/>
          <w:lang w:eastAsia="zh-CN"/>
        </w:rPr>
        <w:t xml:space="preserve"> </w:t>
      </w:r>
      <w:r w:rsidRPr="00EC3B16">
        <w:rPr>
          <w:rFonts w:hAnsi="宋体"/>
          <w:sz w:val="30"/>
          <w:lang w:eastAsia="zh-CN"/>
        </w:rPr>
        <w:t xml:space="preserve"> 基金份额的登记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78FA00F4" w14:textId="77777777" w:rsidR="004154D1" w:rsidRPr="00EC3B16" w:rsidRDefault="004154D1" w:rsidP="006F1164">
      <w:pPr>
        <w:spacing w:line="360" w:lineRule="auto"/>
        <w:ind w:firstLine="480"/>
        <w:jc w:val="both"/>
        <w:rPr>
          <w:rFonts w:ascii="宋体" w:hAnsi="宋体"/>
          <w:bCs/>
          <w:sz w:val="24"/>
          <w:lang w:eastAsia="zh-CN"/>
        </w:rPr>
      </w:pPr>
    </w:p>
    <w:p w14:paraId="2A0391A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一、基金的份额登记业务</w:t>
      </w:r>
    </w:p>
    <w:p w14:paraId="65F81ED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AC50B01"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二、基金登记业务办理机构</w:t>
      </w:r>
    </w:p>
    <w:p w14:paraId="744415D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p w14:paraId="7306589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三、基金登记机构的权利</w:t>
      </w:r>
      <w:bookmarkStart w:id="308" w:name="_Hlt88820748"/>
      <w:bookmarkEnd w:id="308"/>
    </w:p>
    <w:p w14:paraId="55811BA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基金登记机构享有以下权利：</w:t>
      </w:r>
    </w:p>
    <w:p w14:paraId="550DBEB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1、取得登记费；</w:t>
      </w:r>
    </w:p>
    <w:p w14:paraId="0B593F8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2、建立和管理投资者基金账户；</w:t>
      </w:r>
    </w:p>
    <w:p w14:paraId="79E7E75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3、保管基金份额持有人开户资料、交易资料、基金份额持有人名册等；</w:t>
      </w:r>
    </w:p>
    <w:p w14:paraId="50A34D72"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4、在法律法规允许的范围内，对登记业务的办理时间进行调整，并依照有关规定于开始实施前在规定媒介上公告；</w:t>
      </w:r>
    </w:p>
    <w:p w14:paraId="23DF020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5、法律法规及中国证监会规定的和《基金合同》约定的其他权利。</w:t>
      </w:r>
    </w:p>
    <w:p w14:paraId="3D5DAAC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四、基金登记机构的义务</w:t>
      </w:r>
    </w:p>
    <w:p w14:paraId="4D6E2F4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基金登记机构承担以下义务：</w:t>
      </w:r>
    </w:p>
    <w:p w14:paraId="171952A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1、配备足够的专业人员办理本基金份额的登记业务；</w:t>
      </w:r>
    </w:p>
    <w:p w14:paraId="418379B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2、严格按照法律法规和《基金合同》规定的条件办理本基金份额的登记业务；</w:t>
      </w:r>
    </w:p>
    <w:p w14:paraId="6BE09CF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3、妥善保存登记数据，并将基金份额持有人名称、身份信息及基金份额明细等数据备份至中国证监会认定的机构。其保存期限自基金账户销户之日起不得少于</w:t>
      </w:r>
      <w:r w:rsidRPr="00EC3B16">
        <w:rPr>
          <w:rFonts w:ascii="宋体" w:hAnsi="宋体" w:hint="eastAsia"/>
          <w:bCs/>
          <w:sz w:val="24"/>
          <w:lang w:eastAsia="zh-CN"/>
        </w:rPr>
        <w:t>法律法规规定的最低期限</w:t>
      </w:r>
      <w:r w:rsidRPr="00EC3B16">
        <w:rPr>
          <w:rFonts w:ascii="宋体" w:hAnsi="宋体"/>
          <w:bCs/>
          <w:sz w:val="24"/>
          <w:lang w:eastAsia="zh-CN"/>
        </w:rPr>
        <w:t>；</w:t>
      </w:r>
    </w:p>
    <w:p w14:paraId="22F3BBB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7B75A75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5、按《基金合同》及招募说明书规定为投资者办理非交易过户业务、提供其他必要的服务；</w:t>
      </w:r>
    </w:p>
    <w:p w14:paraId="6BA257A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6、接受基金管理人的监督；</w:t>
      </w:r>
    </w:p>
    <w:p w14:paraId="4E0881D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7、法律法规及中国证监会规定的和《基金合同》约定的其他义务。</w:t>
      </w:r>
    </w:p>
    <w:p w14:paraId="376A2AE3" w14:textId="77777777" w:rsidR="006F1164" w:rsidRPr="00EC3B16" w:rsidRDefault="006F1164" w:rsidP="006F1164">
      <w:pPr>
        <w:spacing w:line="360" w:lineRule="auto"/>
        <w:ind w:firstLine="480"/>
        <w:jc w:val="both"/>
        <w:rPr>
          <w:rFonts w:ascii="宋体" w:hAnsi="宋体"/>
          <w:bCs/>
          <w:sz w:val="24"/>
          <w:lang w:eastAsia="zh-CN"/>
        </w:rPr>
      </w:pPr>
    </w:p>
    <w:p w14:paraId="7EFC241F" w14:textId="77777777" w:rsidR="004154D1" w:rsidRPr="00EC3B16" w:rsidRDefault="004154D1">
      <w:pPr>
        <w:pStyle w:val="1"/>
        <w:spacing w:before="0" w:after="0"/>
        <w:jc w:val="center"/>
        <w:rPr>
          <w:rFonts w:hAnsi="宋体"/>
          <w:sz w:val="30"/>
          <w:lang w:eastAsia="zh-CN"/>
        </w:rPr>
      </w:pPr>
      <w:r w:rsidRPr="00EC3B16">
        <w:rPr>
          <w:rFonts w:hAnsi="宋体"/>
          <w:b w:val="0"/>
          <w:bCs/>
          <w:lang w:eastAsia="zh-CN"/>
        </w:rPr>
        <w:br w:type="page"/>
      </w:r>
      <w:bookmarkStart w:id="309" w:name="_Toc5477"/>
      <w:bookmarkStart w:id="310" w:name="_Toc2981"/>
      <w:bookmarkStart w:id="311" w:name="_Toc11351"/>
      <w:bookmarkStart w:id="312" w:name="_Toc11395"/>
      <w:bookmarkStart w:id="313" w:name="_Toc578"/>
      <w:bookmarkStart w:id="314" w:name="_Toc16437"/>
      <w:bookmarkStart w:id="315" w:name="_Toc801"/>
      <w:bookmarkStart w:id="316" w:name="_Toc21917"/>
      <w:bookmarkStart w:id="317" w:name="_Toc13343"/>
      <w:bookmarkStart w:id="318" w:name="_Toc22538"/>
      <w:bookmarkStart w:id="319" w:name="_Toc447270835"/>
      <w:bookmarkStart w:id="320" w:name="_Toc3872"/>
      <w:bookmarkStart w:id="321" w:name="_Toc132016792"/>
      <w:bookmarkStart w:id="322" w:name="_Hlk73625355"/>
      <w:r w:rsidRPr="00EC3B16">
        <w:rPr>
          <w:rFonts w:hAnsi="宋体"/>
          <w:sz w:val="30"/>
          <w:lang w:eastAsia="zh-CN"/>
        </w:rPr>
        <w:lastRenderedPageBreak/>
        <w:t>第十二部分</w:t>
      </w:r>
      <w:r w:rsidRPr="00EC3B16">
        <w:rPr>
          <w:rFonts w:hAnsi="宋体" w:hint="eastAsia"/>
          <w:sz w:val="30"/>
          <w:lang w:eastAsia="zh-CN"/>
        </w:rPr>
        <w:t xml:space="preserve"> </w:t>
      </w:r>
      <w:r w:rsidRPr="00EC3B16">
        <w:rPr>
          <w:rFonts w:hAnsi="宋体"/>
          <w:sz w:val="30"/>
          <w:lang w:eastAsia="zh-CN"/>
        </w:rPr>
        <w:t xml:space="preserve"> 基金的投资</w:t>
      </w:r>
      <w:bookmarkEnd w:id="309"/>
      <w:bookmarkEnd w:id="310"/>
      <w:bookmarkEnd w:id="311"/>
      <w:bookmarkEnd w:id="312"/>
      <w:bookmarkEnd w:id="313"/>
      <w:bookmarkEnd w:id="314"/>
      <w:bookmarkEnd w:id="315"/>
      <w:bookmarkEnd w:id="316"/>
      <w:bookmarkEnd w:id="317"/>
      <w:bookmarkEnd w:id="318"/>
      <w:bookmarkEnd w:id="319"/>
      <w:bookmarkEnd w:id="320"/>
      <w:bookmarkEnd w:id="321"/>
    </w:p>
    <w:p w14:paraId="2A02BB6A" w14:textId="77777777" w:rsidR="004154D1" w:rsidRPr="00EC3B16" w:rsidRDefault="004154D1" w:rsidP="006F1164">
      <w:pPr>
        <w:spacing w:line="360" w:lineRule="auto"/>
        <w:ind w:firstLine="480"/>
        <w:jc w:val="both"/>
        <w:rPr>
          <w:rFonts w:ascii="宋体" w:hAnsi="宋体"/>
          <w:bCs/>
          <w:sz w:val="24"/>
          <w:lang w:eastAsia="zh-CN"/>
        </w:rPr>
      </w:pPr>
    </w:p>
    <w:p w14:paraId="45DC989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一、投资目标</w:t>
      </w:r>
    </w:p>
    <w:p w14:paraId="3AD7A756" w14:textId="77777777" w:rsidR="004154D1" w:rsidRPr="00EC3B16" w:rsidRDefault="00AF2E36" w:rsidP="006F1164">
      <w:pPr>
        <w:spacing w:line="360" w:lineRule="auto"/>
        <w:ind w:firstLine="480"/>
        <w:jc w:val="both"/>
        <w:rPr>
          <w:rFonts w:ascii="宋体" w:hAnsi="宋体"/>
          <w:bCs/>
          <w:sz w:val="24"/>
          <w:lang w:eastAsia="zh-CN"/>
        </w:rPr>
      </w:pPr>
      <w:r w:rsidRPr="00AF2E36">
        <w:rPr>
          <w:rFonts w:ascii="宋体" w:hAnsi="宋体" w:hint="eastAsia"/>
          <w:bCs/>
          <w:sz w:val="24"/>
          <w:lang w:eastAsia="zh-CN"/>
        </w:rPr>
        <w:t>本基金在严格控制投资组合风险和保持资产流动性的前提下，力争为基金份额持有人获取超越业绩比较基准的投资回报。</w:t>
      </w:r>
    </w:p>
    <w:p w14:paraId="7E3B621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二、投资范围</w:t>
      </w:r>
    </w:p>
    <w:p w14:paraId="472EC9A6" w14:textId="77777777" w:rsidR="00935780" w:rsidRPr="00935780" w:rsidRDefault="00935780" w:rsidP="00935780">
      <w:pPr>
        <w:spacing w:line="360" w:lineRule="auto"/>
        <w:ind w:firstLine="480"/>
        <w:jc w:val="both"/>
        <w:rPr>
          <w:rFonts w:ascii="宋体" w:hAnsi="宋体"/>
          <w:bCs/>
          <w:sz w:val="24"/>
          <w:lang w:eastAsia="zh-CN"/>
        </w:rPr>
      </w:pPr>
      <w:bookmarkStart w:id="323" w:name="_Hlk95467766"/>
      <w:r w:rsidRPr="00935780">
        <w:rPr>
          <w:rFonts w:ascii="宋体" w:hAnsi="宋体" w:hint="eastAsia"/>
          <w:bCs/>
          <w:sz w:val="24"/>
          <w:lang w:eastAsia="zh-CN"/>
        </w:rPr>
        <w:t>本基金的投资范围为具有良好流动性的金融工具，包括国内依法发行上市的股票（含创业板及其他经中国证监会允许上市的股票、存托凭证）、港股通标的股票、债券（包括国债、央行票据、金融债券、企业债券、公司债券、中期票据、短期融资券、超短期融资券、证券公司短期公司债券、公开发行的次级债券、政府支持债券、政府支持机构债券、地方政府债券、可转换债券（含分离交易可转债）、可交换债券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本基金可根据法律法规的规定参与融资业务。</w:t>
      </w:r>
    </w:p>
    <w:p w14:paraId="68FAAF42"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如法律法规或监管机构以后允许基金投资其他品种，基金管理人在履行适当程序后，可以将其纳入投资范围。</w:t>
      </w:r>
    </w:p>
    <w:p w14:paraId="74225B87"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本基金股票资产占基金资产的比例为60%-95%（投资于港股通标的股票的比例占股票资产的0-50%），投资于消费主题相关</w:t>
      </w:r>
      <w:r w:rsidR="00927CC1">
        <w:rPr>
          <w:rFonts w:ascii="宋体" w:hAnsi="宋体" w:hint="eastAsia"/>
          <w:bCs/>
          <w:sz w:val="24"/>
          <w:lang w:eastAsia="zh-CN"/>
        </w:rPr>
        <w:t>股票</w:t>
      </w:r>
      <w:r w:rsidRPr="00935780">
        <w:rPr>
          <w:rFonts w:ascii="宋体" w:hAnsi="宋体" w:hint="eastAsia"/>
          <w:bCs/>
          <w:sz w:val="24"/>
          <w:lang w:eastAsia="zh-CN"/>
        </w:rPr>
        <w:t>占非现金基金资产的比例不低于80%。</w:t>
      </w:r>
      <w:r w:rsidR="00253AFF" w:rsidRPr="00935780">
        <w:rPr>
          <w:rFonts w:ascii="宋体" w:hAnsi="宋体" w:hint="eastAsia"/>
          <w:bCs/>
          <w:sz w:val="24"/>
          <w:lang w:eastAsia="zh-CN"/>
        </w:rPr>
        <w:t>本基金</w:t>
      </w:r>
      <w:r w:rsidRPr="00935780">
        <w:rPr>
          <w:rFonts w:ascii="宋体" w:hAnsi="宋体" w:hint="eastAsia"/>
          <w:bCs/>
          <w:sz w:val="24"/>
          <w:lang w:eastAsia="zh-CN"/>
        </w:rPr>
        <w:t>每个交易日日终在扣除股指期货和国债期货合约需缴纳的交易保证金后，保持不低于基金资产净值5%的现金或者到期日在一年以内的政府债券</w:t>
      </w:r>
      <w:r w:rsidR="00253AFF">
        <w:rPr>
          <w:rFonts w:ascii="宋体" w:hAnsi="宋体" w:hint="eastAsia"/>
          <w:bCs/>
          <w:sz w:val="24"/>
          <w:lang w:eastAsia="zh-CN"/>
        </w:rPr>
        <w:t>；其中</w:t>
      </w:r>
      <w:r w:rsidRPr="00935780">
        <w:rPr>
          <w:rFonts w:ascii="宋体" w:hAnsi="宋体" w:hint="eastAsia"/>
          <w:bCs/>
          <w:sz w:val="24"/>
          <w:lang w:eastAsia="zh-CN"/>
        </w:rPr>
        <w:t>现金不包括结算备付金、存出保证金、应收申购款等。</w:t>
      </w:r>
    </w:p>
    <w:p w14:paraId="651E411A" w14:textId="77777777" w:rsidR="00935780" w:rsidRPr="00791723"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如法律法规或中国证监会变更投资品种的投资比例限制，基金管理人在履行适当程序后，可以调整上述投资品种的投资比例。</w:t>
      </w:r>
    </w:p>
    <w:p w14:paraId="54B47469" w14:textId="77777777" w:rsidR="004154D1" w:rsidRPr="00EC3B16" w:rsidRDefault="004154D1" w:rsidP="006F1164">
      <w:pPr>
        <w:spacing w:line="360" w:lineRule="auto"/>
        <w:ind w:firstLine="480"/>
        <w:jc w:val="both"/>
        <w:rPr>
          <w:rFonts w:ascii="宋体" w:hAnsi="宋体"/>
          <w:bCs/>
          <w:sz w:val="24"/>
          <w:lang w:eastAsia="zh-CN"/>
        </w:rPr>
      </w:pPr>
      <w:bookmarkStart w:id="324" w:name="_Hlk96347729"/>
      <w:bookmarkEnd w:id="323"/>
      <w:r w:rsidRPr="00EC3B16">
        <w:rPr>
          <w:rFonts w:ascii="宋体" w:hAnsi="宋体"/>
          <w:bCs/>
          <w:sz w:val="24"/>
          <w:lang w:eastAsia="zh-CN"/>
        </w:rPr>
        <w:t>三、投资策略</w:t>
      </w:r>
    </w:p>
    <w:p w14:paraId="29E2C48D" w14:textId="77777777" w:rsidR="00935780" w:rsidRPr="00935780" w:rsidRDefault="00935780" w:rsidP="00935780">
      <w:pPr>
        <w:spacing w:line="360" w:lineRule="auto"/>
        <w:ind w:firstLine="480"/>
        <w:jc w:val="both"/>
        <w:rPr>
          <w:rFonts w:ascii="宋体" w:hAnsi="宋体"/>
          <w:bCs/>
          <w:sz w:val="24"/>
          <w:lang w:eastAsia="zh-CN"/>
        </w:rPr>
      </w:pPr>
      <w:r>
        <w:rPr>
          <w:rFonts w:ascii="宋体" w:hAnsi="宋体" w:hint="eastAsia"/>
          <w:bCs/>
          <w:sz w:val="24"/>
          <w:lang w:eastAsia="zh-CN"/>
        </w:rPr>
        <w:t>（一）</w:t>
      </w:r>
      <w:r w:rsidRPr="00935780">
        <w:rPr>
          <w:rFonts w:ascii="宋体" w:hAnsi="宋体" w:hint="eastAsia"/>
          <w:bCs/>
          <w:sz w:val="24"/>
          <w:lang w:eastAsia="zh-CN"/>
        </w:rPr>
        <w:t>大类资产配置策略</w:t>
      </w:r>
    </w:p>
    <w:p w14:paraId="7B9B17FB"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在大类资产配置过程中，本基金将对宏观经济、国家政策、资金面和市场情绪等可能影响证券市场的重要因素进行研究。通过综合考虑相关类别资产的</w:t>
      </w:r>
      <w:r w:rsidRPr="00935780">
        <w:rPr>
          <w:rFonts w:ascii="宋体" w:hAnsi="宋体" w:hint="eastAsia"/>
          <w:bCs/>
          <w:sz w:val="24"/>
          <w:lang w:eastAsia="zh-CN"/>
        </w:rPr>
        <w:lastRenderedPageBreak/>
        <w:t>风险收益水平及市场走势，结合经济、金融的政策调整、环境改变及其发展趋势，动态调整股票、债券、货币市场工具等资产的配置比例，优化投资组合。</w:t>
      </w:r>
    </w:p>
    <w:p w14:paraId="07F3F252" w14:textId="77777777" w:rsidR="00935780" w:rsidRPr="00935780" w:rsidRDefault="00935780" w:rsidP="00935780">
      <w:pPr>
        <w:spacing w:line="360" w:lineRule="auto"/>
        <w:ind w:firstLine="480"/>
        <w:jc w:val="both"/>
        <w:rPr>
          <w:rFonts w:ascii="宋体" w:hAnsi="宋体"/>
          <w:bCs/>
          <w:sz w:val="24"/>
          <w:lang w:eastAsia="zh-CN"/>
        </w:rPr>
      </w:pPr>
      <w:r>
        <w:rPr>
          <w:rFonts w:ascii="宋体" w:hAnsi="宋体" w:hint="eastAsia"/>
          <w:bCs/>
          <w:sz w:val="24"/>
          <w:lang w:eastAsia="zh-CN"/>
        </w:rPr>
        <w:t>（二）</w:t>
      </w:r>
      <w:r w:rsidR="00946AA6" w:rsidRPr="00935780">
        <w:rPr>
          <w:rFonts w:ascii="宋体" w:hAnsi="宋体" w:hint="eastAsia"/>
          <w:bCs/>
          <w:sz w:val="24"/>
          <w:lang w:eastAsia="zh-CN"/>
        </w:rPr>
        <w:t>消费</w:t>
      </w:r>
      <w:r w:rsidR="00E56286">
        <w:rPr>
          <w:rFonts w:ascii="宋体" w:hAnsi="宋体" w:hint="eastAsia"/>
          <w:bCs/>
          <w:sz w:val="24"/>
          <w:lang w:eastAsia="zh-CN"/>
        </w:rPr>
        <w:t>升级</w:t>
      </w:r>
      <w:r w:rsidR="00946AA6" w:rsidRPr="00935780">
        <w:rPr>
          <w:rFonts w:ascii="宋体" w:hAnsi="宋体" w:hint="eastAsia"/>
          <w:bCs/>
          <w:sz w:val="24"/>
          <w:lang w:eastAsia="zh-CN"/>
        </w:rPr>
        <w:t>主题的定义</w:t>
      </w:r>
    </w:p>
    <w:p w14:paraId="34A3EA43" w14:textId="2A3CD592" w:rsidR="00D02346" w:rsidRPr="00D02346" w:rsidRDefault="00E56286" w:rsidP="00D02346">
      <w:pPr>
        <w:spacing w:line="360" w:lineRule="auto"/>
        <w:ind w:firstLine="480"/>
        <w:jc w:val="both"/>
        <w:rPr>
          <w:rFonts w:ascii="宋体" w:hAnsi="宋体"/>
          <w:bCs/>
          <w:sz w:val="24"/>
          <w:lang w:eastAsia="zh-CN"/>
        </w:rPr>
      </w:pPr>
      <w:r w:rsidRPr="00E56286">
        <w:rPr>
          <w:rFonts w:ascii="宋体" w:hAnsi="宋体" w:hint="eastAsia"/>
          <w:bCs/>
          <w:sz w:val="24"/>
          <w:lang w:eastAsia="zh-CN"/>
        </w:rPr>
        <w:t>本基金主要投资于消费升级主题相关上市公司，</w:t>
      </w:r>
      <w:r w:rsidR="00D02346" w:rsidRPr="00D02346">
        <w:rPr>
          <w:rFonts w:ascii="宋体" w:hAnsi="宋体" w:hint="eastAsia"/>
          <w:bCs/>
          <w:sz w:val="24"/>
          <w:lang w:eastAsia="zh-CN"/>
        </w:rPr>
        <w:t>本基金所定义的消费</w:t>
      </w:r>
      <w:r>
        <w:rPr>
          <w:rFonts w:ascii="宋体" w:hAnsi="宋体" w:hint="eastAsia"/>
          <w:bCs/>
          <w:sz w:val="24"/>
          <w:lang w:eastAsia="zh-CN"/>
        </w:rPr>
        <w:t>升级主题</w:t>
      </w:r>
      <w:r w:rsidR="00D02346" w:rsidRPr="00D02346">
        <w:rPr>
          <w:rFonts w:ascii="宋体" w:hAnsi="宋体" w:hint="eastAsia"/>
          <w:bCs/>
          <w:sz w:val="24"/>
          <w:lang w:eastAsia="zh-CN"/>
        </w:rPr>
        <w:t>相关行业</w:t>
      </w:r>
      <w:r>
        <w:rPr>
          <w:rFonts w:ascii="宋体" w:hAnsi="宋体" w:hint="eastAsia"/>
          <w:bCs/>
          <w:sz w:val="24"/>
          <w:lang w:eastAsia="zh-CN"/>
        </w:rPr>
        <w:t>指的是</w:t>
      </w:r>
      <w:r w:rsidR="00D02346" w:rsidRPr="00D02346">
        <w:rPr>
          <w:rFonts w:ascii="宋体" w:hAnsi="宋体" w:hint="eastAsia"/>
          <w:bCs/>
          <w:sz w:val="24"/>
          <w:lang w:eastAsia="zh-CN"/>
        </w:rPr>
        <w:t>在经济结构转型、人民收入水平提高和生活水准和各项需求不断提升的背景下，通过提供产品或服务不断满足且提升民众生活品质的消费行业。</w:t>
      </w:r>
    </w:p>
    <w:p w14:paraId="0F5EE835" w14:textId="77777777" w:rsidR="00D02346" w:rsidRPr="00D02346" w:rsidRDefault="00D02346" w:rsidP="00D02346">
      <w:pPr>
        <w:spacing w:line="360" w:lineRule="auto"/>
        <w:ind w:firstLine="480"/>
        <w:jc w:val="both"/>
        <w:rPr>
          <w:rFonts w:ascii="宋体" w:hAnsi="宋体"/>
          <w:bCs/>
          <w:sz w:val="24"/>
          <w:lang w:eastAsia="zh-CN"/>
        </w:rPr>
      </w:pPr>
      <w:r w:rsidRPr="00D02346">
        <w:rPr>
          <w:rFonts w:ascii="宋体" w:hAnsi="宋体" w:hint="eastAsia"/>
          <w:bCs/>
          <w:sz w:val="24"/>
          <w:lang w:eastAsia="zh-CN"/>
        </w:rPr>
        <w:t>具体而言，本基金所指的消费相关行业包括：</w:t>
      </w:r>
    </w:p>
    <w:p w14:paraId="46FEE0E4" w14:textId="18C5945A" w:rsidR="00D02346" w:rsidRPr="00D02346" w:rsidRDefault="00D02346" w:rsidP="00D02346">
      <w:pPr>
        <w:spacing w:line="360" w:lineRule="auto"/>
        <w:ind w:firstLine="480"/>
        <w:jc w:val="both"/>
        <w:rPr>
          <w:rFonts w:ascii="宋体" w:hAnsi="宋体"/>
          <w:bCs/>
          <w:sz w:val="24"/>
          <w:lang w:eastAsia="zh-CN"/>
        </w:rPr>
      </w:pPr>
      <w:r w:rsidRPr="00D02346">
        <w:rPr>
          <w:rFonts w:ascii="宋体" w:hAnsi="宋体" w:hint="eastAsia"/>
          <w:bCs/>
          <w:sz w:val="24"/>
          <w:lang w:eastAsia="zh-CN"/>
        </w:rPr>
        <w:t>1</w:t>
      </w:r>
      <w:r w:rsidR="006102FD">
        <w:rPr>
          <w:rFonts w:ascii="宋体" w:hAnsi="宋体" w:hint="eastAsia"/>
          <w:bCs/>
          <w:sz w:val="24"/>
          <w:lang w:eastAsia="zh-CN"/>
        </w:rPr>
        <w:t>、</w:t>
      </w:r>
      <w:r w:rsidRPr="00D02346">
        <w:rPr>
          <w:rFonts w:ascii="宋体" w:hAnsi="宋体" w:hint="eastAsia"/>
          <w:bCs/>
          <w:sz w:val="24"/>
          <w:lang w:eastAsia="zh-CN"/>
        </w:rPr>
        <w:t>主要消费行业：与居民基本生活需求高度相关的商品或服务的行业，包括</w:t>
      </w:r>
      <w:r w:rsidR="001C0E45" w:rsidRPr="001C0E45">
        <w:rPr>
          <w:rFonts w:ascii="宋体" w:hAnsi="宋体" w:hint="eastAsia"/>
          <w:bCs/>
          <w:sz w:val="24"/>
          <w:lang w:eastAsia="zh-CN"/>
        </w:rPr>
        <w:t>纺织服饰、食品饮料、</w:t>
      </w:r>
      <w:r w:rsidR="00845BA1" w:rsidRPr="001C0E45">
        <w:rPr>
          <w:rFonts w:ascii="宋体" w:hAnsi="宋体" w:hint="eastAsia"/>
          <w:bCs/>
          <w:sz w:val="24"/>
          <w:lang w:eastAsia="zh-CN"/>
        </w:rPr>
        <w:t>家用电器、</w:t>
      </w:r>
      <w:r w:rsidR="001C0E45" w:rsidRPr="001C0E45">
        <w:rPr>
          <w:rFonts w:ascii="宋体" w:hAnsi="宋体" w:hint="eastAsia"/>
          <w:bCs/>
          <w:sz w:val="24"/>
          <w:lang w:eastAsia="zh-CN"/>
        </w:rPr>
        <w:t>农林牧渔</w:t>
      </w:r>
      <w:r w:rsidR="00845BA1" w:rsidRPr="001C0E45">
        <w:rPr>
          <w:rFonts w:ascii="宋体" w:hAnsi="宋体" w:hint="eastAsia"/>
          <w:bCs/>
          <w:sz w:val="24"/>
          <w:lang w:eastAsia="zh-CN"/>
        </w:rPr>
        <w:t>、</w:t>
      </w:r>
      <w:r w:rsidR="00845BA1">
        <w:rPr>
          <w:rFonts w:ascii="宋体" w:hAnsi="宋体" w:hint="eastAsia"/>
          <w:bCs/>
          <w:sz w:val="24"/>
          <w:lang w:eastAsia="zh-CN"/>
        </w:rPr>
        <w:t>建筑材料</w:t>
      </w:r>
      <w:r w:rsidR="001C0E45" w:rsidRPr="001C0E45">
        <w:rPr>
          <w:rFonts w:ascii="宋体" w:hAnsi="宋体" w:hint="eastAsia"/>
          <w:bCs/>
          <w:sz w:val="24"/>
          <w:lang w:eastAsia="zh-CN"/>
        </w:rPr>
        <w:t>、</w:t>
      </w:r>
      <w:r w:rsidR="004C44A9" w:rsidRPr="001C0E45">
        <w:rPr>
          <w:rFonts w:ascii="宋体" w:hAnsi="宋体" w:hint="eastAsia"/>
          <w:bCs/>
          <w:sz w:val="24"/>
          <w:lang w:eastAsia="zh-CN"/>
        </w:rPr>
        <w:t>轻工制造</w:t>
      </w:r>
      <w:r w:rsidR="004C44A9" w:rsidRPr="00D02346">
        <w:rPr>
          <w:rFonts w:ascii="宋体" w:hAnsi="宋体" w:hint="eastAsia"/>
          <w:bCs/>
          <w:sz w:val="24"/>
          <w:lang w:eastAsia="zh-CN"/>
        </w:rPr>
        <w:t>、</w:t>
      </w:r>
      <w:r w:rsidR="0037778C" w:rsidRPr="001C0E45">
        <w:rPr>
          <w:rFonts w:ascii="宋体" w:hAnsi="宋体" w:hint="eastAsia"/>
          <w:bCs/>
          <w:sz w:val="24"/>
          <w:lang w:eastAsia="zh-CN"/>
        </w:rPr>
        <w:t>商贸零售、</w:t>
      </w:r>
      <w:r w:rsidR="001C0E45" w:rsidRPr="001C0E45">
        <w:rPr>
          <w:rFonts w:ascii="宋体" w:hAnsi="宋体" w:hint="eastAsia"/>
          <w:bCs/>
          <w:sz w:val="24"/>
          <w:lang w:eastAsia="zh-CN"/>
        </w:rPr>
        <w:t>交通运输</w:t>
      </w:r>
      <w:r w:rsidRPr="00D02346">
        <w:rPr>
          <w:rFonts w:ascii="宋体" w:hAnsi="宋体" w:hint="eastAsia"/>
          <w:bCs/>
          <w:sz w:val="24"/>
          <w:lang w:eastAsia="zh-CN"/>
        </w:rPr>
        <w:t>。</w:t>
      </w:r>
    </w:p>
    <w:p w14:paraId="3B06680A" w14:textId="62A9FD8B" w:rsidR="00927CC1" w:rsidRDefault="00D02346" w:rsidP="00D02346">
      <w:pPr>
        <w:spacing w:line="360" w:lineRule="auto"/>
        <w:ind w:firstLine="480"/>
        <w:jc w:val="both"/>
        <w:rPr>
          <w:rFonts w:ascii="宋体" w:hAnsi="宋体"/>
          <w:bCs/>
          <w:sz w:val="24"/>
          <w:lang w:eastAsia="zh-CN"/>
        </w:rPr>
      </w:pPr>
      <w:r w:rsidRPr="00D02346">
        <w:rPr>
          <w:rFonts w:ascii="宋体" w:hAnsi="宋体" w:hint="eastAsia"/>
          <w:bCs/>
          <w:sz w:val="24"/>
          <w:lang w:eastAsia="zh-CN"/>
        </w:rPr>
        <w:t>2</w:t>
      </w:r>
      <w:r w:rsidR="006102FD">
        <w:rPr>
          <w:rFonts w:ascii="宋体" w:hAnsi="宋体" w:hint="eastAsia"/>
          <w:bCs/>
          <w:sz w:val="24"/>
          <w:lang w:eastAsia="zh-CN"/>
        </w:rPr>
        <w:t>、</w:t>
      </w:r>
      <w:r w:rsidRPr="00D02346">
        <w:rPr>
          <w:rFonts w:ascii="宋体" w:hAnsi="宋体" w:hint="eastAsia"/>
          <w:bCs/>
          <w:sz w:val="24"/>
          <w:lang w:eastAsia="zh-CN"/>
        </w:rPr>
        <w:t>可选消费行业：为改善居民生活水平的可选择性的商品或服务的行业，包括</w:t>
      </w:r>
      <w:r w:rsidRPr="001C0E45">
        <w:rPr>
          <w:rFonts w:ascii="宋体" w:hAnsi="宋体" w:hint="eastAsia"/>
          <w:bCs/>
          <w:sz w:val="24"/>
          <w:lang w:eastAsia="zh-CN"/>
        </w:rPr>
        <w:t>汽车</w:t>
      </w:r>
      <w:r w:rsidRPr="00D02346">
        <w:rPr>
          <w:rFonts w:ascii="宋体" w:hAnsi="宋体" w:hint="eastAsia"/>
          <w:bCs/>
          <w:sz w:val="24"/>
          <w:lang w:eastAsia="zh-CN"/>
        </w:rPr>
        <w:t>、</w:t>
      </w:r>
      <w:r w:rsidR="004C44A9" w:rsidRPr="001C0E45">
        <w:rPr>
          <w:rFonts w:ascii="宋体" w:hAnsi="宋体" w:hint="eastAsia"/>
          <w:bCs/>
          <w:sz w:val="24"/>
          <w:lang w:eastAsia="zh-CN"/>
        </w:rPr>
        <w:t>电子</w:t>
      </w:r>
      <w:r w:rsidR="004C44A9" w:rsidRPr="00D02346">
        <w:rPr>
          <w:rFonts w:ascii="宋体" w:hAnsi="宋体" w:hint="eastAsia"/>
          <w:bCs/>
          <w:sz w:val="24"/>
          <w:lang w:eastAsia="zh-CN"/>
        </w:rPr>
        <w:t>、</w:t>
      </w:r>
      <w:r w:rsidRPr="001C0E45">
        <w:rPr>
          <w:rFonts w:ascii="宋体" w:hAnsi="宋体" w:hint="eastAsia"/>
          <w:bCs/>
          <w:sz w:val="24"/>
          <w:lang w:eastAsia="zh-CN"/>
        </w:rPr>
        <w:t>社会服务</w:t>
      </w:r>
      <w:r w:rsidRPr="00D02346">
        <w:rPr>
          <w:rFonts w:ascii="宋体" w:hAnsi="宋体" w:hint="eastAsia"/>
          <w:bCs/>
          <w:sz w:val="24"/>
          <w:lang w:eastAsia="zh-CN"/>
        </w:rPr>
        <w:t>、</w:t>
      </w:r>
      <w:r w:rsidRPr="001C0E45">
        <w:rPr>
          <w:rFonts w:ascii="宋体" w:hAnsi="宋体" w:hint="eastAsia"/>
          <w:bCs/>
          <w:sz w:val="24"/>
          <w:lang w:eastAsia="zh-CN"/>
        </w:rPr>
        <w:t>传媒</w:t>
      </w:r>
      <w:r w:rsidRPr="00D02346">
        <w:rPr>
          <w:rFonts w:ascii="宋体" w:hAnsi="宋体" w:hint="eastAsia"/>
          <w:bCs/>
          <w:sz w:val="24"/>
          <w:lang w:eastAsia="zh-CN"/>
        </w:rPr>
        <w:t>。</w:t>
      </w:r>
    </w:p>
    <w:p w14:paraId="7FD21FF8" w14:textId="77777777" w:rsidR="00F370B0" w:rsidRPr="00927CC1" w:rsidRDefault="00F370B0" w:rsidP="00927CC1">
      <w:pPr>
        <w:spacing w:line="360" w:lineRule="auto"/>
        <w:ind w:firstLine="480"/>
        <w:jc w:val="both"/>
        <w:rPr>
          <w:rFonts w:ascii="宋体" w:hAnsi="宋体"/>
          <w:bCs/>
          <w:sz w:val="24"/>
          <w:lang w:eastAsia="zh-CN"/>
        </w:rPr>
      </w:pPr>
      <w:r w:rsidRPr="00F370B0">
        <w:rPr>
          <w:rFonts w:ascii="宋体" w:hAnsi="宋体" w:hint="eastAsia"/>
          <w:bCs/>
          <w:sz w:val="24"/>
          <w:lang w:eastAsia="zh-CN"/>
        </w:rPr>
        <w:t>如果未来居民需求变化和行业发展趋势导致本基金对相关行业的界定范围发生变动，基金管理人在履行适当程序后，可以根据实际情况对消费主题的界定标准进行调整。</w:t>
      </w:r>
    </w:p>
    <w:p w14:paraId="3B217337" w14:textId="77777777" w:rsidR="00946AA6" w:rsidRPr="00935780" w:rsidRDefault="00946AA6" w:rsidP="00946AA6">
      <w:pPr>
        <w:spacing w:line="360" w:lineRule="auto"/>
        <w:ind w:firstLine="480"/>
        <w:jc w:val="both"/>
        <w:rPr>
          <w:rFonts w:ascii="宋体" w:hAnsi="宋体"/>
          <w:bCs/>
          <w:sz w:val="24"/>
          <w:lang w:eastAsia="zh-CN"/>
        </w:rPr>
      </w:pPr>
      <w:r>
        <w:rPr>
          <w:rFonts w:ascii="宋体" w:hAnsi="宋体" w:hint="eastAsia"/>
          <w:bCs/>
          <w:sz w:val="24"/>
          <w:lang w:eastAsia="zh-CN"/>
        </w:rPr>
        <w:t>（三）</w:t>
      </w:r>
      <w:r w:rsidRPr="00935780">
        <w:rPr>
          <w:rFonts w:ascii="宋体" w:hAnsi="宋体" w:hint="eastAsia"/>
          <w:bCs/>
          <w:sz w:val="24"/>
          <w:lang w:eastAsia="zh-CN"/>
        </w:rPr>
        <w:t>股票投资策略</w:t>
      </w:r>
    </w:p>
    <w:p w14:paraId="0D4DE438" w14:textId="77777777" w:rsidR="00935780" w:rsidRPr="00935780" w:rsidRDefault="00946AA6" w:rsidP="00935780">
      <w:pPr>
        <w:spacing w:line="360" w:lineRule="auto"/>
        <w:ind w:firstLine="480"/>
        <w:jc w:val="both"/>
        <w:rPr>
          <w:rFonts w:ascii="宋体" w:hAnsi="宋体"/>
          <w:bCs/>
          <w:sz w:val="24"/>
          <w:lang w:eastAsia="zh-CN"/>
        </w:rPr>
      </w:pPr>
      <w:r>
        <w:rPr>
          <w:rFonts w:ascii="宋体" w:hAnsi="宋体"/>
          <w:bCs/>
          <w:sz w:val="24"/>
          <w:lang w:eastAsia="zh-CN"/>
        </w:rPr>
        <w:t>1</w:t>
      </w:r>
      <w:r w:rsidR="00935780">
        <w:rPr>
          <w:rFonts w:ascii="宋体" w:hAnsi="宋体" w:hint="eastAsia"/>
          <w:bCs/>
          <w:sz w:val="24"/>
          <w:lang w:eastAsia="zh-CN"/>
        </w:rPr>
        <w:t>、</w:t>
      </w:r>
      <w:r w:rsidR="00935780" w:rsidRPr="00935780">
        <w:rPr>
          <w:rFonts w:ascii="宋体" w:hAnsi="宋体" w:hint="eastAsia"/>
          <w:bCs/>
          <w:sz w:val="24"/>
          <w:lang w:eastAsia="zh-CN"/>
        </w:rPr>
        <w:t>股票投资策略</w:t>
      </w:r>
    </w:p>
    <w:p w14:paraId="0038E6A7"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本基金通过“自上而下”和“自下而上”相结合的方法挖掘出优质上市公司，构建股票投资组合。</w:t>
      </w:r>
    </w:p>
    <w:p w14:paraId="21F551E3"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行业配置方面，本基金通过“自上而下”的方法进行分析，从国家政策、产业周期、行业发展趋势、行业竞争格局、行业估值水平等维度对相关子行业进行评估判断，初步确定相关行业的投资价值和配置建议。然后根据公司投研团队的分析建议，结合市场投资环境的判断进一步确定各子行业的配置比例，并动态调整行业配置比例。</w:t>
      </w:r>
    </w:p>
    <w:p w14:paraId="5B53344D"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个股选择方面，本基金将从定量和定性两个方面对标的股票进行“自下而上”分析，筛选出具备核心竞争优势、发展空间大、有持续成长潜力的公司。定量分析方面，本基金主要从成长性、研发能力、估值水平等方面对备选股票池中标的公司进行综合评价，参考选股指标包括但不限于主营业务收入增长</w:t>
      </w:r>
      <w:r w:rsidRPr="00935780">
        <w:rPr>
          <w:rFonts w:ascii="宋体" w:hAnsi="宋体" w:hint="eastAsia"/>
          <w:bCs/>
          <w:sz w:val="24"/>
          <w:lang w:eastAsia="zh-CN"/>
        </w:rPr>
        <w:lastRenderedPageBreak/>
        <w:t>率、主营业务利润增长率、净资产收益率（ROE）、毛利率、研发支出总额占营业收入比例、市盈率、市净率等。定性分析方面，本基金重点考察标的公司行业地位、所处行业前景、产品技术含量、技术发展前景、财务管理和治理结构等方面的能力。</w:t>
      </w:r>
    </w:p>
    <w:p w14:paraId="220A5719" w14:textId="77777777" w:rsidR="00935780" w:rsidRPr="00935780" w:rsidRDefault="00946AA6" w:rsidP="00935780">
      <w:pPr>
        <w:spacing w:line="360" w:lineRule="auto"/>
        <w:ind w:firstLine="480"/>
        <w:jc w:val="both"/>
        <w:rPr>
          <w:rFonts w:ascii="宋体" w:hAnsi="宋体"/>
          <w:bCs/>
          <w:sz w:val="24"/>
          <w:lang w:eastAsia="zh-CN"/>
        </w:rPr>
      </w:pPr>
      <w:r>
        <w:rPr>
          <w:rFonts w:ascii="宋体" w:hAnsi="宋体"/>
          <w:bCs/>
          <w:sz w:val="24"/>
          <w:lang w:eastAsia="zh-CN"/>
        </w:rPr>
        <w:t>2</w:t>
      </w:r>
      <w:r w:rsidR="00935780">
        <w:rPr>
          <w:rFonts w:ascii="宋体" w:hAnsi="宋体" w:hint="eastAsia"/>
          <w:bCs/>
          <w:sz w:val="24"/>
          <w:lang w:eastAsia="zh-CN"/>
        </w:rPr>
        <w:t>、</w:t>
      </w:r>
      <w:r w:rsidR="00935780" w:rsidRPr="00935780">
        <w:rPr>
          <w:rFonts w:ascii="宋体" w:hAnsi="宋体" w:hint="eastAsia"/>
          <w:bCs/>
          <w:sz w:val="24"/>
          <w:lang w:eastAsia="zh-CN"/>
        </w:rPr>
        <w:t>港股通投资标的股票投资策略</w:t>
      </w:r>
    </w:p>
    <w:p w14:paraId="01BC2DDB"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本基金将通过内地与香港股票市场交易互联互通机制投资于香港股票市场，通过对行业分布、交易制度、市场流动性、投资者结构、市场波动性、涨跌停限制、估值与盈利回报等方面选择有估值优势与投资价值的标的股票。</w:t>
      </w:r>
    </w:p>
    <w:p w14:paraId="2B37E0E2" w14:textId="77777777" w:rsidR="00935780" w:rsidRPr="00935780" w:rsidRDefault="00946AA6" w:rsidP="00935780">
      <w:pPr>
        <w:spacing w:line="360" w:lineRule="auto"/>
        <w:ind w:firstLine="480"/>
        <w:jc w:val="both"/>
        <w:rPr>
          <w:rFonts w:ascii="宋体" w:hAnsi="宋体"/>
          <w:bCs/>
          <w:sz w:val="24"/>
          <w:lang w:eastAsia="zh-CN"/>
        </w:rPr>
      </w:pPr>
      <w:r>
        <w:rPr>
          <w:rFonts w:ascii="宋体" w:hAnsi="宋体"/>
          <w:bCs/>
          <w:sz w:val="24"/>
          <w:lang w:eastAsia="zh-CN"/>
        </w:rPr>
        <w:t>3</w:t>
      </w:r>
      <w:r w:rsidR="00935780">
        <w:rPr>
          <w:rFonts w:ascii="宋体" w:hAnsi="宋体" w:hint="eastAsia"/>
          <w:bCs/>
          <w:sz w:val="24"/>
          <w:lang w:eastAsia="zh-CN"/>
        </w:rPr>
        <w:t>、</w:t>
      </w:r>
      <w:r w:rsidR="00935780" w:rsidRPr="00935780">
        <w:rPr>
          <w:rFonts w:ascii="宋体" w:hAnsi="宋体" w:hint="eastAsia"/>
          <w:bCs/>
          <w:sz w:val="24"/>
          <w:lang w:eastAsia="zh-CN"/>
        </w:rPr>
        <w:t>存托凭证投资策略</w:t>
      </w:r>
    </w:p>
    <w:p w14:paraId="19BB0C08"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对于存托凭证投资，本基金将在深入研究的基础上，通过定性分析和定量分析相结合的方式，筛选具有比较优势的存托凭证作为投资标的。</w:t>
      </w:r>
    </w:p>
    <w:p w14:paraId="37C955CA" w14:textId="77777777" w:rsidR="00935780" w:rsidRPr="00935780" w:rsidRDefault="00935780" w:rsidP="00935780">
      <w:pPr>
        <w:spacing w:line="360" w:lineRule="auto"/>
        <w:ind w:firstLine="480"/>
        <w:jc w:val="both"/>
        <w:rPr>
          <w:rFonts w:ascii="宋体" w:hAnsi="宋体"/>
          <w:bCs/>
          <w:sz w:val="24"/>
          <w:lang w:eastAsia="zh-CN"/>
        </w:rPr>
      </w:pPr>
      <w:r>
        <w:rPr>
          <w:rFonts w:ascii="宋体" w:hAnsi="宋体" w:hint="eastAsia"/>
          <w:bCs/>
          <w:sz w:val="24"/>
          <w:lang w:eastAsia="zh-CN"/>
        </w:rPr>
        <w:t>（</w:t>
      </w:r>
      <w:r w:rsidR="00065624">
        <w:rPr>
          <w:rFonts w:ascii="宋体" w:hAnsi="宋体" w:hint="eastAsia"/>
          <w:bCs/>
          <w:sz w:val="24"/>
          <w:lang w:eastAsia="zh-CN"/>
        </w:rPr>
        <w:t>四</w:t>
      </w:r>
      <w:r>
        <w:rPr>
          <w:rFonts w:ascii="宋体" w:hAnsi="宋体" w:hint="eastAsia"/>
          <w:bCs/>
          <w:sz w:val="24"/>
          <w:lang w:eastAsia="zh-CN"/>
        </w:rPr>
        <w:t>）</w:t>
      </w:r>
      <w:r w:rsidRPr="00935780">
        <w:rPr>
          <w:rFonts w:ascii="宋体" w:hAnsi="宋体" w:hint="eastAsia"/>
          <w:bCs/>
          <w:sz w:val="24"/>
          <w:lang w:eastAsia="zh-CN"/>
        </w:rPr>
        <w:t>债券投资策略</w:t>
      </w:r>
    </w:p>
    <w:p w14:paraId="41ECF9C7"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本基金将以价值分析为主线，主要通过类属配置与债券选择两个层次进行投资管理。在类属配置层次，结合对宏观经济、市场利率、债券供求等因素的综合分析，根据交易所市场与银行间市场类属资产的风险收益特征，定期对投资组合类属资产进行优化配置和调整，确定类属资产的最优权重。在券种选择上，以中长期利率趋势分析为基础，结合经济趋势、货币政策及不同债券品种的收益率水平、流动性和信用风险等因素，重点选择流动性较好、风险水平合理、到期收益率与信用质量相对较高的债券品种。</w:t>
      </w:r>
    </w:p>
    <w:p w14:paraId="3B372780"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对于可转换债券和可交换债券的投资，由于可转换债券、可交换债券兼备权益类证券与固定收益类证券的特性，具有抵御下行风险、分享股票价格上涨收益的特点，因此本基金将通过相对价值分析、基本面研究、估值分析、债券条款分析，选择公司基本素质优良、其对应的基础证券有着较高上涨潜力的可转换债券和可交换债券进行投资。</w:t>
      </w:r>
    </w:p>
    <w:p w14:paraId="4DF33C08" w14:textId="77777777" w:rsidR="00935780" w:rsidRPr="00935780" w:rsidRDefault="00935780" w:rsidP="00935780">
      <w:pPr>
        <w:spacing w:line="360" w:lineRule="auto"/>
        <w:ind w:firstLine="480"/>
        <w:jc w:val="both"/>
        <w:rPr>
          <w:rFonts w:ascii="宋体" w:hAnsi="宋体"/>
          <w:bCs/>
          <w:sz w:val="24"/>
          <w:lang w:eastAsia="zh-CN"/>
        </w:rPr>
      </w:pPr>
      <w:r>
        <w:rPr>
          <w:rFonts w:ascii="宋体" w:hAnsi="宋体" w:hint="eastAsia"/>
          <w:bCs/>
          <w:sz w:val="24"/>
          <w:lang w:eastAsia="zh-CN"/>
        </w:rPr>
        <w:t>（</w:t>
      </w:r>
      <w:r w:rsidR="00065624">
        <w:rPr>
          <w:rFonts w:ascii="宋体" w:hAnsi="宋体" w:hint="eastAsia"/>
          <w:bCs/>
          <w:sz w:val="24"/>
          <w:lang w:eastAsia="zh-CN"/>
        </w:rPr>
        <w:t>五</w:t>
      </w:r>
      <w:r>
        <w:rPr>
          <w:rFonts w:ascii="宋体" w:hAnsi="宋体" w:hint="eastAsia"/>
          <w:bCs/>
          <w:sz w:val="24"/>
          <w:lang w:eastAsia="zh-CN"/>
        </w:rPr>
        <w:t>）</w:t>
      </w:r>
      <w:r w:rsidRPr="00935780">
        <w:rPr>
          <w:rFonts w:ascii="宋体" w:hAnsi="宋体" w:hint="eastAsia"/>
          <w:bCs/>
          <w:sz w:val="24"/>
          <w:lang w:eastAsia="zh-CN"/>
        </w:rPr>
        <w:t>资产支持证券投资策略</w:t>
      </w:r>
    </w:p>
    <w:p w14:paraId="0752D347"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资产支持证券是指由金融机构作为发起机构，将信贷资产等具有稳定现金流的资产信托给受托机构，由受托机构向投资机构发行，以该财产所产生的现金支付其收益的证券。本基金通过对资产池结构和质量的跟踪考察、分析资产</w:t>
      </w:r>
      <w:r w:rsidRPr="00935780">
        <w:rPr>
          <w:rFonts w:ascii="宋体" w:hAnsi="宋体" w:hint="eastAsia"/>
          <w:bCs/>
          <w:sz w:val="24"/>
          <w:lang w:eastAsia="zh-CN"/>
        </w:rPr>
        <w:lastRenderedPageBreak/>
        <w:t>支持证券的发行条款、预估提前偿还率变化对资产支持证券未来现金流的影响，谨慎投资资产支持证券。</w:t>
      </w:r>
    </w:p>
    <w:p w14:paraId="0F801281" w14:textId="77777777" w:rsidR="00935780" w:rsidRPr="00935780" w:rsidRDefault="00935780" w:rsidP="00935780">
      <w:pPr>
        <w:spacing w:line="360" w:lineRule="auto"/>
        <w:ind w:firstLine="480"/>
        <w:jc w:val="both"/>
        <w:rPr>
          <w:rFonts w:ascii="宋体" w:hAnsi="宋体"/>
          <w:bCs/>
          <w:sz w:val="24"/>
          <w:lang w:eastAsia="zh-CN"/>
        </w:rPr>
      </w:pPr>
      <w:r>
        <w:rPr>
          <w:rFonts w:ascii="宋体" w:hAnsi="宋体" w:hint="eastAsia"/>
          <w:bCs/>
          <w:sz w:val="24"/>
          <w:lang w:eastAsia="zh-CN"/>
        </w:rPr>
        <w:t>（</w:t>
      </w:r>
      <w:r w:rsidR="00065624">
        <w:rPr>
          <w:rFonts w:ascii="宋体" w:hAnsi="宋体" w:hint="eastAsia"/>
          <w:bCs/>
          <w:sz w:val="24"/>
          <w:lang w:eastAsia="zh-CN"/>
        </w:rPr>
        <w:t>六</w:t>
      </w:r>
      <w:r>
        <w:rPr>
          <w:rFonts w:ascii="宋体" w:hAnsi="宋体" w:hint="eastAsia"/>
          <w:bCs/>
          <w:sz w:val="24"/>
          <w:lang w:eastAsia="zh-CN"/>
        </w:rPr>
        <w:t>）</w:t>
      </w:r>
      <w:r w:rsidRPr="00935780">
        <w:rPr>
          <w:rFonts w:ascii="宋体" w:hAnsi="宋体" w:hint="eastAsia"/>
          <w:bCs/>
          <w:sz w:val="24"/>
          <w:lang w:eastAsia="zh-CN"/>
        </w:rPr>
        <w:t>国债期货投资策略</w:t>
      </w:r>
    </w:p>
    <w:p w14:paraId="3F528BD2"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本基金在进行国债期货投资时，将根据风险管理原则，以套期保值为目的，采用流动性好、交易活跃的期货合约，通过对基本面和资金面的分析，对国债市场走势做出判断，以作为确定国债期货的头寸方向和额度的依据，通过多头或空头套期保值等策略进行套期保值操作。基金管理人将充分考虑国债期货的收益性、流动性及风险性特征，运用国债期货对冲系统风险，以达到降低投资组合的整体风险的目的。</w:t>
      </w:r>
    </w:p>
    <w:p w14:paraId="5CCAD087" w14:textId="77777777" w:rsidR="00935780" w:rsidRPr="00935780" w:rsidRDefault="00935780" w:rsidP="00935780">
      <w:pPr>
        <w:spacing w:line="360" w:lineRule="auto"/>
        <w:ind w:firstLine="480"/>
        <w:jc w:val="both"/>
        <w:rPr>
          <w:rFonts w:ascii="宋体" w:hAnsi="宋体"/>
          <w:bCs/>
          <w:sz w:val="24"/>
          <w:lang w:eastAsia="zh-CN"/>
        </w:rPr>
      </w:pPr>
      <w:r>
        <w:rPr>
          <w:rFonts w:ascii="宋体" w:hAnsi="宋体" w:hint="eastAsia"/>
          <w:bCs/>
          <w:sz w:val="24"/>
          <w:lang w:eastAsia="zh-CN"/>
        </w:rPr>
        <w:t>（</w:t>
      </w:r>
      <w:r w:rsidR="00065624">
        <w:rPr>
          <w:rFonts w:ascii="宋体" w:hAnsi="宋体" w:hint="eastAsia"/>
          <w:bCs/>
          <w:sz w:val="24"/>
          <w:lang w:eastAsia="zh-CN"/>
        </w:rPr>
        <w:t>七</w:t>
      </w:r>
      <w:r>
        <w:rPr>
          <w:rFonts w:ascii="宋体" w:hAnsi="宋体" w:hint="eastAsia"/>
          <w:bCs/>
          <w:sz w:val="24"/>
          <w:lang w:eastAsia="zh-CN"/>
        </w:rPr>
        <w:t>）</w:t>
      </w:r>
      <w:r w:rsidRPr="00935780">
        <w:rPr>
          <w:rFonts w:ascii="宋体" w:hAnsi="宋体" w:hint="eastAsia"/>
          <w:bCs/>
          <w:sz w:val="24"/>
          <w:lang w:eastAsia="zh-CN"/>
        </w:rPr>
        <w:t>股指期货投资策略</w:t>
      </w:r>
    </w:p>
    <w:p w14:paraId="6BAEB1B1"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本基金管理人将根据风险管理原则，以套期保值为目的，充分考虑股指期货的收益性、流动性及风险特征，通过资产配置、品种选择，谨慎进行投资，旨在通过股指期货实现基金的套期保值。</w:t>
      </w:r>
    </w:p>
    <w:p w14:paraId="27E3CDA9" w14:textId="77777777" w:rsidR="00935780" w:rsidRPr="00935780" w:rsidRDefault="00935780" w:rsidP="00935780">
      <w:pPr>
        <w:spacing w:line="360" w:lineRule="auto"/>
        <w:ind w:firstLine="480"/>
        <w:jc w:val="both"/>
        <w:rPr>
          <w:rFonts w:ascii="宋体" w:hAnsi="宋体"/>
          <w:bCs/>
          <w:sz w:val="24"/>
          <w:lang w:eastAsia="zh-CN"/>
        </w:rPr>
      </w:pPr>
      <w:r>
        <w:rPr>
          <w:rFonts w:ascii="宋体" w:hAnsi="宋体" w:hint="eastAsia"/>
          <w:bCs/>
          <w:sz w:val="24"/>
          <w:lang w:eastAsia="zh-CN"/>
        </w:rPr>
        <w:t>1、</w:t>
      </w:r>
      <w:r w:rsidRPr="00935780">
        <w:rPr>
          <w:rFonts w:ascii="宋体" w:hAnsi="宋体" w:hint="eastAsia"/>
          <w:bCs/>
          <w:sz w:val="24"/>
          <w:lang w:eastAsia="zh-CN"/>
        </w:rPr>
        <w:t>套保时机选择策略</w:t>
      </w:r>
    </w:p>
    <w:p w14:paraId="695597B2"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根据本基金对经济周期运行不同阶段的预测和对市场情绪、估值指标的跟踪分析，决定是否对投资组合进行套期保值以及套期保值的现货标的及其比例。</w:t>
      </w:r>
    </w:p>
    <w:p w14:paraId="13A97690" w14:textId="77777777" w:rsidR="00935780" w:rsidRPr="00935780" w:rsidRDefault="00935780" w:rsidP="00935780">
      <w:pPr>
        <w:spacing w:line="360" w:lineRule="auto"/>
        <w:ind w:firstLine="480"/>
        <w:jc w:val="both"/>
        <w:rPr>
          <w:rFonts w:ascii="宋体" w:hAnsi="宋体"/>
          <w:bCs/>
          <w:sz w:val="24"/>
          <w:lang w:eastAsia="zh-CN"/>
        </w:rPr>
      </w:pPr>
      <w:r>
        <w:rPr>
          <w:rFonts w:ascii="宋体" w:hAnsi="宋体" w:hint="eastAsia"/>
          <w:bCs/>
          <w:sz w:val="24"/>
          <w:lang w:eastAsia="zh-CN"/>
        </w:rPr>
        <w:t>2、</w:t>
      </w:r>
      <w:r w:rsidRPr="00935780">
        <w:rPr>
          <w:rFonts w:ascii="宋体" w:hAnsi="宋体" w:hint="eastAsia"/>
          <w:bCs/>
          <w:sz w:val="24"/>
          <w:lang w:eastAsia="zh-CN"/>
        </w:rPr>
        <w:t>期货合约选择和头寸选择策略</w:t>
      </w:r>
    </w:p>
    <w:p w14:paraId="67361F31"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在套期保值的现货标的确认之后，根据期货合约的基差水平、流动性等因素选择合适的期货合约；运用多种量化模型计算套期保值所需的期货合约头寸；对套期保值的现货标的Beta值进行动态的跟踪，动态调整套期保值的期货头寸。</w:t>
      </w:r>
    </w:p>
    <w:p w14:paraId="22579370" w14:textId="77777777" w:rsidR="00935780" w:rsidRPr="00935780" w:rsidRDefault="00935780" w:rsidP="00935780">
      <w:pPr>
        <w:spacing w:line="360" w:lineRule="auto"/>
        <w:ind w:firstLine="480"/>
        <w:jc w:val="both"/>
        <w:rPr>
          <w:rFonts w:ascii="宋体" w:hAnsi="宋体"/>
          <w:bCs/>
          <w:sz w:val="24"/>
          <w:lang w:eastAsia="zh-CN"/>
        </w:rPr>
      </w:pPr>
      <w:r>
        <w:rPr>
          <w:rFonts w:ascii="宋体" w:hAnsi="宋体" w:hint="eastAsia"/>
          <w:bCs/>
          <w:sz w:val="24"/>
          <w:lang w:eastAsia="zh-CN"/>
        </w:rPr>
        <w:t>3、</w:t>
      </w:r>
      <w:r w:rsidRPr="00935780">
        <w:rPr>
          <w:rFonts w:ascii="宋体" w:hAnsi="宋体" w:hint="eastAsia"/>
          <w:bCs/>
          <w:sz w:val="24"/>
          <w:lang w:eastAsia="zh-CN"/>
        </w:rPr>
        <w:t>保证金管理</w:t>
      </w:r>
    </w:p>
    <w:p w14:paraId="14BFF41A"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本基金将根据套期保值的时间、现货标的的波动性动态地计算所需的结算准备金，避免因保证金不足被迫平仓导致的套保失败。</w:t>
      </w:r>
    </w:p>
    <w:p w14:paraId="230436B4" w14:textId="77777777" w:rsidR="00935780" w:rsidRPr="00935780" w:rsidRDefault="00935780" w:rsidP="00935780">
      <w:pPr>
        <w:spacing w:line="360" w:lineRule="auto"/>
        <w:ind w:firstLine="480"/>
        <w:jc w:val="both"/>
        <w:rPr>
          <w:rFonts w:ascii="宋体" w:hAnsi="宋体"/>
          <w:bCs/>
          <w:sz w:val="24"/>
          <w:lang w:eastAsia="zh-CN"/>
        </w:rPr>
      </w:pPr>
      <w:r>
        <w:rPr>
          <w:rFonts w:ascii="宋体" w:hAnsi="宋体" w:hint="eastAsia"/>
          <w:bCs/>
          <w:sz w:val="24"/>
          <w:lang w:eastAsia="zh-CN"/>
        </w:rPr>
        <w:t>（</w:t>
      </w:r>
      <w:r w:rsidR="00065624">
        <w:rPr>
          <w:rFonts w:ascii="宋体" w:hAnsi="宋体" w:hint="eastAsia"/>
          <w:bCs/>
          <w:sz w:val="24"/>
          <w:lang w:eastAsia="zh-CN"/>
        </w:rPr>
        <w:t>八</w:t>
      </w:r>
      <w:r>
        <w:rPr>
          <w:rFonts w:ascii="宋体" w:hAnsi="宋体" w:hint="eastAsia"/>
          <w:bCs/>
          <w:sz w:val="24"/>
          <w:lang w:eastAsia="zh-CN"/>
        </w:rPr>
        <w:t>）</w:t>
      </w:r>
      <w:r w:rsidRPr="00935780">
        <w:rPr>
          <w:rFonts w:ascii="宋体" w:hAnsi="宋体" w:hint="eastAsia"/>
          <w:bCs/>
          <w:sz w:val="24"/>
          <w:lang w:eastAsia="zh-CN"/>
        </w:rPr>
        <w:t>参与融资业务的投资策略</w:t>
      </w:r>
    </w:p>
    <w:p w14:paraId="73B36623"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为了更好地实现投资目标，在综合考虑预期风险、收益、流动性等因素的基础上，本基金可参与融资业务。</w:t>
      </w:r>
    </w:p>
    <w:p w14:paraId="4462493F" w14:textId="77777777" w:rsidR="00935780" w:rsidRPr="00EC3B16" w:rsidRDefault="006C2585" w:rsidP="00935780">
      <w:pPr>
        <w:spacing w:line="360" w:lineRule="auto"/>
        <w:ind w:firstLine="480"/>
        <w:jc w:val="both"/>
        <w:rPr>
          <w:rFonts w:ascii="宋体" w:hAnsi="宋体"/>
          <w:bCs/>
          <w:sz w:val="24"/>
          <w:lang w:eastAsia="zh-CN"/>
        </w:rPr>
      </w:pPr>
      <w:r w:rsidRPr="006C2585">
        <w:rPr>
          <w:rFonts w:ascii="宋体" w:hAnsi="宋体" w:hint="eastAsia"/>
          <w:bCs/>
          <w:sz w:val="24"/>
          <w:lang w:eastAsia="zh-CN"/>
        </w:rPr>
        <w:lastRenderedPageBreak/>
        <w:t>未来，随着投资工具的发展和丰富，基金管理人可以在不改变投资目标的前提下，履行适当程序后，相应调整和更新相关投资策略，并在招募说明书中更新。</w:t>
      </w:r>
    </w:p>
    <w:bookmarkEnd w:id="324"/>
    <w:p w14:paraId="09A0CB8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四、投资限制</w:t>
      </w:r>
    </w:p>
    <w:p w14:paraId="78ACEB7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1、组合限制</w:t>
      </w:r>
    </w:p>
    <w:p w14:paraId="1CD2CE0A"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基金的投资组合应遵循以下限制：</w:t>
      </w:r>
    </w:p>
    <w:p w14:paraId="5E370EF4"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（1）股票资产占基金资产的比例范围为60%-95%</w:t>
      </w:r>
      <w:r w:rsidR="00253AFF">
        <w:rPr>
          <w:rFonts w:ascii="宋体" w:hAnsi="宋体" w:hint="eastAsia"/>
          <w:bCs/>
          <w:sz w:val="24"/>
          <w:lang w:eastAsia="zh-CN"/>
        </w:rPr>
        <w:t>（</w:t>
      </w:r>
      <w:r w:rsidR="00253AFF" w:rsidRPr="00935780">
        <w:rPr>
          <w:rFonts w:ascii="宋体" w:hAnsi="宋体" w:hint="eastAsia"/>
          <w:bCs/>
          <w:sz w:val="24"/>
          <w:lang w:eastAsia="zh-CN"/>
        </w:rPr>
        <w:t>投资于港股通标的股票的比例占股票资产的0-50%</w:t>
      </w:r>
      <w:r w:rsidR="00253AFF">
        <w:rPr>
          <w:rFonts w:ascii="宋体" w:hAnsi="宋体" w:hint="eastAsia"/>
          <w:bCs/>
          <w:sz w:val="24"/>
          <w:lang w:eastAsia="zh-CN"/>
        </w:rPr>
        <w:t>）</w:t>
      </w:r>
      <w:r w:rsidRPr="00935780">
        <w:rPr>
          <w:rFonts w:ascii="宋体" w:hAnsi="宋体" w:hint="eastAsia"/>
          <w:bCs/>
          <w:sz w:val="24"/>
          <w:lang w:eastAsia="zh-CN"/>
        </w:rPr>
        <w:t>，投资于消费主题相关</w:t>
      </w:r>
      <w:r w:rsidR="00BB1BE7">
        <w:rPr>
          <w:rFonts w:ascii="宋体" w:hAnsi="宋体" w:hint="eastAsia"/>
          <w:bCs/>
          <w:sz w:val="24"/>
          <w:lang w:eastAsia="zh-CN"/>
        </w:rPr>
        <w:t>股票</w:t>
      </w:r>
      <w:r w:rsidRPr="00935780">
        <w:rPr>
          <w:rFonts w:ascii="宋体" w:hAnsi="宋体" w:hint="eastAsia"/>
          <w:bCs/>
          <w:sz w:val="24"/>
          <w:lang w:eastAsia="zh-CN"/>
        </w:rPr>
        <w:t>占非现金基金资产的比例不低于80%；</w:t>
      </w:r>
    </w:p>
    <w:p w14:paraId="01457EC3"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2）本基金每个交易日日终在扣除股指期货、国债期货合约需缴纳的交易保证金后，应当保持不低于基金资产净值5%的现金或者到期日在一年以内的政府债券；其中现金不包括结算备付金、存出保证金和应收申购款等；</w:t>
      </w:r>
    </w:p>
    <w:p w14:paraId="621CA354"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（3）本基金持有一家公司发行的证券（同一家公司在内地和香港同时上市的A+H股合计计算），其市值不超过基金资产净值的10%；</w:t>
      </w:r>
    </w:p>
    <w:p w14:paraId="7FB2B8F6"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066EACCF"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（5）本基金投资于同一原始权益人的各类资产支持证券的比例，不得超过基金资产净值的10%；</w:t>
      </w:r>
    </w:p>
    <w:p w14:paraId="5EE822FE"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（6）本基金持有的全部资产支持证券，其市值不得超过基金资产净值的20%；</w:t>
      </w:r>
    </w:p>
    <w:p w14:paraId="0A93410B"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（7）本基金持有的同一(指同一信用级别)资产支持证券的比例，不得超过该资产支持证券规模的10%；</w:t>
      </w:r>
    </w:p>
    <w:p w14:paraId="4E330382"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（8）本基金管理人管理的全部基金投资于同一原始权益人的各类资产支持证券，不得超过其各类资产支持证券合计规模的10%；</w:t>
      </w:r>
    </w:p>
    <w:p w14:paraId="161A7B21"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（9）本基金应投资于信用级别评级为BBB以上(含BBB)的资产支持证券。基金持有资产支持证券期间，如果其信用等级下降、不再符合投资标准，应在评级报告发布之日起3个月内予以全部卖出；</w:t>
      </w:r>
    </w:p>
    <w:p w14:paraId="10F25FDB"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lastRenderedPageBreak/>
        <w:t>（</w:t>
      </w:r>
      <w:r w:rsidR="00000A16" w:rsidRPr="00935780">
        <w:rPr>
          <w:rFonts w:ascii="宋体" w:hAnsi="宋体" w:hint="eastAsia"/>
          <w:bCs/>
          <w:sz w:val="24"/>
          <w:lang w:eastAsia="zh-CN"/>
        </w:rPr>
        <w:t>1</w:t>
      </w:r>
      <w:r w:rsidR="00000A16">
        <w:rPr>
          <w:rFonts w:ascii="宋体" w:hAnsi="宋体"/>
          <w:bCs/>
          <w:sz w:val="24"/>
          <w:lang w:eastAsia="zh-CN"/>
        </w:rPr>
        <w:t>0</w:t>
      </w:r>
      <w:r w:rsidRPr="00935780">
        <w:rPr>
          <w:rFonts w:ascii="宋体" w:hAnsi="宋体" w:hint="eastAsia"/>
          <w:bCs/>
          <w:sz w:val="24"/>
          <w:lang w:eastAsia="zh-CN"/>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D54173F"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w:t>
      </w:r>
      <w:r w:rsidR="00000A16" w:rsidRPr="00935780">
        <w:rPr>
          <w:rFonts w:ascii="宋体" w:hAnsi="宋体" w:hint="eastAsia"/>
          <w:bCs/>
          <w:sz w:val="24"/>
          <w:lang w:eastAsia="zh-CN"/>
        </w:rPr>
        <w:t>1</w:t>
      </w:r>
      <w:r w:rsidR="00000A16">
        <w:rPr>
          <w:rFonts w:ascii="宋体" w:hAnsi="宋体"/>
          <w:bCs/>
          <w:sz w:val="24"/>
          <w:lang w:eastAsia="zh-CN"/>
        </w:rPr>
        <w:t>1</w:t>
      </w:r>
      <w:r w:rsidRPr="00935780">
        <w:rPr>
          <w:rFonts w:ascii="宋体" w:hAnsi="宋体" w:hint="eastAsia"/>
          <w:bCs/>
          <w:sz w:val="24"/>
          <w:lang w:eastAsia="zh-CN"/>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5E0C98B0"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w:t>
      </w:r>
      <w:r w:rsidR="00000A16" w:rsidRPr="00935780">
        <w:rPr>
          <w:rFonts w:ascii="宋体" w:hAnsi="宋体" w:hint="eastAsia"/>
          <w:bCs/>
          <w:sz w:val="24"/>
          <w:lang w:eastAsia="zh-CN"/>
        </w:rPr>
        <w:t>1</w:t>
      </w:r>
      <w:r w:rsidR="00000A16">
        <w:rPr>
          <w:rFonts w:ascii="宋体" w:hAnsi="宋体"/>
          <w:bCs/>
          <w:sz w:val="24"/>
          <w:lang w:eastAsia="zh-CN"/>
        </w:rPr>
        <w:t>2</w:t>
      </w:r>
      <w:r w:rsidRPr="00935780">
        <w:rPr>
          <w:rFonts w:ascii="宋体" w:hAnsi="宋体" w:hint="eastAsia"/>
          <w:bCs/>
          <w:sz w:val="24"/>
          <w:lang w:eastAsia="zh-CN"/>
        </w:rPr>
        <w:t>）本基金与私募类证券资管产品及中国证监会认定的其他主体为交易对手开展逆回购交易的，可接受质押品的资质要求应当与本基金合同约定的投资范围保持一致；</w:t>
      </w:r>
    </w:p>
    <w:p w14:paraId="244A78BF"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w:t>
      </w:r>
      <w:r w:rsidR="00000A16" w:rsidRPr="00935780">
        <w:rPr>
          <w:rFonts w:ascii="宋体" w:hAnsi="宋体" w:hint="eastAsia"/>
          <w:bCs/>
          <w:sz w:val="24"/>
          <w:lang w:eastAsia="zh-CN"/>
        </w:rPr>
        <w:t>1</w:t>
      </w:r>
      <w:r w:rsidR="00000A16">
        <w:rPr>
          <w:rFonts w:ascii="宋体" w:hAnsi="宋体"/>
          <w:bCs/>
          <w:sz w:val="24"/>
          <w:lang w:eastAsia="zh-CN"/>
        </w:rPr>
        <w:t>3</w:t>
      </w:r>
      <w:r w:rsidRPr="00935780">
        <w:rPr>
          <w:rFonts w:ascii="宋体" w:hAnsi="宋体" w:hint="eastAsia"/>
          <w:bCs/>
          <w:sz w:val="24"/>
          <w:lang w:eastAsia="zh-CN"/>
        </w:rPr>
        <w:t>）本基金资产总值不超过基金资产净值的140%；</w:t>
      </w:r>
    </w:p>
    <w:p w14:paraId="580704F0"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w:t>
      </w:r>
      <w:r w:rsidR="00000A16" w:rsidRPr="00935780">
        <w:rPr>
          <w:rFonts w:ascii="宋体" w:hAnsi="宋体" w:hint="eastAsia"/>
          <w:bCs/>
          <w:sz w:val="24"/>
          <w:lang w:eastAsia="zh-CN"/>
        </w:rPr>
        <w:t>1</w:t>
      </w:r>
      <w:r w:rsidR="00000A16">
        <w:rPr>
          <w:rFonts w:ascii="宋体" w:hAnsi="宋体"/>
          <w:bCs/>
          <w:sz w:val="24"/>
          <w:lang w:eastAsia="zh-CN"/>
        </w:rPr>
        <w:t>4</w:t>
      </w:r>
      <w:r w:rsidRPr="00935780">
        <w:rPr>
          <w:rFonts w:ascii="宋体" w:hAnsi="宋体" w:hint="eastAsia"/>
          <w:bCs/>
          <w:sz w:val="24"/>
          <w:lang w:eastAsia="zh-CN"/>
        </w:rPr>
        <w:t>）本基金参与股指期货交易、国债期货交易</w:t>
      </w:r>
      <w:r w:rsidR="006714F1">
        <w:rPr>
          <w:rFonts w:ascii="宋体" w:hAnsi="宋体" w:hint="eastAsia"/>
          <w:bCs/>
          <w:sz w:val="24"/>
          <w:lang w:eastAsia="zh-CN"/>
        </w:rPr>
        <w:t>后</w:t>
      </w:r>
      <w:r w:rsidRPr="00935780">
        <w:rPr>
          <w:rFonts w:ascii="宋体" w:hAnsi="宋体" w:hint="eastAsia"/>
          <w:bCs/>
          <w:sz w:val="24"/>
          <w:lang w:eastAsia="zh-CN"/>
        </w:rPr>
        <w:t>，需遵循下列投资比例限制：</w:t>
      </w:r>
    </w:p>
    <w:p w14:paraId="205544F4"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1）本基金在任何交易日日终，持有的买入股指期货合约价值，不得超过基金资产净值的10%；</w:t>
      </w:r>
    </w:p>
    <w:p w14:paraId="02430F59"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2）在任何交易日日终，持有的买入股指期货和国债期货合约价值与有价证券市值之和，不得超过基金资产净值的95%，其中，有价证券指股票、债券（不含到期日在一年以内的政府债券）、资产支持证券、买入返售金融资产（不含质押式回购）等；</w:t>
      </w:r>
    </w:p>
    <w:p w14:paraId="61B0807A"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3）本基金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4B3DBC89"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4）本基金在任何交易日日终，持有的买入国债期货合约价值，不得超过基金资产净值的15%；在任何交易日日终，持有的卖出国债期货合约价值不得超</w:t>
      </w:r>
      <w:r w:rsidRPr="00935780">
        <w:rPr>
          <w:rFonts w:ascii="宋体" w:hAnsi="宋体" w:hint="eastAsia"/>
          <w:bCs/>
          <w:sz w:val="24"/>
          <w:lang w:eastAsia="zh-CN"/>
        </w:rPr>
        <w:lastRenderedPageBreak/>
        <w:t>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1A76BA0D"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w:t>
      </w:r>
      <w:r w:rsidR="00000A16" w:rsidRPr="00935780">
        <w:rPr>
          <w:rFonts w:ascii="宋体" w:hAnsi="宋体" w:hint="eastAsia"/>
          <w:bCs/>
          <w:sz w:val="24"/>
          <w:lang w:eastAsia="zh-CN"/>
        </w:rPr>
        <w:t>1</w:t>
      </w:r>
      <w:r w:rsidR="00000A16">
        <w:rPr>
          <w:rFonts w:ascii="宋体" w:hAnsi="宋体"/>
          <w:bCs/>
          <w:sz w:val="24"/>
          <w:lang w:eastAsia="zh-CN"/>
        </w:rPr>
        <w:t>5</w:t>
      </w:r>
      <w:r w:rsidRPr="00935780">
        <w:rPr>
          <w:rFonts w:ascii="宋体" w:hAnsi="宋体" w:hint="eastAsia"/>
          <w:bCs/>
          <w:sz w:val="24"/>
          <w:lang w:eastAsia="zh-CN"/>
        </w:rPr>
        <w:t>）基金财产参与股票发行申购，本基金所申报的金额不超过本基金的总资产，本基金所申报的股票数量不超过拟发行股票公司本次发行股票的总量；</w:t>
      </w:r>
    </w:p>
    <w:p w14:paraId="57CC35E0"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w:t>
      </w:r>
      <w:r w:rsidR="00000A16" w:rsidRPr="00935780">
        <w:rPr>
          <w:rFonts w:ascii="宋体" w:hAnsi="宋体" w:hint="eastAsia"/>
          <w:bCs/>
          <w:sz w:val="24"/>
          <w:lang w:eastAsia="zh-CN"/>
        </w:rPr>
        <w:t>1</w:t>
      </w:r>
      <w:r w:rsidR="00000A16">
        <w:rPr>
          <w:rFonts w:ascii="宋体" w:hAnsi="宋体"/>
          <w:bCs/>
          <w:sz w:val="24"/>
          <w:lang w:eastAsia="zh-CN"/>
        </w:rPr>
        <w:t>6</w:t>
      </w:r>
      <w:r w:rsidRPr="00935780">
        <w:rPr>
          <w:rFonts w:ascii="宋体" w:hAnsi="宋体" w:hint="eastAsia"/>
          <w:bCs/>
          <w:sz w:val="24"/>
          <w:lang w:eastAsia="zh-CN"/>
        </w:rPr>
        <w:t>）本基金参与融资业务后，在任何交易日日终，持有的融资买入股票与其他有价证券市值之和，不得超过基金资产净值的95%；</w:t>
      </w:r>
    </w:p>
    <w:p w14:paraId="503BB235"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w:t>
      </w:r>
      <w:r w:rsidR="00000A16" w:rsidRPr="00935780">
        <w:rPr>
          <w:rFonts w:ascii="宋体" w:hAnsi="宋体" w:hint="eastAsia"/>
          <w:bCs/>
          <w:sz w:val="24"/>
          <w:lang w:eastAsia="zh-CN"/>
        </w:rPr>
        <w:t>1</w:t>
      </w:r>
      <w:r w:rsidR="00000A16">
        <w:rPr>
          <w:rFonts w:ascii="宋体" w:hAnsi="宋体"/>
          <w:bCs/>
          <w:sz w:val="24"/>
          <w:lang w:eastAsia="zh-CN"/>
        </w:rPr>
        <w:t>7</w:t>
      </w:r>
      <w:r w:rsidRPr="00935780">
        <w:rPr>
          <w:rFonts w:ascii="宋体" w:hAnsi="宋体" w:hint="eastAsia"/>
          <w:bCs/>
          <w:sz w:val="24"/>
          <w:lang w:eastAsia="zh-CN"/>
        </w:rPr>
        <w:t>）本基金投资存托凭证的比例限制依照国内依法发行上市的股票执行，与国内依法发行上市的股票合并计算；</w:t>
      </w:r>
    </w:p>
    <w:p w14:paraId="1D30814F"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w:t>
      </w:r>
      <w:r w:rsidR="00000A16" w:rsidRPr="00935780">
        <w:rPr>
          <w:rFonts w:ascii="宋体" w:hAnsi="宋体" w:hint="eastAsia"/>
          <w:bCs/>
          <w:sz w:val="24"/>
          <w:lang w:eastAsia="zh-CN"/>
        </w:rPr>
        <w:t>1</w:t>
      </w:r>
      <w:r w:rsidR="00000A16">
        <w:rPr>
          <w:rFonts w:ascii="宋体" w:hAnsi="宋体"/>
          <w:bCs/>
          <w:sz w:val="24"/>
          <w:lang w:eastAsia="zh-CN"/>
        </w:rPr>
        <w:t>8</w:t>
      </w:r>
      <w:r w:rsidRPr="00935780">
        <w:rPr>
          <w:rFonts w:ascii="宋体" w:hAnsi="宋体" w:hint="eastAsia"/>
          <w:bCs/>
          <w:sz w:val="24"/>
          <w:lang w:eastAsia="zh-CN"/>
        </w:rPr>
        <w:t>）法律法规及中国证监会规定的和《基金合同》约定的其他投资限制。</w:t>
      </w:r>
    </w:p>
    <w:p w14:paraId="68DD764F"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除上述第（2）、（9）、（</w:t>
      </w:r>
      <w:r w:rsidR="00000A16" w:rsidRPr="00935780">
        <w:rPr>
          <w:rFonts w:ascii="宋体" w:hAnsi="宋体" w:hint="eastAsia"/>
          <w:bCs/>
          <w:sz w:val="24"/>
          <w:lang w:eastAsia="zh-CN"/>
        </w:rPr>
        <w:t>1</w:t>
      </w:r>
      <w:r w:rsidR="00000A16">
        <w:rPr>
          <w:rFonts w:ascii="宋体" w:hAnsi="宋体"/>
          <w:bCs/>
          <w:sz w:val="24"/>
          <w:lang w:eastAsia="zh-CN"/>
        </w:rPr>
        <w:t>1</w:t>
      </w:r>
      <w:r w:rsidRPr="00935780">
        <w:rPr>
          <w:rFonts w:ascii="宋体" w:hAnsi="宋体" w:hint="eastAsia"/>
          <w:bCs/>
          <w:sz w:val="24"/>
          <w:lang w:eastAsia="zh-CN"/>
        </w:rPr>
        <w:t>）、（</w:t>
      </w:r>
      <w:r w:rsidR="00000A16" w:rsidRPr="00935780">
        <w:rPr>
          <w:rFonts w:ascii="宋体" w:hAnsi="宋体" w:hint="eastAsia"/>
          <w:bCs/>
          <w:sz w:val="24"/>
          <w:lang w:eastAsia="zh-CN"/>
        </w:rPr>
        <w:t>1</w:t>
      </w:r>
      <w:r w:rsidR="00000A16">
        <w:rPr>
          <w:rFonts w:ascii="宋体" w:hAnsi="宋体"/>
          <w:bCs/>
          <w:sz w:val="24"/>
          <w:lang w:eastAsia="zh-CN"/>
        </w:rPr>
        <w:t>2</w:t>
      </w:r>
      <w:r w:rsidRPr="00935780">
        <w:rPr>
          <w:rFonts w:ascii="宋体" w:hAnsi="宋体" w:hint="eastAsia"/>
          <w:bCs/>
          <w:sz w:val="24"/>
          <w:lang w:eastAsia="zh-CN"/>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1310A0E6" w14:textId="77777777" w:rsidR="00935780" w:rsidRPr="00935780" w:rsidRDefault="00935780" w:rsidP="00935780">
      <w:pPr>
        <w:spacing w:line="360" w:lineRule="auto"/>
        <w:ind w:firstLine="480"/>
        <w:jc w:val="both"/>
        <w:rPr>
          <w:rFonts w:ascii="宋体" w:hAnsi="宋体"/>
          <w:bCs/>
          <w:sz w:val="24"/>
          <w:lang w:eastAsia="zh-CN"/>
        </w:rPr>
      </w:pPr>
      <w:r w:rsidRPr="00935780">
        <w:rPr>
          <w:rFonts w:ascii="宋体" w:hAnsi="宋体" w:hint="eastAsia"/>
          <w:bCs/>
          <w:sz w:val="24"/>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7FF9561E" w14:textId="77777777" w:rsidR="004154D1" w:rsidRPr="00EC3B16" w:rsidRDefault="00935780" w:rsidP="006F1164">
      <w:pPr>
        <w:spacing w:line="360" w:lineRule="auto"/>
        <w:ind w:firstLine="480"/>
        <w:jc w:val="both"/>
        <w:rPr>
          <w:rFonts w:ascii="宋体" w:hAnsi="宋体"/>
          <w:bCs/>
          <w:sz w:val="24"/>
          <w:lang w:eastAsia="zh-CN"/>
        </w:rPr>
      </w:pPr>
      <w:r w:rsidRPr="00935780">
        <w:rPr>
          <w:rFonts w:ascii="宋体" w:hAnsi="宋体" w:hint="eastAsia"/>
          <w:bCs/>
          <w:sz w:val="24"/>
          <w:lang w:eastAsia="zh-CN"/>
        </w:rPr>
        <w:t>法律法规或监管部门取消或变更上述限制，如适用于本基金，基金管理人在履行适当程序后，则本基金投资不再受相关限制或以变更后的规定为准。</w:t>
      </w:r>
    </w:p>
    <w:p w14:paraId="1B69B071"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2、禁止行为</w:t>
      </w:r>
    </w:p>
    <w:p w14:paraId="40A2962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为维护基金份额持有人的合法权益，基金财产不得用于下列投资或者活动：</w:t>
      </w:r>
    </w:p>
    <w:p w14:paraId="38661082"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（1）承销证券；</w:t>
      </w:r>
    </w:p>
    <w:p w14:paraId="3E941E9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（2）违反规定向他人贷款或者提供担保；</w:t>
      </w:r>
    </w:p>
    <w:p w14:paraId="536799F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（3）从事承担无限责任的投资；</w:t>
      </w:r>
    </w:p>
    <w:p w14:paraId="488AA1A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（4）买卖其他基金份额，但是中国证监会另有规定的除外；</w:t>
      </w:r>
    </w:p>
    <w:p w14:paraId="09674B7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（5）向其基金管理人、基金托管人出资；</w:t>
      </w:r>
    </w:p>
    <w:p w14:paraId="5AC80ED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（6）从事内幕交易、操纵证券交易价格及其他不正当的证券交易活动；</w:t>
      </w:r>
    </w:p>
    <w:p w14:paraId="47EE47CA"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（7）法律、行政法规和中国证监会规定禁止的其他活动。</w:t>
      </w:r>
    </w:p>
    <w:p w14:paraId="1B44E9A0" w14:textId="77777777" w:rsidR="004154D1" w:rsidRPr="00EC3B16" w:rsidRDefault="004154D1" w:rsidP="006F1164">
      <w:pPr>
        <w:spacing w:line="360" w:lineRule="auto"/>
        <w:ind w:firstLine="480"/>
        <w:jc w:val="both"/>
        <w:rPr>
          <w:rFonts w:ascii="宋体" w:hAnsi="宋体"/>
          <w:bCs/>
          <w:sz w:val="24"/>
          <w:lang w:eastAsia="zh-CN"/>
        </w:rPr>
      </w:pPr>
      <w:bookmarkStart w:id="325" w:name="_Hlk95467899"/>
      <w:r w:rsidRPr="00EC3B16">
        <w:rPr>
          <w:rFonts w:ascii="宋体" w:hAnsi="宋体"/>
          <w:bCs/>
          <w:sz w:val="24"/>
          <w:lang w:eastAsia="zh-CN"/>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3DC35F6A"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法律、行政法规或监管部门取消或变更上述限制，基金管理人在履行适当程序后，则本基金投资不再受相关限制或以变更后的规定为准。</w:t>
      </w:r>
      <w:bookmarkEnd w:id="325"/>
    </w:p>
    <w:p w14:paraId="0B303982"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五、业绩比较基准</w:t>
      </w:r>
    </w:p>
    <w:p w14:paraId="541AD517" w14:textId="77777777" w:rsidR="004154D1" w:rsidRPr="00EC3B16" w:rsidRDefault="00780323" w:rsidP="006F1164">
      <w:pPr>
        <w:spacing w:line="360" w:lineRule="auto"/>
        <w:ind w:firstLine="480"/>
        <w:jc w:val="both"/>
        <w:rPr>
          <w:rFonts w:ascii="宋体" w:hAnsi="宋体"/>
          <w:bCs/>
          <w:sz w:val="24"/>
          <w:lang w:eastAsia="zh-CN"/>
        </w:rPr>
      </w:pPr>
      <w:bookmarkStart w:id="326" w:name="_Hlk60819125"/>
      <w:r w:rsidRPr="008524FD">
        <w:rPr>
          <w:rFonts w:ascii="宋体" w:hAnsi="宋体" w:hint="eastAsia"/>
          <w:bCs/>
          <w:sz w:val="24"/>
          <w:lang w:eastAsia="zh-CN"/>
        </w:rPr>
        <w:t>中证内地消费主题指数收益率</w:t>
      </w:r>
      <w:r w:rsidRPr="00791723">
        <w:rPr>
          <w:rFonts w:ascii="宋体" w:hAnsi="宋体" w:hint="eastAsia"/>
          <w:bCs/>
          <w:sz w:val="24"/>
          <w:lang w:eastAsia="zh-CN"/>
        </w:rPr>
        <w:t>×7</w:t>
      </w:r>
      <w:r w:rsidRPr="00791723">
        <w:rPr>
          <w:rFonts w:ascii="宋体" w:hAnsi="宋体"/>
          <w:bCs/>
          <w:sz w:val="24"/>
          <w:lang w:eastAsia="zh-CN"/>
        </w:rPr>
        <w:t>5</w:t>
      </w:r>
      <w:r w:rsidRPr="00791723">
        <w:rPr>
          <w:rFonts w:ascii="宋体" w:hAnsi="宋体" w:hint="eastAsia"/>
          <w:bCs/>
          <w:sz w:val="24"/>
          <w:lang w:eastAsia="zh-CN"/>
        </w:rPr>
        <w:t>%+恒生指数收益率（使用估值汇率折算）×</w:t>
      </w:r>
      <w:r w:rsidRPr="00791723">
        <w:rPr>
          <w:rFonts w:ascii="宋体" w:hAnsi="宋体"/>
          <w:bCs/>
          <w:sz w:val="24"/>
          <w:lang w:eastAsia="zh-CN"/>
        </w:rPr>
        <w:t>5</w:t>
      </w:r>
      <w:r w:rsidRPr="00791723">
        <w:rPr>
          <w:rFonts w:ascii="宋体" w:hAnsi="宋体" w:hint="eastAsia"/>
          <w:bCs/>
          <w:sz w:val="24"/>
          <w:lang w:eastAsia="zh-CN"/>
        </w:rPr>
        <w:t>%+中证综合债指数收益率×20%</w:t>
      </w:r>
      <w:bookmarkEnd w:id="326"/>
    </w:p>
    <w:p w14:paraId="246DBB48" w14:textId="77777777" w:rsidR="00896BE3" w:rsidRPr="00896BE3" w:rsidRDefault="00896BE3" w:rsidP="006F1164">
      <w:pPr>
        <w:spacing w:line="360" w:lineRule="auto"/>
        <w:ind w:firstLine="480"/>
        <w:jc w:val="both"/>
        <w:rPr>
          <w:rFonts w:ascii="宋体" w:hAnsi="宋体"/>
          <w:bCs/>
          <w:sz w:val="24"/>
          <w:lang w:eastAsia="zh-CN"/>
        </w:rPr>
      </w:pPr>
      <w:r w:rsidRPr="00896BE3">
        <w:rPr>
          <w:rFonts w:ascii="宋体" w:hAnsi="宋体" w:hint="eastAsia"/>
          <w:bCs/>
          <w:sz w:val="24"/>
          <w:lang w:eastAsia="zh-CN"/>
        </w:rPr>
        <w:t>中证内地消费主题指数由中证指数有限公司编制，能综合反映沪深A股中消费主题类公司股票的整体表现。</w:t>
      </w:r>
    </w:p>
    <w:p w14:paraId="20B69086" w14:textId="77777777" w:rsidR="004154D1" w:rsidRPr="00896BE3" w:rsidRDefault="004154D1" w:rsidP="006F1164">
      <w:pPr>
        <w:spacing w:line="360" w:lineRule="auto"/>
        <w:ind w:firstLine="480"/>
        <w:jc w:val="both"/>
        <w:rPr>
          <w:rFonts w:ascii="宋体" w:hAnsi="宋体"/>
          <w:bCs/>
          <w:sz w:val="24"/>
          <w:lang w:eastAsia="zh-CN"/>
        </w:rPr>
      </w:pPr>
      <w:r w:rsidRPr="00896BE3">
        <w:rPr>
          <w:rFonts w:ascii="宋体" w:hAnsi="宋体" w:hint="eastAsia"/>
          <w:bCs/>
          <w:sz w:val="24"/>
          <w:lang w:eastAsia="zh-CN"/>
        </w:rPr>
        <w:t>恒生指数是由恒生指数服务有限公司编制，以香港股票市场中的部分上市股票为成份股样本，以其发行量为权数的加权平均股价指数，是反映香港股市价幅趋势最有影响的一种股价指数。</w:t>
      </w:r>
    </w:p>
    <w:p w14:paraId="16D33694" w14:textId="77777777" w:rsidR="004154D1" w:rsidRPr="00EC3B16" w:rsidRDefault="004154D1" w:rsidP="006F1164">
      <w:pPr>
        <w:spacing w:line="360" w:lineRule="auto"/>
        <w:ind w:firstLine="480"/>
        <w:jc w:val="both"/>
        <w:rPr>
          <w:rFonts w:ascii="宋体" w:hAnsi="宋体"/>
          <w:bCs/>
          <w:sz w:val="24"/>
          <w:lang w:eastAsia="zh-CN"/>
        </w:rPr>
      </w:pPr>
      <w:r w:rsidRPr="00896BE3">
        <w:rPr>
          <w:rFonts w:ascii="宋体" w:hAnsi="宋体" w:hint="eastAsia"/>
          <w:bCs/>
          <w:sz w:val="24"/>
          <w:lang w:eastAsia="zh-CN"/>
        </w:rPr>
        <w:t>中证综合债指数由中证指数有限公司编制，指数样本券由交易所和银行间市场上市的、剩余期限为1个月以上、信用评级为投资级以上的利率债和信用债构成，能较好地反映债券市场的走势。</w:t>
      </w:r>
    </w:p>
    <w:p w14:paraId="3FE193B2"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根据本基金的投资范围和投资比例，选用上述业绩比较基准能够客观、合理地反映本基金的风险收益特征。</w:t>
      </w:r>
    </w:p>
    <w:p w14:paraId="4BEBFBE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如果今后市场中出现更具有代表性的业绩比较基准，或者更科学的业绩比较基准，或者上述基准指数停止发布，或者是市场上出现更加适合用于本基金</w:t>
      </w:r>
      <w:r w:rsidRPr="00EC3B16">
        <w:rPr>
          <w:rFonts w:ascii="宋体" w:hAnsi="宋体"/>
          <w:bCs/>
          <w:sz w:val="24"/>
          <w:lang w:eastAsia="zh-CN"/>
        </w:rPr>
        <w:lastRenderedPageBreak/>
        <w:t>的业绩比较基准，基金管理人认为有必要作相应调整时，本基金管理人可以依据维护基金份额持有人利益的原则，经与基金托管人协商一致并</w:t>
      </w:r>
      <w:r w:rsidRPr="00EC3B16">
        <w:rPr>
          <w:rFonts w:ascii="宋体" w:hAnsi="宋体" w:hint="eastAsia"/>
          <w:bCs/>
          <w:sz w:val="24"/>
          <w:lang w:eastAsia="zh-CN"/>
        </w:rPr>
        <w:t>按照监管部门要求</w:t>
      </w:r>
      <w:r w:rsidRPr="00EC3B16">
        <w:rPr>
          <w:rFonts w:ascii="宋体" w:hAnsi="宋体"/>
          <w:bCs/>
          <w:sz w:val="24"/>
          <w:lang w:eastAsia="zh-CN"/>
        </w:rPr>
        <w:t>履行适当程序后，变更本基金的业绩比较基准</w:t>
      </w:r>
      <w:r w:rsidRPr="00EC3B16">
        <w:rPr>
          <w:rFonts w:ascii="宋体" w:hAnsi="宋体" w:hint="eastAsia"/>
          <w:bCs/>
          <w:sz w:val="24"/>
          <w:lang w:eastAsia="zh-CN"/>
        </w:rPr>
        <w:t>并及时公告</w:t>
      </w:r>
      <w:r w:rsidRPr="00EC3B16">
        <w:rPr>
          <w:rFonts w:ascii="宋体" w:hAnsi="宋体"/>
          <w:bCs/>
          <w:sz w:val="24"/>
          <w:lang w:eastAsia="zh-CN"/>
        </w:rPr>
        <w:t>。</w:t>
      </w:r>
    </w:p>
    <w:p w14:paraId="372B26B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六、风险收益特征</w:t>
      </w:r>
    </w:p>
    <w:p w14:paraId="0D78AF2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本基金属于混合型基金，其预期风险和预期收益高于货币市场基金、债券型基金，低于股票型基金。</w:t>
      </w:r>
      <w:r w:rsidRPr="00EC3B16">
        <w:rPr>
          <w:rFonts w:ascii="宋体" w:hAnsi="宋体" w:hint="eastAsia"/>
          <w:bCs/>
          <w:sz w:val="24"/>
          <w:lang w:eastAsia="zh-CN"/>
        </w:rPr>
        <w:t>本基金将投资港股通标的股票，需承担港股通机制下因投资环境、投资标的、市场制度以及交易规则等差异带来的特有风险。</w:t>
      </w:r>
    </w:p>
    <w:p w14:paraId="69E4CE0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七、基金管理人代表基金行使股东或债权人权利的处理原则及方法</w:t>
      </w:r>
    </w:p>
    <w:p w14:paraId="09C1A2D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1、基金管理人按照国家有关规定代表基金独立行使股东或债权人权利，保护基金份额持有人的利益；</w:t>
      </w:r>
    </w:p>
    <w:p w14:paraId="6491BF7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2、不谋求对上市公司的控股；</w:t>
      </w:r>
    </w:p>
    <w:p w14:paraId="466B278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3、有利于基金财产的安全与增值；</w:t>
      </w:r>
    </w:p>
    <w:p w14:paraId="17D7293A"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4、不通过关联交易为自身、雇员、授权代理人或任何存在利害关系的第三人牟取任何不当利益。</w:t>
      </w:r>
    </w:p>
    <w:p w14:paraId="345553B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八、侧袋机制的实施和投资运作安排</w:t>
      </w:r>
    </w:p>
    <w:p w14:paraId="487A3FF1"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4F3E8E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侧袋机制实施期间，本部分约定的投资组合比例、投资策略、组合限制、业绩比较基准、风险收益特征等约定仅适用于主袋账户。</w:t>
      </w:r>
    </w:p>
    <w:p w14:paraId="6C3BA6E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侧袋账户的实施条件、实施程序、运作安排、投资安排、特定资产的处置变现和支付等对投资者权益有重大影响的事项详见招募说明书的规定。</w:t>
      </w:r>
    </w:p>
    <w:p w14:paraId="477F182E" w14:textId="77777777" w:rsidR="004154D1" w:rsidRPr="00EC3B16" w:rsidRDefault="004154D1" w:rsidP="006F1164">
      <w:pPr>
        <w:spacing w:line="360" w:lineRule="auto"/>
        <w:ind w:firstLine="480"/>
        <w:jc w:val="both"/>
        <w:rPr>
          <w:rFonts w:ascii="宋体" w:hAnsi="宋体"/>
          <w:bCs/>
          <w:sz w:val="24"/>
          <w:lang w:eastAsia="zh-CN"/>
        </w:rPr>
      </w:pPr>
    </w:p>
    <w:p w14:paraId="71CF66F6" w14:textId="77777777" w:rsidR="004154D1" w:rsidRPr="00EC3B16" w:rsidRDefault="004154D1">
      <w:pPr>
        <w:pStyle w:val="1"/>
        <w:spacing w:before="0" w:after="0"/>
        <w:jc w:val="center"/>
        <w:rPr>
          <w:rFonts w:hAnsi="宋体"/>
          <w:sz w:val="30"/>
          <w:lang w:eastAsia="zh-CN"/>
        </w:rPr>
      </w:pPr>
      <w:r w:rsidRPr="00EC3B16">
        <w:rPr>
          <w:rFonts w:hAnsi="宋体"/>
          <w:b w:val="0"/>
          <w:bCs/>
          <w:sz w:val="21"/>
          <w:lang w:eastAsia="zh-CN"/>
        </w:rPr>
        <w:br w:type="page"/>
      </w:r>
      <w:bookmarkStart w:id="327" w:name="_Toc92662704"/>
      <w:bookmarkStart w:id="328" w:name="_Toc93226145"/>
      <w:bookmarkStart w:id="329" w:name="_Toc13819"/>
      <w:bookmarkStart w:id="330" w:name="_Toc139991743"/>
      <w:bookmarkStart w:id="331" w:name="_Toc26114"/>
      <w:bookmarkStart w:id="332" w:name="_Toc128310496"/>
      <w:bookmarkStart w:id="333" w:name="_Toc21642"/>
      <w:bookmarkStart w:id="334" w:name="_Toc29561"/>
      <w:bookmarkStart w:id="335" w:name="_Toc3054"/>
      <w:bookmarkStart w:id="336" w:name="_Toc18000"/>
      <w:bookmarkStart w:id="337" w:name="_Toc20782"/>
      <w:bookmarkStart w:id="338" w:name="_Toc24474"/>
      <w:bookmarkStart w:id="339" w:name="_Toc32030"/>
      <w:bookmarkStart w:id="340" w:name="_Toc20102"/>
      <w:bookmarkStart w:id="341" w:name="_Toc31611"/>
      <w:bookmarkStart w:id="342" w:name="_Toc141703893"/>
      <w:bookmarkStart w:id="343" w:name="_Toc447270836"/>
      <w:bookmarkStart w:id="344" w:name="_Toc132016793"/>
      <w:bookmarkEnd w:id="322"/>
      <w:r w:rsidRPr="00EC3B16">
        <w:rPr>
          <w:rFonts w:hAnsi="宋体"/>
          <w:sz w:val="30"/>
          <w:lang w:eastAsia="zh-CN"/>
        </w:rPr>
        <w:lastRenderedPageBreak/>
        <w:t>第十三部分</w:t>
      </w:r>
      <w:r w:rsidRPr="00EC3B16">
        <w:rPr>
          <w:rFonts w:hAnsi="宋体" w:hint="eastAsia"/>
          <w:sz w:val="30"/>
          <w:lang w:eastAsia="zh-CN"/>
        </w:rPr>
        <w:t xml:space="preserve"> </w:t>
      </w:r>
      <w:r w:rsidRPr="00EC3B16">
        <w:rPr>
          <w:rFonts w:hAnsi="宋体"/>
          <w:sz w:val="30"/>
          <w:lang w:eastAsia="zh-CN"/>
        </w:rPr>
        <w:t xml:space="preserve"> 基金</w:t>
      </w:r>
      <w:bookmarkEnd w:id="327"/>
      <w:bookmarkEnd w:id="328"/>
      <w:r w:rsidRPr="00EC3B16">
        <w:rPr>
          <w:rFonts w:hAnsi="宋体"/>
          <w:sz w:val="30"/>
          <w:lang w:eastAsia="zh-CN"/>
        </w:rPr>
        <w:t>的财产</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3CADEBCB" w14:textId="77777777" w:rsidR="004154D1" w:rsidRPr="00EC3B16" w:rsidRDefault="004154D1" w:rsidP="006F1164">
      <w:pPr>
        <w:spacing w:line="360" w:lineRule="auto"/>
        <w:ind w:firstLine="480"/>
        <w:jc w:val="both"/>
        <w:rPr>
          <w:rFonts w:ascii="宋体" w:hAnsi="宋体"/>
          <w:bCs/>
          <w:sz w:val="24"/>
          <w:lang w:eastAsia="zh-CN"/>
        </w:rPr>
      </w:pPr>
    </w:p>
    <w:p w14:paraId="773BB178" w14:textId="77777777" w:rsidR="004154D1" w:rsidRPr="00EC3B16" w:rsidRDefault="004154D1" w:rsidP="006F1164">
      <w:pPr>
        <w:spacing w:line="360" w:lineRule="auto"/>
        <w:ind w:firstLine="480"/>
        <w:jc w:val="both"/>
        <w:rPr>
          <w:rFonts w:ascii="宋体" w:hAnsi="宋体"/>
          <w:bCs/>
          <w:sz w:val="24"/>
          <w:lang w:eastAsia="zh-CN"/>
        </w:rPr>
      </w:pPr>
      <w:bookmarkStart w:id="345" w:name="_Hlk73625397"/>
      <w:r w:rsidRPr="00EC3B16">
        <w:rPr>
          <w:rFonts w:ascii="宋体" w:hAnsi="宋体"/>
          <w:bCs/>
          <w:sz w:val="24"/>
          <w:lang w:eastAsia="zh-CN"/>
        </w:rPr>
        <w:t>一、基金资产总值</w:t>
      </w:r>
    </w:p>
    <w:p w14:paraId="481449E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基金资产总值是指基金拥有的各类证券、银行存款本息和基金应收申购款及其他投资所形成的价值总和。</w:t>
      </w:r>
    </w:p>
    <w:p w14:paraId="4D64A9F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二、基金资产净值</w:t>
      </w:r>
    </w:p>
    <w:p w14:paraId="29DA4526" w14:textId="77777777" w:rsidR="004154D1" w:rsidRPr="00EC3B16" w:rsidRDefault="004154D1" w:rsidP="006F1164">
      <w:pPr>
        <w:spacing w:line="360" w:lineRule="auto"/>
        <w:ind w:firstLine="480"/>
        <w:jc w:val="both"/>
        <w:rPr>
          <w:rFonts w:ascii="宋体" w:hAnsi="宋体"/>
          <w:bCs/>
          <w:sz w:val="24"/>
          <w:lang w:eastAsia="zh-CN"/>
        </w:rPr>
      </w:pPr>
      <w:bookmarkStart w:id="346" w:name="_Hlk95468586"/>
      <w:r w:rsidRPr="00EC3B16">
        <w:rPr>
          <w:rFonts w:ascii="宋体" w:hAnsi="宋体"/>
          <w:bCs/>
          <w:sz w:val="24"/>
          <w:lang w:eastAsia="zh-CN"/>
        </w:rPr>
        <w:t>基金资产净值是指基金资产总值减去基金负债后的价值。</w:t>
      </w:r>
      <w:bookmarkEnd w:id="346"/>
    </w:p>
    <w:bookmarkEnd w:id="345"/>
    <w:p w14:paraId="359B8E6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三、基金财产的账户</w:t>
      </w:r>
    </w:p>
    <w:p w14:paraId="2BB3103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基金托管人根据相关法律法规</w:t>
      </w:r>
      <w:r w:rsidRPr="00EC3B16">
        <w:rPr>
          <w:rFonts w:ascii="宋体" w:hAnsi="宋体" w:hint="eastAsia"/>
          <w:bCs/>
          <w:sz w:val="24"/>
          <w:lang w:eastAsia="zh-CN"/>
        </w:rPr>
        <w:t>协助</w:t>
      </w:r>
      <w:r w:rsidR="001D32D9">
        <w:rPr>
          <w:rFonts w:ascii="宋体" w:hAnsi="宋体" w:hint="eastAsia"/>
          <w:bCs/>
          <w:sz w:val="24"/>
          <w:lang w:eastAsia="zh-CN"/>
        </w:rPr>
        <w:t>基金</w:t>
      </w:r>
      <w:r w:rsidRPr="00EC3B16">
        <w:rPr>
          <w:rFonts w:ascii="宋体" w:hAnsi="宋体" w:hint="eastAsia"/>
          <w:bCs/>
          <w:sz w:val="24"/>
          <w:lang w:eastAsia="zh-CN"/>
        </w:rPr>
        <w:t>管理人</w:t>
      </w:r>
      <w:r w:rsidRPr="00EC3B16">
        <w:rPr>
          <w:rFonts w:ascii="宋体" w:hAnsi="宋体"/>
          <w:bCs/>
          <w:sz w:val="24"/>
          <w:lang w:eastAsia="zh-CN"/>
        </w:rPr>
        <w:t>为本基金开立资金账户、证券账户</w:t>
      </w:r>
      <w:r w:rsidR="00DE417C">
        <w:rPr>
          <w:rFonts w:ascii="宋体" w:hAnsi="宋体" w:hint="eastAsia"/>
          <w:bCs/>
          <w:sz w:val="24"/>
          <w:lang w:eastAsia="zh-CN"/>
        </w:rPr>
        <w:t>等</w:t>
      </w:r>
      <w:r w:rsidRPr="00EC3B16">
        <w:rPr>
          <w:rFonts w:ascii="宋体" w:hAnsi="宋体"/>
          <w:bCs/>
          <w:sz w:val="24"/>
          <w:lang w:eastAsia="zh-CN"/>
        </w:rPr>
        <w:t>投资所需的其他专用账户。开立的基金专用账户与基金管理人、基金托管人、基金销售机构和基金登记机构自有的财产账户以及其他基金财产账户相独立。</w:t>
      </w:r>
      <w:bookmarkStart w:id="347" w:name="_Hlt88841837"/>
      <w:bookmarkEnd w:id="347"/>
    </w:p>
    <w:p w14:paraId="0F80C43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四、基金财产的保管和处分</w:t>
      </w:r>
      <w:bookmarkStart w:id="348" w:name="_Hlt88900062"/>
      <w:bookmarkEnd w:id="348"/>
    </w:p>
    <w:p w14:paraId="59F3AC4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425BC4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6B57D88" w14:textId="77777777" w:rsidR="006F1164" w:rsidRPr="00EC3B16" w:rsidRDefault="006F1164" w:rsidP="006F1164">
      <w:pPr>
        <w:spacing w:line="360" w:lineRule="auto"/>
        <w:ind w:firstLine="480"/>
        <w:jc w:val="both"/>
        <w:rPr>
          <w:rFonts w:ascii="宋体" w:hAnsi="宋体"/>
          <w:bCs/>
          <w:sz w:val="24"/>
          <w:lang w:eastAsia="zh-CN"/>
        </w:rPr>
      </w:pPr>
    </w:p>
    <w:p w14:paraId="5B9DC703" w14:textId="77777777" w:rsidR="004154D1" w:rsidRPr="00EC3B16" w:rsidRDefault="004154D1">
      <w:pPr>
        <w:pStyle w:val="1"/>
        <w:spacing w:before="0" w:after="0"/>
        <w:jc w:val="center"/>
        <w:rPr>
          <w:rFonts w:hAnsi="宋体"/>
          <w:sz w:val="30"/>
          <w:lang w:eastAsia="zh-CN"/>
        </w:rPr>
      </w:pPr>
      <w:r w:rsidRPr="00EC3B16">
        <w:rPr>
          <w:rFonts w:hAnsi="宋体"/>
          <w:b w:val="0"/>
          <w:bCs/>
          <w:sz w:val="21"/>
          <w:lang w:eastAsia="zh-CN"/>
        </w:rPr>
        <w:br w:type="page"/>
      </w:r>
      <w:bookmarkStart w:id="349" w:name="_Toc19714"/>
      <w:bookmarkStart w:id="350" w:name="_Toc7802"/>
      <w:bookmarkStart w:id="351" w:name="_Toc871"/>
      <w:bookmarkStart w:id="352" w:name="_Toc31917"/>
      <w:bookmarkStart w:id="353" w:name="_Toc27832"/>
      <w:bookmarkStart w:id="354" w:name="_Toc447270837"/>
      <w:bookmarkStart w:id="355" w:name="_Toc17782"/>
      <w:bookmarkStart w:id="356" w:name="_Toc2623"/>
      <w:bookmarkStart w:id="357" w:name="_Toc132016794"/>
      <w:bookmarkStart w:id="358" w:name="_Toc139991744"/>
      <w:bookmarkStart w:id="359" w:name="_Toc141703894"/>
      <w:r w:rsidRPr="00EC3B16">
        <w:rPr>
          <w:rFonts w:hAnsi="宋体"/>
          <w:sz w:val="30"/>
          <w:lang w:eastAsia="zh-CN"/>
        </w:rPr>
        <w:lastRenderedPageBreak/>
        <w:t>第十四部分</w:t>
      </w:r>
      <w:r w:rsidRPr="00EC3B16">
        <w:rPr>
          <w:rFonts w:hAnsi="宋体" w:hint="eastAsia"/>
          <w:sz w:val="30"/>
          <w:lang w:eastAsia="zh-CN"/>
        </w:rPr>
        <w:t xml:space="preserve"> </w:t>
      </w:r>
      <w:r w:rsidRPr="00EC3B16">
        <w:rPr>
          <w:rFonts w:hAnsi="宋体"/>
          <w:sz w:val="30"/>
          <w:lang w:eastAsia="zh-CN"/>
        </w:rPr>
        <w:t xml:space="preserve"> 基金资产估值</w:t>
      </w:r>
      <w:bookmarkEnd w:id="349"/>
      <w:bookmarkEnd w:id="350"/>
      <w:bookmarkEnd w:id="351"/>
      <w:bookmarkEnd w:id="352"/>
      <w:bookmarkEnd w:id="353"/>
      <w:bookmarkEnd w:id="354"/>
      <w:bookmarkEnd w:id="355"/>
      <w:bookmarkEnd w:id="356"/>
      <w:bookmarkEnd w:id="357"/>
    </w:p>
    <w:p w14:paraId="4EE89A8D" w14:textId="77777777" w:rsidR="004154D1" w:rsidRPr="00EC3B16" w:rsidRDefault="004154D1" w:rsidP="006F1164">
      <w:pPr>
        <w:spacing w:line="360" w:lineRule="auto"/>
        <w:ind w:firstLine="480"/>
        <w:jc w:val="both"/>
        <w:rPr>
          <w:rFonts w:ascii="宋体" w:hAnsi="宋体"/>
          <w:bCs/>
          <w:sz w:val="24"/>
          <w:lang w:eastAsia="zh-CN"/>
        </w:rPr>
      </w:pPr>
    </w:p>
    <w:p w14:paraId="4C7DF29B" w14:textId="77777777" w:rsidR="004154D1" w:rsidRPr="00EC3B16" w:rsidRDefault="004154D1" w:rsidP="006F1164">
      <w:pPr>
        <w:spacing w:line="360" w:lineRule="auto"/>
        <w:ind w:firstLine="480"/>
        <w:jc w:val="both"/>
        <w:rPr>
          <w:rFonts w:ascii="宋体" w:hAnsi="宋体"/>
          <w:bCs/>
          <w:sz w:val="24"/>
          <w:lang w:eastAsia="zh-CN"/>
        </w:rPr>
      </w:pPr>
      <w:bookmarkStart w:id="360" w:name="_Toc32046"/>
      <w:bookmarkStart w:id="361" w:name="_Toc139991745"/>
      <w:bookmarkStart w:id="362" w:name="_Toc141703895"/>
      <w:bookmarkEnd w:id="358"/>
      <w:bookmarkEnd w:id="359"/>
      <w:r w:rsidRPr="00EC3B16">
        <w:rPr>
          <w:rFonts w:ascii="宋体" w:hAnsi="宋体"/>
          <w:bCs/>
          <w:sz w:val="24"/>
          <w:lang w:eastAsia="zh-CN"/>
        </w:rPr>
        <w:t>一、估值日</w:t>
      </w:r>
    </w:p>
    <w:p w14:paraId="16D106E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本基金的估值日为本基金相关的证券交易场所的交易日以及国家法律法规规定需要对外披露基金净值的非交易日。</w:t>
      </w:r>
    </w:p>
    <w:p w14:paraId="6C031A5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二、估值对象</w:t>
      </w:r>
    </w:p>
    <w:p w14:paraId="4E168BEB" w14:textId="77777777" w:rsidR="004154D1" w:rsidRPr="00EC3B16" w:rsidRDefault="004154D1" w:rsidP="006F1164">
      <w:pPr>
        <w:spacing w:line="360" w:lineRule="auto"/>
        <w:ind w:firstLine="480"/>
        <w:jc w:val="both"/>
        <w:rPr>
          <w:rFonts w:ascii="宋体" w:hAnsi="宋体"/>
          <w:bCs/>
          <w:sz w:val="24"/>
          <w:lang w:eastAsia="zh-CN"/>
        </w:rPr>
      </w:pPr>
      <w:bookmarkStart w:id="363" w:name="_Hlk42700107"/>
      <w:bookmarkStart w:id="364" w:name="_Hlk95468664"/>
      <w:r w:rsidRPr="00EC3B16">
        <w:rPr>
          <w:rFonts w:ascii="宋体" w:hAnsi="宋体"/>
          <w:bCs/>
          <w:sz w:val="24"/>
          <w:lang w:eastAsia="zh-CN"/>
        </w:rPr>
        <w:t>基金所拥有的股票、债券和银行存款本息、应收款项、股指期货合约、国债期货合约、其它投资等资产及负债。</w:t>
      </w:r>
      <w:bookmarkEnd w:id="363"/>
    </w:p>
    <w:bookmarkEnd w:id="364"/>
    <w:p w14:paraId="52028A3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三、估值原则</w:t>
      </w:r>
    </w:p>
    <w:p w14:paraId="467D43A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基金管理人在确定相关金融资产和金融负债的公允价值时，应符合《企业会计准则》、监管部门有关规定。</w:t>
      </w:r>
    </w:p>
    <w:p w14:paraId="4E988E0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D8D2C6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与上述投资品种</w:t>
      </w:r>
      <w:r w:rsidRPr="00EC3B16">
        <w:rPr>
          <w:rFonts w:ascii="宋体" w:hAnsi="宋体" w:hint="eastAsia"/>
          <w:bCs/>
          <w:sz w:val="24"/>
          <w:lang w:eastAsia="zh-CN"/>
        </w:rPr>
        <w:t>相</w:t>
      </w:r>
      <w:r w:rsidRPr="00EC3B16">
        <w:rPr>
          <w:rFonts w:ascii="宋体" w:hAnsi="宋体"/>
          <w:bCs/>
          <w:sz w:val="24"/>
          <w:lang w:eastAsia="zh-CN"/>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BEE774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662367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（三）如经济环境发生重大变化或证券发行人发生影响证券价格的重大事件，使潜在估值调整对前一估值日的基金资产净值的影响在0.25%以上的，应对估值进行调整并确定公允价值。</w:t>
      </w:r>
    </w:p>
    <w:p w14:paraId="40D0F12A" w14:textId="77777777" w:rsidR="005C214B" w:rsidRDefault="005C214B" w:rsidP="005C214B">
      <w:pPr>
        <w:spacing w:line="360" w:lineRule="auto"/>
        <w:ind w:firstLine="480"/>
        <w:jc w:val="both"/>
        <w:rPr>
          <w:rFonts w:ascii="宋体" w:hAnsi="宋体"/>
          <w:bCs/>
          <w:sz w:val="24"/>
          <w:lang w:eastAsia="zh-CN"/>
        </w:rPr>
      </w:pPr>
      <w:bookmarkStart w:id="365" w:name="_Hlk535884941"/>
      <w:r>
        <w:rPr>
          <w:rFonts w:ascii="宋体" w:hAnsi="宋体"/>
          <w:bCs/>
          <w:sz w:val="24"/>
          <w:lang w:eastAsia="zh-CN"/>
        </w:rPr>
        <w:lastRenderedPageBreak/>
        <w:t>四、估值方法</w:t>
      </w:r>
    </w:p>
    <w:p w14:paraId="2AC0A1FD" w14:textId="77777777" w:rsidR="005C214B" w:rsidRDefault="005C214B" w:rsidP="005C214B">
      <w:pPr>
        <w:spacing w:line="360" w:lineRule="auto"/>
        <w:ind w:firstLine="480"/>
        <w:jc w:val="both"/>
        <w:rPr>
          <w:rFonts w:ascii="宋体" w:hAnsi="宋体"/>
          <w:bCs/>
          <w:sz w:val="24"/>
          <w:lang w:eastAsia="zh-CN"/>
        </w:rPr>
      </w:pPr>
      <w:r>
        <w:rPr>
          <w:rFonts w:ascii="宋体" w:hAnsi="宋体" w:hint="eastAsia"/>
          <w:bCs/>
          <w:sz w:val="24"/>
          <w:lang w:eastAsia="zh-CN"/>
        </w:rPr>
        <w:t>（一）估值方法一般规定</w:t>
      </w:r>
    </w:p>
    <w:p w14:paraId="3B13368F" w14:textId="77777777" w:rsidR="005C214B" w:rsidRDefault="005C214B" w:rsidP="005C214B">
      <w:pPr>
        <w:spacing w:line="360" w:lineRule="auto"/>
        <w:ind w:firstLine="480"/>
        <w:jc w:val="both"/>
        <w:rPr>
          <w:rFonts w:ascii="宋体" w:hAnsi="宋体"/>
          <w:bCs/>
          <w:sz w:val="24"/>
          <w:lang w:eastAsia="zh-CN"/>
        </w:rPr>
      </w:pPr>
      <w:r>
        <w:rPr>
          <w:rFonts w:ascii="宋体" w:hAnsi="宋体"/>
          <w:bCs/>
          <w:sz w:val="24"/>
          <w:lang w:eastAsia="zh-CN"/>
        </w:rPr>
        <w:t>1、交易所上市的有价证券</w:t>
      </w:r>
      <w:r>
        <w:rPr>
          <w:rFonts w:ascii="宋体" w:hAnsi="宋体" w:hint="eastAsia"/>
          <w:bCs/>
          <w:sz w:val="24"/>
          <w:lang w:eastAsia="zh-CN"/>
        </w:rPr>
        <w:t>（包括股票等）</w:t>
      </w:r>
      <w:r>
        <w:rPr>
          <w:rFonts w:ascii="宋体" w:hAnsi="宋体"/>
          <w:bCs/>
          <w:sz w:val="24"/>
          <w:lang w:eastAsia="zh-CN"/>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ascii="宋体" w:hAnsi="宋体" w:hint="eastAsia"/>
          <w:bCs/>
          <w:sz w:val="24"/>
          <w:lang w:eastAsia="zh-CN"/>
        </w:rPr>
        <w:t>。</w:t>
      </w:r>
    </w:p>
    <w:p w14:paraId="6B20E902" w14:textId="77777777" w:rsidR="005C214B" w:rsidRDefault="005C214B" w:rsidP="005C214B">
      <w:pPr>
        <w:spacing w:line="360" w:lineRule="auto"/>
        <w:ind w:firstLine="480"/>
        <w:jc w:val="both"/>
        <w:rPr>
          <w:rFonts w:ascii="宋体" w:hAnsi="宋体"/>
          <w:bCs/>
          <w:sz w:val="24"/>
          <w:lang w:eastAsia="zh-CN"/>
        </w:rPr>
      </w:pPr>
      <w:r>
        <w:rPr>
          <w:rFonts w:ascii="宋体" w:hAnsi="宋体"/>
          <w:bCs/>
          <w:sz w:val="24"/>
          <w:lang w:eastAsia="zh-CN"/>
        </w:rPr>
        <w:t>2、处于未上市期间的有价证券应区分如下情况处理：</w:t>
      </w:r>
    </w:p>
    <w:p w14:paraId="6897E27E" w14:textId="77777777" w:rsidR="005C214B" w:rsidRDefault="005C214B" w:rsidP="005C214B">
      <w:pPr>
        <w:spacing w:line="360" w:lineRule="auto"/>
        <w:ind w:firstLine="480"/>
        <w:jc w:val="both"/>
        <w:rPr>
          <w:rFonts w:ascii="宋体" w:hAnsi="宋体"/>
          <w:bCs/>
          <w:sz w:val="24"/>
          <w:lang w:eastAsia="zh-CN"/>
        </w:rPr>
      </w:pPr>
      <w:r>
        <w:rPr>
          <w:rFonts w:ascii="宋体" w:hAnsi="宋体"/>
          <w:bCs/>
          <w:sz w:val="24"/>
          <w:lang w:eastAsia="zh-CN"/>
        </w:rPr>
        <w:t>（1）送股、转增股、配股和公开增发的新股，按估值日在证券交易所挂牌的同一股票的估值方法估值；该日无交易的，以最近一日的市价（收盘价）估值；</w:t>
      </w:r>
    </w:p>
    <w:p w14:paraId="25D8E3DA" w14:textId="77777777" w:rsidR="005C214B" w:rsidRDefault="005C214B" w:rsidP="005C214B">
      <w:pPr>
        <w:spacing w:line="360" w:lineRule="auto"/>
        <w:ind w:firstLine="480"/>
        <w:jc w:val="both"/>
        <w:rPr>
          <w:rFonts w:ascii="宋体" w:hAnsi="宋体"/>
          <w:bCs/>
          <w:sz w:val="24"/>
          <w:lang w:eastAsia="zh-CN"/>
        </w:rPr>
      </w:pPr>
      <w:r>
        <w:rPr>
          <w:rFonts w:ascii="宋体" w:hAnsi="宋体"/>
          <w:bCs/>
          <w:sz w:val="24"/>
          <w:lang w:eastAsia="zh-CN"/>
        </w:rPr>
        <w:t>（2）</w:t>
      </w:r>
      <w:r w:rsidRPr="00A15347">
        <w:rPr>
          <w:rFonts w:ascii="宋体" w:hAnsi="宋体"/>
          <w:bCs/>
          <w:sz w:val="24"/>
          <w:lang w:eastAsia="zh-CN"/>
        </w:rPr>
        <w:t>首次公开发行未上市的股票，采用估值技术确定公允价值，在估值技术难以可靠计量公允价值的情况下，按成本估值</w:t>
      </w:r>
      <w:r w:rsidR="009310B6">
        <w:rPr>
          <w:rFonts w:ascii="宋体" w:hAnsi="宋体" w:hint="eastAsia"/>
          <w:bCs/>
          <w:sz w:val="24"/>
          <w:lang w:eastAsia="zh-CN"/>
        </w:rPr>
        <w:t>；</w:t>
      </w:r>
    </w:p>
    <w:p w14:paraId="0CA9E123" w14:textId="77777777" w:rsidR="005C214B" w:rsidRDefault="005C214B" w:rsidP="005C214B">
      <w:pPr>
        <w:spacing w:line="360" w:lineRule="auto"/>
        <w:ind w:firstLine="480"/>
        <w:jc w:val="both"/>
        <w:rPr>
          <w:rFonts w:ascii="宋体" w:hAnsi="宋体"/>
          <w:bCs/>
          <w:sz w:val="24"/>
          <w:lang w:eastAsia="zh-CN"/>
        </w:rPr>
      </w:pPr>
      <w:r>
        <w:rPr>
          <w:rFonts w:ascii="宋体" w:hAnsi="宋体"/>
          <w:bCs/>
          <w:sz w:val="24"/>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C2EC55E" w14:textId="77777777" w:rsidR="005C214B" w:rsidRDefault="005C214B" w:rsidP="005C214B">
      <w:pPr>
        <w:spacing w:line="360" w:lineRule="auto"/>
        <w:ind w:firstLine="480"/>
        <w:jc w:val="both"/>
        <w:rPr>
          <w:rFonts w:ascii="宋体" w:hAnsi="宋体"/>
          <w:bCs/>
          <w:sz w:val="24"/>
          <w:lang w:eastAsia="zh-CN"/>
        </w:rPr>
      </w:pPr>
      <w:r>
        <w:rPr>
          <w:rFonts w:ascii="宋体" w:hAnsi="宋体" w:hint="eastAsia"/>
          <w:bCs/>
          <w:sz w:val="24"/>
          <w:lang w:eastAsia="zh-CN"/>
        </w:rPr>
        <w:t>3、已</w:t>
      </w:r>
      <w:r>
        <w:rPr>
          <w:rFonts w:ascii="宋体" w:hAnsi="宋体"/>
          <w:bCs/>
          <w:sz w:val="24"/>
          <w:lang w:eastAsia="zh-CN"/>
        </w:rPr>
        <w:t>上市交易或挂牌转让的不含权固定收益品种</w:t>
      </w:r>
      <w:r w:rsidRPr="00A15347">
        <w:rPr>
          <w:rFonts w:ascii="宋体" w:hAnsi="宋体" w:hint="eastAsia"/>
          <w:bCs/>
          <w:sz w:val="24"/>
          <w:lang w:eastAsia="zh-CN"/>
        </w:rPr>
        <w:t>（本基金合同另有规定的除外）</w:t>
      </w:r>
      <w:r>
        <w:rPr>
          <w:rFonts w:ascii="宋体" w:hAnsi="宋体"/>
          <w:bCs/>
          <w:sz w:val="24"/>
          <w:lang w:eastAsia="zh-CN"/>
        </w:rPr>
        <w:t>，选取估值日第三方估值机构提供的相应品种当日的估值</w:t>
      </w:r>
      <w:r>
        <w:rPr>
          <w:rFonts w:ascii="宋体" w:hAnsi="宋体" w:hint="eastAsia"/>
          <w:bCs/>
          <w:sz w:val="24"/>
          <w:lang w:eastAsia="zh-CN"/>
        </w:rPr>
        <w:t>价格</w:t>
      </w:r>
      <w:r>
        <w:rPr>
          <w:rFonts w:ascii="宋体" w:hAnsi="宋体"/>
          <w:bCs/>
          <w:sz w:val="24"/>
          <w:lang w:eastAsia="zh-CN"/>
        </w:rPr>
        <w:t>进行估值</w:t>
      </w:r>
      <w:r>
        <w:rPr>
          <w:rFonts w:ascii="宋体" w:hAnsi="宋体" w:hint="eastAsia"/>
          <w:bCs/>
          <w:sz w:val="24"/>
          <w:lang w:eastAsia="zh-CN"/>
        </w:rPr>
        <w:t>。</w:t>
      </w:r>
    </w:p>
    <w:p w14:paraId="59569631" w14:textId="77777777" w:rsidR="005C214B" w:rsidRDefault="005C214B" w:rsidP="005C214B">
      <w:pPr>
        <w:spacing w:line="360" w:lineRule="auto"/>
        <w:ind w:firstLine="480"/>
        <w:jc w:val="both"/>
        <w:rPr>
          <w:rFonts w:ascii="宋体" w:hAnsi="宋体"/>
          <w:bCs/>
          <w:sz w:val="24"/>
          <w:lang w:eastAsia="zh-CN"/>
        </w:rPr>
      </w:pPr>
      <w:r>
        <w:rPr>
          <w:rFonts w:ascii="宋体" w:hAnsi="宋体" w:hint="eastAsia"/>
          <w:bCs/>
          <w:sz w:val="24"/>
          <w:lang w:eastAsia="zh-CN"/>
        </w:rPr>
        <w:t>4、已</w:t>
      </w:r>
      <w:r>
        <w:rPr>
          <w:rFonts w:ascii="宋体" w:hAnsi="宋体"/>
          <w:bCs/>
          <w:sz w:val="24"/>
          <w:lang w:eastAsia="zh-CN"/>
        </w:rPr>
        <w:t>上市交易或挂牌转让的含权固定收益品种</w:t>
      </w:r>
      <w:r w:rsidRPr="00A15347">
        <w:rPr>
          <w:rFonts w:ascii="宋体" w:hAnsi="宋体"/>
          <w:bCs/>
          <w:sz w:val="24"/>
          <w:lang w:eastAsia="zh-CN"/>
        </w:rPr>
        <w:t>（本基金合同另有规定的除外）</w:t>
      </w:r>
      <w:r>
        <w:rPr>
          <w:rFonts w:ascii="宋体" w:hAnsi="宋体"/>
          <w:bCs/>
          <w:sz w:val="24"/>
          <w:lang w:eastAsia="zh-CN"/>
        </w:rPr>
        <w:t>，选取估值日第三方估值机构提供的相应品种当日的唯一估值</w:t>
      </w:r>
      <w:r>
        <w:rPr>
          <w:rFonts w:ascii="宋体" w:hAnsi="宋体" w:hint="eastAsia"/>
          <w:bCs/>
          <w:sz w:val="24"/>
          <w:lang w:eastAsia="zh-CN"/>
        </w:rPr>
        <w:t>价格</w:t>
      </w:r>
      <w:r>
        <w:rPr>
          <w:rFonts w:ascii="宋体" w:hAnsi="宋体"/>
          <w:bCs/>
          <w:sz w:val="24"/>
          <w:lang w:eastAsia="zh-CN"/>
        </w:rPr>
        <w:t>或推荐估值</w:t>
      </w:r>
      <w:r>
        <w:rPr>
          <w:rFonts w:ascii="宋体" w:hAnsi="宋体" w:hint="eastAsia"/>
          <w:bCs/>
          <w:sz w:val="24"/>
          <w:lang w:eastAsia="zh-CN"/>
        </w:rPr>
        <w:t>价格</w:t>
      </w:r>
      <w:r>
        <w:rPr>
          <w:rFonts w:ascii="宋体" w:hAnsi="宋体"/>
          <w:bCs/>
          <w:sz w:val="24"/>
          <w:lang w:eastAsia="zh-CN"/>
        </w:rPr>
        <w:t>进行估值</w:t>
      </w:r>
      <w:r>
        <w:rPr>
          <w:rFonts w:ascii="宋体" w:hAnsi="宋体" w:hint="eastAsia"/>
          <w:bCs/>
          <w:sz w:val="24"/>
          <w:lang w:eastAsia="zh-CN"/>
        </w:rPr>
        <w:t>。</w:t>
      </w:r>
      <w:r w:rsidRPr="00A15347">
        <w:rPr>
          <w:rFonts w:ascii="宋体" w:hAnsi="宋体"/>
          <w:bCs/>
          <w:sz w:val="24"/>
          <w:lang w:eastAsia="zh-CN"/>
        </w:rPr>
        <w:t>对于含投资</w:t>
      </w:r>
      <w:r w:rsidRPr="00A15347">
        <w:rPr>
          <w:rFonts w:ascii="宋体" w:hAnsi="宋体" w:hint="eastAsia"/>
          <w:bCs/>
          <w:sz w:val="24"/>
          <w:lang w:eastAsia="zh-CN"/>
        </w:rPr>
        <w:t>者</w:t>
      </w:r>
      <w:r w:rsidRPr="00A15347">
        <w:rPr>
          <w:rFonts w:ascii="宋体" w:hAnsi="宋体"/>
          <w:bCs/>
          <w:sz w:val="24"/>
          <w:lang w:eastAsia="zh-CN"/>
        </w:rPr>
        <w:t>回售权的固定收益品种，</w:t>
      </w:r>
      <w:r w:rsidRPr="00A15347">
        <w:rPr>
          <w:rFonts w:ascii="宋体" w:hAnsi="宋体" w:hint="eastAsia"/>
          <w:bCs/>
          <w:sz w:val="24"/>
          <w:lang w:eastAsia="zh-CN"/>
        </w:rPr>
        <w:t>行使回售权的，在回售登记日至实际收款日期间选取第三方估值基准服务机构提供的相应品种的唯一估值价格或推荐估值价格。</w:t>
      </w:r>
      <w:r w:rsidRPr="00A15347">
        <w:rPr>
          <w:rFonts w:ascii="宋体" w:hAnsi="宋体"/>
          <w:bCs/>
          <w:sz w:val="24"/>
          <w:lang w:eastAsia="zh-CN"/>
        </w:rPr>
        <w:t>回售登记期截止日（含当日）后未行使回售权的按照长待偿期所对应的</w:t>
      </w:r>
      <w:r w:rsidRPr="00A15347">
        <w:rPr>
          <w:rFonts w:ascii="宋体" w:hAnsi="宋体" w:hint="eastAsia"/>
          <w:bCs/>
          <w:sz w:val="24"/>
          <w:lang w:eastAsia="zh-CN"/>
        </w:rPr>
        <w:t>估值</w:t>
      </w:r>
      <w:r w:rsidRPr="00A15347">
        <w:rPr>
          <w:rFonts w:ascii="宋体" w:hAnsi="宋体"/>
          <w:bCs/>
          <w:sz w:val="24"/>
          <w:lang w:eastAsia="zh-CN"/>
        </w:rPr>
        <w:t>价格进行估值。</w:t>
      </w:r>
    </w:p>
    <w:p w14:paraId="69CCB721" w14:textId="77777777" w:rsidR="005C214B" w:rsidRPr="00A15347" w:rsidRDefault="005C214B" w:rsidP="005C214B">
      <w:pPr>
        <w:spacing w:line="360" w:lineRule="auto"/>
        <w:ind w:firstLine="480"/>
        <w:jc w:val="both"/>
        <w:rPr>
          <w:rFonts w:ascii="宋体" w:hAnsi="宋体"/>
          <w:bCs/>
          <w:sz w:val="24"/>
          <w:lang w:eastAsia="zh-CN"/>
        </w:rPr>
      </w:pPr>
      <w:r>
        <w:rPr>
          <w:rFonts w:ascii="宋体" w:hAnsi="宋体" w:hint="eastAsia"/>
          <w:bCs/>
          <w:sz w:val="24"/>
          <w:lang w:eastAsia="zh-CN"/>
        </w:rPr>
        <w:t>5、</w:t>
      </w:r>
      <w:r w:rsidRPr="00A15347">
        <w:rPr>
          <w:rFonts w:ascii="宋体" w:hAnsi="宋体"/>
          <w:bCs/>
          <w:sz w:val="24"/>
          <w:lang w:eastAsia="zh-CN"/>
        </w:rPr>
        <w:t>对于在交易所市场上市交易的公开发行的可转换债券</w:t>
      </w:r>
      <w:r w:rsidRPr="00A15347">
        <w:rPr>
          <w:rFonts w:ascii="宋体" w:hAnsi="宋体" w:hint="eastAsia"/>
          <w:bCs/>
          <w:sz w:val="24"/>
          <w:lang w:eastAsia="zh-CN"/>
        </w:rPr>
        <w:t>、可交换债券</w:t>
      </w:r>
      <w:r w:rsidRPr="00A15347">
        <w:rPr>
          <w:rFonts w:ascii="宋体" w:hAnsi="宋体"/>
          <w:bCs/>
          <w:sz w:val="24"/>
          <w:lang w:eastAsia="zh-CN"/>
        </w:rPr>
        <w:t>等有活跃市场的含转股权的债券，</w:t>
      </w:r>
      <w:r w:rsidRPr="00A15347">
        <w:rPr>
          <w:rFonts w:ascii="宋体" w:hAnsi="宋体" w:hint="eastAsia"/>
          <w:bCs/>
          <w:sz w:val="24"/>
          <w:lang w:eastAsia="zh-CN"/>
        </w:rPr>
        <w:t>实行全价交易的，选取</w:t>
      </w:r>
      <w:r w:rsidRPr="00A15347">
        <w:rPr>
          <w:rFonts w:ascii="宋体" w:hAnsi="宋体"/>
          <w:bCs/>
          <w:sz w:val="24"/>
          <w:lang w:eastAsia="zh-CN"/>
        </w:rPr>
        <w:t>估值日收盘价</w:t>
      </w:r>
      <w:r w:rsidRPr="00A15347">
        <w:rPr>
          <w:rFonts w:ascii="宋体" w:hAnsi="宋体" w:hint="eastAsia"/>
          <w:bCs/>
          <w:sz w:val="24"/>
          <w:lang w:eastAsia="zh-CN"/>
        </w:rPr>
        <w:t>进行</w:t>
      </w:r>
      <w:r w:rsidRPr="00A15347">
        <w:rPr>
          <w:rFonts w:ascii="宋体" w:hAnsi="宋体"/>
          <w:bCs/>
          <w:sz w:val="24"/>
          <w:lang w:eastAsia="zh-CN"/>
        </w:rPr>
        <w:t>估值</w:t>
      </w:r>
      <w:r w:rsidRPr="00A15347">
        <w:rPr>
          <w:rFonts w:ascii="宋体" w:hAnsi="宋体" w:hint="eastAsia"/>
          <w:bCs/>
          <w:sz w:val="24"/>
          <w:lang w:eastAsia="zh-CN"/>
        </w:rPr>
        <w:t>；</w:t>
      </w:r>
      <w:r w:rsidRPr="00A15347">
        <w:rPr>
          <w:rFonts w:ascii="宋体" w:hAnsi="宋体"/>
          <w:bCs/>
          <w:sz w:val="24"/>
          <w:lang w:eastAsia="zh-CN"/>
        </w:rPr>
        <w:lastRenderedPageBreak/>
        <w:t>实行净价交易的</w:t>
      </w:r>
      <w:r w:rsidRPr="00A15347">
        <w:rPr>
          <w:rFonts w:ascii="宋体" w:hAnsi="宋体" w:hint="eastAsia"/>
          <w:bCs/>
          <w:sz w:val="24"/>
          <w:lang w:eastAsia="zh-CN"/>
        </w:rPr>
        <w:t>，</w:t>
      </w:r>
      <w:r w:rsidRPr="00A15347">
        <w:rPr>
          <w:rFonts w:ascii="宋体" w:hAnsi="宋体"/>
          <w:bCs/>
          <w:sz w:val="24"/>
          <w:lang w:eastAsia="zh-CN"/>
        </w:rPr>
        <w:t>选取估值日收盘价并加计</w:t>
      </w:r>
      <w:r w:rsidRPr="00A15347">
        <w:rPr>
          <w:rFonts w:ascii="宋体" w:hAnsi="宋体" w:hint="eastAsia"/>
          <w:bCs/>
          <w:sz w:val="24"/>
          <w:lang w:eastAsia="zh-CN"/>
        </w:rPr>
        <w:t>相应</w:t>
      </w:r>
      <w:r w:rsidRPr="00A15347">
        <w:rPr>
          <w:rFonts w:ascii="宋体" w:hAnsi="宋体"/>
          <w:bCs/>
          <w:sz w:val="24"/>
          <w:lang w:eastAsia="zh-CN"/>
        </w:rPr>
        <w:t>税前应计利息</w:t>
      </w:r>
      <w:r w:rsidRPr="00A15347">
        <w:rPr>
          <w:rFonts w:ascii="宋体" w:hAnsi="宋体" w:hint="eastAsia"/>
          <w:bCs/>
          <w:sz w:val="24"/>
          <w:lang w:eastAsia="zh-CN"/>
        </w:rPr>
        <w:t>进行</w:t>
      </w:r>
      <w:r w:rsidRPr="00A15347">
        <w:rPr>
          <w:rFonts w:ascii="宋体" w:hAnsi="宋体"/>
          <w:bCs/>
          <w:sz w:val="24"/>
          <w:lang w:eastAsia="zh-CN"/>
        </w:rPr>
        <w:t>估值。</w:t>
      </w:r>
      <w:r>
        <w:rPr>
          <w:rFonts w:ascii="宋体" w:hAnsi="宋体" w:hint="eastAsia"/>
          <w:bCs/>
          <w:sz w:val="24"/>
          <w:lang w:eastAsia="zh-CN"/>
        </w:rPr>
        <w:t>估值日没有交易的，且最近交易日后经济环境未发生重大变化，</w:t>
      </w:r>
      <w:r w:rsidRPr="00A15347">
        <w:rPr>
          <w:rFonts w:ascii="宋体" w:hAnsi="宋体" w:hint="eastAsia"/>
          <w:bCs/>
          <w:sz w:val="24"/>
          <w:lang w:eastAsia="zh-CN"/>
        </w:rPr>
        <w:t>实行全价交易的，选取</w:t>
      </w:r>
      <w:r>
        <w:rPr>
          <w:rFonts w:ascii="宋体" w:hAnsi="宋体" w:hint="eastAsia"/>
          <w:bCs/>
          <w:sz w:val="24"/>
          <w:lang w:eastAsia="zh-CN"/>
        </w:rPr>
        <w:t>最近交易日</w:t>
      </w:r>
      <w:r w:rsidRPr="00A15347">
        <w:rPr>
          <w:rFonts w:ascii="宋体" w:hAnsi="宋体"/>
          <w:bCs/>
          <w:sz w:val="24"/>
          <w:lang w:eastAsia="zh-CN"/>
        </w:rPr>
        <w:t>收盘价</w:t>
      </w:r>
      <w:r w:rsidRPr="00A15347">
        <w:rPr>
          <w:rFonts w:ascii="宋体" w:hAnsi="宋体" w:hint="eastAsia"/>
          <w:bCs/>
          <w:sz w:val="24"/>
          <w:lang w:eastAsia="zh-CN"/>
        </w:rPr>
        <w:t>进行</w:t>
      </w:r>
      <w:r w:rsidRPr="00A15347">
        <w:rPr>
          <w:rFonts w:ascii="宋体" w:hAnsi="宋体"/>
          <w:bCs/>
          <w:sz w:val="24"/>
          <w:lang w:eastAsia="zh-CN"/>
        </w:rPr>
        <w:t>估值</w:t>
      </w:r>
      <w:r w:rsidRPr="00A15347">
        <w:rPr>
          <w:rFonts w:ascii="宋体" w:hAnsi="宋体" w:hint="eastAsia"/>
          <w:bCs/>
          <w:sz w:val="24"/>
          <w:lang w:eastAsia="zh-CN"/>
        </w:rPr>
        <w:t>；</w:t>
      </w:r>
      <w:r w:rsidRPr="00A15347">
        <w:rPr>
          <w:rFonts w:ascii="宋体" w:hAnsi="宋体"/>
          <w:bCs/>
          <w:sz w:val="24"/>
          <w:lang w:eastAsia="zh-CN"/>
        </w:rPr>
        <w:t>实行净价交易的</w:t>
      </w:r>
      <w:r w:rsidRPr="00A15347">
        <w:rPr>
          <w:rFonts w:ascii="宋体" w:hAnsi="宋体" w:hint="eastAsia"/>
          <w:bCs/>
          <w:sz w:val="24"/>
          <w:lang w:eastAsia="zh-CN"/>
        </w:rPr>
        <w:t>，</w:t>
      </w:r>
      <w:r w:rsidRPr="00A15347">
        <w:rPr>
          <w:rFonts w:ascii="宋体" w:hAnsi="宋体"/>
          <w:bCs/>
          <w:sz w:val="24"/>
          <w:lang w:eastAsia="zh-CN"/>
        </w:rPr>
        <w:t>选取</w:t>
      </w:r>
      <w:r>
        <w:rPr>
          <w:rFonts w:ascii="宋体" w:hAnsi="宋体" w:hint="eastAsia"/>
          <w:bCs/>
          <w:sz w:val="24"/>
          <w:lang w:eastAsia="zh-CN"/>
        </w:rPr>
        <w:t>最近交易日</w:t>
      </w:r>
      <w:r w:rsidRPr="00A15347">
        <w:rPr>
          <w:rFonts w:ascii="宋体" w:hAnsi="宋体"/>
          <w:bCs/>
          <w:sz w:val="24"/>
          <w:lang w:eastAsia="zh-CN"/>
        </w:rPr>
        <w:t>收盘价并加计</w:t>
      </w:r>
      <w:r w:rsidRPr="00A15347">
        <w:rPr>
          <w:rFonts w:ascii="宋体" w:hAnsi="宋体" w:hint="eastAsia"/>
          <w:bCs/>
          <w:sz w:val="24"/>
          <w:lang w:eastAsia="zh-CN"/>
        </w:rPr>
        <w:t>相应</w:t>
      </w:r>
      <w:r w:rsidRPr="00A15347">
        <w:rPr>
          <w:rFonts w:ascii="宋体" w:hAnsi="宋体"/>
          <w:bCs/>
          <w:sz w:val="24"/>
          <w:lang w:eastAsia="zh-CN"/>
        </w:rPr>
        <w:t>税前应计利息</w:t>
      </w:r>
      <w:r w:rsidRPr="00A15347">
        <w:rPr>
          <w:rFonts w:ascii="宋体" w:hAnsi="宋体" w:hint="eastAsia"/>
          <w:bCs/>
          <w:sz w:val="24"/>
          <w:lang w:eastAsia="zh-CN"/>
        </w:rPr>
        <w:t>进行</w:t>
      </w:r>
      <w:r w:rsidRPr="00A15347">
        <w:rPr>
          <w:rFonts w:ascii="宋体" w:hAnsi="宋体"/>
          <w:bCs/>
          <w:sz w:val="24"/>
          <w:lang w:eastAsia="zh-CN"/>
        </w:rPr>
        <w:t>估值。</w:t>
      </w:r>
    </w:p>
    <w:p w14:paraId="6D9A6B51" w14:textId="77777777" w:rsidR="005C214B" w:rsidRDefault="005C214B" w:rsidP="00A15347">
      <w:pPr>
        <w:spacing w:line="360" w:lineRule="auto"/>
        <w:ind w:firstLine="480"/>
        <w:jc w:val="both"/>
        <w:rPr>
          <w:rFonts w:ascii="宋体" w:hAnsi="宋体"/>
          <w:bCs/>
          <w:sz w:val="24"/>
          <w:lang w:eastAsia="zh-CN"/>
        </w:rPr>
      </w:pPr>
      <w:r>
        <w:rPr>
          <w:rFonts w:ascii="宋体" w:hAnsi="宋体" w:hint="eastAsia"/>
          <w:bCs/>
          <w:sz w:val="24"/>
          <w:lang w:eastAsia="zh-CN"/>
        </w:rPr>
        <w:t>6、</w:t>
      </w:r>
      <w:r w:rsidRPr="00E72822">
        <w:rPr>
          <w:rFonts w:ascii="宋体" w:hAnsi="宋体"/>
          <w:bCs/>
          <w:sz w:val="24"/>
          <w:lang w:eastAsia="zh-CN"/>
        </w:rPr>
        <w:t>对于未上市或未挂牌转让且不存在活跃市场的固定收益品种，</w:t>
      </w:r>
      <w:r>
        <w:rPr>
          <w:rFonts w:ascii="宋体" w:hAnsi="宋体" w:hint="eastAsia"/>
          <w:bCs/>
          <w:sz w:val="24"/>
          <w:lang w:eastAsia="zh-CN"/>
        </w:rPr>
        <w:t>对存在活跃市场的情况下，应以活跃市场上未经调整的报价作为估值日的公允价值；对于活跃市场报价未能代表估值日公允价值的情况下，应对市场报价进行调整以确认估值日的公允价值；对于不存在活跃市场的情况下，应采用当前情况下适用并且有足够可利用数据和其他信息支持的估值技术确定其公允价值。</w:t>
      </w:r>
    </w:p>
    <w:p w14:paraId="5813E5B4" w14:textId="77777777" w:rsidR="005C214B" w:rsidRDefault="005C214B" w:rsidP="005C214B">
      <w:pPr>
        <w:spacing w:line="360" w:lineRule="auto"/>
        <w:ind w:firstLine="480"/>
        <w:jc w:val="both"/>
        <w:rPr>
          <w:rFonts w:ascii="宋体" w:hAnsi="宋体"/>
          <w:bCs/>
          <w:sz w:val="24"/>
          <w:lang w:eastAsia="zh-CN"/>
        </w:rPr>
      </w:pPr>
      <w:r>
        <w:rPr>
          <w:rFonts w:ascii="宋体" w:hAnsi="宋体" w:hint="eastAsia"/>
          <w:bCs/>
          <w:sz w:val="24"/>
          <w:lang w:eastAsia="zh-CN"/>
        </w:rPr>
        <w:t>7</w:t>
      </w:r>
      <w:r>
        <w:rPr>
          <w:rFonts w:ascii="宋体" w:hAnsi="宋体"/>
          <w:bCs/>
          <w:sz w:val="24"/>
          <w:lang w:eastAsia="zh-CN"/>
        </w:rPr>
        <w:t>、同一</w:t>
      </w:r>
      <w:r>
        <w:rPr>
          <w:rFonts w:ascii="宋体" w:hAnsi="宋体" w:hint="eastAsia"/>
          <w:bCs/>
          <w:sz w:val="24"/>
          <w:lang w:eastAsia="zh-CN"/>
        </w:rPr>
        <w:t>证券</w:t>
      </w:r>
      <w:r>
        <w:rPr>
          <w:rFonts w:ascii="宋体" w:hAnsi="宋体"/>
          <w:bCs/>
          <w:sz w:val="24"/>
          <w:lang w:eastAsia="zh-CN"/>
        </w:rPr>
        <w:t>同时在两个或两个以上市场交易的，按</w:t>
      </w:r>
      <w:r>
        <w:rPr>
          <w:rFonts w:ascii="宋体" w:hAnsi="宋体" w:hint="eastAsia"/>
          <w:bCs/>
          <w:sz w:val="24"/>
          <w:lang w:eastAsia="zh-CN"/>
        </w:rPr>
        <w:t>证</w:t>
      </w:r>
      <w:r>
        <w:rPr>
          <w:rFonts w:ascii="宋体" w:hAnsi="宋体"/>
          <w:bCs/>
          <w:sz w:val="24"/>
          <w:lang w:eastAsia="zh-CN"/>
        </w:rPr>
        <w:t>券所处的市场分别估值。</w:t>
      </w:r>
    </w:p>
    <w:p w14:paraId="0E601E28" w14:textId="77777777" w:rsidR="005C214B" w:rsidRPr="00A15347" w:rsidRDefault="005C214B" w:rsidP="005C214B">
      <w:pPr>
        <w:spacing w:line="360" w:lineRule="auto"/>
        <w:ind w:firstLine="480"/>
        <w:jc w:val="both"/>
        <w:rPr>
          <w:rFonts w:ascii="宋体" w:hAnsi="宋体"/>
          <w:bCs/>
          <w:sz w:val="24"/>
          <w:lang w:eastAsia="zh-CN"/>
        </w:rPr>
      </w:pPr>
      <w:r w:rsidRPr="00A15347">
        <w:rPr>
          <w:rFonts w:ascii="宋体" w:hAnsi="宋体" w:hint="eastAsia"/>
          <w:bCs/>
          <w:sz w:val="24"/>
          <w:lang w:eastAsia="zh-CN"/>
        </w:rPr>
        <w:t>8、本基金参与融资业务的，按照相关法律法规、监管部门和行业协会的相关规定进行估值。</w:t>
      </w:r>
    </w:p>
    <w:p w14:paraId="1871B05D" w14:textId="77777777" w:rsidR="005C214B" w:rsidRDefault="005C214B" w:rsidP="005C214B">
      <w:pPr>
        <w:spacing w:line="360" w:lineRule="auto"/>
        <w:ind w:firstLine="480"/>
        <w:jc w:val="both"/>
        <w:rPr>
          <w:rFonts w:ascii="宋体" w:hAnsi="宋体"/>
          <w:bCs/>
          <w:sz w:val="24"/>
          <w:lang w:eastAsia="zh-CN"/>
        </w:rPr>
      </w:pPr>
      <w:r w:rsidRPr="00A15347">
        <w:rPr>
          <w:rFonts w:ascii="宋体" w:hAnsi="宋体" w:hint="eastAsia"/>
          <w:bCs/>
          <w:sz w:val="24"/>
          <w:lang w:eastAsia="zh-CN"/>
        </w:rPr>
        <w:t>9、本基金投资定期存款、协议存款的，以本金列示，按相应利率逐日计提应</w:t>
      </w:r>
      <w:r w:rsidR="004B4CD1" w:rsidRPr="00A15347">
        <w:rPr>
          <w:rFonts w:ascii="宋体" w:hAnsi="宋体" w:hint="eastAsia"/>
          <w:bCs/>
          <w:sz w:val="24"/>
          <w:lang w:eastAsia="zh-CN"/>
        </w:rPr>
        <w:t>计</w:t>
      </w:r>
      <w:r w:rsidRPr="00A15347">
        <w:rPr>
          <w:rFonts w:ascii="宋体" w:hAnsi="宋体" w:hint="eastAsia"/>
          <w:bCs/>
          <w:sz w:val="24"/>
          <w:lang w:eastAsia="zh-CN"/>
        </w:rPr>
        <w:t>利息。如提前支取利息受损的，按基金管理人、基金托管人双方认可的估值技术估值。</w:t>
      </w:r>
    </w:p>
    <w:p w14:paraId="5C878C5E" w14:textId="77777777" w:rsidR="005C214B" w:rsidRDefault="005C214B" w:rsidP="005C214B">
      <w:pPr>
        <w:spacing w:line="360" w:lineRule="auto"/>
        <w:ind w:firstLine="480"/>
        <w:jc w:val="both"/>
        <w:rPr>
          <w:rFonts w:ascii="宋体" w:hAnsi="宋体"/>
          <w:bCs/>
          <w:sz w:val="24"/>
          <w:lang w:eastAsia="zh-CN"/>
        </w:rPr>
      </w:pPr>
      <w:r>
        <w:rPr>
          <w:rFonts w:ascii="宋体" w:hAnsi="宋体" w:hint="eastAsia"/>
          <w:bCs/>
          <w:sz w:val="24"/>
          <w:lang w:eastAsia="zh-CN"/>
        </w:rPr>
        <w:t>10</w:t>
      </w:r>
      <w:r>
        <w:rPr>
          <w:rFonts w:ascii="宋体" w:hAnsi="宋体"/>
          <w:bCs/>
          <w:sz w:val="24"/>
          <w:lang w:eastAsia="zh-CN"/>
        </w:rPr>
        <w:t>、股指期货合约、国债期货合约的估值</w:t>
      </w:r>
    </w:p>
    <w:p w14:paraId="5720CEE9" w14:textId="77777777" w:rsidR="005C214B" w:rsidRDefault="005C214B" w:rsidP="005C214B">
      <w:pPr>
        <w:spacing w:line="360" w:lineRule="auto"/>
        <w:ind w:firstLine="480"/>
        <w:jc w:val="both"/>
        <w:rPr>
          <w:rFonts w:ascii="宋体" w:hAnsi="宋体"/>
          <w:bCs/>
          <w:sz w:val="24"/>
          <w:lang w:eastAsia="zh-CN"/>
        </w:rPr>
      </w:pPr>
      <w:r>
        <w:rPr>
          <w:rFonts w:ascii="宋体" w:hAnsi="宋体"/>
          <w:bCs/>
          <w:sz w:val="24"/>
          <w:lang w:eastAsia="zh-CN"/>
        </w:rPr>
        <w:t>（1）基金投资的股指期货合约，一般以估值当日结算价进行估值，估值当日无结算价的，且最近交易日后经济环境未发生重大变化的，采用最近交易日结算价估值；</w:t>
      </w:r>
    </w:p>
    <w:p w14:paraId="20AE958A" w14:textId="77777777" w:rsidR="005C214B" w:rsidRDefault="005C214B" w:rsidP="005C214B">
      <w:pPr>
        <w:spacing w:line="360" w:lineRule="auto"/>
        <w:ind w:firstLine="480"/>
        <w:jc w:val="both"/>
        <w:rPr>
          <w:rFonts w:ascii="宋体" w:hAnsi="宋体"/>
          <w:bCs/>
          <w:sz w:val="24"/>
          <w:lang w:eastAsia="zh-CN"/>
        </w:rPr>
      </w:pPr>
      <w:r>
        <w:rPr>
          <w:rFonts w:ascii="宋体" w:hAnsi="宋体"/>
          <w:bCs/>
          <w:sz w:val="24"/>
          <w:lang w:eastAsia="zh-CN"/>
        </w:rPr>
        <w:t>（2）基金投资的国债期货合约，一般以估值当日结算价进行估值，估值当日无结算价的，且最近交易日后经济环境未发生重大变化的，采用最近交易日结算价估值。</w:t>
      </w:r>
    </w:p>
    <w:p w14:paraId="64ABA141" w14:textId="77777777" w:rsidR="005C214B" w:rsidRDefault="005C214B" w:rsidP="005C214B">
      <w:pPr>
        <w:spacing w:line="360" w:lineRule="auto"/>
        <w:ind w:firstLine="480"/>
        <w:jc w:val="both"/>
        <w:rPr>
          <w:rFonts w:ascii="宋体" w:hAnsi="宋体"/>
          <w:bCs/>
          <w:sz w:val="24"/>
          <w:lang w:eastAsia="zh-CN"/>
        </w:rPr>
      </w:pPr>
      <w:r>
        <w:rPr>
          <w:rFonts w:ascii="宋体" w:hAnsi="宋体" w:hint="eastAsia"/>
          <w:bCs/>
          <w:sz w:val="24"/>
          <w:lang w:eastAsia="zh-CN"/>
        </w:rPr>
        <w:t>11、</w:t>
      </w:r>
      <w:r>
        <w:rPr>
          <w:rFonts w:ascii="宋体" w:hAnsi="宋体"/>
          <w:bCs/>
          <w:sz w:val="24"/>
          <w:lang w:eastAsia="zh-CN"/>
        </w:rPr>
        <w:t>本基金投资存托凭证的估值核算，依照国内依法发行上市的股票执行。</w:t>
      </w:r>
    </w:p>
    <w:p w14:paraId="27561774" w14:textId="77777777" w:rsidR="005C214B" w:rsidRPr="00A15347" w:rsidRDefault="005C214B" w:rsidP="00A15347">
      <w:pPr>
        <w:spacing w:line="360" w:lineRule="auto"/>
        <w:ind w:firstLine="480"/>
        <w:jc w:val="both"/>
        <w:rPr>
          <w:rFonts w:ascii="宋体" w:hAnsi="宋体"/>
          <w:bCs/>
          <w:sz w:val="24"/>
          <w:lang w:eastAsia="zh-CN"/>
        </w:rPr>
      </w:pPr>
      <w:r>
        <w:rPr>
          <w:rFonts w:ascii="宋体" w:hAnsi="宋体" w:hint="eastAsia"/>
          <w:bCs/>
          <w:sz w:val="24"/>
          <w:lang w:eastAsia="zh-CN"/>
        </w:rPr>
        <w:t>12、如本基金投资港股通标的股票，</w:t>
      </w:r>
      <w:r w:rsidRPr="00A15347">
        <w:rPr>
          <w:rFonts w:ascii="宋体" w:hAnsi="宋体" w:hint="eastAsia"/>
          <w:bCs/>
          <w:sz w:val="24"/>
          <w:lang w:eastAsia="zh-CN"/>
        </w:rPr>
        <w:t>按其在港交所的收盘价估值；估值日无交易的，以最近交易日的收盘价估值。</w:t>
      </w:r>
      <w:r>
        <w:rPr>
          <w:rFonts w:ascii="宋体" w:hAnsi="宋体" w:hint="eastAsia"/>
          <w:bCs/>
          <w:sz w:val="24"/>
          <w:lang w:eastAsia="zh-CN"/>
        </w:rPr>
        <w:t>估值计算中涉及港币对人民币汇率的，</w:t>
      </w:r>
      <w:r w:rsidRPr="00A15347">
        <w:rPr>
          <w:rFonts w:ascii="宋体" w:hAnsi="宋体" w:hint="eastAsia"/>
          <w:bCs/>
          <w:sz w:val="24"/>
          <w:lang w:eastAsia="zh-CN"/>
        </w:rPr>
        <w:t>可参考当日中国人民银行或其授权机构公布的人民币汇率中间价，或其他可以反映公允价值的汇率进行估值。</w:t>
      </w:r>
    </w:p>
    <w:p w14:paraId="2CCE72A4" w14:textId="77777777" w:rsidR="005C214B" w:rsidRDefault="005C214B" w:rsidP="005C214B">
      <w:pPr>
        <w:spacing w:line="360" w:lineRule="auto"/>
        <w:ind w:firstLine="480"/>
        <w:jc w:val="both"/>
        <w:rPr>
          <w:rFonts w:ascii="宋体" w:hAnsi="宋体"/>
          <w:bCs/>
          <w:sz w:val="24"/>
          <w:lang w:eastAsia="zh-CN"/>
        </w:rPr>
      </w:pPr>
      <w:r w:rsidRPr="00A15347">
        <w:rPr>
          <w:rFonts w:ascii="宋体" w:hAnsi="宋体" w:hint="eastAsia"/>
          <w:bCs/>
          <w:sz w:val="24"/>
          <w:lang w:eastAsia="zh-CN"/>
        </w:rPr>
        <w:lastRenderedPageBreak/>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0710CB95" w14:textId="77777777" w:rsidR="005C214B" w:rsidRDefault="005C214B" w:rsidP="005C214B">
      <w:pPr>
        <w:spacing w:line="360" w:lineRule="auto"/>
        <w:ind w:firstLine="480"/>
        <w:jc w:val="both"/>
        <w:rPr>
          <w:rFonts w:ascii="宋体" w:hAnsi="宋体"/>
          <w:bCs/>
          <w:sz w:val="24"/>
          <w:lang w:eastAsia="zh-CN"/>
        </w:rPr>
      </w:pPr>
      <w:r>
        <w:rPr>
          <w:rFonts w:ascii="宋体" w:hAnsi="宋体" w:hint="eastAsia"/>
          <w:bCs/>
          <w:sz w:val="24"/>
          <w:lang w:eastAsia="zh-CN"/>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A5EC9FA" w14:textId="77777777" w:rsidR="005C214B" w:rsidRDefault="005C214B" w:rsidP="005C214B">
      <w:pPr>
        <w:spacing w:line="360" w:lineRule="auto"/>
        <w:ind w:firstLine="480"/>
        <w:jc w:val="both"/>
        <w:rPr>
          <w:rFonts w:ascii="宋体" w:hAnsi="宋体"/>
          <w:bCs/>
          <w:sz w:val="24"/>
          <w:lang w:eastAsia="zh-CN"/>
        </w:rPr>
      </w:pPr>
      <w:r>
        <w:rPr>
          <w:rFonts w:ascii="宋体" w:hAnsi="宋体"/>
          <w:bCs/>
          <w:sz w:val="24"/>
          <w:lang w:eastAsia="zh-CN"/>
        </w:rPr>
        <w:t>1</w:t>
      </w:r>
      <w:r>
        <w:rPr>
          <w:rFonts w:ascii="宋体" w:hAnsi="宋体" w:hint="eastAsia"/>
          <w:bCs/>
          <w:sz w:val="24"/>
          <w:lang w:eastAsia="zh-CN"/>
        </w:rPr>
        <w:t>3</w:t>
      </w:r>
      <w:r>
        <w:rPr>
          <w:rFonts w:ascii="宋体" w:hAnsi="宋体"/>
          <w:bCs/>
          <w:sz w:val="24"/>
          <w:lang w:eastAsia="zh-CN"/>
        </w:rPr>
        <w:t>、如有确凿证据表明按上述方法进行估值不能客观反映其公允价值的，基金管理人可根据具体情况与基金托管人商定后，按最能反映公允价值的价格估值。</w:t>
      </w:r>
    </w:p>
    <w:p w14:paraId="1177542A" w14:textId="77777777" w:rsidR="005C214B" w:rsidRDefault="005C214B" w:rsidP="005C214B">
      <w:pPr>
        <w:spacing w:line="360" w:lineRule="auto"/>
        <w:ind w:firstLine="480"/>
        <w:jc w:val="both"/>
        <w:rPr>
          <w:rFonts w:ascii="宋体" w:hAnsi="宋体"/>
          <w:bCs/>
          <w:sz w:val="24"/>
          <w:lang w:eastAsia="zh-CN"/>
        </w:rPr>
      </w:pPr>
      <w:r>
        <w:rPr>
          <w:rFonts w:ascii="宋体" w:hAnsi="宋体"/>
          <w:bCs/>
          <w:sz w:val="24"/>
          <w:lang w:eastAsia="zh-CN"/>
        </w:rPr>
        <w:t>1</w:t>
      </w:r>
      <w:r>
        <w:rPr>
          <w:rFonts w:ascii="宋体" w:hAnsi="宋体" w:hint="eastAsia"/>
          <w:bCs/>
          <w:sz w:val="24"/>
          <w:lang w:eastAsia="zh-CN"/>
        </w:rPr>
        <w:t>4</w:t>
      </w:r>
      <w:r>
        <w:rPr>
          <w:rFonts w:ascii="宋体" w:hAnsi="宋体"/>
          <w:bCs/>
          <w:sz w:val="24"/>
          <w:lang w:eastAsia="zh-CN"/>
        </w:rPr>
        <w:t>、当发生大额申购或赎回情形时，基金管理人可以采用摆动定价机制，以确保基金估值的公平性。具体处理原则与操作规范遵循相关法律法规以及监管部门、自律规则的规定。</w:t>
      </w:r>
    </w:p>
    <w:p w14:paraId="29E488A8" w14:textId="77777777" w:rsidR="005C214B" w:rsidRDefault="005C214B" w:rsidP="005C214B">
      <w:pPr>
        <w:spacing w:line="360" w:lineRule="auto"/>
        <w:ind w:firstLine="480"/>
        <w:jc w:val="both"/>
        <w:rPr>
          <w:rFonts w:ascii="宋体" w:hAnsi="宋体"/>
          <w:bCs/>
          <w:sz w:val="24"/>
          <w:lang w:eastAsia="zh-CN"/>
        </w:rPr>
      </w:pPr>
      <w:r>
        <w:rPr>
          <w:rFonts w:ascii="宋体" w:hAnsi="宋体"/>
          <w:bCs/>
          <w:sz w:val="24"/>
          <w:lang w:eastAsia="zh-CN"/>
        </w:rPr>
        <w:t>1</w:t>
      </w:r>
      <w:r>
        <w:rPr>
          <w:rFonts w:ascii="宋体" w:hAnsi="宋体" w:hint="eastAsia"/>
          <w:bCs/>
          <w:sz w:val="24"/>
          <w:lang w:eastAsia="zh-CN"/>
        </w:rPr>
        <w:t>5</w:t>
      </w:r>
      <w:r>
        <w:rPr>
          <w:rFonts w:ascii="宋体" w:hAnsi="宋体"/>
          <w:bCs/>
          <w:sz w:val="24"/>
          <w:lang w:eastAsia="zh-CN"/>
        </w:rPr>
        <w:t>、相关法律法规以及监管部门有强制规定的，从其规定。如有新增事项，按国家最新规定估值。</w:t>
      </w:r>
    </w:p>
    <w:p w14:paraId="3F5B4DC1" w14:textId="77777777" w:rsidR="005C214B" w:rsidRDefault="005C214B" w:rsidP="005C214B">
      <w:pPr>
        <w:spacing w:line="360" w:lineRule="auto"/>
        <w:ind w:firstLine="480"/>
        <w:jc w:val="both"/>
        <w:rPr>
          <w:rFonts w:ascii="宋体" w:hAnsi="宋体"/>
          <w:bCs/>
          <w:sz w:val="24"/>
          <w:lang w:eastAsia="zh-CN"/>
        </w:rPr>
      </w:pPr>
      <w:r>
        <w:rPr>
          <w:rFonts w:ascii="宋体" w:hAnsi="宋体" w:hint="eastAsia"/>
          <w:bCs/>
          <w:sz w:val="24"/>
          <w:lang w:eastAsia="zh-CN"/>
        </w:rPr>
        <w:t>（二）估值方法特殊规定</w:t>
      </w:r>
    </w:p>
    <w:p w14:paraId="2CC2ABD9" w14:textId="77777777" w:rsidR="005C214B" w:rsidRDefault="005C214B" w:rsidP="005C214B">
      <w:pPr>
        <w:spacing w:line="360" w:lineRule="auto"/>
        <w:ind w:firstLine="480"/>
        <w:jc w:val="both"/>
        <w:rPr>
          <w:rFonts w:ascii="宋体" w:hAnsi="宋体"/>
          <w:bCs/>
          <w:sz w:val="24"/>
          <w:lang w:eastAsia="zh-CN"/>
        </w:rPr>
      </w:pPr>
      <w:r>
        <w:rPr>
          <w:rFonts w:ascii="宋体" w:hAnsi="宋体"/>
          <w:bCs/>
          <w:sz w:val="24"/>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14:paraId="4347694A" w14:textId="77777777" w:rsidR="005C214B" w:rsidRDefault="005C214B" w:rsidP="005C214B">
      <w:pPr>
        <w:spacing w:line="360" w:lineRule="auto"/>
        <w:ind w:firstLine="480"/>
        <w:jc w:val="both"/>
        <w:rPr>
          <w:rFonts w:ascii="宋体" w:hAnsi="宋体"/>
          <w:bCs/>
          <w:sz w:val="24"/>
          <w:lang w:eastAsia="zh-CN"/>
        </w:rPr>
      </w:pPr>
      <w:r>
        <w:rPr>
          <w:rFonts w:ascii="宋体" w:hAnsi="宋体"/>
          <w:bCs/>
          <w:sz w:val="24"/>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bookmarkEnd w:id="365"/>
    <w:p w14:paraId="259F245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五、估值程序</w:t>
      </w:r>
    </w:p>
    <w:p w14:paraId="6541B2A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各类基金份额净值是按照每个工作日闭市后，该类基金资产净值除以当日该类基金份额的余额数量计算，精确到0.0001元，小数点后第5位四舍五入，由此产生的误差计入基金财产。基金管理人可以设立大额赎回情形下的净</w:t>
      </w:r>
      <w:r w:rsidRPr="00EC3B16">
        <w:rPr>
          <w:rFonts w:ascii="宋体" w:hAnsi="宋体"/>
          <w:bCs/>
          <w:sz w:val="24"/>
          <w:lang w:eastAsia="zh-CN"/>
        </w:rPr>
        <w:lastRenderedPageBreak/>
        <w:t>值精度应急调整机制，具体可参见基金管理人届时的相关公告。国家法律法规另有规定的，从其规定。</w:t>
      </w:r>
    </w:p>
    <w:p w14:paraId="246FD8C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基金管理人</w:t>
      </w:r>
      <w:r w:rsidRPr="00EC3B16">
        <w:rPr>
          <w:rFonts w:ascii="宋体" w:hAnsi="宋体" w:hint="eastAsia"/>
          <w:bCs/>
          <w:sz w:val="24"/>
          <w:lang w:eastAsia="zh-CN"/>
        </w:rPr>
        <w:t>于</w:t>
      </w:r>
      <w:r w:rsidRPr="00EC3B16">
        <w:rPr>
          <w:rFonts w:ascii="宋体" w:hAnsi="宋体"/>
          <w:bCs/>
          <w:sz w:val="24"/>
          <w:lang w:eastAsia="zh-CN"/>
        </w:rPr>
        <w:t>每个工作日计算基金资产净值及两类基金份额净值，并按规定公告。</w:t>
      </w:r>
    </w:p>
    <w:p w14:paraId="71DD47C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2、基金管理人应</w:t>
      </w:r>
      <w:r w:rsidRPr="00EC3B16">
        <w:rPr>
          <w:rFonts w:ascii="宋体" w:hAnsi="宋体" w:hint="eastAsia"/>
          <w:bCs/>
          <w:sz w:val="24"/>
          <w:lang w:eastAsia="zh-CN"/>
        </w:rPr>
        <w:t>于</w:t>
      </w:r>
      <w:r w:rsidRPr="00EC3B16">
        <w:rPr>
          <w:rFonts w:ascii="宋体" w:hAnsi="宋体"/>
          <w:bCs/>
          <w:sz w:val="24"/>
          <w:lang w:eastAsia="zh-CN"/>
        </w:rPr>
        <w:t>每个工作日对基金资产估值。但基金管理人根据法律法规或本基金合同的规定暂停估值时除外。基金管理人每个工作日对基金资产估值后，将两类基金份额净值结果发送基金托管人，经基金托管人复核无误后，由基金管理人按约定对外公布。</w:t>
      </w:r>
    </w:p>
    <w:p w14:paraId="511686B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六、估值错误的处理</w:t>
      </w:r>
    </w:p>
    <w:p w14:paraId="6839E42E" w14:textId="77777777" w:rsidR="004154D1" w:rsidRPr="00EC3B16" w:rsidRDefault="004154D1" w:rsidP="006F1164">
      <w:pPr>
        <w:spacing w:line="360" w:lineRule="auto"/>
        <w:ind w:firstLine="480"/>
        <w:jc w:val="both"/>
        <w:rPr>
          <w:rFonts w:ascii="宋体" w:hAnsi="宋体"/>
          <w:bCs/>
          <w:sz w:val="24"/>
          <w:lang w:eastAsia="zh-CN"/>
        </w:rPr>
      </w:pPr>
      <w:bookmarkStart w:id="366" w:name="_Hlk95468908"/>
      <w:r w:rsidRPr="00EC3B16">
        <w:rPr>
          <w:rFonts w:ascii="宋体" w:hAnsi="宋体"/>
          <w:bCs/>
          <w:sz w:val="24"/>
          <w:lang w:eastAsia="zh-CN"/>
        </w:rPr>
        <w:t>基金管理人和基金托管人将采取必要、适当、合理的措施确保基金资产估值的准确性、及时性。当本基金A类或C类基金份额净值小数点后4位以内（含第4位）发生估值错误时，视为</w:t>
      </w:r>
      <w:r w:rsidR="00923489">
        <w:rPr>
          <w:rFonts w:ascii="宋体" w:hAnsi="宋体" w:hint="eastAsia"/>
          <w:bCs/>
          <w:sz w:val="24"/>
          <w:lang w:eastAsia="zh-CN"/>
        </w:rPr>
        <w:t>该类</w:t>
      </w:r>
      <w:r w:rsidRPr="00EC3B16">
        <w:rPr>
          <w:rFonts w:ascii="宋体" w:hAnsi="宋体"/>
          <w:bCs/>
          <w:sz w:val="24"/>
          <w:lang w:eastAsia="zh-CN"/>
        </w:rPr>
        <w:t>基金份额净值错误。</w:t>
      </w:r>
    </w:p>
    <w:p w14:paraId="0FF3952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本基金合同的当事人应按照以下约定处理：</w:t>
      </w:r>
    </w:p>
    <w:p w14:paraId="0EAE985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1、估值错误类型</w:t>
      </w:r>
    </w:p>
    <w:p w14:paraId="5B1830C1"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A13377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上述估值错误的主要类型包括但不限于：资料申报差错、数据传输差错、数据计算差错、系统故障差错、下达指令差错等。</w:t>
      </w:r>
    </w:p>
    <w:p w14:paraId="5E4320B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2、估值错误处理原则</w:t>
      </w:r>
    </w:p>
    <w:p w14:paraId="504B534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4C62D6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（2）估值错误的责任方对有关当事人的直接损失负责，不对间接损失负责，并且仅对估值错误的有关直接当事人负责，不对第三方负责。</w:t>
      </w:r>
    </w:p>
    <w:p w14:paraId="71C95A4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99521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（4）估值错误调整采用尽量恢复至假设未发生估值错误的正确情形的方式。</w:t>
      </w:r>
    </w:p>
    <w:p w14:paraId="18EF701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3、估值错误处理程序</w:t>
      </w:r>
    </w:p>
    <w:p w14:paraId="34ACB2A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估值错误被发现后，有关的当事人应当及时进行处理，处理的程序如下：</w:t>
      </w:r>
    </w:p>
    <w:p w14:paraId="604E40E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（1）查明估值错误发生的原因，列明所有的当事人，并根据估值错误发生的原因确定估值错误的责任方；</w:t>
      </w:r>
    </w:p>
    <w:p w14:paraId="351DADE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（2）根据估值错误处理原则或当事人协商的方法对因估值错误造成的损失进行评估；</w:t>
      </w:r>
    </w:p>
    <w:p w14:paraId="4EA5165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（3）根据估值错误处理原则或当事人协商的方法由估值错误的责任方进行更正和赔偿损失；</w:t>
      </w:r>
    </w:p>
    <w:p w14:paraId="2E55D90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（4）根据估值错误处理的方法，需要修改基金登记机构交易数据的，由基金登记机构进行更正，并就估值错误的更正向有关当事人进行确认。</w:t>
      </w:r>
    </w:p>
    <w:p w14:paraId="2E738C7A"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4、基金份额净值估值错误处理的方法如下：</w:t>
      </w:r>
    </w:p>
    <w:p w14:paraId="21E1013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（1）基金份额净值计算出现错误时，基金管理人应当立即予以纠正，通报基金托管人，并采取合理的措施防止损失进一步扩大。</w:t>
      </w:r>
    </w:p>
    <w:p w14:paraId="4FF9174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（2）错误偏差达到基金份额净值的0.25%时，基金管理人应当通报基金托管人并报中国证监会备案；错误偏差达到基金份额净值的0.5%时，基金管理人应当公告，并报中国证监会备案。</w:t>
      </w:r>
    </w:p>
    <w:p w14:paraId="21FE559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（3）</w:t>
      </w:r>
      <w:r w:rsidRPr="00EC3B16">
        <w:rPr>
          <w:rFonts w:ascii="宋体" w:hAnsi="宋体" w:hint="eastAsia"/>
          <w:bCs/>
          <w:sz w:val="24"/>
          <w:lang w:eastAsia="zh-CN"/>
        </w:rPr>
        <w:t>当基金份额净值计算差错给基金和基金份额持有人造成损失需要进行赔偿时，基金管理人和基金托管人应根据实际情况界定双方承担的责任，经确认后按以下条款进行赔偿：</w:t>
      </w:r>
    </w:p>
    <w:p w14:paraId="352612B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0A8CB4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368C142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6ECF09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④由于基金管理人提供的信息错误（包括但不限于基金申购或赎回金额等），进而导致基金份额净值计算错误而引起的基金份额持有人和基金财产的损失，由基金管理人负责赔付。</w:t>
      </w:r>
    </w:p>
    <w:p w14:paraId="3AD65F9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（4）</w:t>
      </w:r>
      <w:r w:rsidRPr="00EC3B16">
        <w:rPr>
          <w:rFonts w:ascii="宋体" w:hAnsi="宋体"/>
          <w:bCs/>
          <w:sz w:val="24"/>
          <w:lang w:eastAsia="zh-CN"/>
        </w:rPr>
        <w:t>前述内容如法律法规或监管机关另有规定的，从其规定处理。如果行业另有通行做法，基金管理人及基金托管人应本着平等和保护基金份额持有人利益的原则进行协商。</w:t>
      </w:r>
      <w:bookmarkEnd w:id="366"/>
    </w:p>
    <w:p w14:paraId="4D1F01EC" w14:textId="77777777" w:rsidR="004154D1" w:rsidRPr="00EC3B16" w:rsidRDefault="004154D1" w:rsidP="006F1164">
      <w:pPr>
        <w:spacing w:line="360" w:lineRule="auto"/>
        <w:ind w:firstLine="480"/>
        <w:jc w:val="both"/>
        <w:rPr>
          <w:rFonts w:ascii="宋体" w:hAnsi="宋体"/>
          <w:bCs/>
          <w:sz w:val="24"/>
          <w:lang w:eastAsia="zh-CN"/>
        </w:rPr>
      </w:pPr>
      <w:bookmarkStart w:id="367" w:name="_Hlk535885102"/>
      <w:r w:rsidRPr="00EC3B16">
        <w:rPr>
          <w:rFonts w:ascii="宋体" w:hAnsi="宋体"/>
          <w:bCs/>
          <w:sz w:val="24"/>
          <w:lang w:eastAsia="zh-CN"/>
        </w:rPr>
        <w:t>七、暂停估值的情形</w:t>
      </w:r>
    </w:p>
    <w:p w14:paraId="39998630" w14:textId="77777777" w:rsidR="004154D1" w:rsidRPr="00EC3B16" w:rsidRDefault="004154D1" w:rsidP="006F1164">
      <w:pPr>
        <w:spacing w:line="360" w:lineRule="auto"/>
        <w:ind w:firstLine="480"/>
        <w:jc w:val="both"/>
        <w:rPr>
          <w:rFonts w:ascii="宋体" w:hAnsi="宋体"/>
          <w:bCs/>
          <w:sz w:val="24"/>
          <w:lang w:eastAsia="zh-CN"/>
        </w:rPr>
      </w:pPr>
      <w:bookmarkStart w:id="368" w:name="_Hlk95468941"/>
      <w:r w:rsidRPr="00EC3B16">
        <w:rPr>
          <w:rFonts w:ascii="宋体" w:hAnsi="宋体"/>
          <w:bCs/>
          <w:sz w:val="24"/>
          <w:lang w:eastAsia="zh-CN"/>
        </w:rPr>
        <w:t>1、基金投资所涉及的证券/期货交易市场遇法定节假日或因其他原因暂停营业时；</w:t>
      </w:r>
    </w:p>
    <w:p w14:paraId="51BDB5E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2、因不可抗力致使基金管理人、基金托管人无法准确评估基金资产价值时；</w:t>
      </w:r>
    </w:p>
    <w:p w14:paraId="75F8504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3、当特定资产占前一估值日基金资产净值50%以上的，经与基金托管人协商确认后，基金管理人应当暂停估值；</w:t>
      </w:r>
    </w:p>
    <w:p w14:paraId="522CD38A"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4、中国证监会和基金合同认定的其它情形。</w:t>
      </w:r>
      <w:bookmarkEnd w:id="368"/>
    </w:p>
    <w:bookmarkEnd w:id="367"/>
    <w:p w14:paraId="1CBC38D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八、基金净值的确认</w:t>
      </w:r>
    </w:p>
    <w:p w14:paraId="7BDE470E" w14:textId="77777777" w:rsidR="004154D1" w:rsidRPr="00EC3B16" w:rsidRDefault="004154D1" w:rsidP="006F1164">
      <w:pPr>
        <w:spacing w:line="360" w:lineRule="auto"/>
        <w:ind w:firstLine="480"/>
        <w:jc w:val="both"/>
        <w:rPr>
          <w:rFonts w:ascii="宋体" w:hAnsi="宋体"/>
          <w:bCs/>
          <w:sz w:val="24"/>
          <w:lang w:eastAsia="zh-CN"/>
        </w:rPr>
      </w:pPr>
      <w:bookmarkStart w:id="369" w:name="_Hlk95478165"/>
      <w:r w:rsidRPr="00EC3B16">
        <w:rPr>
          <w:rFonts w:ascii="宋体" w:hAnsi="宋体"/>
          <w:bCs/>
          <w:sz w:val="24"/>
          <w:lang w:eastAsia="zh-CN"/>
        </w:rPr>
        <w:t>基金资产净值和两类基金份额净值由基金管理人负责计算，基金托管人负责进行复核。基金管理人应于每个工作日交易结束后计算当日的基金资产净值和两类基金份额净值并发送给基金托管人。基金托管人对净值计算结果复核确认后发送给基金管理人，由基金管理人对基金净值按约定予以公布。</w:t>
      </w:r>
      <w:bookmarkEnd w:id="369"/>
    </w:p>
    <w:p w14:paraId="1958DCF3" w14:textId="77777777" w:rsidR="004154D1" w:rsidRPr="00EC3B16" w:rsidRDefault="004154D1" w:rsidP="006F1164">
      <w:pPr>
        <w:spacing w:line="360" w:lineRule="auto"/>
        <w:ind w:firstLine="480"/>
        <w:jc w:val="both"/>
        <w:rPr>
          <w:rFonts w:ascii="宋体" w:hAnsi="宋体"/>
          <w:bCs/>
          <w:sz w:val="24"/>
          <w:lang w:eastAsia="zh-CN"/>
        </w:rPr>
      </w:pPr>
      <w:bookmarkStart w:id="370" w:name="_Hlk535885108"/>
      <w:r w:rsidRPr="00EC3B16">
        <w:rPr>
          <w:rFonts w:ascii="宋体" w:hAnsi="宋体"/>
          <w:bCs/>
          <w:sz w:val="24"/>
          <w:lang w:eastAsia="zh-CN"/>
        </w:rPr>
        <w:t>九、特殊情形的处理</w:t>
      </w:r>
    </w:p>
    <w:p w14:paraId="0121094F" w14:textId="77777777" w:rsidR="004154D1" w:rsidRPr="00EC3B16" w:rsidRDefault="004154D1" w:rsidP="006F1164">
      <w:pPr>
        <w:spacing w:line="360" w:lineRule="auto"/>
        <w:ind w:firstLine="480"/>
        <w:jc w:val="both"/>
        <w:rPr>
          <w:rFonts w:ascii="宋体" w:hAnsi="宋体"/>
          <w:bCs/>
          <w:sz w:val="24"/>
          <w:lang w:eastAsia="zh-CN"/>
        </w:rPr>
      </w:pPr>
      <w:bookmarkStart w:id="371" w:name="_Hlk95468817"/>
      <w:r w:rsidRPr="00EC3B16">
        <w:rPr>
          <w:rFonts w:ascii="宋体" w:hAnsi="宋体"/>
          <w:bCs/>
          <w:sz w:val="24"/>
          <w:lang w:eastAsia="zh-CN"/>
        </w:rPr>
        <w:t>1、基金管理人或基金托管人按本基金合同规定的估值方法的第</w:t>
      </w:r>
      <w:r w:rsidR="00065624">
        <w:rPr>
          <w:rFonts w:ascii="宋体" w:hAnsi="宋体"/>
          <w:bCs/>
          <w:sz w:val="24"/>
          <w:lang w:eastAsia="zh-CN"/>
        </w:rPr>
        <w:t>13</w:t>
      </w:r>
      <w:r w:rsidRPr="00EC3B16">
        <w:rPr>
          <w:rFonts w:ascii="宋体" w:hAnsi="宋体"/>
          <w:bCs/>
          <w:sz w:val="24"/>
          <w:lang w:eastAsia="zh-CN"/>
        </w:rPr>
        <w:t>项进行估值时，所造成的误差不作为基金资产估值错误处理；</w:t>
      </w:r>
    </w:p>
    <w:p w14:paraId="6B6EC38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由于不可抗力原因，或由于证券/期货交易所、登记结算机构、存款银行等机构发送的数据错误等原因，基金管理人和基金托管人虽然已经采取必要、适当、合理的措施进行检查，但是未能发现该错误的，由此造成的基金份额净值计算错误，基金管理人和基金托管人免除赔偿责任，但基金管理人、基金托管人应当积极采取必要的措施减轻或消除由此造成的影响。</w:t>
      </w:r>
    </w:p>
    <w:bookmarkEnd w:id="371"/>
    <w:p w14:paraId="13513712"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十、实施侧袋机制期间的基金资产估值</w:t>
      </w:r>
    </w:p>
    <w:p w14:paraId="2DBA5EC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本基金实施侧袋机制的，应根据本部分的约定对主袋账户资产进行估值并披露主袋账户的基金净值信息，暂停披露侧袋账户份额净值。</w:t>
      </w:r>
    </w:p>
    <w:p w14:paraId="61D26C01" w14:textId="77777777" w:rsidR="004154D1" w:rsidRPr="00EC3B16" w:rsidRDefault="004154D1" w:rsidP="006F1164">
      <w:pPr>
        <w:spacing w:line="360" w:lineRule="auto"/>
        <w:ind w:firstLine="480"/>
        <w:jc w:val="both"/>
        <w:rPr>
          <w:rFonts w:ascii="宋体" w:hAnsi="宋体"/>
          <w:bCs/>
          <w:sz w:val="24"/>
          <w:lang w:eastAsia="zh-CN"/>
        </w:rPr>
      </w:pPr>
    </w:p>
    <w:bookmarkEnd w:id="370"/>
    <w:p w14:paraId="6086444B" w14:textId="77777777" w:rsidR="004154D1" w:rsidRPr="00EC3B16" w:rsidRDefault="004154D1">
      <w:pPr>
        <w:pStyle w:val="1"/>
        <w:spacing w:before="0" w:after="0"/>
        <w:jc w:val="center"/>
        <w:rPr>
          <w:rFonts w:hAnsi="宋体"/>
          <w:sz w:val="30"/>
          <w:lang w:eastAsia="zh-CN"/>
        </w:rPr>
      </w:pPr>
      <w:r w:rsidRPr="00EC3B16">
        <w:rPr>
          <w:rFonts w:hAnsi="宋体"/>
          <w:b w:val="0"/>
          <w:bCs/>
          <w:sz w:val="30"/>
          <w:lang w:eastAsia="zh-CN"/>
        </w:rPr>
        <w:br w:type="page"/>
      </w:r>
      <w:bookmarkStart w:id="372" w:name="_Toc19706"/>
      <w:bookmarkStart w:id="373" w:name="_Toc32227"/>
      <w:bookmarkStart w:id="374" w:name="_Toc447270838"/>
      <w:bookmarkStart w:id="375" w:name="_Toc24601"/>
      <w:bookmarkStart w:id="376" w:name="_Toc3365"/>
      <w:bookmarkStart w:id="377" w:name="_Toc13987"/>
      <w:bookmarkStart w:id="378" w:name="_Toc32041"/>
      <w:bookmarkStart w:id="379" w:name="_Toc15779"/>
      <w:bookmarkStart w:id="380" w:name="_Toc19752"/>
      <w:bookmarkStart w:id="381" w:name="_Toc12105"/>
      <w:bookmarkStart w:id="382" w:name="_Toc6493"/>
      <w:bookmarkStart w:id="383" w:name="_Toc132016795"/>
      <w:r w:rsidRPr="00EC3B16">
        <w:rPr>
          <w:rFonts w:hAnsi="宋体"/>
          <w:sz w:val="30"/>
          <w:lang w:eastAsia="zh-CN"/>
        </w:rPr>
        <w:lastRenderedPageBreak/>
        <w:t>第十五部分</w:t>
      </w:r>
      <w:r w:rsidRPr="00EC3B16">
        <w:rPr>
          <w:rFonts w:hAnsi="宋体" w:hint="eastAsia"/>
          <w:sz w:val="30"/>
          <w:lang w:eastAsia="zh-CN"/>
        </w:rPr>
        <w:t xml:space="preserve"> </w:t>
      </w:r>
      <w:r w:rsidRPr="00EC3B16">
        <w:rPr>
          <w:rFonts w:hAnsi="宋体"/>
          <w:sz w:val="30"/>
          <w:lang w:eastAsia="zh-CN"/>
        </w:rPr>
        <w:t xml:space="preserve"> 基金费用与税收</w:t>
      </w:r>
      <w:bookmarkStart w:id="384" w:name="_Hlk73625325"/>
      <w:bookmarkEnd w:id="360"/>
      <w:bookmarkEnd w:id="361"/>
      <w:bookmarkEnd w:id="362"/>
      <w:bookmarkEnd w:id="372"/>
      <w:bookmarkEnd w:id="373"/>
      <w:bookmarkEnd w:id="374"/>
      <w:bookmarkEnd w:id="375"/>
      <w:bookmarkEnd w:id="376"/>
      <w:bookmarkEnd w:id="377"/>
      <w:bookmarkEnd w:id="378"/>
      <w:bookmarkEnd w:id="379"/>
      <w:bookmarkEnd w:id="380"/>
      <w:bookmarkEnd w:id="381"/>
      <w:bookmarkEnd w:id="382"/>
      <w:bookmarkEnd w:id="383"/>
    </w:p>
    <w:p w14:paraId="19F6DA99" w14:textId="77777777" w:rsidR="004154D1" w:rsidRPr="00EC3B16" w:rsidRDefault="004154D1" w:rsidP="006F1164">
      <w:pPr>
        <w:spacing w:line="360" w:lineRule="auto"/>
        <w:ind w:firstLine="480"/>
        <w:jc w:val="both"/>
        <w:rPr>
          <w:rFonts w:ascii="宋体" w:hAnsi="宋体"/>
          <w:bCs/>
          <w:sz w:val="24"/>
          <w:lang w:eastAsia="zh-CN"/>
        </w:rPr>
      </w:pPr>
    </w:p>
    <w:p w14:paraId="2E2CE1E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一、基金费用的种类</w:t>
      </w:r>
    </w:p>
    <w:p w14:paraId="0AE2DE8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1、基金管理人的管理费；</w:t>
      </w:r>
    </w:p>
    <w:p w14:paraId="3C7F3D01"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2、基金托管人的托管费；</w:t>
      </w:r>
    </w:p>
    <w:p w14:paraId="78541B0A"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3、销售服务费；</w:t>
      </w:r>
    </w:p>
    <w:p w14:paraId="4D9E3A01"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w:t>
      </w:r>
      <w:bookmarkStart w:id="385" w:name="_Hlk42701792"/>
      <w:r w:rsidRPr="00EC3B16">
        <w:rPr>
          <w:rFonts w:ascii="宋体" w:hAnsi="宋体"/>
          <w:bCs/>
          <w:sz w:val="24"/>
          <w:lang w:eastAsia="zh-CN"/>
        </w:rPr>
        <w:t>《基金合同》生效后与基金相关的信息披露费用；</w:t>
      </w:r>
    </w:p>
    <w:p w14:paraId="4A241D71"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5、《基金合同》生效后与基金相关的会计师费、律师费、仲裁费和诉讼费；</w:t>
      </w:r>
    </w:p>
    <w:p w14:paraId="668A532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6、基金份额持有人大会费用；</w:t>
      </w:r>
    </w:p>
    <w:p w14:paraId="63A5474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7、基金的证券/期货交易费用；</w:t>
      </w:r>
    </w:p>
    <w:p w14:paraId="56AD350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8、基金的银行汇划费用；</w:t>
      </w:r>
    </w:p>
    <w:p w14:paraId="4DD8488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9、基金的账户开户费用、账户维护费用；</w:t>
      </w:r>
    </w:p>
    <w:p w14:paraId="7D62331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10</w:t>
      </w:r>
      <w:r w:rsidRPr="00EC3B16">
        <w:rPr>
          <w:rFonts w:ascii="宋体" w:hAnsi="宋体" w:hint="eastAsia"/>
          <w:bCs/>
          <w:sz w:val="24"/>
          <w:lang w:eastAsia="zh-CN"/>
        </w:rPr>
        <w:t>、因投资港股通标的股票而产生的各项费用；</w:t>
      </w:r>
    </w:p>
    <w:p w14:paraId="3B4FA67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11、按照国家有关规定和《基金合同》约定，可以在基金财产中列支的其他费用。</w:t>
      </w:r>
    </w:p>
    <w:bookmarkEnd w:id="385"/>
    <w:p w14:paraId="79B30A3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二、</w:t>
      </w:r>
      <w:bookmarkStart w:id="386" w:name="_Hlk95469659"/>
      <w:r w:rsidRPr="00EC3B16">
        <w:rPr>
          <w:rFonts w:ascii="宋体" w:hAnsi="宋体"/>
          <w:bCs/>
          <w:sz w:val="24"/>
          <w:lang w:eastAsia="zh-CN"/>
        </w:rPr>
        <w:t>基金费用计提方法、计提标准和支付方式</w:t>
      </w:r>
    </w:p>
    <w:p w14:paraId="649B9CA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1、基金管理人的管理费</w:t>
      </w:r>
    </w:p>
    <w:p w14:paraId="40D6516B" w14:textId="51AC2BFD" w:rsidR="004154D1" w:rsidRPr="00EC3B16" w:rsidRDefault="004154D1" w:rsidP="006F1164">
      <w:pPr>
        <w:spacing w:line="360" w:lineRule="auto"/>
        <w:ind w:firstLine="480"/>
        <w:jc w:val="both"/>
        <w:rPr>
          <w:rFonts w:ascii="宋体" w:hAnsi="宋体"/>
          <w:bCs/>
          <w:sz w:val="24"/>
          <w:lang w:eastAsia="zh-CN"/>
        </w:rPr>
      </w:pPr>
      <w:bookmarkStart w:id="387" w:name="_Hlk95469703"/>
      <w:r w:rsidRPr="00EC3B16">
        <w:rPr>
          <w:rFonts w:ascii="宋体" w:hAnsi="宋体"/>
          <w:bCs/>
          <w:sz w:val="24"/>
          <w:lang w:eastAsia="zh-CN"/>
        </w:rPr>
        <w:t>本基金的管理费按前一日基金资产净值的1.</w:t>
      </w:r>
      <w:r w:rsidR="00A3117C">
        <w:rPr>
          <w:rFonts w:ascii="宋体" w:hAnsi="宋体"/>
          <w:bCs/>
          <w:sz w:val="24"/>
          <w:lang w:eastAsia="zh-CN"/>
        </w:rPr>
        <w:t>2</w:t>
      </w:r>
      <w:r w:rsidR="00A3117C" w:rsidRPr="00EC3B16">
        <w:rPr>
          <w:rFonts w:ascii="宋体" w:hAnsi="宋体"/>
          <w:bCs/>
          <w:sz w:val="24"/>
          <w:lang w:eastAsia="zh-CN"/>
        </w:rPr>
        <w:t>0</w:t>
      </w:r>
      <w:r w:rsidRPr="00EC3B16">
        <w:rPr>
          <w:rFonts w:ascii="宋体" w:hAnsi="宋体"/>
          <w:bCs/>
          <w:sz w:val="24"/>
          <w:lang w:eastAsia="zh-CN"/>
        </w:rPr>
        <w:t>%年费率计提。</w:t>
      </w:r>
      <w:bookmarkStart w:id="388" w:name="_Hlk42701167"/>
      <w:r w:rsidRPr="00EC3B16">
        <w:rPr>
          <w:rFonts w:ascii="宋体" w:hAnsi="宋体"/>
          <w:bCs/>
          <w:sz w:val="24"/>
          <w:lang w:eastAsia="zh-CN"/>
        </w:rPr>
        <w:t>管理费的</w:t>
      </w:r>
      <w:bookmarkEnd w:id="388"/>
      <w:r w:rsidRPr="00EC3B16">
        <w:rPr>
          <w:rFonts w:ascii="宋体" w:hAnsi="宋体"/>
          <w:bCs/>
          <w:sz w:val="24"/>
          <w:lang w:eastAsia="zh-CN"/>
        </w:rPr>
        <w:t>计算方法如下：</w:t>
      </w:r>
    </w:p>
    <w:p w14:paraId="78FE5507" w14:textId="55205EB4"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H1＝E×1.</w:t>
      </w:r>
      <w:r w:rsidR="00A3117C">
        <w:rPr>
          <w:rFonts w:ascii="宋体" w:hAnsi="宋体"/>
          <w:bCs/>
          <w:sz w:val="24"/>
          <w:lang w:eastAsia="zh-CN"/>
        </w:rPr>
        <w:t>2</w:t>
      </w:r>
      <w:r w:rsidR="00A3117C" w:rsidRPr="00EC3B16">
        <w:rPr>
          <w:rFonts w:ascii="宋体" w:hAnsi="宋体"/>
          <w:bCs/>
          <w:sz w:val="24"/>
          <w:lang w:eastAsia="zh-CN"/>
        </w:rPr>
        <w:t>0</w:t>
      </w:r>
      <w:r w:rsidRPr="00EC3B16">
        <w:rPr>
          <w:rFonts w:ascii="宋体" w:hAnsi="宋体"/>
          <w:bCs/>
          <w:sz w:val="24"/>
          <w:lang w:eastAsia="zh-CN"/>
        </w:rPr>
        <w:t>%÷当年天数</w:t>
      </w:r>
    </w:p>
    <w:p w14:paraId="5010E19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H1为每日应计提的基金管理费</w:t>
      </w:r>
    </w:p>
    <w:p w14:paraId="32ABDF1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E为前一日的基金资产净值</w:t>
      </w:r>
    </w:p>
    <w:p w14:paraId="069A186D" w14:textId="77777777" w:rsidR="004154D1" w:rsidRPr="00EC3B16" w:rsidRDefault="004154D1" w:rsidP="006F1164">
      <w:pPr>
        <w:spacing w:line="360" w:lineRule="auto"/>
        <w:ind w:firstLine="480"/>
        <w:jc w:val="both"/>
        <w:rPr>
          <w:rFonts w:ascii="宋体" w:hAnsi="宋体"/>
          <w:bCs/>
          <w:sz w:val="24"/>
          <w:lang w:eastAsia="zh-CN"/>
        </w:rPr>
      </w:pPr>
      <w:bookmarkStart w:id="389" w:name="_Hlk535885257"/>
      <w:r w:rsidRPr="00EC3B16">
        <w:rPr>
          <w:rFonts w:ascii="宋体" w:hAnsi="宋体"/>
          <w:bCs/>
          <w:sz w:val="24"/>
          <w:lang w:eastAsia="zh-CN"/>
        </w:rPr>
        <w:t>基金管理费每日计算，逐日累计至每月月末，按月支付，</w:t>
      </w:r>
      <w:bookmarkStart w:id="390" w:name="_Hlk42701192"/>
      <w:r w:rsidRPr="00EC3B16">
        <w:rPr>
          <w:rFonts w:ascii="宋体" w:hAnsi="宋体"/>
          <w:bCs/>
          <w:sz w:val="24"/>
          <w:lang w:eastAsia="zh-CN"/>
        </w:rPr>
        <w:t>经基金管理人与基金托管人双方核对无误后，基金托管人按照与基金管理人协商一致的方式于次月前3个工作日内从基金财产中一次性支付给基金管理人。若遇法定节假日、公休假等，支付日期顺延。</w:t>
      </w:r>
      <w:bookmarkEnd w:id="386"/>
      <w:bookmarkEnd w:id="387"/>
      <w:bookmarkEnd w:id="390"/>
    </w:p>
    <w:p w14:paraId="60A7C15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2、基金托管人的托管费</w:t>
      </w:r>
    </w:p>
    <w:p w14:paraId="1EB2470F" w14:textId="77777777" w:rsidR="004154D1" w:rsidRPr="00EC3B16" w:rsidRDefault="004154D1" w:rsidP="006F1164">
      <w:pPr>
        <w:spacing w:line="360" w:lineRule="auto"/>
        <w:ind w:firstLine="480"/>
        <w:jc w:val="both"/>
        <w:rPr>
          <w:rFonts w:ascii="宋体" w:hAnsi="宋体"/>
          <w:bCs/>
          <w:sz w:val="24"/>
          <w:lang w:eastAsia="zh-CN"/>
        </w:rPr>
      </w:pPr>
      <w:bookmarkStart w:id="391" w:name="_Hlk95469720"/>
      <w:r w:rsidRPr="00EC3B16">
        <w:rPr>
          <w:rFonts w:ascii="宋体" w:hAnsi="宋体"/>
          <w:bCs/>
          <w:sz w:val="24"/>
          <w:lang w:eastAsia="zh-CN"/>
        </w:rPr>
        <w:lastRenderedPageBreak/>
        <w:t>本基金的托管费按前一日基金资产净值的0.</w:t>
      </w:r>
      <w:r w:rsidR="00780323">
        <w:rPr>
          <w:rFonts w:ascii="宋体" w:hAnsi="宋体"/>
          <w:bCs/>
          <w:sz w:val="24"/>
          <w:lang w:eastAsia="zh-CN"/>
        </w:rPr>
        <w:t>10</w:t>
      </w:r>
      <w:r w:rsidRPr="00EC3B16">
        <w:rPr>
          <w:rFonts w:ascii="宋体" w:hAnsi="宋体"/>
          <w:bCs/>
          <w:sz w:val="24"/>
          <w:lang w:eastAsia="zh-CN"/>
        </w:rPr>
        <w:t>%的年费率计提。托管费的计算方法如下：</w:t>
      </w:r>
    </w:p>
    <w:p w14:paraId="385CD35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H2＝E×0.</w:t>
      </w:r>
      <w:r w:rsidR="00780323">
        <w:rPr>
          <w:rFonts w:ascii="宋体" w:hAnsi="宋体"/>
          <w:bCs/>
          <w:sz w:val="24"/>
          <w:lang w:eastAsia="zh-CN"/>
        </w:rPr>
        <w:t>10</w:t>
      </w:r>
      <w:r w:rsidRPr="00EC3B16">
        <w:rPr>
          <w:rFonts w:ascii="宋体" w:hAnsi="宋体"/>
          <w:bCs/>
          <w:sz w:val="24"/>
          <w:lang w:eastAsia="zh-CN"/>
        </w:rPr>
        <w:t>%÷当年天数</w:t>
      </w:r>
    </w:p>
    <w:p w14:paraId="5C2519C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H2为每日应计提的基金托管费</w:t>
      </w:r>
    </w:p>
    <w:p w14:paraId="165AF1B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E为前一日的基金资产净值</w:t>
      </w:r>
    </w:p>
    <w:p w14:paraId="39F6B339"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基金托管费每日计算，逐日累计至每月月末，按月支付</w:t>
      </w:r>
      <w:bookmarkStart w:id="392" w:name="_Hlk42701380"/>
      <w:r w:rsidRPr="00EC3B16">
        <w:rPr>
          <w:rFonts w:ascii="宋体" w:hAnsi="宋体"/>
          <w:bCs/>
          <w:sz w:val="24"/>
          <w:lang w:eastAsia="zh-CN"/>
        </w:rPr>
        <w:t>，经基金管理人与基金托管人双方核对无误后，基金托管人按照与基金管理人协商一致的方式于次月前3个工作日内从基金财产中一次性支取。若遇法定节假日、公休假等，支付日期顺延</w:t>
      </w:r>
      <w:bookmarkEnd w:id="392"/>
      <w:r w:rsidRPr="00EC3B16">
        <w:rPr>
          <w:rFonts w:ascii="宋体" w:hAnsi="宋体"/>
          <w:bCs/>
          <w:sz w:val="24"/>
          <w:lang w:eastAsia="zh-CN"/>
        </w:rPr>
        <w:t>。</w:t>
      </w:r>
      <w:bookmarkEnd w:id="391"/>
    </w:p>
    <w:p w14:paraId="484653B8" w14:textId="77777777" w:rsidR="004154D1" w:rsidRPr="00EC3B16" w:rsidRDefault="004154D1">
      <w:pPr>
        <w:spacing w:line="360" w:lineRule="auto"/>
        <w:ind w:firstLine="480"/>
        <w:jc w:val="both"/>
        <w:rPr>
          <w:rFonts w:ascii="宋体" w:hAnsi="宋体"/>
          <w:bCs/>
          <w:sz w:val="24"/>
          <w:lang w:eastAsia="zh-CN"/>
        </w:rPr>
      </w:pPr>
      <w:bookmarkStart w:id="393" w:name="_Hlk42701742"/>
      <w:r w:rsidRPr="00EC3B16">
        <w:rPr>
          <w:rFonts w:ascii="宋体" w:hAnsi="宋体"/>
          <w:bCs/>
          <w:sz w:val="24"/>
          <w:lang w:eastAsia="zh-CN"/>
        </w:rPr>
        <w:t>3、基金的销售服务费</w:t>
      </w:r>
    </w:p>
    <w:p w14:paraId="4D0694A8" w14:textId="77777777" w:rsidR="004154D1" w:rsidRPr="00EC3B16" w:rsidRDefault="004154D1">
      <w:pPr>
        <w:spacing w:line="360" w:lineRule="auto"/>
        <w:ind w:firstLine="480"/>
        <w:jc w:val="both"/>
        <w:rPr>
          <w:rFonts w:ascii="宋体" w:hAnsi="宋体"/>
          <w:bCs/>
          <w:sz w:val="24"/>
          <w:lang w:eastAsia="zh-CN"/>
        </w:rPr>
      </w:pPr>
      <w:bookmarkStart w:id="394" w:name="_Hlk95469734"/>
      <w:r w:rsidRPr="00EC3B16">
        <w:rPr>
          <w:rFonts w:ascii="宋体" w:hAnsi="宋体"/>
          <w:bCs/>
          <w:sz w:val="24"/>
          <w:lang w:eastAsia="zh-CN"/>
        </w:rPr>
        <w:t>本基金A类基金份额不收取销售服务费，C类基金份额的销售服务费年费率为0.40%。本基金销售服务费将专门用于本基金的销售与基金份额持有人服务。</w:t>
      </w:r>
    </w:p>
    <w:p w14:paraId="1081D091"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C类基金份额的销售服务费按前一日C类基金资产净值的0.40%年费率计提。计算方法如下：</w:t>
      </w:r>
    </w:p>
    <w:p w14:paraId="5F2B14DA"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H3＝Ec×0.40%÷当年天数</w:t>
      </w:r>
    </w:p>
    <w:p w14:paraId="12CBE8A8"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H3为C类基金份额每日应计提的销售服务费</w:t>
      </w:r>
    </w:p>
    <w:p w14:paraId="33A9395E" w14:textId="77777777" w:rsidR="004154D1" w:rsidRPr="00EC3B16" w:rsidRDefault="004154D1">
      <w:pPr>
        <w:spacing w:line="360" w:lineRule="auto"/>
        <w:ind w:firstLine="480"/>
        <w:jc w:val="both"/>
        <w:rPr>
          <w:rFonts w:ascii="宋体" w:hAnsi="宋体"/>
          <w:bCs/>
          <w:sz w:val="24"/>
          <w:lang w:eastAsia="zh-CN"/>
        </w:rPr>
      </w:pPr>
      <w:r w:rsidRPr="00EC3B16">
        <w:rPr>
          <w:rFonts w:ascii="宋体" w:hAnsi="宋体"/>
          <w:bCs/>
          <w:sz w:val="24"/>
          <w:lang w:eastAsia="zh-CN"/>
        </w:rPr>
        <w:t>Ec为C类基金份额前一日基金资产净值</w:t>
      </w:r>
    </w:p>
    <w:p w14:paraId="7E0A97C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销售服务费每日计算，逐日累计至每月月末，按月支付，经基金管理人与基金托管人双方核对无误后，基金托管人按照与基金管理人协商一致的方式于次月前3个工作日内从基金财产中一次性支付给登记机构。销售服务费由登记机构代收并按照相关合同</w:t>
      </w:r>
      <w:r w:rsidR="00302E1E" w:rsidRPr="00EC3B16">
        <w:rPr>
          <w:rFonts w:ascii="宋体" w:hAnsi="宋体"/>
          <w:bCs/>
          <w:sz w:val="24"/>
          <w:lang w:eastAsia="zh-CN"/>
        </w:rPr>
        <w:t>约定</w:t>
      </w:r>
      <w:r w:rsidRPr="00EC3B16">
        <w:rPr>
          <w:rFonts w:ascii="宋体" w:hAnsi="宋体"/>
          <w:bCs/>
          <w:sz w:val="24"/>
          <w:lang w:eastAsia="zh-CN"/>
        </w:rPr>
        <w:t>支付给基金销售机构。若遇法定节假日、公休假等，支付日期顺延。</w:t>
      </w:r>
      <w:bookmarkEnd w:id="393"/>
      <w:bookmarkEnd w:id="394"/>
    </w:p>
    <w:bookmarkEnd w:id="389"/>
    <w:p w14:paraId="776E665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4、上</w:t>
      </w:r>
      <w:r w:rsidRPr="00EC3B16">
        <w:rPr>
          <w:rFonts w:ascii="宋体" w:hAnsi="宋体" w:hint="eastAsia"/>
          <w:bCs/>
          <w:sz w:val="24"/>
          <w:lang w:eastAsia="zh-CN"/>
        </w:rPr>
        <w:t>述</w:t>
      </w:r>
      <w:r w:rsidR="00AB3A99" w:rsidRPr="00EC3B16">
        <w:rPr>
          <w:rFonts w:ascii="宋体" w:hAnsi="宋体" w:hint="eastAsia"/>
          <w:bCs/>
          <w:sz w:val="24"/>
          <w:lang w:eastAsia="zh-CN"/>
        </w:rPr>
        <w:t>“</w:t>
      </w:r>
      <w:r w:rsidRPr="00EC3B16">
        <w:rPr>
          <w:rFonts w:ascii="宋体" w:hAnsi="宋体" w:hint="eastAsia"/>
          <w:bCs/>
          <w:sz w:val="24"/>
          <w:lang w:eastAsia="zh-CN"/>
        </w:rPr>
        <w:t>一、基金费用的种类</w:t>
      </w:r>
      <w:r w:rsidR="00AB3A99" w:rsidRPr="00EC3B16">
        <w:rPr>
          <w:rFonts w:ascii="宋体" w:hAnsi="宋体" w:hint="eastAsia"/>
          <w:bCs/>
          <w:sz w:val="24"/>
          <w:lang w:eastAsia="zh-CN"/>
        </w:rPr>
        <w:t>”</w:t>
      </w:r>
      <w:r w:rsidRPr="00EC3B16">
        <w:rPr>
          <w:rFonts w:ascii="宋体" w:hAnsi="宋体" w:hint="eastAsia"/>
          <w:bCs/>
          <w:sz w:val="24"/>
          <w:lang w:eastAsia="zh-CN"/>
        </w:rPr>
        <w:t>中</w:t>
      </w:r>
      <w:r w:rsidRPr="00EC3B16">
        <w:rPr>
          <w:rFonts w:ascii="宋体" w:hAnsi="宋体"/>
          <w:bCs/>
          <w:sz w:val="24"/>
          <w:lang w:eastAsia="zh-CN"/>
        </w:rPr>
        <w:t>第4－11项费用，</w:t>
      </w:r>
      <w:bookmarkStart w:id="395" w:name="_Hlk42701833"/>
      <w:r w:rsidRPr="00EC3B16">
        <w:rPr>
          <w:rFonts w:ascii="宋体" w:hAnsi="宋体"/>
          <w:bCs/>
          <w:sz w:val="24"/>
          <w:lang w:eastAsia="zh-CN"/>
        </w:rPr>
        <w:t>根据有关法规及相应协议规定，按费用实际支出金额列入当期费用，由基金托管人从基金财产中支付</w:t>
      </w:r>
      <w:bookmarkEnd w:id="395"/>
      <w:r w:rsidRPr="00EC3B16">
        <w:rPr>
          <w:rFonts w:ascii="宋体" w:hAnsi="宋体"/>
          <w:bCs/>
          <w:sz w:val="24"/>
          <w:lang w:eastAsia="zh-CN"/>
        </w:rPr>
        <w:t>。</w:t>
      </w:r>
    </w:p>
    <w:p w14:paraId="615913E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三、不列入基金费用的项目</w:t>
      </w:r>
    </w:p>
    <w:p w14:paraId="315DB8AC" w14:textId="77777777" w:rsidR="004154D1" w:rsidRPr="00EC3B16" w:rsidRDefault="004154D1" w:rsidP="006F1164">
      <w:pPr>
        <w:spacing w:line="360" w:lineRule="auto"/>
        <w:ind w:firstLine="480"/>
        <w:jc w:val="both"/>
        <w:rPr>
          <w:rFonts w:ascii="宋体" w:hAnsi="宋体"/>
          <w:bCs/>
          <w:sz w:val="24"/>
          <w:lang w:eastAsia="zh-CN"/>
        </w:rPr>
      </w:pPr>
      <w:bookmarkStart w:id="396" w:name="_Hlk95469780"/>
      <w:bookmarkStart w:id="397" w:name="_Hlk42701705"/>
      <w:r w:rsidRPr="00EC3B16">
        <w:rPr>
          <w:rFonts w:ascii="宋体" w:hAnsi="宋体"/>
          <w:bCs/>
          <w:sz w:val="24"/>
          <w:lang w:eastAsia="zh-CN"/>
        </w:rPr>
        <w:t>下列费用不列入基金费用：</w:t>
      </w:r>
    </w:p>
    <w:p w14:paraId="73826EF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1、基金管理人和基金托管人因未履行或未完全履行义务导致的费用支出或基金财产的损失；</w:t>
      </w:r>
    </w:p>
    <w:p w14:paraId="6DE789F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2、基金管理人和基金托管人处理与基金运作无关的事项发生的费用；</w:t>
      </w:r>
    </w:p>
    <w:p w14:paraId="66A598C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3、《基金合同》生效前的相关费用；</w:t>
      </w:r>
    </w:p>
    <w:p w14:paraId="79E323D1"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4、其他根据相关法律法规及中国证监会的有关规定不得列入基金费用的项目。</w:t>
      </w:r>
      <w:bookmarkStart w:id="398" w:name="_Hlt88827255"/>
      <w:bookmarkEnd w:id="398"/>
    </w:p>
    <w:bookmarkEnd w:id="396"/>
    <w:p w14:paraId="19E2101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四、实施侧袋机制期间的基金费用</w:t>
      </w:r>
    </w:p>
    <w:p w14:paraId="10905CA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本基金实施侧袋机制的，与侧袋账户有关的费用可以从侧袋账户中列支，但应待侧袋账户资产变现后方可列支，有关费用可酌情收取或减免，但不得收取管理费，详见招募说明书的规定。</w:t>
      </w:r>
    </w:p>
    <w:bookmarkEnd w:id="397"/>
    <w:p w14:paraId="0D3E8C9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五、基金税收</w:t>
      </w:r>
    </w:p>
    <w:p w14:paraId="33A5541A"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89846F4" w14:textId="77777777" w:rsidR="006F1164" w:rsidRPr="00EC3B16" w:rsidRDefault="006F1164" w:rsidP="006F1164">
      <w:pPr>
        <w:spacing w:line="360" w:lineRule="auto"/>
        <w:ind w:firstLine="480"/>
        <w:jc w:val="both"/>
        <w:rPr>
          <w:rFonts w:ascii="宋体" w:hAnsi="宋体"/>
          <w:bCs/>
          <w:sz w:val="24"/>
          <w:lang w:eastAsia="zh-CN"/>
        </w:rPr>
      </w:pPr>
    </w:p>
    <w:p w14:paraId="34E6F2DB" w14:textId="77777777" w:rsidR="004154D1" w:rsidRPr="00EC3B16" w:rsidRDefault="004154D1">
      <w:pPr>
        <w:pStyle w:val="1"/>
        <w:spacing w:before="0" w:after="0"/>
        <w:jc w:val="center"/>
        <w:rPr>
          <w:rFonts w:hAnsi="宋体"/>
          <w:sz w:val="30"/>
          <w:lang w:eastAsia="zh-CN"/>
        </w:rPr>
      </w:pPr>
      <w:bookmarkStart w:id="399" w:name="_Toc92662707"/>
      <w:bookmarkStart w:id="400" w:name="_Toc93226149"/>
      <w:bookmarkStart w:id="401" w:name="_Toc139991746"/>
      <w:bookmarkStart w:id="402" w:name="_Toc128310499"/>
      <w:bookmarkStart w:id="403" w:name="_Toc141703896"/>
      <w:bookmarkStart w:id="404" w:name="_Toc22552"/>
      <w:r w:rsidRPr="00EC3B16">
        <w:rPr>
          <w:rFonts w:hAnsi="宋体"/>
          <w:b w:val="0"/>
          <w:bCs/>
          <w:sz w:val="30"/>
          <w:lang w:eastAsia="zh-CN"/>
        </w:rPr>
        <w:br w:type="page"/>
      </w:r>
      <w:bookmarkStart w:id="405" w:name="_Toc21829"/>
      <w:bookmarkStart w:id="406" w:name="_Toc3656"/>
      <w:bookmarkStart w:id="407" w:name="_Toc15351"/>
      <w:bookmarkStart w:id="408" w:name="_Toc447270839"/>
      <w:bookmarkStart w:id="409" w:name="_Toc19558"/>
      <w:bookmarkStart w:id="410" w:name="_Toc25883"/>
      <w:bookmarkStart w:id="411" w:name="_Toc20052"/>
      <w:bookmarkStart w:id="412" w:name="_Toc15525"/>
      <w:bookmarkStart w:id="413" w:name="_Toc178"/>
      <w:bookmarkStart w:id="414" w:name="_Toc12761"/>
      <w:bookmarkStart w:id="415" w:name="_Toc1617"/>
      <w:bookmarkStart w:id="416" w:name="_Toc132016796"/>
      <w:bookmarkStart w:id="417" w:name="_Hlk535885173"/>
      <w:bookmarkEnd w:id="384"/>
      <w:r w:rsidRPr="00EC3B16">
        <w:rPr>
          <w:rFonts w:hAnsi="宋体"/>
          <w:sz w:val="30"/>
          <w:lang w:eastAsia="zh-CN"/>
        </w:rPr>
        <w:lastRenderedPageBreak/>
        <w:t>第十六部分</w:t>
      </w:r>
      <w:r w:rsidRPr="00EC3B16">
        <w:rPr>
          <w:rFonts w:hAnsi="宋体" w:hint="eastAsia"/>
          <w:sz w:val="30"/>
          <w:lang w:eastAsia="zh-CN"/>
        </w:rPr>
        <w:t xml:space="preserve"> </w:t>
      </w:r>
      <w:r w:rsidRPr="00EC3B16">
        <w:rPr>
          <w:rFonts w:hAnsi="宋体"/>
          <w:sz w:val="30"/>
          <w:lang w:eastAsia="zh-CN"/>
        </w:rPr>
        <w:t xml:space="preserve"> 基金</w:t>
      </w:r>
      <w:bookmarkEnd w:id="399"/>
      <w:bookmarkEnd w:id="400"/>
      <w:r w:rsidRPr="00EC3B16">
        <w:rPr>
          <w:rFonts w:hAnsi="宋体"/>
          <w:sz w:val="30"/>
          <w:lang w:eastAsia="zh-CN"/>
        </w:rPr>
        <w:t>的收益与分配</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1AFF8AD6" w14:textId="77777777" w:rsidR="004154D1" w:rsidRPr="00EC3B16" w:rsidRDefault="004154D1" w:rsidP="006F1164">
      <w:pPr>
        <w:spacing w:line="360" w:lineRule="auto"/>
        <w:ind w:firstLine="480"/>
        <w:jc w:val="both"/>
        <w:rPr>
          <w:rFonts w:ascii="宋体" w:hAnsi="宋体"/>
          <w:bCs/>
          <w:sz w:val="24"/>
          <w:lang w:eastAsia="zh-CN"/>
        </w:rPr>
      </w:pPr>
    </w:p>
    <w:p w14:paraId="587DEDF6" w14:textId="77777777" w:rsidR="004154D1" w:rsidRPr="00EC3B16" w:rsidRDefault="004154D1" w:rsidP="006F1164">
      <w:pPr>
        <w:spacing w:line="360" w:lineRule="auto"/>
        <w:ind w:firstLine="480"/>
        <w:jc w:val="both"/>
        <w:rPr>
          <w:rFonts w:ascii="宋体" w:hAnsi="宋体"/>
          <w:bCs/>
          <w:sz w:val="24"/>
          <w:lang w:eastAsia="zh-CN"/>
        </w:rPr>
      </w:pPr>
      <w:bookmarkStart w:id="418" w:name="_Hlk42701076"/>
      <w:bookmarkStart w:id="419" w:name="_Hlk95468979"/>
      <w:r w:rsidRPr="00EC3B16">
        <w:rPr>
          <w:rFonts w:ascii="宋体" w:hAnsi="宋体"/>
          <w:bCs/>
          <w:sz w:val="24"/>
          <w:lang w:eastAsia="zh-CN"/>
        </w:rPr>
        <w:t>一、基金利润的构成</w:t>
      </w:r>
    </w:p>
    <w:p w14:paraId="721ED56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基金利润指基金利息收入、投资收益、公允价值变动收益和其他收入扣除相关费用后的余额，基金已实现收益指基金利润减去公允价值变动收益后的余额。</w:t>
      </w:r>
    </w:p>
    <w:p w14:paraId="23ECAA01"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二、基金可供分配利润</w:t>
      </w:r>
    </w:p>
    <w:p w14:paraId="4942B20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基金可供分配利润指截至收益分配基准日基金未分配利润与未分配利润中已实现收益的孰低数。</w:t>
      </w:r>
      <w:bookmarkEnd w:id="418"/>
    </w:p>
    <w:p w14:paraId="1EB4328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三、基金收益分配原则</w:t>
      </w:r>
    </w:p>
    <w:p w14:paraId="02021353" w14:textId="77777777" w:rsidR="004154D1" w:rsidRPr="00EC3B16" w:rsidRDefault="004154D1" w:rsidP="006F1164">
      <w:pPr>
        <w:spacing w:line="360" w:lineRule="auto"/>
        <w:ind w:firstLine="480"/>
        <w:jc w:val="both"/>
        <w:rPr>
          <w:rFonts w:ascii="宋体" w:hAnsi="宋体"/>
          <w:bCs/>
          <w:sz w:val="24"/>
          <w:lang w:eastAsia="zh-CN"/>
        </w:rPr>
      </w:pPr>
      <w:bookmarkStart w:id="420" w:name="_Hlk42701111"/>
      <w:r w:rsidRPr="00EC3B16">
        <w:rPr>
          <w:rFonts w:ascii="宋体" w:hAnsi="宋体"/>
          <w:bCs/>
          <w:sz w:val="24"/>
          <w:lang w:eastAsia="zh-CN"/>
        </w:rPr>
        <w:t>1、在符合有关基金分红条件的前提下，本基金管理人可以根据实际情况进行收益分配，具体分配方案以公告为准，若《基金合同》生效不满3个月可不进行收益分配；</w:t>
      </w:r>
    </w:p>
    <w:p w14:paraId="24ABFAD2"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2、本基金收益分配方式分两种：现金分红与红利再投资，投资者可选择现金红利或将现金红利自动转为相应类别的基金份额进行再投资；若投资者不选择，本基金默认的收益分配方式是现金分红；</w:t>
      </w:r>
    </w:p>
    <w:p w14:paraId="74C20F7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3、基金收益分配后两类基金份额净值不能低于面值，即基金收益分配基准日的两类基金份额净值</w:t>
      </w:r>
      <w:r w:rsidRPr="00EC3B16">
        <w:rPr>
          <w:rFonts w:ascii="宋体" w:hAnsi="宋体" w:hint="eastAsia"/>
          <w:bCs/>
          <w:sz w:val="24"/>
          <w:lang w:eastAsia="zh-CN"/>
        </w:rPr>
        <w:t>各自</w:t>
      </w:r>
      <w:r w:rsidRPr="00EC3B16">
        <w:rPr>
          <w:rFonts w:ascii="宋体" w:hAnsi="宋体"/>
          <w:bCs/>
          <w:sz w:val="24"/>
          <w:lang w:eastAsia="zh-CN"/>
        </w:rPr>
        <w:t>减去</w:t>
      </w:r>
      <w:r w:rsidRPr="00EC3B16">
        <w:rPr>
          <w:rFonts w:ascii="宋体" w:hAnsi="宋体" w:hint="eastAsia"/>
          <w:bCs/>
          <w:sz w:val="24"/>
          <w:lang w:eastAsia="zh-CN"/>
        </w:rPr>
        <w:t>对应</w:t>
      </w:r>
      <w:r w:rsidRPr="00EC3B16">
        <w:rPr>
          <w:rFonts w:ascii="宋体" w:hAnsi="宋体"/>
          <w:bCs/>
          <w:sz w:val="24"/>
          <w:lang w:eastAsia="zh-CN"/>
        </w:rPr>
        <w:t>每单位基金份额收益分配金额后</w:t>
      </w:r>
      <w:r w:rsidRPr="00EC3B16">
        <w:rPr>
          <w:rFonts w:ascii="宋体" w:hAnsi="宋体" w:hint="eastAsia"/>
          <w:bCs/>
          <w:sz w:val="24"/>
          <w:lang w:eastAsia="zh-CN"/>
        </w:rPr>
        <w:t>均</w:t>
      </w:r>
      <w:r w:rsidRPr="00EC3B16">
        <w:rPr>
          <w:rFonts w:ascii="宋体" w:hAnsi="宋体"/>
          <w:bCs/>
          <w:sz w:val="24"/>
          <w:lang w:eastAsia="zh-CN"/>
        </w:rPr>
        <w:t>不能低于面值；</w:t>
      </w:r>
    </w:p>
    <w:p w14:paraId="53D7925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4、本基金两类基金份额在费用收取上不同，其对应的可分配收益可能有所不同。本基金同一类别的每一基金份额享有同等收益分配权；</w:t>
      </w:r>
    </w:p>
    <w:p w14:paraId="1016965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5、法律法规或监管机关另有规定的，从其规定。</w:t>
      </w:r>
    </w:p>
    <w:p w14:paraId="4D921C9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在不违反法律法规且对基金份额持有人利益无实质性不利影响的前提下，基金管理人经与基金托管人协商一致，可对基金收益分配的有关业务规则进行调整，并及时公告。</w:t>
      </w:r>
      <w:bookmarkEnd w:id="420"/>
    </w:p>
    <w:p w14:paraId="795F7AEF" w14:textId="77777777" w:rsidR="004154D1" w:rsidRPr="00EC3B16" w:rsidRDefault="004154D1" w:rsidP="006F1164">
      <w:pPr>
        <w:spacing w:line="360" w:lineRule="auto"/>
        <w:ind w:firstLine="480"/>
        <w:jc w:val="both"/>
        <w:rPr>
          <w:rFonts w:ascii="宋体" w:hAnsi="宋体"/>
          <w:bCs/>
          <w:sz w:val="24"/>
          <w:lang w:eastAsia="zh-CN"/>
        </w:rPr>
      </w:pPr>
      <w:bookmarkStart w:id="421" w:name="_Hlk42701126"/>
      <w:r w:rsidRPr="00EC3B16">
        <w:rPr>
          <w:rFonts w:ascii="宋体" w:hAnsi="宋体"/>
          <w:bCs/>
          <w:sz w:val="24"/>
          <w:lang w:eastAsia="zh-CN"/>
        </w:rPr>
        <w:t>四、收益分配方案</w:t>
      </w:r>
    </w:p>
    <w:p w14:paraId="5EFC17D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基金收益分配方案中应载明截</w:t>
      </w:r>
      <w:r w:rsidRPr="00EC3B16">
        <w:rPr>
          <w:rFonts w:ascii="宋体" w:hAnsi="宋体" w:hint="eastAsia"/>
          <w:bCs/>
          <w:sz w:val="24"/>
          <w:lang w:eastAsia="zh-CN"/>
        </w:rPr>
        <w:t>至</w:t>
      </w:r>
      <w:r w:rsidRPr="00EC3B16">
        <w:rPr>
          <w:rFonts w:ascii="宋体" w:hAnsi="宋体"/>
          <w:bCs/>
          <w:sz w:val="24"/>
          <w:lang w:eastAsia="zh-CN"/>
        </w:rPr>
        <w:t>收益分配基准日的可供分配利润、基金收益分配对象、分配时间、分配数额及比例、分配方式等内容。</w:t>
      </w:r>
    </w:p>
    <w:p w14:paraId="082C48A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五、收益分配方案的确定、公告与实施</w:t>
      </w:r>
    </w:p>
    <w:p w14:paraId="25EB566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本基金收益分配方案由基金管理人拟定，并由基金托管人复核，在2日内在规定媒介公告。</w:t>
      </w:r>
    </w:p>
    <w:p w14:paraId="505E884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六、基金收益分配中发生的费用</w:t>
      </w:r>
    </w:p>
    <w:p w14:paraId="559FFED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bookmarkEnd w:id="421"/>
    </w:p>
    <w:p w14:paraId="7600442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七、实施侧袋机制期间的收益分配</w:t>
      </w:r>
    </w:p>
    <w:p w14:paraId="0343D2B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本基金实施侧袋机制的，侧袋账户不进行收益分配，详见招募说明书的规定。</w:t>
      </w:r>
      <w:bookmarkEnd w:id="419"/>
    </w:p>
    <w:p w14:paraId="5BF810E5" w14:textId="77777777" w:rsidR="006F1164" w:rsidRPr="00EC3B16" w:rsidRDefault="006F1164" w:rsidP="006F1164">
      <w:pPr>
        <w:spacing w:line="360" w:lineRule="auto"/>
        <w:ind w:firstLine="480"/>
        <w:jc w:val="both"/>
        <w:rPr>
          <w:rFonts w:ascii="宋体" w:hAnsi="宋体"/>
          <w:bCs/>
          <w:sz w:val="24"/>
          <w:lang w:eastAsia="zh-CN"/>
        </w:rPr>
      </w:pPr>
    </w:p>
    <w:p w14:paraId="56AD0D8A" w14:textId="77777777" w:rsidR="004154D1" w:rsidRPr="00EC3B16" w:rsidRDefault="004154D1">
      <w:pPr>
        <w:pStyle w:val="1"/>
        <w:spacing w:before="0" w:after="0"/>
        <w:jc w:val="center"/>
        <w:rPr>
          <w:rFonts w:hAnsi="宋体"/>
          <w:sz w:val="30"/>
          <w:lang w:eastAsia="zh-CN"/>
        </w:rPr>
      </w:pPr>
      <w:r w:rsidRPr="00EC3B16">
        <w:rPr>
          <w:rFonts w:hAnsi="宋体"/>
          <w:b w:val="0"/>
          <w:bCs/>
          <w:sz w:val="21"/>
          <w:lang w:eastAsia="zh-CN"/>
        </w:rPr>
        <w:br w:type="page"/>
      </w:r>
      <w:bookmarkStart w:id="422" w:name="_Toc92662708"/>
      <w:bookmarkStart w:id="423" w:name="_Toc93226150"/>
      <w:bookmarkStart w:id="424" w:name="_Toc128310500"/>
      <w:bookmarkStart w:id="425" w:name="_Toc29695"/>
      <w:bookmarkStart w:id="426" w:name="_Toc447270840"/>
      <w:bookmarkStart w:id="427" w:name="_Toc1043"/>
      <w:bookmarkStart w:id="428" w:name="_Toc18007"/>
      <w:bookmarkStart w:id="429" w:name="_Toc28961"/>
      <w:bookmarkStart w:id="430" w:name="_Toc141703897"/>
      <w:bookmarkStart w:id="431" w:name="_Toc17499"/>
      <w:bookmarkStart w:id="432" w:name="_Toc139991747"/>
      <w:bookmarkStart w:id="433" w:name="_Toc13255"/>
      <w:bookmarkStart w:id="434" w:name="_Toc23859"/>
      <w:bookmarkStart w:id="435" w:name="_Toc21206"/>
      <w:bookmarkStart w:id="436" w:name="_Toc18747"/>
      <w:bookmarkStart w:id="437" w:name="_Toc31736"/>
      <w:bookmarkStart w:id="438" w:name="_Toc10894"/>
      <w:bookmarkStart w:id="439" w:name="_Toc132016797"/>
      <w:bookmarkEnd w:id="417"/>
      <w:r w:rsidRPr="00EC3B16">
        <w:rPr>
          <w:rFonts w:hAnsi="宋体"/>
          <w:sz w:val="30"/>
          <w:lang w:eastAsia="zh-CN"/>
        </w:rPr>
        <w:lastRenderedPageBreak/>
        <w:t>第十七部分</w:t>
      </w:r>
      <w:r w:rsidRPr="00EC3B16">
        <w:rPr>
          <w:rFonts w:hAnsi="宋体" w:hint="eastAsia"/>
          <w:sz w:val="30"/>
          <w:lang w:eastAsia="zh-CN"/>
        </w:rPr>
        <w:t xml:space="preserve"> </w:t>
      </w:r>
      <w:r w:rsidRPr="00EC3B16">
        <w:rPr>
          <w:rFonts w:hAnsi="宋体"/>
          <w:sz w:val="30"/>
          <w:lang w:eastAsia="zh-CN"/>
        </w:rPr>
        <w:t xml:space="preserve"> 基金</w:t>
      </w:r>
      <w:bookmarkEnd w:id="422"/>
      <w:bookmarkEnd w:id="423"/>
      <w:r w:rsidRPr="00EC3B16">
        <w:rPr>
          <w:rFonts w:hAnsi="宋体"/>
          <w:sz w:val="30"/>
          <w:lang w:eastAsia="zh-CN"/>
        </w:rPr>
        <w:t>的会计与审计</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47ED4AA3" w14:textId="77777777" w:rsidR="004154D1" w:rsidRPr="00EC3B16" w:rsidRDefault="004154D1" w:rsidP="006F1164">
      <w:pPr>
        <w:spacing w:line="360" w:lineRule="auto"/>
        <w:ind w:firstLine="480"/>
        <w:jc w:val="both"/>
        <w:rPr>
          <w:rFonts w:ascii="宋体" w:hAnsi="宋体"/>
          <w:bCs/>
          <w:sz w:val="24"/>
          <w:lang w:eastAsia="zh-CN"/>
        </w:rPr>
      </w:pPr>
    </w:p>
    <w:p w14:paraId="75553171"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一、基金会计政策</w:t>
      </w:r>
    </w:p>
    <w:p w14:paraId="6056C14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1、基金管理人为本基金的基金会计责任方；</w:t>
      </w:r>
    </w:p>
    <w:p w14:paraId="7B4172C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2、基金的会计年度为公历年度的1月1日至12月31日；基金首次募集的会计年度按如下原则：如果《基金合同》生效少于2个月，可以并入下一个会计年度披露；</w:t>
      </w:r>
    </w:p>
    <w:p w14:paraId="18DCCF5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3、基金核算以人民币为记账本位币，以人民币元为记账单位；</w:t>
      </w:r>
    </w:p>
    <w:p w14:paraId="6A0A8262"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4、会计制度执行国家有关会计制度；</w:t>
      </w:r>
    </w:p>
    <w:p w14:paraId="3038E4A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5、本基金独立建账、独立核算；</w:t>
      </w:r>
    </w:p>
    <w:p w14:paraId="11A7FE6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6、基金管理人及基金托管人各自保留完整的会计账目、凭证并进行日常的会计核算，按照有关规定编制基金会计报表；</w:t>
      </w:r>
    </w:p>
    <w:p w14:paraId="74D8AB2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7、基金托管人每月与基金管理人就基金的会计核算、报表编制等进行核对并以书面或电子方式确认。</w:t>
      </w:r>
    </w:p>
    <w:p w14:paraId="372B1EA2"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二、基金的年度审计</w:t>
      </w:r>
    </w:p>
    <w:p w14:paraId="0C43057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1、基金管理人聘请与基金管理人、基金托管人相互独立的符合《中华人民共和国证券法》规定的会计师事务所及其注册会计师对本基金的年度财务报表进行审计。</w:t>
      </w:r>
    </w:p>
    <w:p w14:paraId="0236880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2、会计师事务所更换经办注册会计师，应事先征得基金管理人同意。</w:t>
      </w:r>
    </w:p>
    <w:p w14:paraId="010DDC9A"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w:t>
      </w:r>
      <w:bookmarkStart w:id="440" w:name="_Hlt4221115"/>
      <w:bookmarkEnd w:id="440"/>
      <w:r w:rsidRPr="00EC3B16">
        <w:rPr>
          <w:rFonts w:ascii="宋体" w:hAnsi="宋体"/>
          <w:bCs/>
          <w:sz w:val="24"/>
          <w:lang w:eastAsia="zh-CN"/>
        </w:rPr>
        <w:t>基金管理人认为有充足理由更换会计师事务所，须通报基金托管人。更换会计师事务所需在2日内在规定媒介公告。</w:t>
      </w:r>
    </w:p>
    <w:p w14:paraId="0BD4A1D2" w14:textId="77777777" w:rsidR="006F1164" w:rsidRPr="00EC3B16" w:rsidRDefault="006F1164" w:rsidP="006F1164">
      <w:pPr>
        <w:spacing w:line="360" w:lineRule="auto"/>
        <w:ind w:firstLine="480"/>
        <w:jc w:val="both"/>
        <w:rPr>
          <w:rFonts w:ascii="宋体" w:hAnsi="宋体"/>
          <w:bCs/>
          <w:sz w:val="24"/>
          <w:lang w:eastAsia="zh-CN"/>
        </w:rPr>
      </w:pPr>
    </w:p>
    <w:p w14:paraId="77509D4B" w14:textId="77777777" w:rsidR="004154D1" w:rsidRPr="00EC3B16" w:rsidRDefault="004154D1">
      <w:pPr>
        <w:pStyle w:val="1"/>
        <w:spacing w:before="0" w:after="0"/>
        <w:jc w:val="center"/>
        <w:rPr>
          <w:rFonts w:hAnsi="宋体"/>
          <w:sz w:val="30"/>
          <w:lang w:eastAsia="zh-CN"/>
        </w:rPr>
      </w:pPr>
      <w:r w:rsidRPr="00EC3B16">
        <w:rPr>
          <w:rFonts w:hAnsi="宋体"/>
          <w:b w:val="0"/>
          <w:bCs/>
          <w:lang w:eastAsia="zh-CN"/>
        </w:rPr>
        <w:br w:type="page"/>
      </w:r>
      <w:bookmarkStart w:id="441" w:name="_Toc92662709"/>
      <w:bookmarkStart w:id="442" w:name="_Toc93226151"/>
      <w:bookmarkStart w:id="443" w:name="_Toc29289"/>
      <w:bookmarkStart w:id="444" w:name="_Toc1173"/>
      <w:bookmarkStart w:id="445" w:name="_Toc21351"/>
      <w:bookmarkStart w:id="446" w:name="_Toc141703898"/>
      <w:bookmarkStart w:id="447" w:name="_Toc3056"/>
      <w:bookmarkStart w:id="448" w:name="_Toc31866"/>
      <w:bookmarkStart w:id="449" w:name="_Toc8512"/>
      <w:bookmarkStart w:id="450" w:name="_Toc193"/>
      <w:bookmarkStart w:id="451" w:name="_Toc11802"/>
      <w:bookmarkStart w:id="452" w:name="_Toc447270841"/>
      <w:bookmarkStart w:id="453" w:name="_Toc1421"/>
      <w:bookmarkStart w:id="454" w:name="_Toc128310501"/>
      <w:bookmarkStart w:id="455" w:name="_Toc11049"/>
      <w:bookmarkStart w:id="456" w:name="_Toc12028"/>
      <w:bookmarkStart w:id="457" w:name="_Toc139991748"/>
      <w:bookmarkStart w:id="458" w:name="_Toc132016798"/>
      <w:r w:rsidRPr="00EC3B16">
        <w:rPr>
          <w:rFonts w:hAnsi="宋体"/>
          <w:sz w:val="30"/>
          <w:lang w:eastAsia="zh-CN"/>
        </w:rPr>
        <w:lastRenderedPageBreak/>
        <w:t>第十八部分</w:t>
      </w:r>
      <w:r w:rsidRPr="00EC3B16">
        <w:rPr>
          <w:rFonts w:hAnsi="宋体" w:hint="eastAsia"/>
          <w:sz w:val="30"/>
          <w:lang w:eastAsia="zh-CN"/>
        </w:rPr>
        <w:t xml:space="preserve"> </w:t>
      </w:r>
      <w:r w:rsidRPr="00EC3B16">
        <w:rPr>
          <w:rFonts w:hAnsi="宋体"/>
          <w:sz w:val="30"/>
          <w:lang w:eastAsia="zh-CN"/>
        </w:rPr>
        <w:t xml:space="preserve"> 基金</w:t>
      </w:r>
      <w:bookmarkEnd w:id="441"/>
      <w:bookmarkEnd w:id="442"/>
      <w:r w:rsidRPr="00EC3B16">
        <w:rPr>
          <w:rFonts w:hAnsi="宋体"/>
          <w:sz w:val="30"/>
          <w:lang w:eastAsia="zh-CN"/>
        </w:rPr>
        <w:t>的信息披露</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6AAF332C" w14:textId="77777777" w:rsidR="004154D1" w:rsidRPr="00EC3B16" w:rsidRDefault="004154D1" w:rsidP="006F1164">
      <w:pPr>
        <w:spacing w:line="360" w:lineRule="auto"/>
        <w:ind w:firstLine="480"/>
        <w:jc w:val="both"/>
        <w:rPr>
          <w:rFonts w:ascii="宋体" w:hAnsi="宋体"/>
          <w:bCs/>
          <w:sz w:val="24"/>
          <w:lang w:eastAsia="zh-CN"/>
        </w:rPr>
      </w:pPr>
    </w:p>
    <w:p w14:paraId="5E4B04C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一、本基金的信息披露应符合《基金法》、《运作办法》、《信息披露办法》、《流动性风险管理规定》、《基金合同》及其他有关规定。</w:t>
      </w:r>
    </w:p>
    <w:p w14:paraId="7F0473A1"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二、信息披露义务人</w:t>
      </w:r>
    </w:p>
    <w:p w14:paraId="68D4E00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本基金信息披露义务人包括基金管理人、基金托管人、召集基金份额持有人大会的基金份额持有人等法律法规和中国证监会规定的自然人、法人和非法人组织。</w:t>
      </w:r>
    </w:p>
    <w:p w14:paraId="49A4103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本基金信息披露义务人以保护基金份额持有人利益为根本出发点，按照法律法规和中国证监会的规定披露基金信息，并保证所披露信息的真实性、准确性、完整性、及时性、简明性和易得性。</w:t>
      </w:r>
    </w:p>
    <w:p w14:paraId="360FD2D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信息披露义务人应当在中国证监会规定时间内，将应予披露的基金信息通过符合中国证监会规定条件的用以进行信息披露的全国性报刊（以下简称“规定报刊”）及《信息披露办法》规定的互联网网站（以下简称“规定网站”）等媒介披露，并保证基金投资者能够按照《基金合同》约定的时间和方式查阅或者复制公开披露的信息资料。</w:t>
      </w:r>
    </w:p>
    <w:p w14:paraId="18197F4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三、本基金信息披露义务人承诺公开披露的基金信息，不得有下列行为：</w:t>
      </w:r>
    </w:p>
    <w:p w14:paraId="25342DC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1、虚假记载、误导性陈述或者重大遗漏；</w:t>
      </w:r>
    </w:p>
    <w:p w14:paraId="5DCC9EC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2、对证券投资业绩进行预测；</w:t>
      </w:r>
    </w:p>
    <w:p w14:paraId="0DF42BB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3、违规承诺收益或者承担损失；</w:t>
      </w:r>
    </w:p>
    <w:p w14:paraId="6B3CA7E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4、诋毁其他基金管理人、基金托管人或者基金销售机构；</w:t>
      </w:r>
    </w:p>
    <w:p w14:paraId="1102F04A"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5、登载任何自然人、法人和非法人组织的祝贺性、恭维性或推荐性的文字；</w:t>
      </w:r>
    </w:p>
    <w:p w14:paraId="38C8FB8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6、中国证监会禁止的其他行为。</w:t>
      </w:r>
    </w:p>
    <w:p w14:paraId="11676B0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四、本基金公开披露的信息应采用中文文本。如同时采用外文文本的，基金信息披露义务人应保证</w:t>
      </w:r>
      <w:bookmarkStart w:id="459" w:name="_Hlk22112265"/>
      <w:r w:rsidRPr="00EC3B16">
        <w:rPr>
          <w:rFonts w:ascii="宋体" w:hAnsi="宋体"/>
          <w:bCs/>
          <w:sz w:val="24"/>
          <w:lang w:eastAsia="zh-CN"/>
        </w:rPr>
        <w:t>不同</w:t>
      </w:r>
      <w:bookmarkEnd w:id="459"/>
      <w:r w:rsidRPr="00EC3B16">
        <w:rPr>
          <w:rFonts w:ascii="宋体" w:hAnsi="宋体"/>
          <w:bCs/>
          <w:sz w:val="24"/>
          <w:lang w:eastAsia="zh-CN"/>
        </w:rPr>
        <w:t>文本的内容一致。不同文本</w:t>
      </w:r>
      <w:bookmarkStart w:id="460" w:name="_Hlk22112272"/>
      <w:r w:rsidRPr="00EC3B16">
        <w:rPr>
          <w:rFonts w:ascii="宋体" w:hAnsi="宋体"/>
          <w:bCs/>
          <w:sz w:val="24"/>
          <w:lang w:eastAsia="zh-CN"/>
        </w:rPr>
        <w:t>之间</w:t>
      </w:r>
      <w:bookmarkEnd w:id="460"/>
      <w:r w:rsidRPr="00EC3B16">
        <w:rPr>
          <w:rFonts w:ascii="宋体" w:hAnsi="宋体"/>
          <w:bCs/>
          <w:sz w:val="24"/>
          <w:lang w:eastAsia="zh-CN"/>
        </w:rPr>
        <w:t>发生歧义的，以中文文本为准。</w:t>
      </w:r>
    </w:p>
    <w:p w14:paraId="4781A95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本基金公开披露的信息采用阿拉伯数字；除特别说明外，货币单位为人民币元。</w:t>
      </w:r>
    </w:p>
    <w:p w14:paraId="544B02A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五、公开披露的基金信息</w:t>
      </w:r>
    </w:p>
    <w:p w14:paraId="5CB12DB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公开披露的基金信息包括：</w:t>
      </w:r>
    </w:p>
    <w:p w14:paraId="14337AA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（一）基金招募说明书、《基金合同》、基金托管协议、</w:t>
      </w:r>
      <w:bookmarkStart w:id="461" w:name="_Hlk95469136"/>
      <w:r w:rsidRPr="00EC3B16">
        <w:rPr>
          <w:rFonts w:ascii="宋体" w:hAnsi="宋体"/>
          <w:bCs/>
          <w:sz w:val="24"/>
          <w:lang w:eastAsia="zh-CN"/>
        </w:rPr>
        <w:t>基金产品资料概</w:t>
      </w:r>
      <w:bookmarkEnd w:id="461"/>
      <w:r w:rsidRPr="00EC3B16">
        <w:rPr>
          <w:rFonts w:ascii="宋体" w:hAnsi="宋体"/>
          <w:bCs/>
          <w:sz w:val="24"/>
          <w:lang w:eastAsia="zh-CN"/>
        </w:rPr>
        <w:t>要</w:t>
      </w:r>
    </w:p>
    <w:p w14:paraId="15F63DB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1、《基金合同》是界定《基金合同》当事人的各项权利、义务关系，明确基金份额持有人大会召开的规则及具体程序，说明基金产品的特性等涉及基金投资者重大利益的事项的法律文件。</w:t>
      </w:r>
    </w:p>
    <w:p w14:paraId="22A9E9B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B78350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3、基金托管协议是界定基金托管人和基金管理人在基金财产保管及基金运作监督等活动中的权利、义务关系的法律文件。</w:t>
      </w:r>
    </w:p>
    <w:p w14:paraId="7D97FB3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A8CDED2"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94CEB8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（二）基金份额发售公告</w:t>
      </w:r>
    </w:p>
    <w:p w14:paraId="36F4F16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基金管理人应当就基金份额发售的具体事宜编制基金份额发售公告，并在披露招募说明书的当日登载于规定媒介上。</w:t>
      </w:r>
    </w:p>
    <w:p w14:paraId="6DDD3E2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（三）《基金合同》生效公告</w:t>
      </w:r>
    </w:p>
    <w:p w14:paraId="5BA63A2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基金管理人应当在收到中国证监会确认文件的次日在规定媒介上登载《基金合同》生效公告。</w:t>
      </w:r>
    </w:p>
    <w:p w14:paraId="1312D2A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《基金合同》生效公告中将说明基金募集情况及基金管理人、基金管理人高级管理人员、基金经理等人员以及基金管理人股东持有的基金份额、承诺持有的期限等情况。</w:t>
      </w:r>
    </w:p>
    <w:p w14:paraId="5427FF46" w14:textId="77777777" w:rsidR="004154D1" w:rsidRPr="00EC3B16" w:rsidRDefault="004154D1" w:rsidP="006F1164">
      <w:pPr>
        <w:spacing w:line="360" w:lineRule="auto"/>
        <w:ind w:firstLine="480"/>
        <w:jc w:val="both"/>
        <w:rPr>
          <w:rFonts w:ascii="宋体" w:hAnsi="宋体"/>
          <w:bCs/>
          <w:sz w:val="24"/>
          <w:lang w:eastAsia="zh-CN"/>
        </w:rPr>
      </w:pPr>
      <w:bookmarkStart w:id="462" w:name="_Hlk73625408"/>
      <w:r w:rsidRPr="00EC3B16">
        <w:rPr>
          <w:rFonts w:ascii="宋体" w:hAnsi="宋体"/>
          <w:bCs/>
          <w:sz w:val="24"/>
          <w:lang w:eastAsia="zh-CN"/>
        </w:rPr>
        <w:t>（四）基金净值信息</w:t>
      </w:r>
    </w:p>
    <w:p w14:paraId="1D78F98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《基金合同》生效后，在开始办理基金份额申购或者赎回前，基金管理人应当至少每周在规定网站披露一次两类基金份额的基金份额净值和基金份额累计净值。</w:t>
      </w:r>
    </w:p>
    <w:p w14:paraId="45093C0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在开始办理基金份额申购或者赎回后，基金管理人应当在不晚于每个开放日的次日，通过规定网站、基金销售机构网站或者营业网点披露开放日的两类基金份额的基金份额净值和基金份额累计净值。</w:t>
      </w:r>
    </w:p>
    <w:p w14:paraId="0E50DB2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基金管理人应当在不晚于半年度和年度最后一日的次日，在规定网站披露半年度和年度最后一日的两类基金份额的基金份额净值和基金份额累计净值。</w:t>
      </w:r>
    </w:p>
    <w:bookmarkEnd w:id="462"/>
    <w:p w14:paraId="4EF3E4E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（五）基金份额申购、赎回价格</w:t>
      </w:r>
    </w:p>
    <w:p w14:paraId="7DA1FA5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A0DB5D2"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（六）基金定期报告，包括基金年度报告、基金中期报告和基金季度报告</w:t>
      </w:r>
    </w:p>
    <w:p w14:paraId="0B050771"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基金管理人应当在每年结束之日起三个月内，编制完成基金年度报告，将年度报告登载在规定网站上，并将年度报告提示性公告登载在规定报刊上。</w:t>
      </w:r>
      <w:bookmarkStart w:id="463" w:name="_Hlk95469432"/>
      <w:r w:rsidRPr="00EC3B16">
        <w:rPr>
          <w:rFonts w:ascii="宋体" w:hAnsi="宋体"/>
          <w:bCs/>
          <w:sz w:val="24"/>
          <w:lang w:eastAsia="zh-CN"/>
        </w:rPr>
        <w:t>基金年度报告中的财务会计报告应当经过符合《中华人民共和国证券法》规定的会计师事务所审计。</w:t>
      </w:r>
      <w:bookmarkEnd w:id="463"/>
    </w:p>
    <w:p w14:paraId="5AFB3ED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基金管理人应当在上半年结束之日起两个月内，编制完成基金中期报告，将中期报告登载在规定网站上，并将中期报告提示性公告登载在规定报刊上。</w:t>
      </w:r>
    </w:p>
    <w:p w14:paraId="73A667D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基金管理人应当在季度结束之日起15个工作日内，编制完成基金季度报告，将季度报告登载在规定网站上，并将季度报告提示性公告登载在规定报刊上。</w:t>
      </w:r>
    </w:p>
    <w:p w14:paraId="51EA839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《基金合同》生效不足2个月的，基金管理人可以不编制当期季度报告、中期报告或者年度报告。</w:t>
      </w:r>
    </w:p>
    <w:p w14:paraId="2CC7F61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基金管理人应在年度报告、中期报告、季度报告中分别披露基金管理人及基金管理人股东、基金管理人高级管理人员、基金经理等人员持有基金的份额、期限及期间的变动情况。</w:t>
      </w:r>
    </w:p>
    <w:p w14:paraId="0E38212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A5C9E6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基金管理人应当在基金年度报告和中期报告中披露基金组合资产情况及其流动性风险分析等。</w:t>
      </w:r>
    </w:p>
    <w:p w14:paraId="6E348E1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（七）临时报告</w:t>
      </w:r>
    </w:p>
    <w:p w14:paraId="713C9BB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本基金发生重大事件，有关信息披露义务人应当在2日内编制临时报告书，并登载在规定报刊和规定网站上。</w:t>
      </w:r>
    </w:p>
    <w:p w14:paraId="3D2EA9B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前款所称重大事件，是指可能对基金份额持有人权益或者基金份额的价格产生重大影响的下列事件：</w:t>
      </w:r>
    </w:p>
    <w:p w14:paraId="4231195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1、基金份额持有人大会的召开及决定的事项；</w:t>
      </w:r>
    </w:p>
    <w:p w14:paraId="70A6B66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2、《基金合同》终止、基金清算；</w:t>
      </w:r>
    </w:p>
    <w:p w14:paraId="46AFD73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3、转换基金运作方式、基金合并；</w:t>
      </w:r>
    </w:p>
    <w:p w14:paraId="62E1594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4、更换基金管理人、基金托管人、基金份额登记机构，基金改聘会计师事务所；</w:t>
      </w:r>
    </w:p>
    <w:p w14:paraId="7A2B37B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5、基金管理人委托基金服务机构代为办理基金的份额登记、核算、估值等事项，基金托管人委托基金服务机构代为办理基金的核算、估值、复核等事项；</w:t>
      </w:r>
    </w:p>
    <w:p w14:paraId="6705141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6、基金管理人、基金托管人的法定名称、住所发生变更；</w:t>
      </w:r>
    </w:p>
    <w:p w14:paraId="48DF86A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7、基金管理人变更持有百分之五以上股权的股东、基金管理人的实际控制人变更；</w:t>
      </w:r>
    </w:p>
    <w:p w14:paraId="423D6A2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8、基金募集期延长或提前结束募集；</w:t>
      </w:r>
    </w:p>
    <w:p w14:paraId="491EC19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9、基金管理人的高级管理人员、基金经理和基金托管人专门基金托管部门负责人发生变动；</w:t>
      </w:r>
    </w:p>
    <w:p w14:paraId="3BF6CDF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10、基金管理人的董事在最近12个月内变更超过百分之五十，基金管理人、基金托管人专门基金托管部门的主要业务人员在最近12个月内变动超过百分之三十；</w:t>
      </w:r>
    </w:p>
    <w:p w14:paraId="0648A1C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11、涉及基金管理业务、基金财产、基金托管业务的诉讼或仲裁；</w:t>
      </w:r>
    </w:p>
    <w:p w14:paraId="2B73EED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12、基金管理人或其高级管理人员、基金经理因基金管理业务相关行为受到重大行政处罚、刑事处罚，基金托管人或其专门基金托管部门负责人因基金托管业务相关行为受到重大行政处罚、刑事处罚；</w:t>
      </w:r>
    </w:p>
    <w:p w14:paraId="199F99B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AD9880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14、基金收益分配事项；</w:t>
      </w:r>
    </w:p>
    <w:p w14:paraId="2644605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15、管理费、托管费、销售服务费、申购费、赎回费等费用计提标准、计提方式和费率发生变更；</w:t>
      </w:r>
    </w:p>
    <w:p w14:paraId="2831B83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16、基金份额净值计价错误达基金份额净值百分之零点五；</w:t>
      </w:r>
    </w:p>
    <w:p w14:paraId="1675B79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17、本基金开始办理申购、赎回；</w:t>
      </w:r>
    </w:p>
    <w:p w14:paraId="3D10842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18、本基金发生巨额赎回并延期办理；</w:t>
      </w:r>
    </w:p>
    <w:p w14:paraId="3DABA34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19、本基金连续发生巨额赎回并暂停接受赎回申请或延缓支付赎回款项；</w:t>
      </w:r>
    </w:p>
    <w:p w14:paraId="7CA3374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20、本基金暂停接受申购、赎回申请或重新接受申购、赎回申请；</w:t>
      </w:r>
    </w:p>
    <w:p w14:paraId="1C8C74E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21、发生涉及基金申购、赎回事项调整或潜在影响投资者赎回等重大事项时；</w:t>
      </w:r>
    </w:p>
    <w:p w14:paraId="536CF71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22、调整基金份额类别设置；</w:t>
      </w:r>
    </w:p>
    <w:p w14:paraId="164F0F6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23、基金管理人采用摆动定价机制进行估值；</w:t>
      </w:r>
    </w:p>
    <w:p w14:paraId="720EE68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24、</w:t>
      </w:r>
      <w:r w:rsidRPr="00EC3B16">
        <w:rPr>
          <w:rFonts w:ascii="宋体" w:hAnsi="宋体" w:hint="eastAsia"/>
          <w:bCs/>
          <w:sz w:val="24"/>
          <w:lang w:eastAsia="zh-CN"/>
        </w:rPr>
        <w:t>《基金合同》生效满三年后继续存续的，本基金连续30、40、45个工作日出现基金份额持有人数量不满200人或者基金资产净值低于5000万元情形；</w:t>
      </w:r>
    </w:p>
    <w:p w14:paraId="40AE38B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25、</w:t>
      </w:r>
      <w:r w:rsidRPr="00EC3B16">
        <w:rPr>
          <w:rFonts w:ascii="宋体" w:hAnsi="宋体"/>
          <w:bCs/>
          <w:sz w:val="24"/>
          <w:lang w:eastAsia="zh-CN"/>
        </w:rPr>
        <w:t>基金信息披露义务人认为可能对基金份额持有人权益或者基金份额的价格产生重大影响的其他事项或中国证监会规定的其他事项。</w:t>
      </w:r>
    </w:p>
    <w:p w14:paraId="76C2612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（八）澄清公告</w:t>
      </w:r>
    </w:p>
    <w:p w14:paraId="1A16EAF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7C41DE9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（九）基金份额持有人大会决议</w:t>
      </w:r>
    </w:p>
    <w:p w14:paraId="06067D7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基金份额持有人大会决定的事项，应当依法报中国证监会备案，并予以公告。</w:t>
      </w:r>
    </w:p>
    <w:p w14:paraId="4208E47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（十）清算报告</w:t>
      </w:r>
    </w:p>
    <w:p w14:paraId="6A31DB6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15BB22B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（十一）</w:t>
      </w:r>
      <w:bookmarkStart w:id="464" w:name="_Hlk95469260"/>
      <w:r w:rsidRPr="00EC3B16">
        <w:rPr>
          <w:rFonts w:ascii="宋体" w:hAnsi="宋体" w:hint="eastAsia"/>
          <w:bCs/>
          <w:sz w:val="24"/>
          <w:lang w:eastAsia="zh-CN"/>
        </w:rPr>
        <w:t>参与</w:t>
      </w:r>
      <w:r w:rsidRPr="00EC3B16">
        <w:rPr>
          <w:rFonts w:ascii="宋体" w:hAnsi="宋体"/>
          <w:bCs/>
          <w:sz w:val="24"/>
          <w:lang w:eastAsia="zh-CN"/>
        </w:rPr>
        <w:t>股指期货</w:t>
      </w:r>
      <w:r w:rsidRPr="00EC3B16">
        <w:rPr>
          <w:rFonts w:ascii="宋体" w:hAnsi="宋体" w:hint="eastAsia"/>
          <w:bCs/>
          <w:sz w:val="24"/>
          <w:lang w:eastAsia="zh-CN"/>
        </w:rPr>
        <w:t>交易</w:t>
      </w:r>
      <w:r w:rsidRPr="00EC3B16">
        <w:rPr>
          <w:rFonts w:ascii="宋体" w:hAnsi="宋体"/>
          <w:bCs/>
          <w:sz w:val="24"/>
          <w:lang w:eastAsia="zh-CN"/>
        </w:rPr>
        <w:t>的信息</w:t>
      </w:r>
      <w:bookmarkEnd w:id="464"/>
    </w:p>
    <w:p w14:paraId="47306D1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基金管理人在季度报告、中期报告、年度报告等定期报告和招募说明书（更新）等文件中披露股指期货交易情况，包括</w:t>
      </w:r>
      <w:r w:rsidRPr="00EC3B16">
        <w:rPr>
          <w:rFonts w:ascii="宋体" w:hAnsi="宋体" w:hint="eastAsia"/>
          <w:bCs/>
          <w:sz w:val="24"/>
          <w:lang w:eastAsia="zh-CN"/>
        </w:rPr>
        <w:t>交易</w:t>
      </w:r>
      <w:r w:rsidRPr="00EC3B16">
        <w:rPr>
          <w:rFonts w:ascii="宋体" w:hAnsi="宋体"/>
          <w:bCs/>
          <w:sz w:val="24"/>
          <w:lang w:eastAsia="zh-CN"/>
        </w:rPr>
        <w:t>政策、持仓情况、损益情况、风险指标等，并充分揭示股指期货交易对基金总体风险的影响以及是否符合既定的投资政策和投资目标。</w:t>
      </w:r>
    </w:p>
    <w:p w14:paraId="27D63A0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（十二）</w:t>
      </w:r>
      <w:bookmarkStart w:id="465" w:name="_Hlk95469268"/>
      <w:r w:rsidRPr="00EC3B16">
        <w:rPr>
          <w:rFonts w:ascii="宋体" w:hAnsi="宋体" w:hint="eastAsia"/>
          <w:bCs/>
          <w:sz w:val="24"/>
          <w:lang w:eastAsia="zh-CN"/>
        </w:rPr>
        <w:t>参与</w:t>
      </w:r>
      <w:r w:rsidRPr="00EC3B16">
        <w:rPr>
          <w:rFonts w:ascii="宋体" w:hAnsi="宋体"/>
          <w:bCs/>
          <w:sz w:val="24"/>
          <w:lang w:eastAsia="zh-CN"/>
        </w:rPr>
        <w:t>国债期货</w:t>
      </w:r>
      <w:r w:rsidRPr="00EC3B16">
        <w:rPr>
          <w:rFonts w:ascii="宋体" w:hAnsi="宋体" w:hint="eastAsia"/>
          <w:bCs/>
          <w:sz w:val="24"/>
          <w:lang w:eastAsia="zh-CN"/>
        </w:rPr>
        <w:t>交易</w:t>
      </w:r>
      <w:r w:rsidRPr="00EC3B16">
        <w:rPr>
          <w:rFonts w:ascii="宋体" w:hAnsi="宋体"/>
          <w:bCs/>
          <w:sz w:val="24"/>
          <w:lang w:eastAsia="zh-CN"/>
        </w:rPr>
        <w:t>的信息</w:t>
      </w:r>
      <w:bookmarkEnd w:id="465"/>
    </w:p>
    <w:p w14:paraId="607C6E7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基金管理人应在季度报告、中期报告、年度报告等定期报告和招募说明书（更新）等文件中披露国债期货交易情况，包括</w:t>
      </w:r>
      <w:r w:rsidRPr="00EC3B16">
        <w:rPr>
          <w:rFonts w:ascii="宋体" w:hAnsi="宋体" w:hint="eastAsia"/>
          <w:bCs/>
          <w:sz w:val="24"/>
          <w:lang w:eastAsia="zh-CN"/>
        </w:rPr>
        <w:t>交易</w:t>
      </w:r>
      <w:r w:rsidRPr="00EC3B16">
        <w:rPr>
          <w:rFonts w:ascii="宋体" w:hAnsi="宋体"/>
          <w:bCs/>
          <w:sz w:val="24"/>
          <w:lang w:eastAsia="zh-CN"/>
        </w:rPr>
        <w:t>政策、持仓情况、损益情况、风险指标等，并充分揭示国债期货交易对基金总体风险的影响以及是否符合既定的</w:t>
      </w:r>
      <w:r w:rsidRPr="00EC3B16">
        <w:rPr>
          <w:rFonts w:ascii="宋体" w:hAnsi="宋体" w:hint="eastAsia"/>
          <w:bCs/>
          <w:sz w:val="24"/>
          <w:lang w:eastAsia="zh-CN"/>
        </w:rPr>
        <w:t>交易</w:t>
      </w:r>
      <w:r w:rsidRPr="00EC3B16">
        <w:rPr>
          <w:rFonts w:ascii="宋体" w:hAnsi="宋体"/>
          <w:bCs/>
          <w:sz w:val="24"/>
          <w:lang w:eastAsia="zh-CN"/>
        </w:rPr>
        <w:t>政策和</w:t>
      </w:r>
      <w:r w:rsidRPr="00EC3B16">
        <w:rPr>
          <w:rFonts w:ascii="宋体" w:hAnsi="宋体" w:hint="eastAsia"/>
          <w:bCs/>
          <w:sz w:val="24"/>
          <w:lang w:eastAsia="zh-CN"/>
        </w:rPr>
        <w:t>交易</w:t>
      </w:r>
      <w:r w:rsidRPr="00EC3B16">
        <w:rPr>
          <w:rFonts w:ascii="宋体" w:hAnsi="宋体"/>
          <w:bCs/>
          <w:sz w:val="24"/>
          <w:lang w:eastAsia="zh-CN"/>
        </w:rPr>
        <w:t>目标等。</w:t>
      </w:r>
    </w:p>
    <w:p w14:paraId="20A5A75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（十三）</w:t>
      </w:r>
      <w:bookmarkStart w:id="466" w:name="_Hlk95469277"/>
      <w:r w:rsidRPr="00EC3B16">
        <w:rPr>
          <w:rFonts w:ascii="宋体" w:hAnsi="宋体" w:hint="eastAsia"/>
          <w:bCs/>
          <w:sz w:val="24"/>
          <w:lang w:eastAsia="zh-CN"/>
        </w:rPr>
        <w:t>参与港股通交易的信息</w:t>
      </w:r>
      <w:bookmarkEnd w:id="466"/>
    </w:p>
    <w:p w14:paraId="0E126B1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lastRenderedPageBreak/>
        <w:t>若基金参与港股通交易的，基金管理人应在季度报告、中期报告、年度报告等定期报告和招募说明书（更新）等文件中披露参与港股通交易的相关情况。</w:t>
      </w:r>
    </w:p>
    <w:p w14:paraId="73A3E03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（十</w:t>
      </w:r>
      <w:r w:rsidRPr="00EC3B16">
        <w:rPr>
          <w:rFonts w:ascii="宋体" w:hAnsi="宋体" w:hint="eastAsia"/>
          <w:bCs/>
          <w:sz w:val="24"/>
          <w:lang w:eastAsia="zh-CN"/>
        </w:rPr>
        <w:t>四</w:t>
      </w:r>
      <w:r w:rsidRPr="00EC3B16">
        <w:rPr>
          <w:rFonts w:ascii="宋体" w:hAnsi="宋体"/>
          <w:bCs/>
          <w:sz w:val="24"/>
          <w:lang w:eastAsia="zh-CN"/>
        </w:rPr>
        <w:t>）</w:t>
      </w:r>
      <w:bookmarkStart w:id="467" w:name="_Hlk95469284"/>
      <w:r w:rsidRPr="00EC3B16">
        <w:rPr>
          <w:rFonts w:ascii="宋体" w:hAnsi="宋体"/>
          <w:bCs/>
          <w:sz w:val="24"/>
          <w:lang w:eastAsia="zh-CN"/>
        </w:rPr>
        <w:t>投资于资产支持证券的信息</w:t>
      </w:r>
      <w:bookmarkEnd w:id="467"/>
    </w:p>
    <w:p w14:paraId="70DDB662" w14:textId="77777777" w:rsidR="004154D1"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04AAB921" w14:textId="77777777" w:rsidR="00BD6D49" w:rsidRPr="00502509" w:rsidRDefault="00BD6D49" w:rsidP="00502509">
      <w:pPr>
        <w:spacing w:line="360" w:lineRule="auto"/>
        <w:ind w:firstLine="480"/>
        <w:jc w:val="both"/>
        <w:rPr>
          <w:rFonts w:ascii="宋体" w:hAnsi="宋体"/>
          <w:bCs/>
          <w:sz w:val="24"/>
          <w:lang w:eastAsia="zh-CN"/>
        </w:rPr>
      </w:pPr>
      <w:bookmarkStart w:id="468" w:name="_Hlk98170131"/>
      <w:r w:rsidRPr="00502509">
        <w:rPr>
          <w:rFonts w:ascii="宋体" w:hAnsi="宋体" w:hint="eastAsia"/>
          <w:bCs/>
          <w:sz w:val="24"/>
          <w:lang w:eastAsia="zh-CN"/>
        </w:rPr>
        <w:t>（十五）</w:t>
      </w:r>
      <w:bookmarkStart w:id="469" w:name="_Hlk109650475"/>
      <w:r w:rsidRPr="00502509">
        <w:rPr>
          <w:rFonts w:ascii="宋体" w:hAnsi="宋体" w:hint="eastAsia"/>
          <w:bCs/>
          <w:sz w:val="24"/>
          <w:lang w:eastAsia="zh-CN"/>
        </w:rPr>
        <w:t>参与融资业务的信息</w:t>
      </w:r>
      <w:bookmarkEnd w:id="469"/>
    </w:p>
    <w:p w14:paraId="248CCD47" w14:textId="77777777" w:rsidR="00BD6D49" w:rsidRPr="00502509" w:rsidRDefault="00BD6D49" w:rsidP="00502509">
      <w:pPr>
        <w:spacing w:line="360" w:lineRule="auto"/>
        <w:ind w:firstLine="480"/>
        <w:jc w:val="both"/>
        <w:rPr>
          <w:rFonts w:ascii="宋体" w:hAnsi="宋体"/>
          <w:bCs/>
          <w:sz w:val="24"/>
          <w:lang w:eastAsia="zh-CN"/>
        </w:rPr>
      </w:pPr>
      <w:r w:rsidRPr="00502509">
        <w:rPr>
          <w:rFonts w:ascii="宋体" w:hAnsi="宋体" w:hint="eastAsia"/>
          <w:bCs/>
          <w:sz w:val="24"/>
          <w:lang w:eastAsia="zh-CN"/>
        </w:rPr>
        <w:t>本基金参与融资业务，基金管理人应当在季度报告、中期报告和年度报告等定期报告和招募说明书（更新）等文件中披露参与融资交易情况，包括投资策略、业务开展情况、损益情况、风险及其管理情况等。</w:t>
      </w:r>
    </w:p>
    <w:bookmarkEnd w:id="468"/>
    <w:p w14:paraId="48ABEFAA"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（十</w:t>
      </w:r>
      <w:r w:rsidR="00BD6D49">
        <w:rPr>
          <w:rFonts w:ascii="宋体" w:hAnsi="宋体" w:hint="eastAsia"/>
          <w:bCs/>
          <w:sz w:val="24"/>
          <w:lang w:eastAsia="zh-CN"/>
        </w:rPr>
        <w:t>六</w:t>
      </w:r>
      <w:r w:rsidRPr="00EC3B16">
        <w:rPr>
          <w:rFonts w:ascii="宋体" w:hAnsi="宋体"/>
          <w:bCs/>
          <w:sz w:val="24"/>
          <w:lang w:eastAsia="zh-CN"/>
        </w:rPr>
        <w:t>）</w:t>
      </w:r>
      <w:bookmarkStart w:id="470" w:name="_Hlk95469295"/>
      <w:r w:rsidRPr="00EC3B16">
        <w:rPr>
          <w:rFonts w:ascii="宋体" w:hAnsi="宋体"/>
          <w:bCs/>
          <w:sz w:val="24"/>
          <w:lang w:eastAsia="zh-CN"/>
        </w:rPr>
        <w:t>实施侧袋机制期间的信息披露</w:t>
      </w:r>
      <w:bookmarkEnd w:id="470"/>
    </w:p>
    <w:p w14:paraId="0716228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本基金实施侧袋机制的，相关信息披露义务人应当根据法律法规、基金合同和招募说明书的规定进行信息披露，详见招募说明书的规定。</w:t>
      </w:r>
    </w:p>
    <w:p w14:paraId="7738543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（十</w:t>
      </w:r>
      <w:r w:rsidR="00BD6D49">
        <w:rPr>
          <w:rFonts w:ascii="宋体" w:hAnsi="宋体" w:hint="eastAsia"/>
          <w:bCs/>
          <w:sz w:val="24"/>
          <w:lang w:eastAsia="zh-CN"/>
        </w:rPr>
        <w:t>七</w:t>
      </w:r>
      <w:r w:rsidRPr="00EC3B16">
        <w:rPr>
          <w:rFonts w:ascii="宋体" w:hAnsi="宋体"/>
          <w:bCs/>
          <w:sz w:val="24"/>
          <w:lang w:eastAsia="zh-CN"/>
        </w:rPr>
        <w:t>）中国证监会规定的其他信息。</w:t>
      </w:r>
    </w:p>
    <w:p w14:paraId="470479E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六、信息披露事务管理</w:t>
      </w:r>
    </w:p>
    <w:p w14:paraId="11C599B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基金管理人、基金托管人应当建立健全信息披露管理制度，指定专门部门及高级管理人员负责管理信息披露事务。</w:t>
      </w:r>
    </w:p>
    <w:p w14:paraId="64A6D28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基金信息披露义务人公开披露基金信息，应当符合中国证监会相关基金信息披露内容与格式准则等法律法规的规定。</w:t>
      </w:r>
    </w:p>
    <w:p w14:paraId="6EE8599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62C1E50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37CEC7A"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14:paraId="2A88EC7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为基金信息披露义务人公开披露的基金信息出具审计报告、法律意见书的专业机构，应当制作工作底稿，并将相关档案至少保存到《基金合同》终止后10年。</w:t>
      </w:r>
    </w:p>
    <w:p w14:paraId="61E4A3D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七、信息披露文件的存放与查阅</w:t>
      </w:r>
    </w:p>
    <w:p w14:paraId="1B6F412F" w14:textId="77777777" w:rsidR="004154D1" w:rsidRPr="00EC3B16" w:rsidRDefault="004154D1" w:rsidP="006F1164">
      <w:pPr>
        <w:spacing w:line="360" w:lineRule="auto"/>
        <w:ind w:firstLine="480"/>
        <w:jc w:val="both"/>
        <w:rPr>
          <w:rFonts w:ascii="宋体" w:hAnsi="宋体"/>
          <w:bCs/>
          <w:sz w:val="24"/>
          <w:lang w:eastAsia="zh-CN"/>
        </w:rPr>
      </w:pPr>
      <w:bookmarkStart w:id="471" w:name="_Hlk95469605"/>
      <w:r w:rsidRPr="00EC3B16">
        <w:rPr>
          <w:rFonts w:ascii="宋体" w:hAnsi="宋体"/>
          <w:bCs/>
          <w:sz w:val="24"/>
          <w:lang w:eastAsia="zh-CN"/>
        </w:rPr>
        <w:t>依法必须披露的信息发布后，基金管理人、基金托管人应当按照相关法律法规规定将信息置备于各自住所，供社会公众查阅、复制。</w:t>
      </w:r>
      <w:bookmarkEnd w:id="471"/>
    </w:p>
    <w:p w14:paraId="16247122"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八、暂停或延迟信息披露的情形</w:t>
      </w:r>
    </w:p>
    <w:p w14:paraId="0F14DCA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当出现下述情况时，基金管理人和基金托管人可暂停或延迟披露基金相关信息：</w:t>
      </w:r>
    </w:p>
    <w:p w14:paraId="2E61A81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（1）不可抗力；</w:t>
      </w:r>
    </w:p>
    <w:p w14:paraId="737A67B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（2）发生暂停估值的情形；</w:t>
      </w:r>
    </w:p>
    <w:p w14:paraId="39EB121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hint="eastAsia"/>
          <w:bCs/>
          <w:sz w:val="24"/>
          <w:lang w:eastAsia="zh-CN"/>
        </w:rPr>
        <w:t>（</w:t>
      </w:r>
      <w:r w:rsidRPr="00EC3B16">
        <w:rPr>
          <w:rFonts w:ascii="宋体" w:hAnsi="宋体"/>
          <w:bCs/>
          <w:sz w:val="24"/>
          <w:lang w:eastAsia="zh-CN"/>
        </w:rPr>
        <w:t>3</w:t>
      </w:r>
      <w:r w:rsidRPr="00EC3B16">
        <w:rPr>
          <w:rFonts w:ascii="宋体" w:hAnsi="宋体" w:hint="eastAsia"/>
          <w:bCs/>
          <w:sz w:val="24"/>
          <w:lang w:eastAsia="zh-CN"/>
        </w:rPr>
        <w:t>）法律法规规定、中国证监会或基金合同认定的其他情形。</w:t>
      </w:r>
    </w:p>
    <w:p w14:paraId="0A2187AC" w14:textId="77777777" w:rsidR="004154D1" w:rsidRPr="00EC3B16" w:rsidRDefault="004154D1" w:rsidP="006F1164">
      <w:pPr>
        <w:spacing w:line="360" w:lineRule="auto"/>
        <w:ind w:firstLine="480"/>
        <w:jc w:val="both"/>
        <w:rPr>
          <w:rFonts w:ascii="宋体" w:hAnsi="宋体"/>
          <w:bCs/>
          <w:sz w:val="24"/>
          <w:lang w:eastAsia="zh-CN"/>
        </w:rPr>
      </w:pPr>
    </w:p>
    <w:p w14:paraId="435E955F" w14:textId="77777777" w:rsidR="004154D1" w:rsidRPr="00EC3B16" w:rsidRDefault="004154D1">
      <w:pPr>
        <w:pStyle w:val="1"/>
        <w:spacing w:before="0" w:after="0"/>
        <w:jc w:val="center"/>
        <w:rPr>
          <w:rFonts w:hAnsi="宋体"/>
          <w:sz w:val="30"/>
          <w:lang w:eastAsia="zh-CN"/>
        </w:rPr>
      </w:pPr>
      <w:r w:rsidRPr="00EC3B16">
        <w:rPr>
          <w:rFonts w:hAnsi="宋体"/>
          <w:b w:val="0"/>
          <w:bCs/>
          <w:sz w:val="21"/>
          <w:lang w:eastAsia="zh-CN"/>
        </w:rPr>
        <w:br w:type="page"/>
      </w:r>
      <w:bookmarkStart w:id="472" w:name="_Toc11113"/>
      <w:bookmarkStart w:id="473" w:name="_Toc22978"/>
      <w:bookmarkStart w:id="474" w:name="_Toc141703899"/>
      <w:bookmarkStart w:id="475" w:name="_Toc10006"/>
      <w:bookmarkStart w:id="476" w:name="_Toc9005"/>
      <w:bookmarkStart w:id="477" w:name="_Toc29891"/>
      <w:bookmarkStart w:id="478" w:name="_Toc123102466"/>
      <w:bookmarkStart w:id="479" w:name="_Toc447270842"/>
      <w:bookmarkStart w:id="480" w:name="_Toc123112247"/>
      <w:bookmarkStart w:id="481" w:name="_Toc8059"/>
      <w:bookmarkStart w:id="482" w:name="_Toc25647"/>
      <w:bookmarkStart w:id="483" w:name="_Toc27464"/>
      <w:bookmarkStart w:id="484" w:name="_Toc139991749"/>
      <w:bookmarkStart w:id="485" w:name="_Toc98560364"/>
      <w:bookmarkStart w:id="486" w:name="_Toc7170"/>
      <w:bookmarkStart w:id="487" w:name="_Toc6237"/>
      <w:bookmarkStart w:id="488" w:name="_Toc123051465"/>
      <w:bookmarkStart w:id="489" w:name="_Toc8049"/>
      <w:bookmarkStart w:id="490" w:name="_Toc132016799"/>
      <w:bookmarkStart w:id="491" w:name="_Hlk73621714"/>
      <w:r w:rsidRPr="00EC3B16">
        <w:rPr>
          <w:rFonts w:hAnsi="宋体"/>
          <w:sz w:val="30"/>
          <w:lang w:eastAsia="zh-CN"/>
        </w:rPr>
        <w:lastRenderedPageBreak/>
        <w:t>第十九部分</w:t>
      </w:r>
      <w:bookmarkStart w:id="492" w:name="_Hlt88828593"/>
      <w:r w:rsidRPr="00EC3B16">
        <w:rPr>
          <w:rFonts w:hAnsi="宋体" w:hint="eastAsia"/>
          <w:sz w:val="30"/>
          <w:lang w:eastAsia="zh-CN"/>
        </w:rPr>
        <w:t xml:space="preserve"> </w:t>
      </w:r>
      <w:r w:rsidRPr="00EC3B16">
        <w:rPr>
          <w:rFonts w:hAnsi="宋体"/>
          <w:sz w:val="30"/>
          <w:lang w:eastAsia="zh-CN"/>
        </w:rPr>
        <w:t xml:space="preserve"> 基金合同</w:t>
      </w:r>
      <w:bookmarkEnd w:id="492"/>
      <w:r w:rsidRPr="00EC3B16">
        <w:rPr>
          <w:rFonts w:hAnsi="宋体"/>
          <w:sz w:val="30"/>
          <w:lang w:eastAsia="zh-CN"/>
        </w:rPr>
        <w:t>的变更、终止与基金财产的清算</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1E9526B8" w14:textId="77777777" w:rsidR="004154D1" w:rsidRPr="00EC3B16" w:rsidRDefault="004154D1" w:rsidP="006F1164">
      <w:pPr>
        <w:spacing w:line="360" w:lineRule="auto"/>
        <w:ind w:firstLine="480"/>
        <w:jc w:val="both"/>
        <w:rPr>
          <w:rFonts w:ascii="宋体" w:hAnsi="宋体"/>
          <w:bCs/>
          <w:sz w:val="24"/>
          <w:lang w:eastAsia="zh-CN"/>
        </w:rPr>
      </w:pPr>
    </w:p>
    <w:p w14:paraId="5AFB2614" w14:textId="77777777" w:rsidR="004154D1" w:rsidRPr="00EC3B16" w:rsidRDefault="004154D1" w:rsidP="006F1164">
      <w:pPr>
        <w:spacing w:line="360" w:lineRule="auto"/>
        <w:ind w:firstLine="480"/>
        <w:jc w:val="both"/>
        <w:rPr>
          <w:rFonts w:ascii="宋体" w:hAnsi="宋体"/>
          <w:bCs/>
          <w:sz w:val="24"/>
          <w:lang w:eastAsia="zh-CN"/>
        </w:rPr>
      </w:pPr>
      <w:bookmarkStart w:id="493" w:name="_Toc79392639"/>
      <w:r w:rsidRPr="00EC3B16">
        <w:rPr>
          <w:rFonts w:ascii="宋体" w:hAnsi="宋体"/>
          <w:bCs/>
          <w:sz w:val="24"/>
          <w:lang w:eastAsia="zh-CN"/>
        </w:rPr>
        <w:t>一、《基金合同》的变更</w:t>
      </w:r>
      <w:bookmarkEnd w:id="493"/>
    </w:p>
    <w:p w14:paraId="6FF0A0C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D56135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2、关于《基金合同》变更的基金份额持有人大会决议自生效后方可执行，自决议生效后两日内在规定媒介公告。</w:t>
      </w:r>
    </w:p>
    <w:p w14:paraId="6A30F16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二、《基金合同》的终止事由</w:t>
      </w:r>
    </w:p>
    <w:p w14:paraId="72AA05E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有下列情形之一的，经履行相关程序后，《基金合同》应当终止：</w:t>
      </w:r>
    </w:p>
    <w:p w14:paraId="7FB1A16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1、基金份额持有人大会决定终止的。</w:t>
      </w:r>
    </w:p>
    <w:p w14:paraId="5C89934E" w14:textId="77777777" w:rsidR="005A2B43" w:rsidRPr="00EC3B16" w:rsidRDefault="004154D1" w:rsidP="005A2B43">
      <w:pPr>
        <w:spacing w:line="360" w:lineRule="auto"/>
        <w:ind w:firstLine="480"/>
        <w:jc w:val="both"/>
        <w:rPr>
          <w:rFonts w:ascii="宋体" w:hAnsi="宋体"/>
          <w:bCs/>
          <w:sz w:val="24"/>
          <w:lang w:eastAsia="zh-CN"/>
        </w:rPr>
      </w:pPr>
      <w:r w:rsidRPr="00EC3B16">
        <w:rPr>
          <w:rFonts w:ascii="宋体" w:hAnsi="宋体"/>
          <w:bCs/>
          <w:sz w:val="24"/>
          <w:lang w:eastAsia="zh-CN"/>
        </w:rPr>
        <w:t>2、基金管理人、基金托管人职责终止，在6个月内没有新基金管理人、新基金托管人承接的。</w:t>
      </w:r>
    </w:p>
    <w:p w14:paraId="24E4FBA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3、《基金合同》约定的其他情形。</w:t>
      </w:r>
    </w:p>
    <w:p w14:paraId="7F978AE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4、相关法律法规和中国证监会规定的其他情况。</w:t>
      </w:r>
    </w:p>
    <w:p w14:paraId="73B90AE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三、基金财产的清算</w:t>
      </w:r>
    </w:p>
    <w:p w14:paraId="1CE3F5F2" w14:textId="77777777" w:rsidR="004154D1" w:rsidRPr="00EC3B16" w:rsidRDefault="004154D1" w:rsidP="006F1164">
      <w:pPr>
        <w:spacing w:line="360" w:lineRule="auto"/>
        <w:ind w:firstLine="480"/>
        <w:jc w:val="both"/>
        <w:rPr>
          <w:rFonts w:ascii="宋体" w:hAnsi="宋体"/>
          <w:bCs/>
          <w:sz w:val="24"/>
          <w:lang w:eastAsia="zh-CN"/>
        </w:rPr>
      </w:pPr>
      <w:bookmarkStart w:id="494" w:name="_Hlk95470848"/>
      <w:r w:rsidRPr="00EC3B16">
        <w:rPr>
          <w:rFonts w:ascii="宋体" w:hAnsi="宋体"/>
          <w:bCs/>
          <w:sz w:val="24"/>
          <w:lang w:eastAsia="zh-CN"/>
        </w:rPr>
        <w:t>1、基金财产清算小组：</w:t>
      </w:r>
      <w:bookmarkStart w:id="495" w:name="_Hlk95470779"/>
      <w:r w:rsidRPr="00EC3B16">
        <w:rPr>
          <w:rFonts w:ascii="宋体" w:hAnsi="宋体"/>
          <w:bCs/>
          <w:sz w:val="24"/>
          <w:lang w:eastAsia="zh-CN"/>
        </w:rPr>
        <w:t>自出现《基金合同》终止事由之日起30个工作日内成立基金财产清算小组，基金管理人组织基金财产清算小组并在中国证监会的监督下进行基金清算。</w:t>
      </w:r>
      <w:bookmarkEnd w:id="495"/>
    </w:p>
    <w:p w14:paraId="705EF70A"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2、基金财产清算小组组成：</w:t>
      </w:r>
      <w:bookmarkStart w:id="496" w:name="_Hlk95470798"/>
      <w:r w:rsidRPr="00EC3B16">
        <w:rPr>
          <w:rFonts w:ascii="宋体" w:hAnsi="宋体"/>
          <w:bCs/>
          <w:sz w:val="24"/>
          <w:lang w:eastAsia="zh-CN"/>
        </w:rPr>
        <w:t>基金财产清算小组成员由基金管理人、基金托管人、具有从事证券相关业务资格的注册会计师、律师以及中国证监会指定的人员组成。基金财产清算小组可以聘用必要的工作人员。</w:t>
      </w:r>
      <w:bookmarkEnd w:id="496"/>
    </w:p>
    <w:p w14:paraId="06382855"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3、基金财产清算小组职责：基金财产清算小组负责基金财产的保管、清理、估价、变现和分配。基金财产清算小组可以依法进行必要的民事活动。</w:t>
      </w:r>
    </w:p>
    <w:p w14:paraId="336FF55C"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4、基金财产清算程序：</w:t>
      </w:r>
    </w:p>
    <w:p w14:paraId="692491E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（1）《基金合同》终止情形出现时，由基金财产清算小组统一接管基金；</w:t>
      </w:r>
    </w:p>
    <w:p w14:paraId="3AFE2FB2"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（2）对基金财产和债权债务进行清理和确认；</w:t>
      </w:r>
    </w:p>
    <w:p w14:paraId="4478A54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（3）对基金财产进行估值和变现；</w:t>
      </w:r>
    </w:p>
    <w:p w14:paraId="6369073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（4）制作清算报告；</w:t>
      </w:r>
    </w:p>
    <w:p w14:paraId="4F4740F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（5）聘请会计师事务所对清算报告进行外部审计，聘请律师事务所对清算报告出具法律意见书；</w:t>
      </w:r>
    </w:p>
    <w:p w14:paraId="7B9532F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（6）将清算报告报中国证监会备案并公告；</w:t>
      </w:r>
    </w:p>
    <w:p w14:paraId="25D09CF3"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（7）对基金剩余财产进行分配。</w:t>
      </w:r>
      <w:bookmarkEnd w:id="494"/>
    </w:p>
    <w:p w14:paraId="4F21D5BE" w14:textId="77777777" w:rsidR="004154D1" w:rsidRPr="00EC3B16" w:rsidRDefault="004154D1" w:rsidP="006F1164">
      <w:pPr>
        <w:spacing w:line="360" w:lineRule="auto"/>
        <w:ind w:firstLine="480"/>
        <w:jc w:val="both"/>
        <w:rPr>
          <w:rFonts w:ascii="宋体" w:hAnsi="宋体"/>
          <w:bCs/>
          <w:sz w:val="24"/>
          <w:lang w:eastAsia="zh-CN"/>
        </w:rPr>
      </w:pPr>
      <w:bookmarkStart w:id="497" w:name="_Hlk95470876"/>
      <w:r w:rsidRPr="00EC3B16">
        <w:rPr>
          <w:rFonts w:ascii="宋体" w:hAnsi="宋体"/>
          <w:bCs/>
          <w:sz w:val="24"/>
          <w:lang w:eastAsia="zh-CN"/>
        </w:rPr>
        <w:t>5、基金财产清算的期限为6个月，但因本基金所持证券的流动性受到限制而不能及时变现的，清算期限相应顺延。</w:t>
      </w:r>
    </w:p>
    <w:p w14:paraId="6011AE1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四、清算费用</w:t>
      </w:r>
    </w:p>
    <w:p w14:paraId="2150A0E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清算费用是指基金财产清算小组在进行基金清算过程中发生的所有合理费用，清算费用由基金财产清算小组优先从基金财产中支付。</w:t>
      </w:r>
    </w:p>
    <w:p w14:paraId="2D3A14D0"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五、基金财产清算剩余资产的分配</w:t>
      </w:r>
    </w:p>
    <w:p w14:paraId="283D474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依据基金财产清算的分配方案，将基金财产清算后的全部剩余资产扣除基金财产清算费用、交纳所欠税款并清偿基金债务后，按基金份额持有人持有的基金份额比例进行分配。</w:t>
      </w:r>
    </w:p>
    <w:p w14:paraId="51E549B6"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六、基金财产清算的公告</w:t>
      </w:r>
    </w:p>
    <w:p w14:paraId="6449A4C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8445CE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七、基金财产清算账册及文件的保存</w:t>
      </w:r>
    </w:p>
    <w:p w14:paraId="71AE1E74"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基金财产清算账册及有关文件由基金托管人保存，保存时间不低于法律法规规定的最低期限。</w:t>
      </w:r>
      <w:bookmarkEnd w:id="497"/>
    </w:p>
    <w:p w14:paraId="3FD33C0E" w14:textId="77777777" w:rsidR="004154D1" w:rsidRPr="00EC3B16" w:rsidRDefault="004154D1" w:rsidP="006F1164">
      <w:pPr>
        <w:spacing w:line="360" w:lineRule="auto"/>
        <w:ind w:firstLine="480"/>
        <w:jc w:val="both"/>
        <w:rPr>
          <w:rFonts w:ascii="宋体" w:hAnsi="宋体"/>
          <w:bCs/>
          <w:sz w:val="24"/>
          <w:lang w:eastAsia="zh-CN"/>
        </w:rPr>
      </w:pPr>
    </w:p>
    <w:p w14:paraId="25B3BEED" w14:textId="77777777" w:rsidR="004154D1" w:rsidRPr="00EC3B16" w:rsidRDefault="004154D1">
      <w:pPr>
        <w:pStyle w:val="1"/>
        <w:spacing w:before="0" w:after="0"/>
        <w:jc w:val="center"/>
        <w:rPr>
          <w:rFonts w:hAnsi="宋体"/>
          <w:sz w:val="30"/>
          <w:lang w:eastAsia="zh-CN"/>
        </w:rPr>
      </w:pPr>
      <w:bookmarkStart w:id="498" w:name="_Toc98560365"/>
      <w:bookmarkStart w:id="499" w:name="_Toc123102467"/>
      <w:bookmarkStart w:id="500" w:name="_Toc123051466"/>
      <w:bookmarkStart w:id="501" w:name="_Toc79392641"/>
      <w:bookmarkStart w:id="502" w:name="_Toc123112248"/>
      <w:bookmarkStart w:id="503" w:name="_Toc48649720"/>
      <w:r w:rsidRPr="00EC3B16">
        <w:rPr>
          <w:rFonts w:hAnsi="宋体"/>
          <w:b w:val="0"/>
          <w:bCs/>
          <w:lang w:eastAsia="zh-CN"/>
        </w:rPr>
        <w:br w:type="page"/>
      </w:r>
      <w:bookmarkStart w:id="504" w:name="_Toc21240"/>
      <w:bookmarkStart w:id="505" w:name="_Toc27058"/>
      <w:bookmarkStart w:id="506" w:name="_Toc23022"/>
      <w:bookmarkStart w:id="507" w:name="_Toc7367"/>
      <w:bookmarkStart w:id="508" w:name="_Toc447270843"/>
      <w:bookmarkStart w:id="509" w:name="_Toc28549"/>
      <w:bookmarkStart w:id="510" w:name="_Toc13398"/>
      <w:bookmarkStart w:id="511" w:name="_Toc9708"/>
      <w:bookmarkStart w:id="512" w:name="_Toc141703901"/>
      <w:bookmarkStart w:id="513" w:name="_Toc139991750"/>
      <w:bookmarkStart w:id="514" w:name="_Toc30645"/>
      <w:bookmarkStart w:id="515" w:name="_Toc12191"/>
      <w:bookmarkStart w:id="516" w:name="_Toc8710"/>
      <w:bookmarkStart w:id="517" w:name="_Toc23166"/>
      <w:bookmarkStart w:id="518" w:name="_Toc132016800"/>
      <w:bookmarkEnd w:id="491"/>
      <w:r w:rsidRPr="00EC3B16">
        <w:rPr>
          <w:rFonts w:hAnsi="宋体"/>
          <w:sz w:val="30"/>
          <w:lang w:eastAsia="zh-CN"/>
        </w:rPr>
        <w:lastRenderedPageBreak/>
        <w:t>第二十部分</w:t>
      </w:r>
      <w:r w:rsidRPr="00EC3B16">
        <w:rPr>
          <w:rFonts w:hAnsi="宋体" w:hint="eastAsia"/>
          <w:sz w:val="30"/>
          <w:lang w:eastAsia="zh-CN"/>
        </w:rPr>
        <w:t xml:space="preserve"> </w:t>
      </w:r>
      <w:r w:rsidRPr="00EC3B16">
        <w:rPr>
          <w:rFonts w:hAnsi="宋体"/>
          <w:sz w:val="30"/>
          <w:lang w:eastAsia="zh-CN"/>
        </w:rPr>
        <w:t xml:space="preserve"> 违约责任</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7BB05BC4" w14:textId="77777777" w:rsidR="004154D1" w:rsidRPr="00EC3B16" w:rsidRDefault="004154D1" w:rsidP="006F1164">
      <w:pPr>
        <w:spacing w:line="360" w:lineRule="auto"/>
        <w:ind w:firstLine="480"/>
        <w:jc w:val="both"/>
        <w:rPr>
          <w:rFonts w:ascii="宋体" w:hAnsi="宋体"/>
          <w:bCs/>
          <w:sz w:val="24"/>
          <w:lang w:eastAsia="zh-CN"/>
        </w:rPr>
      </w:pPr>
    </w:p>
    <w:p w14:paraId="37BD6DF5" w14:textId="77777777" w:rsidR="004154D1" w:rsidRPr="00EC3B16" w:rsidRDefault="004154D1" w:rsidP="006F1164">
      <w:pPr>
        <w:spacing w:line="360" w:lineRule="auto"/>
        <w:ind w:firstLine="480"/>
        <w:jc w:val="both"/>
        <w:rPr>
          <w:rFonts w:ascii="宋体" w:hAnsi="宋体"/>
          <w:bCs/>
          <w:sz w:val="24"/>
          <w:lang w:eastAsia="zh-CN"/>
        </w:rPr>
      </w:pPr>
      <w:bookmarkStart w:id="519" w:name="_Hlk95470949"/>
      <w:r w:rsidRPr="00EC3B16">
        <w:rPr>
          <w:rFonts w:ascii="宋体" w:hAnsi="宋体"/>
          <w:bCs/>
          <w:sz w:val="24"/>
          <w:lang w:eastAsia="zh-CN"/>
        </w:rPr>
        <w:t>一、基金管理人、基金托管人在履行各自职责的过程中，违反《基金法》等法律法规的规定或者《基金合同》约定，给基金财产或者基金份额持有人造成损</w:t>
      </w:r>
      <w:r w:rsidRPr="00EC3B16">
        <w:rPr>
          <w:rFonts w:ascii="宋体" w:hAnsi="宋体" w:hint="eastAsia"/>
          <w:bCs/>
          <w:sz w:val="24"/>
          <w:lang w:eastAsia="zh-CN"/>
        </w:rPr>
        <w:t>失</w:t>
      </w:r>
      <w:r w:rsidRPr="00EC3B16">
        <w:rPr>
          <w:rFonts w:ascii="宋体" w:hAnsi="宋体"/>
          <w:bCs/>
          <w:sz w:val="24"/>
          <w:lang w:eastAsia="zh-CN"/>
        </w:rPr>
        <w:t>的，应当分别对各自的行为依法承担赔偿责任；因共同行为给基金财产或者基金份额持有人造成损</w:t>
      </w:r>
      <w:r w:rsidRPr="00EC3B16">
        <w:rPr>
          <w:rFonts w:ascii="宋体" w:hAnsi="宋体" w:hint="eastAsia"/>
          <w:bCs/>
          <w:sz w:val="24"/>
          <w:lang w:eastAsia="zh-CN"/>
        </w:rPr>
        <w:t>失</w:t>
      </w:r>
      <w:r w:rsidRPr="00EC3B16">
        <w:rPr>
          <w:rFonts w:ascii="宋体" w:hAnsi="宋体"/>
          <w:bCs/>
          <w:sz w:val="24"/>
          <w:lang w:eastAsia="zh-CN"/>
        </w:rPr>
        <w:t>的，应当承担连带赔偿责任。对损失的赔偿，仅限于直接</w:t>
      </w:r>
      <w:r w:rsidRPr="00EC3B16">
        <w:rPr>
          <w:rFonts w:ascii="宋体" w:hAnsi="宋体" w:hint="eastAsia"/>
          <w:bCs/>
          <w:sz w:val="24"/>
          <w:lang w:eastAsia="zh-CN"/>
        </w:rPr>
        <w:t>经济</w:t>
      </w:r>
      <w:r w:rsidRPr="00EC3B16">
        <w:rPr>
          <w:rFonts w:ascii="宋体" w:hAnsi="宋体"/>
          <w:bCs/>
          <w:sz w:val="24"/>
          <w:lang w:eastAsia="zh-CN"/>
        </w:rPr>
        <w:t>损失。但是发生下列情况的，当事人免责：</w:t>
      </w:r>
    </w:p>
    <w:p w14:paraId="79301E4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1、不可抗力；</w:t>
      </w:r>
    </w:p>
    <w:p w14:paraId="4607690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2、基金管理人及</w:t>
      </w:r>
      <w:r w:rsidRPr="00EC3B16">
        <w:rPr>
          <w:rFonts w:ascii="宋体" w:hAnsi="宋体" w:hint="eastAsia"/>
          <w:bCs/>
          <w:sz w:val="24"/>
          <w:lang w:eastAsia="zh-CN"/>
        </w:rPr>
        <w:t>/或</w:t>
      </w:r>
      <w:r w:rsidRPr="00EC3B16">
        <w:rPr>
          <w:rFonts w:ascii="宋体" w:hAnsi="宋体"/>
          <w:bCs/>
          <w:sz w:val="24"/>
          <w:lang w:eastAsia="zh-CN"/>
        </w:rPr>
        <w:t>基金托管人按照当时有效的法律法规或中国证监会的规定作为或不作为而造成的损失等；</w:t>
      </w:r>
    </w:p>
    <w:p w14:paraId="25562C4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3、基金管理人由于按照基金合同规定的投资原则行使或不行使其投资权而造成的损失等。</w:t>
      </w:r>
    </w:p>
    <w:p w14:paraId="75EE8D9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BBAD13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bookmarkEnd w:id="519"/>
    <w:p w14:paraId="28F91275" w14:textId="77777777" w:rsidR="004154D1" w:rsidRPr="00EC3B16" w:rsidRDefault="004154D1" w:rsidP="006F1164">
      <w:pPr>
        <w:spacing w:line="360" w:lineRule="auto"/>
        <w:ind w:firstLine="480"/>
        <w:jc w:val="both"/>
        <w:rPr>
          <w:rFonts w:ascii="宋体" w:hAnsi="宋体"/>
          <w:bCs/>
          <w:sz w:val="24"/>
          <w:lang w:eastAsia="zh-CN"/>
        </w:rPr>
      </w:pPr>
    </w:p>
    <w:p w14:paraId="7645E66C" w14:textId="77777777" w:rsidR="004154D1" w:rsidRPr="00EC3B16" w:rsidRDefault="004154D1">
      <w:pPr>
        <w:pStyle w:val="1"/>
        <w:spacing w:before="0" w:after="0"/>
        <w:jc w:val="center"/>
        <w:rPr>
          <w:rFonts w:hAnsi="宋体"/>
          <w:sz w:val="30"/>
          <w:lang w:eastAsia="zh-CN"/>
        </w:rPr>
      </w:pPr>
      <w:r w:rsidRPr="00EC3B16">
        <w:rPr>
          <w:rFonts w:hAnsi="宋体"/>
          <w:b w:val="0"/>
          <w:bCs/>
          <w:lang w:eastAsia="zh-CN"/>
        </w:rPr>
        <w:br w:type="page"/>
      </w:r>
      <w:bookmarkStart w:id="520" w:name="_Toc123112249"/>
      <w:bookmarkStart w:id="521" w:name="_Toc6110"/>
      <w:bookmarkStart w:id="522" w:name="_Toc23999"/>
      <w:bookmarkStart w:id="523" w:name="_Toc8636"/>
      <w:bookmarkStart w:id="524" w:name="_Toc24923"/>
      <w:bookmarkStart w:id="525" w:name="_Toc25651"/>
      <w:bookmarkStart w:id="526" w:name="_Toc3319"/>
      <w:bookmarkStart w:id="527" w:name="_Toc141703902"/>
      <w:bookmarkStart w:id="528" w:name="_Toc98560366"/>
      <w:bookmarkStart w:id="529" w:name="_Toc1790"/>
      <w:bookmarkStart w:id="530" w:name="_Toc447270844"/>
      <w:bookmarkStart w:id="531" w:name="_Toc139991751"/>
      <w:bookmarkStart w:id="532" w:name="_Toc123051467"/>
      <w:bookmarkStart w:id="533" w:name="_Toc7288"/>
      <w:bookmarkStart w:id="534" w:name="_Toc30350"/>
      <w:bookmarkStart w:id="535" w:name="_Toc6202"/>
      <w:bookmarkStart w:id="536" w:name="_Toc21983"/>
      <w:bookmarkStart w:id="537" w:name="_Toc123102468"/>
      <w:bookmarkStart w:id="538" w:name="_Toc132016801"/>
      <w:bookmarkStart w:id="539" w:name="_Hlk73621721"/>
      <w:r w:rsidRPr="00EC3B16">
        <w:rPr>
          <w:rFonts w:hAnsi="宋体"/>
          <w:sz w:val="30"/>
          <w:lang w:eastAsia="zh-CN"/>
        </w:rPr>
        <w:lastRenderedPageBreak/>
        <w:t>第二十一部分</w:t>
      </w:r>
      <w:r w:rsidRPr="00EC3B16">
        <w:rPr>
          <w:rFonts w:hAnsi="宋体" w:hint="eastAsia"/>
          <w:sz w:val="30"/>
          <w:lang w:eastAsia="zh-CN"/>
        </w:rPr>
        <w:t xml:space="preserve"> </w:t>
      </w:r>
      <w:r w:rsidRPr="00EC3B16">
        <w:rPr>
          <w:rFonts w:hAnsi="宋体"/>
          <w:sz w:val="30"/>
          <w:lang w:eastAsia="zh-CN"/>
        </w:rPr>
        <w:t xml:space="preserve"> 争议的处理和适用的法律</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72A5A7DB" w14:textId="77777777" w:rsidR="004154D1" w:rsidRPr="00EC3B16" w:rsidRDefault="004154D1" w:rsidP="006F1164">
      <w:pPr>
        <w:spacing w:line="360" w:lineRule="auto"/>
        <w:ind w:firstLine="480"/>
        <w:jc w:val="both"/>
        <w:rPr>
          <w:rFonts w:ascii="宋体" w:hAnsi="宋体"/>
          <w:bCs/>
          <w:sz w:val="24"/>
          <w:lang w:eastAsia="zh-CN"/>
        </w:rPr>
      </w:pPr>
    </w:p>
    <w:p w14:paraId="582568AE"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各方当事人同意，因《基金合同》而产生的或与《基金合同》有关的一切争议，</w:t>
      </w:r>
      <w:bookmarkStart w:id="540" w:name="_Hlk95471016"/>
      <w:r w:rsidRPr="00EC3B16">
        <w:rPr>
          <w:rFonts w:ascii="宋体" w:hAnsi="宋体"/>
          <w:bCs/>
          <w:sz w:val="24"/>
          <w:lang w:eastAsia="zh-CN"/>
        </w:rPr>
        <w:t>如经友好协商未能解决的，应提交</w:t>
      </w:r>
      <w:r w:rsidRPr="00EC3B16">
        <w:rPr>
          <w:rFonts w:ascii="宋体" w:hAnsi="宋体" w:hint="eastAsia"/>
          <w:bCs/>
          <w:sz w:val="24"/>
          <w:lang w:eastAsia="zh-CN"/>
        </w:rPr>
        <w:t>北京</w:t>
      </w:r>
      <w:r w:rsidRPr="00EC3B16">
        <w:rPr>
          <w:rFonts w:ascii="宋体" w:hAnsi="宋体"/>
          <w:bCs/>
          <w:sz w:val="24"/>
          <w:lang w:eastAsia="zh-CN"/>
        </w:rPr>
        <w:t>仲裁委员会根据该会当时有效的仲裁规则进行仲裁，仲裁地点为北京市。仲裁裁决是终局性的并对各方当事人具有约束力，</w:t>
      </w:r>
      <w:bookmarkStart w:id="541" w:name="_Hlk73623840"/>
      <w:r w:rsidRPr="00EC3B16">
        <w:rPr>
          <w:rFonts w:ascii="宋体" w:hAnsi="宋体" w:hint="eastAsia"/>
          <w:bCs/>
          <w:sz w:val="24"/>
          <w:lang w:eastAsia="zh-CN"/>
        </w:rPr>
        <w:t>除非仲裁裁决另有规定，</w:t>
      </w:r>
      <w:bookmarkEnd w:id="541"/>
      <w:r w:rsidRPr="00EC3B16">
        <w:rPr>
          <w:rFonts w:ascii="宋体" w:hAnsi="宋体"/>
          <w:bCs/>
          <w:sz w:val="24"/>
          <w:lang w:eastAsia="zh-CN"/>
        </w:rPr>
        <w:t>仲裁费由败诉方承担。</w:t>
      </w:r>
    </w:p>
    <w:p w14:paraId="2E2DB93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争议处理期间，基金管理人、基金托管人应恪守各自的职责，继续忠实、勤勉、尽责地履行基金合同规定的义务，维护基金份额持有人的合法权益。</w:t>
      </w:r>
      <w:bookmarkEnd w:id="540"/>
    </w:p>
    <w:p w14:paraId="2B287E27"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《基金合同》受中国法律（为本基金合同之目的，不含港澳台</w:t>
      </w:r>
      <w:r w:rsidRPr="00EC3B16">
        <w:rPr>
          <w:rFonts w:ascii="宋体" w:hAnsi="宋体" w:hint="eastAsia"/>
          <w:bCs/>
          <w:sz w:val="24"/>
          <w:lang w:eastAsia="zh-CN"/>
        </w:rPr>
        <w:t>地区法律</w:t>
      </w:r>
      <w:r w:rsidRPr="00EC3B16">
        <w:rPr>
          <w:rFonts w:ascii="宋体" w:hAnsi="宋体"/>
          <w:bCs/>
          <w:sz w:val="24"/>
          <w:lang w:eastAsia="zh-CN"/>
        </w:rPr>
        <w:t>）管辖</w:t>
      </w:r>
      <w:r w:rsidRPr="00EC3B16">
        <w:rPr>
          <w:rFonts w:ascii="宋体" w:hAnsi="宋体" w:hint="eastAsia"/>
          <w:bCs/>
          <w:sz w:val="24"/>
          <w:lang w:eastAsia="zh-CN"/>
        </w:rPr>
        <w:t>并从其解释</w:t>
      </w:r>
      <w:r w:rsidRPr="00EC3B16">
        <w:rPr>
          <w:rFonts w:ascii="宋体" w:hAnsi="宋体"/>
          <w:bCs/>
          <w:sz w:val="24"/>
          <w:lang w:eastAsia="zh-CN"/>
        </w:rPr>
        <w:t>。</w:t>
      </w:r>
    </w:p>
    <w:p w14:paraId="4B7C76F5" w14:textId="77777777" w:rsidR="006F1164" w:rsidRPr="00EC3B16" w:rsidRDefault="006F1164" w:rsidP="006F1164">
      <w:pPr>
        <w:spacing w:line="360" w:lineRule="auto"/>
        <w:ind w:firstLine="480"/>
        <w:jc w:val="both"/>
        <w:rPr>
          <w:rFonts w:ascii="宋体" w:hAnsi="宋体"/>
          <w:bCs/>
          <w:sz w:val="24"/>
          <w:lang w:eastAsia="zh-CN"/>
        </w:rPr>
      </w:pPr>
    </w:p>
    <w:p w14:paraId="00EC7837" w14:textId="77777777" w:rsidR="004154D1" w:rsidRPr="00EC3B16" w:rsidRDefault="009D49B9" w:rsidP="009D49B9">
      <w:pPr>
        <w:pStyle w:val="1"/>
        <w:spacing w:before="0" w:after="0"/>
        <w:jc w:val="center"/>
        <w:rPr>
          <w:rFonts w:hAnsi="宋体"/>
          <w:sz w:val="30"/>
          <w:lang w:eastAsia="zh-CN"/>
        </w:rPr>
      </w:pPr>
      <w:r w:rsidRPr="00EC3B16">
        <w:rPr>
          <w:rFonts w:hAnsi="宋体"/>
          <w:b w:val="0"/>
          <w:bCs/>
          <w:lang w:eastAsia="zh-CN"/>
        </w:rPr>
        <w:br w:type="page"/>
      </w:r>
      <w:bookmarkStart w:id="542" w:name="_Toc123112250"/>
      <w:bookmarkStart w:id="543" w:name="_Toc23991"/>
      <w:bookmarkStart w:id="544" w:name="_Toc29505"/>
      <w:bookmarkStart w:id="545" w:name="_Toc8454"/>
      <w:bookmarkStart w:id="546" w:name="_Toc141703903"/>
      <w:bookmarkStart w:id="547" w:name="_Toc139991752"/>
      <w:bookmarkStart w:id="548" w:name="_Toc484"/>
      <w:bookmarkStart w:id="549" w:name="_Toc2532"/>
      <w:bookmarkStart w:id="550" w:name="_Toc26461"/>
      <w:bookmarkStart w:id="551" w:name="_Toc31966"/>
      <w:bookmarkStart w:id="552" w:name="_Toc123051468"/>
      <w:bookmarkStart w:id="553" w:name="_Toc123102469"/>
      <w:bookmarkStart w:id="554" w:name="_Toc11618"/>
      <w:bookmarkStart w:id="555" w:name="_Toc447270845"/>
      <w:bookmarkStart w:id="556" w:name="_Toc28690"/>
      <w:bookmarkStart w:id="557" w:name="_Toc20350"/>
      <w:bookmarkStart w:id="558" w:name="_Toc8703"/>
      <w:bookmarkStart w:id="559" w:name="_Toc132016802"/>
      <w:bookmarkEnd w:id="539"/>
      <w:r w:rsidR="004154D1" w:rsidRPr="00EC3B16">
        <w:rPr>
          <w:rFonts w:hAnsi="宋体"/>
          <w:sz w:val="30"/>
          <w:lang w:eastAsia="zh-CN"/>
        </w:rPr>
        <w:lastRenderedPageBreak/>
        <w:t>第二十二部分</w:t>
      </w:r>
      <w:r w:rsidR="004154D1" w:rsidRPr="00EC3B16">
        <w:rPr>
          <w:rFonts w:hAnsi="宋体" w:hint="eastAsia"/>
          <w:sz w:val="30"/>
          <w:lang w:eastAsia="zh-CN"/>
        </w:rPr>
        <w:t xml:space="preserve"> </w:t>
      </w:r>
      <w:r w:rsidR="004154D1" w:rsidRPr="00EC3B16">
        <w:rPr>
          <w:rFonts w:hAnsi="宋体"/>
          <w:sz w:val="30"/>
          <w:lang w:eastAsia="zh-CN"/>
        </w:rPr>
        <w:t xml:space="preserve"> 基金合同的效力</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0ACC75FA" w14:textId="77777777" w:rsidR="004154D1" w:rsidRPr="00EC3B16" w:rsidRDefault="004154D1" w:rsidP="006F1164">
      <w:pPr>
        <w:spacing w:line="360" w:lineRule="auto"/>
        <w:ind w:firstLine="480"/>
        <w:jc w:val="both"/>
        <w:rPr>
          <w:rFonts w:ascii="宋体" w:hAnsi="宋体"/>
          <w:bCs/>
          <w:sz w:val="24"/>
          <w:lang w:eastAsia="zh-CN"/>
        </w:rPr>
      </w:pPr>
    </w:p>
    <w:p w14:paraId="60D6C0CD"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《基金合同》是约定基金合同当事人之间权利义务关系的法律文件。</w:t>
      </w:r>
    </w:p>
    <w:p w14:paraId="29AF5AAB"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1、《基金合同》经基金管理人、基金托管人双方盖章以及双方法定代表人或授权代表签字或盖章并在募集结束后经基金管理人向中国证监会办理基金备案手续，并经中国证监会书面确认后生效。</w:t>
      </w:r>
    </w:p>
    <w:p w14:paraId="47361A5A"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2、《基金合同》的有效期自其生效之日起至基金财产清算结果报中国证监会备案并公告之日止。</w:t>
      </w:r>
    </w:p>
    <w:p w14:paraId="019DCC6F"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3、《基金合同》自生效之日起对包括基金管理人、基金托管人和基金份额持有人在内的《基金合同》各方当事人具有同等的法律约束力。</w:t>
      </w:r>
    </w:p>
    <w:p w14:paraId="1DB87AB8"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4、《基金合同》正本一式</w:t>
      </w:r>
      <w:r w:rsidRPr="00EC3B16">
        <w:rPr>
          <w:rFonts w:ascii="宋体" w:hAnsi="宋体" w:hint="eastAsia"/>
          <w:bCs/>
          <w:sz w:val="24"/>
          <w:lang w:eastAsia="zh-CN"/>
        </w:rPr>
        <w:t>三</w:t>
      </w:r>
      <w:r w:rsidRPr="00EC3B16">
        <w:rPr>
          <w:rFonts w:ascii="宋体" w:hAnsi="宋体"/>
          <w:bCs/>
          <w:sz w:val="24"/>
          <w:lang w:eastAsia="zh-CN"/>
        </w:rPr>
        <w:t>份，除上报有关监管机构一份外，基金管理人持有一份、基金托管人持有</w:t>
      </w:r>
      <w:r w:rsidRPr="00EC3B16">
        <w:rPr>
          <w:rFonts w:ascii="宋体" w:hAnsi="宋体" w:hint="eastAsia"/>
          <w:bCs/>
          <w:sz w:val="24"/>
          <w:lang w:eastAsia="zh-CN"/>
        </w:rPr>
        <w:t>一</w:t>
      </w:r>
      <w:r w:rsidRPr="00EC3B16">
        <w:rPr>
          <w:rFonts w:ascii="宋体" w:hAnsi="宋体"/>
          <w:bCs/>
          <w:sz w:val="24"/>
          <w:lang w:eastAsia="zh-CN"/>
        </w:rPr>
        <w:t>份，每份具有同等的法律效力。</w:t>
      </w:r>
    </w:p>
    <w:p w14:paraId="4948A7C1"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5、</w:t>
      </w:r>
      <w:bookmarkStart w:id="560" w:name="_Hlk73621728"/>
      <w:r w:rsidRPr="00EC3B16">
        <w:rPr>
          <w:rFonts w:ascii="宋体" w:hAnsi="宋体"/>
          <w:bCs/>
          <w:sz w:val="24"/>
          <w:lang w:eastAsia="zh-CN"/>
        </w:rPr>
        <w:t>《基金合同》可印制成册，供投资者在基金管理人、基金托管人、销售机构的办公场所和营业场所查阅。</w:t>
      </w:r>
      <w:bookmarkEnd w:id="560"/>
    </w:p>
    <w:p w14:paraId="03588453" w14:textId="77777777" w:rsidR="006F1164" w:rsidRPr="00EC3B16" w:rsidRDefault="006F1164" w:rsidP="006F1164">
      <w:pPr>
        <w:spacing w:line="360" w:lineRule="auto"/>
        <w:ind w:firstLine="480"/>
        <w:jc w:val="both"/>
        <w:rPr>
          <w:rFonts w:ascii="宋体" w:hAnsi="宋体"/>
          <w:bCs/>
          <w:sz w:val="24"/>
          <w:lang w:eastAsia="zh-CN"/>
        </w:rPr>
      </w:pPr>
    </w:p>
    <w:p w14:paraId="75D920D7" w14:textId="77777777" w:rsidR="004154D1" w:rsidRPr="00EC3B16" w:rsidRDefault="004154D1">
      <w:pPr>
        <w:pStyle w:val="1"/>
        <w:spacing w:before="0" w:after="0"/>
        <w:jc w:val="center"/>
        <w:rPr>
          <w:rFonts w:hAnsi="宋体"/>
          <w:sz w:val="30"/>
          <w:lang w:eastAsia="zh-CN"/>
        </w:rPr>
      </w:pPr>
      <w:r w:rsidRPr="00EC3B16">
        <w:rPr>
          <w:rFonts w:hAnsi="宋体"/>
          <w:b w:val="0"/>
          <w:bCs/>
          <w:lang w:eastAsia="zh-CN"/>
        </w:rPr>
        <w:br w:type="page"/>
      </w:r>
      <w:bookmarkStart w:id="561" w:name="_Toc447270846"/>
      <w:bookmarkStart w:id="562" w:name="_Toc21726"/>
      <w:bookmarkStart w:id="563" w:name="_Toc9704"/>
      <w:bookmarkStart w:id="564" w:name="_Toc132016803"/>
      <w:r w:rsidRPr="00EC3B16">
        <w:rPr>
          <w:rFonts w:hAnsi="宋体"/>
          <w:sz w:val="30"/>
          <w:lang w:eastAsia="zh-CN"/>
        </w:rPr>
        <w:lastRenderedPageBreak/>
        <w:t>第二十三部分</w:t>
      </w:r>
      <w:r w:rsidRPr="00EC3B16">
        <w:rPr>
          <w:rFonts w:hAnsi="宋体" w:hint="eastAsia"/>
          <w:sz w:val="30"/>
          <w:lang w:eastAsia="zh-CN"/>
        </w:rPr>
        <w:t xml:space="preserve"> </w:t>
      </w:r>
      <w:r w:rsidRPr="00EC3B16">
        <w:rPr>
          <w:rFonts w:hAnsi="宋体"/>
          <w:sz w:val="30"/>
          <w:lang w:eastAsia="zh-CN"/>
        </w:rPr>
        <w:t xml:space="preserve"> 其他事项</w:t>
      </w:r>
      <w:bookmarkEnd w:id="561"/>
      <w:bookmarkEnd w:id="562"/>
      <w:bookmarkEnd w:id="563"/>
      <w:bookmarkEnd w:id="564"/>
    </w:p>
    <w:p w14:paraId="25CDDD41" w14:textId="77777777" w:rsidR="004154D1" w:rsidRPr="00EC3B16" w:rsidRDefault="004154D1" w:rsidP="006F1164">
      <w:pPr>
        <w:spacing w:line="360" w:lineRule="auto"/>
        <w:ind w:firstLine="480"/>
        <w:jc w:val="both"/>
        <w:rPr>
          <w:rFonts w:ascii="宋体" w:hAnsi="宋体"/>
          <w:bCs/>
          <w:sz w:val="24"/>
          <w:lang w:eastAsia="zh-CN"/>
        </w:rPr>
      </w:pPr>
    </w:p>
    <w:p w14:paraId="65ADD7E9" w14:textId="77777777" w:rsidR="004154D1" w:rsidRPr="00EC3B16" w:rsidRDefault="004154D1" w:rsidP="006F1164">
      <w:pPr>
        <w:spacing w:line="360" w:lineRule="auto"/>
        <w:ind w:firstLine="480"/>
        <w:jc w:val="both"/>
        <w:rPr>
          <w:rFonts w:ascii="宋体" w:hAnsi="宋体"/>
          <w:bCs/>
          <w:sz w:val="24"/>
          <w:lang w:eastAsia="zh-CN"/>
        </w:rPr>
      </w:pPr>
      <w:r w:rsidRPr="00EC3B16">
        <w:rPr>
          <w:rFonts w:ascii="宋体" w:hAnsi="宋体"/>
          <w:bCs/>
          <w:sz w:val="24"/>
          <w:lang w:eastAsia="zh-CN"/>
        </w:rPr>
        <w:t>《基金合同》如有未尽事宜，由《基金合同》当事人各方按有关法律法规协商解决。</w:t>
      </w:r>
    </w:p>
    <w:p w14:paraId="5940E28E" w14:textId="77777777" w:rsidR="004154D1" w:rsidRPr="00EC3B16" w:rsidRDefault="004154D1" w:rsidP="006F1164">
      <w:pPr>
        <w:spacing w:line="360" w:lineRule="auto"/>
        <w:ind w:firstLine="480"/>
        <w:jc w:val="both"/>
        <w:rPr>
          <w:rFonts w:ascii="宋体" w:hAnsi="宋体"/>
          <w:bCs/>
          <w:sz w:val="24"/>
          <w:lang w:eastAsia="zh-CN"/>
        </w:rPr>
      </w:pPr>
    </w:p>
    <w:p w14:paraId="2940446B" w14:textId="77777777" w:rsidR="004154D1" w:rsidRPr="00EC3B16" w:rsidRDefault="006F1164" w:rsidP="006F1164">
      <w:pPr>
        <w:pStyle w:val="1"/>
        <w:spacing w:before="0" w:after="0"/>
        <w:jc w:val="center"/>
        <w:rPr>
          <w:rFonts w:hAnsi="宋体"/>
          <w:sz w:val="30"/>
          <w:lang w:eastAsia="zh-CN"/>
        </w:rPr>
      </w:pPr>
      <w:r w:rsidRPr="00EC3B16">
        <w:rPr>
          <w:rFonts w:hAnsi="宋体"/>
          <w:b w:val="0"/>
          <w:bCs/>
          <w:lang w:eastAsia="zh-CN"/>
        </w:rPr>
        <w:br w:type="page"/>
      </w:r>
      <w:bookmarkStart w:id="565" w:name="_Toc20098"/>
      <w:bookmarkStart w:id="566" w:name="_Toc12499"/>
      <w:bookmarkStart w:id="567" w:name="_Toc15045"/>
      <w:bookmarkStart w:id="568" w:name="_Toc461025169"/>
      <w:bookmarkStart w:id="569" w:name="_Toc32355"/>
      <w:bookmarkStart w:id="570" w:name="_Toc447270847"/>
      <w:bookmarkStart w:id="571" w:name="_Toc15664"/>
      <w:bookmarkStart w:id="572" w:name="_Toc9054"/>
      <w:bookmarkStart w:id="573" w:name="_Toc141703905"/>
      <w:bookmarkStart w:id="574" w:name="_Toc5108"/>
      <w:bookmarkStart w:id="575" w:name="_Toc17263"/>
      <w:bookmarkStart w:id="576" w:name="_Toc7437"/>
      <w:bookmarkStart w:id="577" w:name="_Toc21122"/>
      <w:bookmarkStart w:id="578" w:name="_Toc494187007"/>
      <w:bookmarkStart w:id="579" w:name="_Toc1360"/>
      <w:bookmarkStart w:id="580" w:name="_Toc132016804"/>
      <w:bookmarkEnd w:id="73"/>
      <w:bookmarkEnd w:id="74"/>
      <w:r w:rsidR="004154D1" w:rsidRPr="00EC3B16">
        <w:rPr>
          <w:rFonts w:hAnsi="宋体"/>
          <w:sz w:val="30"/>
          <w:lang w:eastAsia="zh-CN"/>
        </w:rPr>
        <w:lastRenderedPageBreak/>
        <w:t>第二十四部分  基金合同内容摘要</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218D86C1" w14:textId="77777777" w:rsidR="004154D1" w:rsidRPr="00EC3B16" w:rsidRDefault="004154D1" w:rsidP="00EC3B16">
      <w:pPr>
        <w:spacing w:line="360" w:lineRule="auto"/>
        <w:ind w:firstLine="480"/>
        <w:jc w:val="both"/>
        <w:rPr>
          <w:rFonts w:ascii="宋体" w:hAnsi="宋体"/>
          <w:bCs/>
          <w:sz w:val="24"/>
          <w:lang w:eastAsia="zh-CN"/>
        </w:rPr>
      </w:pPr>
    </w:p>
    <w:p w14:paraId="4D775156" w14:textId="77777777" w:rsidR="004154D1" w:rsidRPr="00EC3B16" w:rsidRDefault="00EC3B16"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一、</w:t>
      </w:r>
      <w:r w:rsidR="004154D1" w:rsidRPr="00EC3B16">
        <w:rPr>
          <w:rFonts w:ascii="宋体" w:hAnsi="宋体" w:hint="eastAsia"/>
          <w:bCs/>
          <w:sz w:val="24"/>
          <w:lang w:eastAsia="zh-CN"/>
        </w:rPr>
        <w:t>基金管理人、基金托管人和基金份额持有人的权利、义务</w:t>
      </w:r>
    </w:p>
    <w:p w14:paraId="7578250F"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bCs/>
          <w:sz w:val="24"/>
          <w:lang w:eastAsia="zh-CN"/>
        </w:rPr>
        <w:t>（</w:t>
      </w:r>
      <w:r w:rsidRPr="00EC3B16">
        <w:rPr>
          <w:rFonts w:ascii="宋体" w:hAnsi="宋体" w:hint="eastAsia"/>
          <w:bCs/>
          <w:sz w:val="24"/>
          <w:lang w:eastAsia="zh-CN"/>
        </w:rPr>
        <w:t>一</w:t>
      </w:r>
      <w:r w:rsidRPr="00EC3B16">
        <w:rPr>
          <w:rFonts w:ascii="宋体" w:hAnsi="宋体"/>
          <w:bCs/>
          <w:sz w:val="24"/>
          <w:lang w:eastAsia="zh-CN"/>
        </w:rPr>
        <w:t>）基金管理人的权利与义务</w:t>
      </w:r>
    </w:p>
    <w:p w14:paraId="1D32A1F8"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1、根据《基金法》、《运作办法》及其他有关规定，基金管理人的权利包括但不限于：</w:t>
      </w:r>
    </w:p>
    <w:p w14:paraId="3A7C61C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（1）依法募集资金；</w:t>
      </w:r>
    </w:p>
    <w:p w14:paraId="50BF584C"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（2）自《基金合同》生效之日起，根据法律法规和《基金合同》独立运用并管理基金财产；</w:t>
      </w:r>
    </w:p>
    <w:p w14:paraId="57AB290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（3）依照《基金合同》收取基金管理费以及法律法规规定或中国证监会批准的其他费用；</w:t>
      </w:r>
    </w:p>
    <w:p w14:paraId="5C5123E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（4）在法律法规和《基金合同》规定的范围内调整本基金的认购费、申购费、赎回费、销售服务费等其他费用，或在对现有基金份额持有人利益无实质性不利影响的前提下变更收费方式；</w:t>
      </w:r>
    </w:p>
    <w:p w14:paraId="2FDBC15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（5）销售基金份额；</w:t>
      </w:r>
    </w:p>
    <w:p w14:paraId="1C941D3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（6）按照规定召集基金份额持有人大会；</w:t>
      </w:r>
    </w:p>
    <w:p w14:paraId="79308F5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（7）依据《基金合同》及有关法律规定监督基金托管人，如认为基金托管人违反了《基金合同》及国家有关法律规定，应呈报中国证监会和其他监管部门，并采取必要措施保护基金投资者的利益；</w:t>
      </w:r>
    </w:p>
    <w:p w14:paraId="56F7820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（8）在基金托管人更换时，提名新的基金托管人；</w:t>
      </w:r>
    </w:p>
    <w:p w14:paraId="704316D5"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（9）选择、更换基金销售机构，对基金销售机构的相关行为进行监督和处理；</w:t>
      </w:r>
    </w:p>
    <w:p w14:paraId="58CFEB9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（10）担任或委托其他符合条件的机构担任基金登记机构办理基金登记业务并获得《基金合同》规定的费用；</w:t>
      </w:r>
    </w:p>
    <w:p w14:paraId="3B8E677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（11）依据《基金合同》及有关法律规定决定基金收益的分配方案；</w:t>
      </w:r>
    </w:p>
    <w:p w14:paraId="6123DEA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（12）在《基金合同》约定的范围内，拒绝或暂停受理申购与赎回申请；</w:t>
      </w:r>
    </w:p>
    <w:p w14:paraId="38217CC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（13）依照法律法规为基金的利益对被投资公司行使股东权利，为基金的利益行使因基金财产投资于证券所产生的权利；</w:t>
      </w:r>
    </w:p>
    <w:p w14:paraId="77BC4BB5"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（14）在法律法规允许的前提下，为基金的利益依法为基金进行融资；</w:t>
      </w:r>
    </w:p>
    <w:p w14:paraId="0DB15D2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（15）以基金管理人的名义，代表基金份额持有人的利益行使诉讼权利或者实施其他法律行为；</w:t>
      </w:r>
    </w:p>
    <w:p w14:paraId="684FB1D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（16）选择、更换律师事务所、会计师事务所、证券/期货经纪商或其他为基金提供服务的外部机构；</w:t>
      </w:r>
    </w:p>
    <w:p w14:paraId="5466EEBB"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（17）在符合有关法律、法规的前提下，制订和调整有关基金认购、申购、赎回、转换和非交易过户等业务规则；</w:t>
      </w:r>
    </w:p>
    <w:p w14:paraId="0BE1636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（18）法律法规及中国证监会规定的和《基金合同》约定的其他权利。</w:t>
      </w:r>
    </w:p>
    <w:p w14:paraId="60AF871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2、根据《基金法》、《运作办法》及其他有关规定，基金管理人的义务包括但不限于：</w:t>
      </w:r>
    </w:p>
    <w:p w14:paraId="48DD5B6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（1）依法募集资金，办理或者委托经中国证监会认定的其他机构代为办理基金份额的发售、申购、赎回和登记事宜；</w:t>
      </w:r>
    </w:p>
    <w:p w14:paraId="6F099D5E"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（2）办理基金备案手续；</w:t>
      </w:r>
    </w:p>
    <w:p w14:paraId="5EE71C8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（3）自《基金合同》生效之日起，以诚实信用、谨慎勤勉的原则管理和运用基金财产；</w:t>
      </w:r>
    </w:p>
    <w:p w14:paraId="633D565B"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（4）配备足够的具有专业资格的人员进行基金投资分析、决策，以专业化的经营方式管理和运作基金财产；</w:t>
      </w:r>
    </w:p>
    <w:p w14:paraId="4326C49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（5）建立健全内部风险控制、监察与稽核、财务管理及人事管理等制度，保证所管理的基金财产和基金管理人的财产相互独立，对所管理的不同基金分别管理，分别记账，进行证券投资；</w:t>
      </w:r>
    </w:p>
    <w:p w14:paraId="414FAA8B"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（6）除依据《基金法》、《基金合同》及其他有关规定外，不得利用基金财产为自己及任何第三人谋取利益，不得委托第三人运作基金财产；</w:t>
      </w:r>
    </w:p>
    <w:p w14:paraId="284E755B"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（7）依法接受基金托管人的监督；</w:t>
      </w:r>
    </w:p>
    <w:p w14:paraId="64F8FC3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（8）采取适当合理的措施使计算基金份额认购、申购、赎回和注销价格的方法符合《基金合同》等法律文件的规定，按有关规定计算并公告基金净值信息，确定基金份额申购、赎回的价格；</w:t>
      </w:r>
    </w:p>
    <w:p w14:paraId="3EF1F51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（9）进行基金会计核算并编制基金财务会计报告；</w:t>
      </w:r>
    </w:p>
    <w:p w14:paraId="63539AD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（10）编制季度报告、中期报告和年度报告；</w:t>
      </w:r>
    </w:p>
    <w:p w14:paraId="1968FCA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（11）严格按照《基金法》、《基金合同》及其他有关规定，履行信息披露及报告义务；</w:t>
      </w:r>
    </w:p>
    <w:p w14:paraId="6BB09F5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12）保守基金商业秘密，不泄露基金投资计划、投资意向等。除《基金法》、《基金合同》及其他有关规定另有规定外，在基金信息公开披露前应予保密，不向他人泄露，但应监管机构、司法机关等有权机关的要求提供，或因审计、法律等外部专业顾问提供服务需要提供的情况除外；</w:t>
      </w:r>
    </w:p>
    <w:p w14:paraId="71DE2AF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（13）按《基金合同》的约定确定基金收益分配方案，及时向基金份额持有人分配基金收益；</w:t>
      </w:r>
    </w:p>
    <w:p w14:paraId="7324304E"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（14）按规定受理申购与赎回申请，及时、足额支付赎回款项；</w:t>
      </w:r>
    </w:p>
    <w:p w14:paraId="4E5E1F0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（15）依据《基金法》、《基金合同》及其他有关规定召集基金份额持有人大会或配合基金托管人、基金份额持有人依法召集基金份额持有人大会；</w:t>
      </w:r>
    </w:p>
    <w:p w14:paraId="0BD9A278"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（16）按规定保存基金财产管理业务活动的会计账册、报表、记录和其他相关资料</w:t>
      </w:r>
      <w:r w:rsidRPr="00EC3B16">
        <w:rPr>
          <w:rFonts w:ascii="宋体" w:hAnsi="宋体" w:hint="eastAsia"/>
          <w:bCs/>
          <w:sz w:val="24"/>
          <w:lang w:eastAsia="zh-CN"/>
        </w:rPr>
        <w:t>，保存时间不低于法律法规规定的最低期限</w:t>
      </w:r>
      <w:r w:rsidRPr="00EC3B16">
        <w:rPr>
          <w:rFonts w:ascii="宋体" w:hAnsi="宋体"/>
          <w:bCs/>
          <w:sz w:val="24"/>
          <w:lang w:eastAsia="zh-CN"/>
        </w:rPr>
        <w:t>；</w:t>
      </w:r>
    </w:p>
    <w:p w14:paraId="373A954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D7DD42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（18）组织并参加基金财产清算小组，参与基金财产的保管、清理、估价、变现和分配；</w:t>
      </w:r>
    </w:p>
    <w:p w14:paraId="3F3FE22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（19）面临解散、依法被撤销或者被依法宣告破产时，及时报告中国证监会并通知基金托管人；</w:t>
      </w:r>
    </w:p>
    <w:p w14:paraId="10D50A0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（20）因违反《基金合同》导致基金财产的损失或损害基金份额持有人合法权益时，应当承担赔偿责任，其赔偿责任不因其退任而免除；</w:t>
      </w:r>
    </w:p>
    <w:p w14:paraId="57ED958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（21）监督基金托管人按法律法规和《基金合同》规定履行自己的义务，基金托管人违反《基金合同》造成基金财产损失时，基金管理人应为基金份额持有人利益向基金托管人追偿；</w:t>
      </w:r>
    </w:p>
    <w:p w14:paraId="508EAC6B"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（22）当基金管理人将其义务委托第三方处理时，应当对第三方处理有关基金事务的行为承担责任；</w:t>
      </w:r>
    </w:p>
    <w:p w14:paraId="0C79642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（23）以基金管理人名义，代表基金份额持有人利益行使诉讼权利或实施其他法律行为；</w:t>
      </w:r>
    </w:p>
    <w:p w14:paraId="2805145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（24）基金在募集期间未能达到基金的备案条件，《基金合同》不能生效，基金管理人承担全部募集费用，将已募集资金并加计银行同期活期存款利息在基金募集期结束后30日内退还基金认购人；</w:t>
      </w:r>
    </w:p>
    <w:p w14:paraId="65EA79C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（25）执行生效的基金份额持有人大会的决议；</w:t>
      </w:r>
    </w:p>
    <w:p w14:paraId="6F4F23F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（26）建立并保存基金份额持有人名册；</w:t>
      </w:r>
    </w:p>
    <w:p w14:paraId="4A234538"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（27）法律法规及中国证监会规定的和《基金合同》约定的其他义务。</w:t>
      </w:r>
    </w:p>
    <w:p w14:paraId="46235FAB"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bCs/>
          <w:sz w:val="24"/>
          <w:lang w:eastAsia="zh-CN"/>
        </w:rPr>
        <w:t>（二）基金托管人的权利与义务</w:t>
      </w:r>
    </w:p>
    <w:p w14:paraId="5619F34B"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1、根据《基金法》、《运作办法》及其他有关规定，基金托管人的权利包括但不限于：</w:t>
      </w:r>
    </w:p>
    <w:p w14:paraId="3C976BB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（1）自《基金合同》生效之日起，依《基金合同》的</w:t>
      </w:r>
      <w:r w:rsidRPr="00EC3B16">
        <w:rPr>
          <w:rFonts w:ascii="宋体" w:hAnsi="宋体" w:hint="eastAsia"/>
          <w:bCs/>
          <w:sz w:val="24"/>
          <w:lang w:eastAsia="zh-CN"/>
        </w:rPr>
        <w:t>约</w:t>
      </w:r>
      <w:r w:rsidRPr="00EC3B16">
        <w:rPr>
          <w:rFonts w:ascii="宋体" w:hAnsi="宋体"/>
          <w:bCs/>
          <w:sz w:val="24"/>
          <w:lang w:eastAsia="zh-CN"/>
        </w:rPr>
        <w:t>定安全保管基金财产；</w:t>
      </w:r>
    </w:p>
    <w:p w14:paraId="180C6C2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（2）依《基金合同》约定</w:t>
      </w:r>
      <w:r w:rsidRPr="00EC3B16">
        <w:rPr>
          <w:rFonts w:ascii="宋体" w:hAnsi="宋体" w:hint="eastAsia"/>
          <w:bCs/>
          <w:sz w:val="24"/>
          <w:lang w:eastAsia="zh-CN"/>
        </w:rPr>
        <w:t>及时、足额</w:t>
      </w:r>
      <w:r w:rsidRPr="00EC3B16">
        <w:rPr>
          <w:rFonts w:ascii="宋体" w:hAnsi="宋体"/>
          <w:bCs/>
          <w:sz w:val="24"/>
          <w:lang w:eastAsia="zh-CN"/>
        </w:rPr>
        <w:t>获得基金托管费以及法律法规规定或监管部门批准的其他费用；</w:t>
      </w:r>
    </w:p>
    <w:p w14:paraId="2F9CF24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监督基金管理人对本基金的投资运作，如发现基金管理人有违反《基金合同》及国家法律法规行为，对基金财产、其他当事人的利益造成重大损失的情形，有权呈报中国证监会，并采取必要措施保护基金投资者的利益；</w:t>
      </w:r>
    </w:p>
    <w:p w14:paraId="330646E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（4）根据相关市场规则，</w:t>
      </w:r>
      <w:r w:rsidRPr="00EC3B16">
        <w:rPr>
          <w:rFonts w:ascii="宋体" w:hAnsi="宋体" w:hint="eastAsia"/>
          <w:bCs/>
          <w:sz w:val="24"/>
          <w:lang w:eastAsia="zh-CN"/>
        </w:rPr>
        <w:t>协助管理人</w:t>
      </w:r>
      <w:r w:rsidRPr="00EC3B16">
        <w:rPr>
          <w:rFonts w:ascii="宋体" w:hAnsi="宋体"/>
          <w:bCs/>
          <w:sz w:val="24"/>
          <w:lang w:eastAsia="zh-CN"/>
        </w:rPr>
        <w:t>为基金开设资金账户、证券账户等投资所需账户，为基金办理证券/期货交易资金清算；</w:t>
      </w:r>
    </w:p>
    <w:p w14:paraId="12DC15D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（5）提议召开或召集基金份额持有人大会；</w:t>
      </w:r>
    </w:p>
    <w:p w14:paraId="203DC85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（6）在基金管理人更换时，提名新的基金管理人；</w:t>
      </w:r>
    </w:p>
    <w:p w14:paraId="7D3BB48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（7）法律法规及中国证监会规定的和《基金合同》约定的其他权利。</w:t>
      </w:r>
    </w:p>
    <w:p w14:paraId="76889F3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2、根据《基金法》、《运作办法》及其他有关规定，基金托管人的义务包括但不限于：</w:t>
      </w:r>
    </w:p>
    <w:p w14:paraId="7250DF9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（1）以诚实信用、勤勉尽责的原则持有并安全保管基金财产；</w:t>
      </w:r>
    </w:p>
    <w:p w14:paraId="239F73C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（2）设立专门的基金托管部门，具有符合要求的营业场所，配备足够的、合格的熟悉基金托管业务的专职人员，负责基金财产托管事宜；</w:t>
      </w:r>
    </w:p>
    <w:p w14:paraId="3728BEB5"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（3）建立健全内部风险控制、监察与稽核、财务管理及人事管理等制度，确保基金财产的安全，保证其托管的基金财产与基金托管人自有财产以及不同</w:t>
      </w:r>
      <w:r w:rsidRPr="00EC3B16">
        <w:rPr>
          <w:rFonts w:ascii="宋体" w:hAnsi="宋体"/>
          <w:bCs/>
          <w:sz w:val="24"/>
          <w:lang w:eastAsia="zh-CN"/>
        </w:rPr>
        <w:lastRenderedPageBreak/>
        <w:t>的基金财产相互独立；对所托管的不同的基金分别设置账户，独立核算，分账管理，保证不同基金之间在账户设置、资金划拨、账册记录等方面相互独立；</w:t>
      </w:r>
    </w:p>
    <w:p w14:paraId="3128E87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（4）除依据《基金法》、《基金合同》及其他有关规定外，不得利用基金财产为自己及任何第三人谋取利益，不得委托第三人托管基金财产；</w:t>
      </w:r>
    </w:p>
    <w:p w14:paraId="096A03DB"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（5）保管由基金管理人代表基金签订的与基金有关的重大合同及有关凭证；</w:t>
      </w:r>
    </w:p>
    <w:p w14:paraId="4322A30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（6）按规定</w:t>
      </w:r>
      <w:r w:rsidRPr="00EC3B16">
        <w:rPr>
          <w:rFonts w:ascii="宋体" w:hAnsi="宋体" w:hint="eastAsia"/>
          <w:bCs/>
          <w:sz w:val="24"/>
          <w:lang w:eastAsia="zh-CN"/>
        </w:rPr>
        <w:t>协助管理人</w:t>
      </w:r>
      <w:r w:rsidRPr="00EC3B16">
        <w:rPr>
          <w:rFonts w:ascii="宋体" w:hAnsi="宋体"/>
          <w:bCs/>
          <w:sz w:val="24"/>
          <w:lang w:eastAsia="zh-CN"/>
        </w:rPr>
        <w:t>开设基金财产的资金账户、证券账户等投资所需账户，按照《基金合同》的约定，根据基金管理人的投资指令，及时办理清算、交割事宜；</w:t>
      </w:r>
    </w:p>
    <w:p w14:paraId="22D42AEB"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（7）保守基金商业秘密，除法律法规及《基金法》、《基金合同》及其他有关规定另有规定</w:t>
      </w:r>
      <w:r w:rsidRPr="00EC3B16">
        <w:rPr>
          <w:rFonts w:ascii="宋体" w:hAnsi="宋体" w:hint="eastAsia"/>
          <w:bCs/>
          <w:sz w:val="24"/>
          <w:lang w:eastAsia="zh-CN"/>
        </w:rPr>
        <w:t>外，</w:t>
      </w:r>
      <w:r w:rsidRPr="00EC3B16">
        <w:rPr>
          <w:rFonts w:ascii="宋体" w:hAnsi="宋体"/>
          <w:bCs/>
          <w:sz w:val="24"/>
          <w:lang w:eastAsia="zh-CN"/>
        </w:rPr>
        <w:t>在基金信息公开披露前予以保密，不得向他人泄露</w:t>
      </w:r>
      <w:r w:rsidRPr="00EC3B16">
        <w:rPr>
          <w:rFonts w:ascii="宋体" w:hAnsi="宋体" w:hint="eastAsia"/>
          <w:bCs/>
          <w:sz w:val="24"/>
          <w:lang w:eastAsia="zh-CN"/>
        </w:rPr>
        <w:t>，但应监管机构、司法机关等有权机关的要求提供，或因审计、法律等外部专业顾问提供服务需要提供，或因基金托管人上市的证券交易所要求披露的情况除外</w:t>
      </w:r>
      <w:r w:rsidRPr="00EC3B16">
        <w:rPr>
          <w:rFonts w:ascii="宋体" w:hAnsi="宋体"/>
          <w:bCs/>
          <w:sz w:val="24"/>
          <w:lang w:eastAsia="zh-CN"/>
        </w:rPr>
        <w:t>；</w:t>
      </w:r>
    </w:p>
    <w:p w14:paraId="407F2CC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（8）复核、审查基金管理人计算的基金资产净值、各类基金份额净值、基金份额申购、赎回价格；</w:t>
      </w:r>
    </w:p>
    <w:p w14:paraId="69E572A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（9）办理与基金托管业务活动有关的信息披露事项；</w:t>
      </w:r>
    </w:p>
    <w:p w14:paraId="226B8E5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34153A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（11）保存基金托管业务活动的记录、账册、报表和其他相关资料，保存时间不低于法律法规规定的最低期限；</w:t>
      </w:r>
    </w:p>
    <w:p w14:paraId="4C32637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（12）</w:t>
      </w:r>
      <w:r w:rsidRPr="00EC3B16">
        <w:rPr>
          <w:rFonts w:ascii="宋体" w:hAnsi="宋体" w:hint="eastAsia"/>
          <w:bCs/>
          <w:sz w:val="24"/>
          <w:lang w:eastAsia="zh-CN"/>
        </w:rPr>
        <w:t>从基金管理人或其委托的登记机构处接收</w:t>
      </w:r>
      <w:r w:rsidRPr="00EC3B16">
        <w:rPr>
          <w:rFonts w:ascii="宋体" w:hAnsi="宋体"/>
          <w:bCs/>
          <w:sz w:val="24"/>
          <w:lang w:eastAsia="zh-CN"/>
        </w:rPr>
        <w:t>并保存基金份额持有人名册；</w:t>
      </w:r>
    </w:p>
    <w:p w14:paraId="441F92FE"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（13）按规定制作相关账册并与基金管理人核对；</w:t>
      </w:r>
    </w:p>
    <w:p w14:paraId="0A56F94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（14）依据基金管理人的指令或有关规定向基金份额持有人支付基金收益和赎回款项；</w:t>
      </w:r>
    </w:p>
    <w:p w14:paraId="45A6254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（15）依据《基金法》、《基金合同》及其他有关规定，召集基金份额持有人大会或配合基金管理人、基金份额持有人依法召集基金份额持有人大会；</w:t>
      </w:r>
    </w:p>
    <w:p w14:paraId="11F12B1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（16）按照《基金合同》的规定监督基金管理人的投资运作；</w:t>
      </w:r>
    </w:p>
    <w:p w14:paraId="6C0F4628"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（17）参加基金财产清算小组，参与基金财产的保管、清理、估价、变现和分配；</w:t>
      </w:r>
    </w:p>
    <w:p w14:paraId="210351D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（18）面临解散、依法被撤销或者被依法宣告破产时，及时报告中国证监会和银行业监督管理机构，并通知基金管理人；</w:t>
      </w:r>
    </w:p>
    <w:p w14:paraId="1767486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（19）因违反《基金合同》导致基金财产损失时，应承担赔偿责任，其赔偿责任不因其退任而免除；</w:t>
      </w:r>
    </w:p>
    <w:p w14:paraId="705139BC"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（20）基金管理人因违反《基金合同》造成基金财产损失时，</w:t>
      </w:r>
      <w:r w:rsidRPr="00EC3B16">
        <w:rPr>
          <w:rFonts w:ascii="宋体" w:hAnsi="宋体" w:hint="eastAsia"/>
          <w:bCs/>
          <w:sz w:val="24"/>
          <w:lang w:eastAsia="zh-CN"/>
        </w:rPr>
        <w:t>有权</w:t>
      </w:r>
      <w:r w:rsidRPr="00EC3B16">
        <w:rPr>
          <w:rFonts w:ascii="宋体" w:hAnsi="宋体"/>
          <w:bCs/>
          <w:sz w:val="24"/>
          <w:lang w:eastAsia="zh-CN"/>
        </w:rPr>
        <w:t>为基金份额持有人利益向基金管理人追偿；</w:t>
      </w:r>
    </w:p>
    <w:p w14:paraId="7720C27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（21）执行生效的基金份额持有人大会的决议；</w:t>
      </w:r>
    </w:p>
    <w:p w14:paraId="3ED1B2C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（22）法律法规及中国证监会规定的和《基金合同》约定的其他义务。</w:t>
      </w:r>
    </w:p>
    <w:p w14:paraId="0DC4BB97"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（三）</w:t>
      </w:r>
      <w:r w:rsidRPr="00EC3B16">
        <w:rPr>
          <w:rFonts w:ascii="宋体" w:hAnsi="宋体"/>
          <w:bCs/>
          <w:sz w:val="24"/>
          <w:lang w:eastAsia="zh-CN"/>
        </w:rPr>
        <w:t>基金份额持有人</w:t>
      </w:r>
      <w:r w:rsidRPr="00EC3B16">
        <w:rPr>
          <w:rFonts w:ascii="宋体" w:hAnsi="宋体" w:hint="eastAsia"/>
          <w:bCs/>
          <w:sz w:val="24"/>
          <w:lang w:eastAsia="zh-CN"/>
        </w:rPr>
        <w:t>的</w:t>
      </w:r>
      <w:r w:rsidRPr="00EC3B16">
        <w:rPr>
          <w:rFonts w:ascii="宋体" w:hAnsi="宋体"/>
          <w:bCs/>
          <w:sz w:val="24"/>
          <w:lang w:eastAsia="zh-CN"/>
        </w:rPr>
        <w:t>权利与义务</w:t>
      </w:r>
    </w:p>
    <w:p w14:paraId="4F5D38E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65D5787"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同一类别每份基金份额具有同等的合法权益。</w:t>
      </w:r>
    </w:p>
    <w:p w14:paraId="05F3ACD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1、根据《基金法》、《运作办法》及其他有关规定，基金份额持有人的权利包括但不限于：</w:t>
      </w:r>
    </w:p>
    <w:p w14:paraId="7039681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（1）分享基金财产收益；</w:t>
      </w:r>
    </w:p>
    <w:p w14:paraId="655A89C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（2）参与分配清算后的剩余基金财产；</w:t>
      </w:r>
    </w:p>
    <w:p w14:paraId="5D6562B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（3）依法转让或者申请赎回其持有的基金份额；</w:t>
      </w:r>
    </w:p>
    <w:p w14:paraId="1588561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（4）按照规定要求召开基金份额持有人大会或者召集基金份额持有人大会；</w:t>
      </w:r>
    </w:p>
    <w:p w14:paraId="2A5B0A1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（5）出席或者委派代表出席基金份额持有人大会，对基金份额持有人大会审议事项行使表决权；</w:t>
      </w:r>
    </w:p>
    <w:p w14:paraId="019E0EF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（6）查阅或者复制公开披露的基金信息资料；</w:t>
      </w:r>
    </w:p>
    <w:p w14:paraId="27B1A71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（7）监督基金管理人的投资运作；</w:t>
      </w:r>
    </w:p>
    <w:p w14:paraId="656443D8"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（8）对基金管理人、基金托管人、基金服务机构损害其合法权益的行为依法提起诉讼或仲裁；</w:t>
      </w:r>
    </w:p>
    <w:p w14:paraId="528BB20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（9）法律法规及中国证监会规定的和《基金合同》约定的其他权利。</w:t>
      </w:r>
    </w:p>
    <w:p w14:paraId="5439EF77"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2、根据《基金法》、《运作办法》及其他有关规定，基金份额持有人的义务包括但不限于：</w:t>
      </w:r>
    </w:p>
    <w:p w14:paraId="4DA48D2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（1）认真阅读并遵守《基金合同》、招募说明书及基金产品资料概要等信息披露文件；</w:t>
      </w:r>
    </w:p>
    <w:p w14:paraId="3CC82B1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（2）了解所投资基金产品，了解自身风险承受能力，自主判断基金的投资价值，自主做出投资决策，自行承担投资风险；</w:t>
      </w:r>
    </w:p>
    <w:p w14:paraId="66292ED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（3）关注基金信息披露，及时行使权利和履行义务；</w:t>
      </w:r>
    </w:p>
    <w:p w14:paraId="54F633F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（4）交纳基金认购、申购款项及法律法规和《基金合同》所规定的费用；</w:t>
      </w:r>
    </w:p>
    <w:p w14:paraId="0434400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（5）在其持有的基金份额范围内，承担基金亏损或者《基金合同》终止的有限责任；</w:t>
      </w:r>
    </w:p>
    <w:p w14:paraId="638845D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（6）不从事任何有损基金及其他《基金合同》当事人合法权益的活动；</w:t>
      </w:r>
    </w:p>
    <w:p w14:paraId="7DEB72DC"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（7）执行生效的基金份额持有人大会的决议；</w:t>
      </w:r>
    </w:p>
    <w:p w14:paraId="4CA25F8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（8）返还在基金交易过程中因任何原因获得的不当得利；</w:t>
      </w:r>
    </w:p>
    <w:p w14:paraId="0C369BD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hint="eastAsia"/>
          <w:bCs/>
          <w:sz w:val="24"/>
          <w:lang w:eastAsia="zh-CN"/>
        </w:rPr>
        <w:t>（9）发起资金提供方持有认购的基金份额不少于3年，法律法规或监管机构另有规定的，从其规定；</w:t>
      </w:r>
    </w:p>
    <w:p w14:paraId="2604BDD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（10）法律法规及中国证监会规定的和《基金合同》约定的其他义务。</w:t>
      </w:r>
    </w:p>
    <w:p w14:paraId="1EF32F21" w14:textId="77777777" w:rsidR="004154D1" w:rsidRPr="00EC3B16" w:rsidRDefault="004154D1" w:rsidP="00EC3B16">
      <w:pPr>
        <w:spacing w:line="360" w:lineRule="auto"/>
        <w:ind w:firstLine="480"/>
        <w:jc w:val="both"/>
        <w:rPr>
          <w:rFonts w:ascii="宋体" w:hAnsi="宋体"/>
          <w:bCs/>
          <w:sz w:val="24"/>
          <w:lang w:eastAsia="zh-CN"/>
        </w:rPr>
      </w:pPr>
    </w:p>
    <w:p w14:paraId="7263D8E8"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二、基金份额持有人大会召集、议事及表决的程序和规则</w:t>
      </w:r>
    </w:p>
    <w:p w14:paraId="7B8526E7"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（一）</w:t>
      </w:r>
      <w:r w:rsidRPr="00EC3B16">
        <w:rPr>
          <w:rFonts w:ascii="宋体" w:hAnsi="宋体"/>
          <w:bCs/>
          <w:sz w:val="24"/>
          <w:lang w:eastAsia="zh-CN"/>
        </w:rPr>
        <w:t>召开事由</w:t>
      </w:r>
    </w:p>
    <w:p w14:paraId="3E32580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w:t>
      </w:r>
      <w:r w:rsidRPr="00EC3B16">
        <w:rPr>
          <w:rFonts w:ascii="宋体" w:hAnsi="宋体" w:hint="eastAsia"/>
          <w:bCs/>
          <w:sz w:val="24"/>
          <w:lang w:eastAsia="zh-CN"/>
        </w:rPr>
        <w:t>除法律法规和中国证监会另有规定或《基金合同》另有约定外，</w:t>
      </w:r>
      <w:r w:rsidRPr="00EC3B16">
        <w:rPr>
          <w:rFonts w:ascii="宋体" w:hAnsi="宋体"/>
          <w:bCs/>
          <w:sz w:val="24"/>
          <w:lang w:eastAsia="zh-CN"/>
        </w:rPr>
        <w:t>当出现或需要决定下列事由之一的，应当召开基金份额持有人大会：</w:t>
      </w:r>
    </w:p>
    <w:p w14:paraId="2C6855AB"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（1）终止《基金合同》；</w:t>
      </w:r>
    </w:p>
    <w:p w14:paraId="39AB596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（2）更换基金管理人；</w:t>
      </w:r>
    </w:p>
    <w:p w14:paraId="7D9103C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（3）更换基金托管人；</w:t>
      </w:r>
    </w:p>
    <w:p w14:paraId="3F49E65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（4）转换基金运作方式；</w:t>
      </w:r>
    </w:p>
    <w:p w14:paraId="11159E2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w:t>
      </w:r>
      <w:r w:rsidRPr="00EC3B16">
        <w:rPr>
          <w:rFonts w:ascii="宋体" w:hAnsi="宋体" w:hint="eastAsia"/>
          <w:bCs/>
          <w:sz w:val="24"/>
          <w:lang w:eastAsia="zh-CN"/>
        </w:rPr>
        <w:t>提高</w:t>
      </w:r>
      <w:r w:rsidRPr="00EC3B16">
        <w:rPr>
          <w:rFonts w:ascii="宋体" w:hAnsi="宋体"/>
          <w:bCs/>
          <w:sz w:val="24"/>
          <w:lang w:eastAsia="zh-CN"/>
        </w:rPr>
        <w:t>基金管理人、基金托管人的报酬标准或提高销售服务费；</w:t>
      </w:r>
    </w:p>
    <w:p w14:paraId="0560E0C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（6）变更基金类别；</w:t>
      </w:r>
    </w:p>
    <w:p w14:paraId="709C55B5"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（7）本基金与其他基金的合并；</w:t>
      </w:r>
    </w:p>
    <w:p w14:paraId="38910707"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（8）变更基金投资目标、范围或策略；</w:t>
      </w:r>
    </w:p>
    <w:p w14:paraId="2EC75E3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（9）变更基金份额持有人大会程序；</w:t>
      </w:r>
    </w:p>
    <w:p w14:paraId="3175AF6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（10）基金管理人或基金托管人要求召开基金份额持有人大会；</w:t>
      </w:r>
    </w:p>
    <w:p w14:paraId="0AD608D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（11）单独或合计持有本基金总份额10%以上（含10%）基金份额的基金份额持有人（以基金管理人收到提议当日的基金份额计算，下同）就同一事项书面要求召开基金份额持有人大会；</w:t>
      </w:r>
    </w:p>
    <w:p w14:paraId="501CCE9B"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（12）对基金合同当事人权利和义务产生重大影响的其他事项；</w:t>
      </w:r>
    </w:p>
    <w:p w14:paraId="7C2EEF3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（13）法律法规、《基金合同》或中国证监会规定的其他应当召开基金份额持有人大会的事项。</w:t>
      </w:r>
    </w:p>
    <w:p w14:paraId="2F9CFCA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2、在法律法规规定和《基金合同》约定的范围内且在对基金份额持有人利益无实质性不利影响的前提下，以下情况可由基金管理人和基金托管人协商后修改，不需召开基金份额持有人大会：</w:t>
      </w:r>
    </w:p>
    <w:p w14:paraId="3496936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（1）法律法规要求增加的基金费用的收取；</w:t>
      </w:r>
    </w:p>
    <w:p w14:paraId="0FA28BE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（2）调整本基金的申购费率、调低销售服务费或降低赎回费、变更收费方式；</w:t>
      </w:r>
    </w:p>
    <w:p w14:paraId="69DCCA98"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（3）停止现有基金份额类别的销售、调整现有基金份额类别的费率水平、或者增加新的基金份额类别等；</w:t>
      </w:r>
    </w:p>
    <w:p w14:paraId="5655083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（4）基金管理人、登记机构、基金销售机构调整有关基金认购、申购、赎回、转换、非交易过户、转托管等业务规则；</w:t>
      </w:r>
    </w:p>
    <w:p w14:paraId="17297F3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（5）基金推出新业务或服务；</w:t>
      </w:r>
    </w:p>
    <w:p w14:paraId="2E01911C"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（6）因相应的法律法规发生变动而应当对《基金合同》进行修改；</w:t>
      </w:r>
    </w:p>
    <w:p w14:paraId="0D28A0E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（7）对《基金合同》的修改对基金份额持有人利益无实质性不利影响或修改不涉及《基金合同》当事人权利义务关系发生重大变化；</w:t>
      </w:r>
    </w:p>
    <w:p w14:paraId="6AB0E367"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（8）按照法律法规和《基金合同》规定不需召开基金份额持有人大会的其他情形。</w:t>
      </w:r>
    </w:p>
    <w:p w14:paraId="1F10D670"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lastRenderedPageBreak/>
        <w:t>（二）</w:t>
      </w:r>
      <w:r w:rsidRPr="00EC3B16">
        <w:rPr>
          <w:rFonts w:ascii="宋体" w:hAnsi="宋体"/>
          <w:bCs/>
          <w:sz w:val="24"/>
          <w:lang w:eastAsia="zh-CN"/>
        </w:rPr>
        <w:t>会议召集人及召集方式</w:t>
      </w:r>
    </w:p>
    <w:p w14:paraId="63FF4F5E"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1、除法律法规规定或《基金合同》另有约定外，基金份额持有人大会由基金管理人召集。</w:t>
      </w:r>
    </w:p>
    <w:p w14:paraId="5494AA5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2、基金管理人未按规定召集或不能召集时，由基金托管人召集。</w:t>
      </w:r>
    </w:p>
    <w:p w14:paraId="665748E8"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3D94D7CE"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1227C66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AF39C6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6、基金份额持有人会议的召集人负责选择确定开会时间、地点、方式和权益登记日。</w:t>
      </w:r>
    </w:p>
    <w:p w14:paraId="0EC44210"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（三）</w:t>
      </w:r>
      <w:r w:rsidRPr="00EC3B16">
        <w:rPr>
          <w:rFonts w:ascii="宋体" w:hAnsi="宋体"/>
          <w:bCs/>
          <w:sz w:val="24"/>
          <w:lang w:eastAsia="zh-CN"/>
        </w:rPr>
        <w:t>召开基金份额持有人大会的通知时间、通知内容、通知方式</w:t>
      </w:r>
    </w:p>
    <w:p w14:paraId="1A271218"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1、召开基金份额持有人大会，召集人应于会议召开前30日，在规定媒介公告。基金份额持有人大会通知应至少载明以下内容：</w:t>
      </w:r>
    </w:p>
    <w:p w14:paraId="67EDD19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（1）会议召开的时间、地点和会议形式；</w:t>
      </w:r>
    </w:p>
    <w:p w14:paraId="298FB5B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（2）会议拟审议的事项、议事程序和表决方式；</w:t>
      </w:r>
    </w:p>
    <w:p w14:paraId="093B68CE"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（3）有权出席基金份额持有人大会的基金份额持有人的权益登记日；</w:t>
      </w:r>
    </w:p>
    <w:p w14:paraId="47305E35"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（4）授权委托证明的内容要求（包括但不限于代理人身份，代理权限和代理有效期限等）、送达时间和地点；</w:t>
      </w:r>
    </w:p>
    <w:p w14:paraId="259AFA0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（5）会务常设联系人姓名及联系电话；</w:t>
      </w:r>
    </w:p>
    <w:p w14:paraId="4576080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（6）出席会议者必须准备的文件和必须履行的手续；</w:t>
      </w:r>
    </w:p>
    <w:p w14:paraId="5C1DC9B5"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（7）召集人需要通知的其他事项。</w:t>
      </w:r>
    </w:p>
    <w:p w14:paraId="7DCFF93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E97E83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4B3E23E"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（四）</w:t>
      </w:r>
      <w:r w:rsidRPr="00EC3B16">
        <w:rPr>
          <w:rFonts w:ascii="宋体" w:hAnsi="宋体"/>
          <w:bCs/>
          <w:sz w:val="24"/>
          <w:lang w:eastAsia="zh-CN"/>
        </w:rPr>
        <w:t>基金份额持有人出席会议的方式</w:t>
      </w:r>
    </w:p>
    <w:p w14:paraId="53FB25B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基金份额持有人大会可通过现场开会方式、通讯开会方式或法律法规、监管机构允许的其他方式召开，会议的召开方式由会议召集人确定。</w:t>
      </w:r>
    </w:p>
    <w:p w14:paraId="64E2920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30816D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86208B5"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73F4DB3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138B00E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在同时符合以下条件时，通讯开会的方式视为有效：</w:t>
      </w:r>
    </w:p>
    <w:p w14:paraId="56ADBC9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（1）会议召集人按《基金合同》约定公布会议通知后，在2个工作日内连续公布相关提示性公告；</w:t>
      </w:r>
    </w:p>
    <w:p w14:paraId="6228A23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BE38B5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14:paraId="736487E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w:t>
      </w:r>
      <w:r w:rsidRPr="00EC3B16">
        <w:rPr>
          <w:rFonts w:ascii="宋体" w:hAnsi="宋体"/>
          <w:bCs/>
          <w:sz w:val="24"/>
          <w:lang w:eastAsia="zh-CN"/>
        </w:rPr>
        <w:lastRenderedPageBreak/>
        <w:t>明符合法律法规、《基金合同》和会议通知的规定，并与基金登记机构记录相符。</w:t>
      </w:r>
    </w:p>
    <w:p w14:paraId="72BD9A5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p>
    <w:p w14:paraId="6ED66F6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w:t>
      </w:r>
      <w:r w:rsidRPr="00EC3B16">
        <w:rPr>
          <w:rFonts w:ascii="宋体" w:hAnsi="宋体" w:hint="eastAsia"/>
          <w:bCs/>
          <w:sz w:val="24"/>
          <w:lang w:eastAsia="zh-CN"/>
        </w:rPr>
        <w:t>在法律法规和监管机关允许的情况下，基金份额持有人可以采用纸质、网络、电话、短信或其他方式进行表决，也可以采用纸质、网络、电话、短信或其他方式授权他人代为出席会议并表决，具体方式由会议召集人确定并在会议通知中列明。</w:t>
      </w:r>
    </w:p>
    <w:p w14:paraId="337C384E"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（五）</w:t>
      </w:r>
      <w:r w:rsidRPr="00EC3B16">
        <w:rPr>
          <w:rFonts w:ascii="宋体" w:hAnsi="宋体"/>
          <w:bCs/>
          <w:sz w:val="24"/>
          <w:lang w:eastAsia="zh-CN"/>
        </w:rPr>
        <w:t>议事内容与程序</w:t>
      </w:r>
    </w:p>
    <w:p w14:paraId="3F88CE3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1、议事内容及提案权</w:t>
      </w:r>
    </w:p>
    <w:p w14:paraId="7E5D0C6B"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2B2544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基金份额持有人大会的召集人发出召集会议的通知后，对原有提案的修改应当在基金份额持有人大会召开前及时公告。</w:t>
      </w:r>
    </w:p>
    <w:p w14:paraId="1E58789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基金份额持有人大会不得对未事先公告的议事内容进行表决。</w:t>
      </w:r>
    </w:p>
    <w:p w14:paraId="43182827"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2、议事程序</w:t>
      </w:r>
    </w:p>
    <w:p w14:paraId="10C9497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（1）现场开会</w:t>
      </w:r>
    </w:p>
    <w:p w14:paraId="151355C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在现场开会的方式下，首先由大会主持人按照下列第</w:t>
      </w:r>
      <w:r w:rsidR="00160924">
        <w:rPr>
          <w:rFonts w:ascii="宋体" w:hAnsi="宋体" w:hint="eastAsia"/>
          <w:bCs/>
          <w:sz w:val="24"/>
          <w:lang w:eastAsia="zh-CN"/>
        </w:rPr>
        <w:t>（</w:t>
      </w:r>
      <w:r w:rsidRPr="00EC3B16">
        <w:rPr>
          <w:rFonts w:ascii="宋体" w:hAnsi="宋体"/>
          <w:bCs/>
          <w:sz w:val="24"/>
          <w:lang w:eastAsia="zh-CN"/>
        </w:rPr>
        <w:t>七</w:t>
      </w:r>
      <w:r w:rsidR="00160924">
        <w:rPr>
          <w:rFonts w:ascii="宋体" w:hAnsi="宋体" w:hint="eastAsia"/>
          <w:bCs/>
          <w:sz w:val="24"/>
          <w:lang w:eastAsia="zh-CN"/>
        </w:rPr>
        <w:t>）</w:t>
      </w:r>
      <w:r w:rsidRPr="00EC3B16">
        <w:rPr>
          <w:rFonts w:ascii="宋体" w:hAnsi="宋体"/>
          <w:bCs/>
          <w:sz w:val="24"/>
          <w:lang w:eastAsia="zh-CN"/>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w:t>
      </w:r>
      <w:r w:rsidRPr="00EC3B16">
        <w:rPr>
          <w:rFonts w:ascii="宋体" w:hAnsi="宋体"/>
          <w:bCs/>
          <w:sz w:val="24"/>
          <w:lang w:eastAsia="zh-CN"/>
        </w:rPr>
        <w:lastRenderedPageBreak/>
        <w:t>托管人拒不出席或主持基金份额持有人大会，不影响基金份额持有人大会作出的决议的效力。</w:t>
      </w:r>
    </w:p>
    <w:p w14:paraId="21CDC7EC"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会议召集人应当制作出席会议人员的签名册。签名册载明参加会议人员姓名（或单位名称）、身份证明文件号码、持有或代表有表决权的基金份额、委托人姓名（或单位名称）和联系方式等事项。</w:t>
      </w:r>
    </w:p>
    <w:p w14:paraId="6E7B7768"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（2）通讯开会</w:t>
      </w:r>
    </w:p>
    <w:p w14:paraId="11A0C65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在通讯开会的情况下，首先由召集人提前30日公布提案，在所通知的表决截止日期后2个工作日内在公证机关监督下由召集人统计全部有效表决，在公证机关监督下形成决议。</w:t>
      </w:r>
    </w:p>
    <w:p w14:paraId="5FE5F7A8"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（六）</w:t>
      </w:r>
      <w:r w:rsidRPr="00EC3B16">
        <w:rPr>
          <w:rFonts w:ascii="宋体" w:hAnsi="宋体"/>
          <w:bCs/>
          <w:sz w:val="24"/>
          <w:lang w:eastAsia="zh-CN"/>
        </w:rPr>
        <w:t>表决</w:t>
      </w:r>
    </w:p>
    <w:p w14:paraId="145AD22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基金份额持有人所持每份基金份额有一票表决权。</w:t>
      </w:r>
    </w:p>
    <w:p w14:paraId="7B3C1D9E"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基金份额持有人大会决议分为一般决议和特别决议：</w:t>
      </w:r>
    </w:p>
    <w:p w14:paraId="4C492A3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2DE6391B"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2、特别决议，特别决议应当经参加大会的基金份额持有人或其代理人所持表决权的三分之二以上（含三分之二）通过方可做出。</w:t>
      </w:r>
      <w:r w:rsidRPr="00EC3B16">
        <w:rPr>
          <w:rFonts w:ascii="宋体" w:hAnsi="宋体" w:hint="eastAsia"/>
          <w:bCs/>
          <w:sz w:val="24"/>
          <w:lang w:eastAsia="zh-CN"/>
        </w:rPr>
        <w:t>除《基金合同》另有约定外，</w:t>
      </w:r>
      <w:r w:rsidRPr="00EC3B16">
        <w:rPr>
          <w:rFonts w:ascii="宋体" w:hAnsi="宋体"/>
          <w:bCs/>
          <w:sz w:val="24"/>
          <w:lang w:eastAsia="zh-CN"/>
        </w:rPr>
        <w:t>转换基金运作方式、更换基金管理人或者基金托管人、终止《基金合同》、本基金与其他基金合并以特别决议通过方为有效。</w:t>
      </w:r>
    </w:p>
    <w:p w14:paraId="74299D9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基金份额持有人大会采取记名方式进行投票表决。</w:t>
      </w:r>
    </w:p>
    <w:p w14:paraId="7B8EBEEE"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E3FA90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基金份额持有人大会的各项提案或同一项提案内并列的各项议题应当分开审议、逐项表决。</w:t>
      </w:r>
    </w:p>
    <w:p w14:paraId="5B4408B2"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（七）</w:t>
      </w:r>
      <w:r w:rsidRPr="00EC3B16">
        <w:rPr>
          <w:rFonts w:ascii="宋体" w:hAnsi="宋体"/>
          <w:bCs/>
          <w:sz w:val="24"/>
          <w:lang w:eastAsia="zh-CN"/>
        </w:rPr>
        <w:t>计票</w:t>
      </w:r>
    </w:p>
    <w:p w14:paraId="5C0E735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1、现场开会</w:t>
      </w:r>
    </w:p>
    <w:p w14:paraId="316CF42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BDE700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（2）监票人应当在基金份额持有人表决后立即进行清点并由大会主持人当场公布计票结果。</w:t>
      </w:r>
    </w:p>
    <w:p w14:paraId="5F7D894C"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E091BF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（4）计票过程应由公证机关予以公证，基金管理人或基金托管人拒不出席大会的，不影响计票的效力。</w:t>
      </w:r>
    </w:p>
    <w:p w14:paraId="6E83FB5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2、通讯开会</w:t>
      </w:r>
    </w:p>
    <w:p w14:paraId="584E6CF5"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3B6D4EF"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（八）</w:t>
      </w:r>
      <w:r w:rsidRPr="00EC3B16">
        <w:rPr>
          <w:rFonts w:ascii="宋体" w:hAnsi="宋体"/>
          <w:bCs/>
          <w:sz w:val="24"/>
          <w:lang w:eastAsia="zh-CN"/>
        </w:rPr>
        <w:t>生效与公告</w:t>
      </w:r>
    </w:p>
    <w:p w14:paraId="2813BE2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基金份额持有人大会的决议，召集人应当自通过之日起5日内报中国证监会备案。</w:t>
      </w:r>
    </w:p>
    <w:p w14:paraId="187386A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基金份额持有人大会的决议自表决通过之日起生效。</w:t>
      </w:r>
    </w:p>
    <w:p w14:paraId="2301D1B8"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基金份额持有人大会决议自生效之日起2日内在规定媒介上公告。如果采用通讯方式进行表决，在公告基金份额持有人大会决议时，必须将公证书全文、公证机构、公证员姓名等一同公告。</w:t>
      </w:r>
    </w:p>
    <w:p w14:paraId="17D74EE5"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39FA72DF"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（九）</w:t>
      </w:r>
      <w:r w:rsidRPr="00EC3B16">
        <w:rPr>
          <w:rFonts w:ascii="宋体" w:hAnsi="宋体"/>
          <w:bCs/>
          <w:sz w:val="24"/>
          <w:lang w:eastAsia="zh-CN"/>
        </w:rPr>
        <w:t>实施侧袋机制期间基金份额持有人大会的特殊约定</w:t>
      </w:r>
    </w:p>
    <w:p w14:paraId="58159A05"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FC296D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1、基金份额持有人行使提议权、召集权、提名权所需单独或合计代表相关基金份额10%以上（含10%）；</w:t>
      </w:r>
    </w:p>
    <w:p w14:paraId="7720CA6E"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2、现场开会的到会者在权益登记日代表的基金份额不少于本基金在权益登记日相关基金份额的二分之一（含二分之一）；</w:t>
      </w:r>
    </w:p>
    <w:p w14:paraId="4002DD7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3、通讯开会的直接出具书面意见或授权他人代表出具书面意见的基金份额持有人所持有的基金份额不小于在权益登记日相关基金份额的二分之一（含二分之一）；</w:t>
      </w:r>
    </w:p>
    <w:p w14:paraId="48F7E43E"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8FC049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5、现场开会由出席大会的基金份额持有人和代理人所持表决权的50%以上（含50%）选举产生一名基金份额持有人作为该次基金份额持有人大会的主持人；</w:t>
      </w:r>
    </w:p>
    <w:p w14:paraId="2748646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6、一般决议须经参加大会的基金份额持有人或其代理人所持表决权的二分之一以上（含二分之一）通过；</w:t>
      </w:r>
    </w:p>
    <w:p w14:paraId="1F3FA31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7、特别决议应当经参加大会的基金份额持有人或其代理人所持表决权的三分之二以上（含三分之二）通过。</w:t>
      </w:r>
    </w:p>
    <w:p w14:paraId="675FCE77"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hint="eastAsia"/>
          <w:bCs/>
          <w:sz w:val="24"/>
          <w:lang w:eastAsia="zh-CN"/>
        </w:rPr>
        <w:t>侧袋机制实施期间，基金份额持有人大会审议事项涉及主袋账户和侧袋账户的，应分别由主袋账户、侧袋账户的基金份额持有人进行表决，</w:t>
      </w:r>
      <w:r w:rsidRPr="00EC3B16">
        <w:rPr>
          <w:rFonts w:ascii="宋体" w:hAnsi="宋体"/>
          <w:bCs/>
          <w:sz w:val="24"/>
          <w:lang w:eastAsia="zh-CN"/>
        </w:rPr>
        <w:t>同一主侧袋</w:t>
      </w:r>
      <w:r w:rsidRPr="00EC3B16">
        <w:rPr>
          <w:rFonts w:ascii="宋体" w:hAnsi="宋体"/>
          <w:bCs/>
          <w:sz w:val="24"/>
          <w:lang w:eastAsia="zh-CN"/>
        </w:rPr>
        <w:lastRenderedPageBreak/>
        <w:t>账户内的每份基金份额具有平等的表决权</w:t>
      </w:r>
      <w:r w:rsidRPr="00EC3B16">
        <w:rPr>
          <w:rFonts w:ascii="宋体" w:hAnsi="宋体" w:hint="eastAsia"/>
          <w:bCs/>
          <w:sz w:val="24"/>
          <w:lang w:eastAsia="zh-CN"/>
        </w:rPr>
        <w:t>；表决事项未涉及侧袋账户的，侧袋账户份额无表决权</w:t>
      </w:r>
      <w:r w:rsidRPr="00EC3B16">
        <w:rPr>
          <w:rFonts w:ascii="宋体" w:hAnsi="宋体"/>
          <w:bCs/>
          <w:sz w:val="24"/>
          <w:lang w:eastAsia="zh-CN"/>
        </w:rPr>
        <w:t>。</w:t>
      </w:r>
    </w:p>
    <w:p w14:paraId="61809EC5"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（十）</w:t>
      </w:r>
      <w:r w:rsidR="00D22677" w:rsidRPr="00EC3B16">
        <w:rPr>
          <w:rFonts w:ascii="宋体" w:hAnsi="宋体"/>
          <w:bCs/>
          <w:sz w:val="24"/>
          <w:lang w:eastAsia="zh-CN"/>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E57C8DB" w14:textId="77777777" w:rsidR="004154D1" w:rsidRPr="00EC3B16" w:rsidRDefault="004154D1" w:rsidP="00EC3B16">
      <w:pPr>
        <w:spacing w:line="360" w:lineRule="auto"/>
        <w:ind w:firstLine="480"/>
        <w:jc w:val="both"/>
        <w:rPr>
          <w:rFonts w:ascii="宋体" w:hAnsi="宋体"/>
          <w:bCs/>
          <w:sz w:val="24"/>
          <w:lang w:eastAsia="zh-CN"/>
        </w:rPr>
      </w:pPr>
    </w:p>
    <w:p w14:paraId="28C13281"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三、基金收益分配原则、执行方式</w:t>
      </w:r>
    </w:p>
    <w:p w14:paraId="16BB5A81"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（一）</w:t>
      </w:r>
      <w:r w:rsidRPr="00EC3B16">
        <w:rPr>
          <w:rFonts w:ascii="宋体" w:hAnsi="宋体"/>
          <w:bCs/>
          <w:sz w:val="24"/>
          <w:lang w:eastAsia="zh-CN"/>
        </w:rPr>
        <w:t>基金利润的构成</w:t>
      </w:r>
    </w:p>
    <w:p w14:paraId="2C8BBFF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基金利润指基金利息收入、投资收益、公允价值变动收益和其他收入扣除相关费用后的余额，基金已实现收益指基金利润减去公允价值变动收益后的余额。</w:t>
      </w:r>
    </w:p>
    <w:p w14:paraId="08500395"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（二）</w:t>
      </w:r>
      <w:r w:rsidRPr="00EC3B16">
        <w:rPr>
          <w:rFonts w:ascii="宋体" w:hAnsi="宋体"/>
          <w:bCs/>
          <w:sz w:val="24"/>
          <w:lang w:eastAsia="zh-CN"/>
        </w:rPr>
        <w:t>基金可供分配利润</w:t>
      </w:r>
    </w:p>
    <w:p w14:paraId="00A61BF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基金可供分配利润指截至收益分配基准日基金未分配利润与未分配利润中已实现收益的孰低数。</w:t>
      </w:r>
    </w:p>
    <w:p w14:paraId="7F8C5681"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（三）</w:t>
      </w:r>
      <w:r w:rsidRPr="00EC3B16">
        <w:rPr>
          <w:rFonts w:ascii="宋体" w:hAnsi="宋体"/>
          <w:bCs/>
          <w:sz w:val="24"/>
          <w:lang w:eastAsia="zh-CN"/>
        </w:rPr>
        <w:t>基金收益分配原则</w:t>
      </w:r>
    </w:p>
    <w:p w14:paraId="45DF8967"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1、在符合有关基金分红条件的前提下，本基金管理人可以根据实际情况进行收益分配，具体分配方案以公告为准，若《基金合同》生效不满3个月可不进行收益分配；</w:t>
      </w:r>
    </w:p>
    <w:p w14:paraId="2BA7011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2、本基金收益分配方式分两种：现金分红与红利再投资，投资者可选择现金红利或将现金红利自动转为相应类别的基金份额进行再投资；若投资者不选择，本基金默认的收益分配方式是现金分红；</w:t>
      </w:r>
    </w:p>
    <w:p w14:paraId="40E0E26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3、基金收益分配后两类基金份额净值不能低于面值，即基金收益分配基准日的两类基金份额净值</w:t>
      </w:r>
      <w:r w:rsidRPr="00EC3B16">
        <w:rPr>
          <w:rFonts w:ascii="宋体" w:hAnsi="宋体" w:hint="eastAsia"/>
          <w:bCs/>
          <w:sz w:val="24"/>
          <w:lang w:eastAsia="zh-CN"/>
        </w:rPr>
        <w:t>各自</w:t>
      </w:r>
      <w:r w:rsidRPr="00EC3B16">
        <w:rPr>
          <w:rFonts w:ascii="宋体" w:hAnsi="宋体"/>
          <w:bCs/>
          <w:sz w:val="24"/>
          <w:lang w:eastAsia="zh-CN"/>
        </w:rPr>
        <w:t>减去</w:t>
      </w:r>
      <w:r w:rsidRPr="00EC3B16">
        <w:rPr>
          <w:rFonts w:ascii="宋体" w:hAnsi="宋体" w:hint="eastAsia"/>
          <w:bCs/>
          <w:sz w:val="24"/>
          <w:lang w:eastAsia="zh-CN"/>
        </w:rPr>
        <w:t>对应</w:t>
      </w:r>
      <w:r w:rsidRPr="00EC3B16">
        <w:rPr>
          <w:rFonts w:ascii="宋体" w:hAnsi="宋体"/>
          <w:bCs/>
          <w:sz w:val="24"/>
          <w:lang w:eastAsia="zh-CN"/>
        </w:rPr>
        <w:t>每单位基金份额收益分配金额后</w:t>
      </w:r>
      <w:r w:rsidRPr="00EC3B16">
        <w:rPr>
          <w:rFonts w:ascii="宋体" w:hAnsi="宋体" w:hint="eastAsia"/>
          <w:bCs/>
          <w:sz w:val="24"/>
          <w:lang w:eastAsia="zh-CN"/>
        </w:rPr>
        <w:t>均</w:t>
      </w:r>
      <w:r w:rsidRPr="00EC3B16">
        <w:rPr>
          <w:rFonts w:ascii="宋体" w:hAnsi="宋体"/>
          <w:bCs/>
          <w:sz w:val="24"/>
          <w:lang w:eastAsia="zh-CN"/>
        </w:rPr>
        <w:t>不能低于面值；</w:t>
      </w:r>
    </w:p>
    <w:p w14:paraId="0E5AABF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4、本基金两类基金份额在费用收取上不同，其对应的可分配收益可能有所不同。本基金同一类别的每一基金份额享有同等收益分配权；</w:t>
      </w:r>
    </w:p>
    <w:p w14:paraId="4782EF3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5、法律法规或监管机关另有规定的，从其规定。</w:t>
      </w:r>
    </w:p>
    <w:p w14:paraId="051F6FA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在不违反法律法规且对基金份额持有人利益无实质性不利影响的前提下，基金管理人经与基金托管人协商一致，可对基金收益分配的有关业务规则进行调整，并及时公告。</w:t>
      </w:r>
    </w:p>
    <w:p w14:paraId="220AA093"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（四）</w:t>
      </w:r>
      <w:r w:rsidRPr="00EC3B16">
        <w:rPr>
          <w:rFonts w:ascii="宋体" w:hAnsi="宋体"/>
          <w:bCs/>
          <w:sz w:val="24"/>
          <w:lang w:eastAsia="zh-CN"/>
        </w:rPr>
        <w:t>收益分配方案</w:t>
      </w:r>
    </w:p>
    <w:p w14:paraId="0CBEF18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基金收益分配方案中应载明截</w:t>
      </w:r>
      <w:r w:rsidRPr="00EC3B16">
        <w:rPr>
          <w:rFonts w:ascii="宋体" w:hAnsi="宋体" w:hint="eastAsia"/>
          <w:bCs/>
          <w:sz w:val="24"/>
          <w:lang w:eastAsia="zh-CN"/>
        </w:rPr>
        <w:t>至</w:t>
      </w:r>
      <w:r w:rsidRPr="00EC3B16">
        <w:rPr>
          <w:rFonts w:ascii="宋体" w:hAnsi="宋体"/>
          <w:bCs/>
          <w:sz w:val="24"/>
          <w:lang w:eastAsia="zh-CN"/>
        </w:rPr>
        <w:t>收益分配基准日的可供分配利润、基金收益分配对象、分配时间、分配数额及比例、分配方式等内容。</w:t>
      </w:r>
    </w:p>
    <w:p w14:paraId="1443D45B"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（五）</w:t>
      </w:r>
      <w:r w:rsidRPr="00EC3B16">
        <w:rPr>
          <w:rFonts w:ascii="宋体" w:hAnsi="宋体"/>
          <w:bCs/>
          <w:sz w:val="24"/>
          <w:lang w:eastAsia="zh-CN"/>
        </w:rPr>
        <w:t>收益分配方案的确定、公告与实施</w:t>
      </w:r>
    </w:p>
    <w:p w14:paraId="09366F85"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本基金收益分配方案由基金管理人拟定，并由基金托管人复核，在2日内在规定媒介公告。</w:t>
      </w:r>
    </w:p>
    <w:p w14:paraId="0860E73C"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（六）</w:t>
      </w:r>
      <w:r w:rsidRPr="00EC3B16">
        <w:rPr>
          <w:rFonts w:ascii="宋体" w:hAnsi="宋体"/>
          <w:bCs/>
          <w:sz w:val="24"/>
          <w:lang w:eastAsia="zh-CN"/>
        </w:rPr>
        <w:t>基金收益分配中发生的费用</w:t>
      </w:r>
    </w:p>
    <w:p w14:paraId="089398D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15AC10D"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（七）</w:t>
      </w:r>
      <w:r w:rsidRPr="00EC3B16">
        <w:rPr>
          <w:rFonts w:ascii="宋体" w:hAnsi="宋体"/>
          <w:bCs/>
          <w:sz w:val="24"/>
          <w:lang w:eastAsia="zh-CN"/>
        </w:rPr>
        <w:t>实施侧袋机制期间的收益分配</w:t>
      </w:r>
    </w:p>
    <w:p w14:paraId="31ACE6DE"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本基金实施侧袋机制的，侧袋账户不进行收益分配，详见招募说明书的规定。</w:t>
      </w:r>
    </w:p>
    <w:p w14:paraId="51218FA4" w14:textId="77777777" w:rsidR="004154D1" w:rsidRPr="00EC3B16" w:rsidRDefault="004154D1" w:rsidP="00EC3B16">
      <w:pPr>
        <w:spacing w:line="360" w:lineRule="auto"/>
        <w:ind w:firstLine="480"/>
        <w:jc w:val="both"/>
        <w:rPr>
          <w:rFonts w:ascii="宋体" w:hAnsi="宋体"/>
          <w:bCs/>
          <w:sz w:val="24"/>
          <w:lang w:eastAsia="zh-CN"/>
        </w:rPr>
      </w:pPr>
    </w:p>
    <w:p w14:paraId="0F905AE0"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四、与基金财产管理、运用有关费用的提取、支付方式与比例</w:t>
      </w:r>
    </w:p>
    <w:p w14:paraId="2FFB041D"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（一）</w:t>
      </w:r>
      <w:r w:rsidRPr="00EC3B16">
        <w:rPr>
          <w:rFonts w:ascii="宋体" w:hAnsi="宋体"/>
          <w:bCs/>
          <w:sz w:val="24"/>
          <w:lang w:eastAsia="zh-CN"/>
        </w:rPr>
        <w:t>基金费用的种类</w:t>
      </w:r>
    </w:p>
    <w:p w14:paraId="4BD9A3F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1、基金管理人的管理费；</w:t>
      </w:r>
    </w:p>
    <w:p w14:paraId="777486A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2、基金托管人的托管费；</w:t>
      </w:r>
    </w:p>
    <w:p w14:paraId="4C5FD1B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3、销售服务费；</w:t>
      </w:r>
    </w:p>
    <w:p w14:paraId="12FE751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4、《基金合同》生效后与基金相关的信息披露费用；</w:t>
      </w:r>
    </w:p>
    <w:p w14:paraId="46DDB72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5、《基金合同》生效后与基金相关的会计师费、律师费、仲裁费和诉讼费；</w:t>
      </w:r>
    </w:p>
    <w:p w14:paraId="42C788C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6、基金份额持有人大会费用；</w:t>
      </w:r>
    </w:p>
    <w:p w14:paraId="7BD692E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7、基金的证券/期货交易费用；</w:t>
      </w:r>
    </w:p>
    <w:p w14:paraId="71CDAD1C"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8、基金的银行汇划费用；</w:t>
      </w:r>
    </w:p>
    <w:p w14:paraId="7A76F03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9、基金的账户开户费用、账户维护费用；</w:t>
      </w:r>
    </w:p>
    <w:p w14:paraId="3FEBA27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10</w:t>
      </w:r>
      <w:r w:rsidRPr="00EC3B16">
        <w:rPr>
          <w:rFonts w:ascii="宋体" w:hAnsi="宋体" w:hint="eastAsia"/>
          <w:bCs/>
          <w:sz w:val="24"/>
          <w:lang w:eastAsia="zh-CN"/>
        </w:rPr>
        <w:t>、因投资港股通标的股票而产生的各项费用；</w:t>
      </w:r>
    </w:p>
    <w:p w14:paraId="4DC37EC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11、按照国家有关规定和《基金合同》约定，可以在基金财产中列支的其他费用。</w:t>
      </w:r>
    </w:p>
    <w:p w14:paraId="5FE354D5"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（二）</w:t>
      </w:r>
      <w:r w:rsidRPr="00EC3B16">
        <w:rPr>
          <w:rFonts w:ascii="宋体" w:hAnsi="宋体"/>
          <w:bCs/>
          <w:sz w:val="24"/>
          <w:lang w:eastAsia="zh-CN"/>
        </w:rPr>
        <w:t>基金费用计提方法、计提标准和支付方式</w:t>
      </w:r>
    </w:p>
    <w:p w14:paraId="2F3A6697"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1、基金管理人的管理费</w:t>
      </w:r>
    </w:p>
    <w:p w14:paraId="6E7E8851" w14:textId="55DDF868"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本基金的管理费按前一日基金资产净值的1.</w:t>
      </w:r>
      <w:r w:rsidR="00A3117C">
        <w:rPr>
          <w:rFonts w:ascii="宋体" w:hAnsi="宋体"/>
          <w:bCs/>
          <w:sz w:val="24"/>
          <w:lang w:eastAsia="zh-CN"/>
        </w:rPr>
        <w:t>2</w:t>
      </w:r>
      <w:r w:rsidR="00A3117C" w:rsidRPr="00EC3B16">
        <w:rPr>
          <w:rFonts w:ascii="宋体" w:hAnsi="宋体"/>
          <w:bCs/>
          <w:sz w:val="24"/>
          <w:lang w:eastAsia="zh-CN"/>
        </w:rPr>
        <w:t>0</w:t>
      </w:r>
      <w:r w:rsidRPr="00EC3B16">
        <w:rPr>
          <w:rFonts w:ascii="宋体" w:hAnsi="宋体"/>
          <w:bCs/>
          <w:sz w:val="24"/>
          <w:lang w:eastAsia="zh-CN"/>
        </w:rPr>
        <w:t>%年费率计提。管理费的计算方法如下：</w:t>
      </w:r>
    </w:p>
    <w:p w14:paraId="074086FC" w14:textId="3F8F7F8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H1＝E×1.</w:t>
      </w:r>
      <w:r w:rsidR="00A3117C">
        <w:rPr>
          <w:rFonts w:ascii="宋体" w:hAnsi="宋体"/>
          <w:bCs/>
          <w:sz w:val="24"/>
          <w:lang w:eastAsia="zh-CN"/>
        </w:rPr>
        <w:t>2</w:t>
      </w:r>
      <w:r w:rsidR="00A3117C" w:rsidRPr="00EC3B16">
        <w:rPr>
          <w:rFonts w:ascii="宋体" w:hAnsi="宋体"/>
          <w:bCs/>
          <w:sz w:val="24"/>
          <w:lang w:eastAsia="zh-CN"/>
        </w:rPr>
        <w:t>0</w:t>
      </w:r>
      <w:r w:rsidRPr="00EC3B16">
        <w:rPr>
          <w:rFonts w:ascii="宋体" w:hAnsi="宋体"/>
          <w:bCs/>
          <w:sz w:val="24"/>
          <w:lang w:eastAsia="zh-CN"/>
        </w:rPr>
        <w:t>%÷当年天数</w:t>
      </w:r>
    </w:p>
    <w:p w14:paraId="5187394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H1为每日应计提的基金管理费</w:t>
      </w:r>
    </w:p>
    <w:p w14:paraId="4BAC45E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E为前一日的基金资产净值</w:t>
      </w:r>
    </w:p>
    <w:p w14:paraId="2B03BB1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管理费每日计算，逐日累计至每月月末，按月支付，经基金管理人与基金托管人双方核对无误后，基金托管人按照与基金管理人协商一致的方式于次月前3个工作日内从基金财产中一次性支付给基金管理人。若遇法定节假日、公休假等，支付日期顺延。</w:t>
      </w:r>
    </w:p>
    <w:p w14:paraId="492C3B77"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2、基金托管人的托管费</w:t>
      </w:r>
    </w:p>
    <w:p w14:paraId="40F2183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本基金的托管费按前一日基金资产净值的0.</w:t>
      </w:r>
      <w:r>
        <w:rPr>
          <w:rFonts w:ascii="宋体" w:hAnsi="宋体"/>
          <w:bCs/>
          <w:sz w:val="24"/>
          <w:lang w:eastAsia="zh-CN"/>
        </w:rPr>
        <w:t>10</w:t>
      </w:r>
      <w:r w:rsidRPr="00EC3B16">
        <w:rPr>
          <w:rFonts w:ascii="宋体" w:hAnsi="宋体"/>
          <w:bCs/>
          <w:sz w:val="24"/>
          <w:lang w:eastAsia="zh-CN"/>
        </w:rPr>
        <w:t>%的年费率计提。托管费的计算方法如下：</w:t>
      </w:r>
    </w:p>
    <w:p w14:paraId="2298344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H2＝E×0.</w:t>
      </w:r>
      <w:r>
        <w:rPr>
          <w:rFonts w:ascii="宋体" w:hAnsi="宋体"/>
          <w:bCs/>
          <w:sz w:val="24"/>
          <w:lang w:eastAsia="zh-CN"/>
        </w:rPr>
        <w:t>10</w:t>
      </w:r>
      <w:r w:rsidRPr="00EC3B16">
        <w:rPr>
          <w:rFonts w:ascii="宋体" w:hAnsi="宋体"/>
          <w:bCs/>
          <w:sz w:val="24"/>
          <w:lang w:eastAsia="zh-CN"/>
        </w:rPr>
        <w:t>%÷当年天数</w:t>
      </w:r>
    </w:p>
    <w:p w14:paraId="441B2F8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H2为每日应计提的基金托管费</w:t>
      </w:r>
    </w:p>
    <w:p w14:paraId="61FB722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E为前一日的基金资产净值</w:t>
      </w:r>
    </w:p>
    <w:p w14:paraId="06567A9E"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托管费每日计算，逐日累计至每月月末，按月支付，经基金管理人与基金托管人双方核对无误后，基金托管人按照与基金管理人协商一致的方式于次月前3个工作日内从基金财产中一次性支取。若遇法定节假日、公休假等，支付日期顺延。</w:t>
      </w:r>
    </w:p>
    <w:p w14:paraId="3EAAA0F7"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3、基金的销售服务费</w:t>
      </w:r>
    </w:p>
    <w:p w14:paraId="32EE0BF5"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本基金A类基金份额不收取销售服务费，C类基金份额的销售服务费年费率为0.40%。本基金销售服务费将专门用于本基金的销售与基金份额持有人服务。</w:t>
      </w:r>
    </w:p>
    <w:p w14:paraId="714D82E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C类基金份额的销售服务费按前一日C类基金资产净值的0.40%年费率计提。计算方法如下：</w:t>
      </w:r>
    </w:p>
    <w:p w14:paraId="45A2D98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H3＝Ec×0.40%÷当年天数</w:t>
      </w:r>
    </w:p>
    <w:p w14:paraId="137F667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H3为C类基金份额每日应计提的销售服务费</w:t>
      </w:r>
    </w:p>
    <w:p w14:paraId="198A779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Ec为C类基金份额前一日基金资产净值</w:t>
      </w:r>
    </w:p>
    <w:p w14:paraId="701B8518"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销售服务费每日计算，逐日累计至每月月末，按月支付，经基金管理人与基金托管人双方核对无误后，基金托管人按照与基金管理人协商一致的方式于次月前3个工作日内从基金财产中一次性支付给登记机构。销售服务费由登记机构代收并按照相关合同规定支付给基金销售机构。若遇法定节假日、公休假等，支付日期顺延。</w:t>
      </w:r>
    </w:p>
    <w:p w14:paraId="6ACDD95C"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4、上</w:t>
      </w:r>
      <w:r w:rsidRPr="00EC3B16">
        <w:rPr>
          <w:rFonts w:ascii="宋体" w:hAnsi="宋体" w:hint="eastAsia"/>
          <w:bCs/>
          <w:sz w:val="24"/>
          <w:lang w:eastAsia="zh-CN"/>
        </w:rPr>
        <w:t>述“</w:t>
      </w:r>
      <w:r>
        <w:rPr>
          <w:rFonts w:ascii="宋体" w:hAnsi="宋体" w:hint="eastAsia"/>
          <w:bCs/>
          <w:sz w:val="24"/>
          <w:lang w:eastAsia="zh-CN"/>
        </w:rPr>
        <w:t>（</w:t>
      </w:r>
      <w:r w:rsidRPr="00EC3B16">
        <w:rPr>
          <w:rFonts w:ascii="宋体" w:hAnsi="宋体" w:hint="eastAsia"/>
          <w:bCs/>
          <w:sz w:val="24"/>
          <w:lang w:eastAsia="zh-CN"/>
        </w:rPr>
        <w:t>一</w:t>
      </w:r>
      <w:r>
        <w:rPr>
          <w:rFonts w:ascii="宋体" w:hAnsi="宋体" w:hint="eastAsia"/>
          <w:bCs/>
          <w:sz w:val="24"/>
          <w:lang w:eastAsia="zh-CN"/>
        </w:rPr>
        <w:t>）</w:t>
      </w:r>
      <w:r w:rsidRPr="00EC3B16">
        <w:rPr>
          <w:rFonts w:ascii="宋体" w:hAnsi="宋体" w:hint="eastAsia"/>
          <w:bCs/>
          <w:sz w:val="24"/>
          <w:lang w:eastAsia="zh-CN"/>
        </w:rPr>
        <w:t>基金费用的种类”中</w:t>
      </w:r>
      <w:r w:rsidRPr="00EC3B16">
        <w:rPr>
          <w:rFonts w:ascii="宋体" w:hAnsi="宋体"/>
          <w:bCs/>
          <w:sz w:val="24"/>
          <w:lang w:eastAsia="zh-CN"/>
        </w:rPr>
        <w:t>第4－11项费用，根据有关法规及相应协议规定，按费用实际支出金额列入当期费用，由基金托管人从基金财产中支付。</w:t>
      </w:r>
    </w:p>
    <w:p w14:paraId="76189122"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（三）</w:t>
      </w:r>
      <w:r w:rsidRPr="00EC3B16">
        <w:rPr>
          <w:rFonts w:ascii="宋体" w:hAnsi="宋体"/>
          <w:bCs/>
          <w:sz w:val="24"/>
          <w:lang w:eastAsia="zh-CN"/>
        </w:rPr>
        <w:t>不列入基金费用的项目</w:t>
      </w:r>
    </w:p>
    <w:p w14:paraId="2784C927"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下列费用不列入基金费用：</w:t>
      </w:r>
    </w:p>
    <w:p w14:paraId="2C25A42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1、基金管理人和基金托管人因未履行或未完全履行义务导致的费用支出或基金财产的损失；</w:t>
      </w:r>
    </w:p>
    <w:p w14:paraId="3B1639F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2、基金管理人和基金托管人处理与基金运作无关的事项发生的费用；</w:t>
      </w:r>
    </w:p>
    <w:p w14:paraId="5EBB7AF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3、《基金合同》生效前的相关费用；</w:t>
      </w:r>
    </w:p>
    <w:p w14:paraId="596A6B8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4、其他根据相关法律法规及中国证监会的有关规定不得列入基金费用的项目。</w:t>
      </w:r>
    </w:p>
    <w:p w14:paraId="62AC8458"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（四）</w:t>
      </w:r>
      <w:r w:rsidRPr="00EC3B16">
        <w:rPr>
          <w:rFonts w:ascii="宋体" w:hAnsi="宋体"/>
          <w:bCs/>
          <w:sz w:val="24"/>
          <w:lang w:eastAsia="zh-CN"/>
        </w:rPr>
        <w:t>实施侧袋机制期间的基金费用</w:t>
      </w:r>
    </w:p>
    <w:p w14:paraId="0F5DFD7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本基金实施侧袋机制的，与侧袋账户有关的费用可以从侧袋账户中列支，但应待侧袋账户资产变现后方可列支，有关费用可酌情收取或减免，但不得收取管理费，详见招募说明书的规定。</w:t>
      </w:r>
    </w:p>
    <w:p w14:paraId="23D06085"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（五）</w:t>
      </w:r>
      <w:r w:rsidRPr="00EC3B16">
        <w:rPr>
          <w:rFonts w:ascii="宋体" w:hAnsi="宋体"/>
          <w:bCs/>
          <w:sz w:val="24"/>
          <w:lang w:eastAsia="zh-CN"/>
        </w:rPr>
        <w:t>基金税收</w:t>
      </w:r>
    </w:p>
    <w:p w14:paraId="0C1395F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66C57A1" w14:textId="77777777" w:rsidR="004154D1" w:rsidRPr="00EC3B16" w:rsidRDefault="004154D1" w:rsidP="00EC3B16">
      <w:pPr>
        <w:spacing w:line="360" w:lineRule="auto"/>
        <w:ind w:firstLine="480"/>
        <w:jc w:val="both"/>
        <w:rPr>
          <w:rFonts w:ascii="宋体" w:hAnsi="宋体"/>
          <w:bCs/>
          <w:sz w:val="24"/>
          <w:lang w:eastAsia="zh-CN"/>
        </w:rPr>
      </w:pPr>
    </w:p>
    <w:p w14:paraId="656A98D9"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五、基金财产的投资方向和投资限制</w:t>
      </w:r>
    </w:p>
    <w:p w14:paraId="4576A31C"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（一）</w:t>
      </w:r>
      <w:r w:rsidRPr="00EC3B16">
        <w:rPr>
          <w:rFonts w:ascii="宋体" w:hAnsi="宋体"/>
          <w:bCs/>
          <w:sz w:val="24"/>
          <w:lang w:eastAsia="zh-CN"/>
        </w:rPr>
        <w:t>投资目标</w:t>
      </w:r>
    </w:p>
    <w:p w14:paraId="735C40AF" w14:textId="77777777" w:rsidR="00D22677" w:rsidRPr="00EC3B16" w:rsidRDefault="00D22677" w:rsidP="00D22677">
      <w:pPr>
        <w:spacing w:line="360" w:lineRule="auto"/>
        <w:ind w:firstLine="480"/>
        <w:jc w:val="both"/>
        <w:rPr>
          <w:rFonts w:ascii="宋体" w:hAnsi="宋体"/>
          <w:bCs/>
          <w:sz w:val="24"/>
          <w:lang w:eastAsia="zh-CN"/>
        </w:rPr>
      </w:pPr>
      <w:r w:rsidRPr="00AF2E36">
        <w:rPr>
          <w:rFonts w:ascii="宋体" w:hAnsi="宋体" w:hint="eastAsia"/>
          <w:bCs/>
          <w:sz w:val="24"/>
          <w:lang w:eastAsia="zh-CN"/>
        </w:rPr>
        <w:t>本基金在严格控制投资组合风险和保持资产流动性的前提下，力争为基金份额持有人获取超越业绩比较基准的投资回报。</w:t>
      </w:r>
    </w:p>
    <w:p w14:paraId="352A7FC6"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（二）</w:t>
      </w:r>
      <w:r w:rsidRPr="00EC3B16">
        <w:rPr>
          <w:rFonts w:ascii="宋体" w:hAnsi="宋体"/>
          <w:bCs/>
          <w:sz w:val="24"/>
          <w:lang w:eastAsia="zh-CN"/>
        </w:rPr>
        <w:t>投资范围</w:t>
      </w:r>
    </w:p>
    <w:p w14:paraId="3A748EB2"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本基金的投资范围为具有良好流动性的金融工具，包括国内依法发行上市的股票（含创业板及其他经中国证监会允许上市的股票、存托凭证）、港股通标的股票、债券（包括国债、央行票据、金融债券、企业债券、公司债券、中期票据、短期融资券、超短期融资券、证券公司短期公司债券、公开发行的次级债券、政府支持债券、政府支持机构债券、地方政府债券、可转换债券（含分离交易可转债）、可交换债券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本基金可根据法律法规的规定参与融资业务。</w:t>
      </w:r>
    </w:p>
    <w:p w14:paraId="24930C3F"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如法律法规或监管机构以后允许基金投资其他品种，基金管理人在履行适当程序后，可以将其纳入投资范围。</w:t>
      </w:r>
    </w:p>
    <w:p w14:paraId="38498E9A"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本基金股票资产占基金资产的比例为60%-95%（投资于港股通标的股票的比例占股票资产的0-50%），投资于消费主题相关</w:t>
      </w:r>
      <w:r w:rsidR="00927CC1">
        <w:rPr>
          <w:rFonts w:ascii="宋体" w:hAnsi="宋体" w:hint="eastAsia"/>
          <w:bCs/>
          <w:sz w:val="24"/>
          <w:lang w:eastAsia="zh-CN"/>
        </w:rPr>
        <w:t>股票</w:t>
      </w:r>
      <w:r w:rsidRPr="00935780">
        <w:rPr>
          <w:rFonts w:ascii="宋体" w:hAnsi="宋体" w:hint="eastAsia"/>
          <w:bCs/>
          <w:sz w:val="24"/>
          <w:lang w:eastAsia="zh-CN"/>
        </w:rPr>
        <w:t>占非现金基金资产的比例不低于80%。本基金每个交易日日终在扣除股指期货和国债期货合约需缴纳的交易保证金后，保持不低于基金资产净值5%的现金或者到期日在一年以内的政府债券</w:t>
      </w:r>
      <w:r>
        <w:rPr>
          <w:rFonts w:ascii="宋体" w:hAnsi="宋体" w:hint="eastAsia"/>
          <w:bCs/>
          <w:sz w:val="24"/>
          <w:lang w:eastAsia="zh-CN"/>
        </w:rPr>
        <w:t>；其中</w:t>
      </w:r>
      <w:r w:rsidRPr="00935780">
        <w:rPr>
          <w:rFonts w:ascii="宋体" w:hAnsi="宋体" w:hint="eastAsia"/>
          <w:bCs/>
          <w:sz w:val="24"/>
          <w:lang w:eastAsia="zh-CN"/>
        </w:rPr>
        <w:t>现金不包括结算备付金、存出保证金、应收申购款等。</w:t>
      </w:r>
    </w:p>
    <w:p w14:paraId="78F068E2" w14:textId="77777777" w:rsidR="00D22677" w:rsidRPr="00791723"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如法律法规或中国证监会变更投资品种的投资比例限制，基金管理人在履行适当程序后，可以调整上述投资品种的投资比例。</w:t>
      </w:r>
    </w:p>
    <w:p w14:paraId="39F4961F"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（三）</w:t>
      </w:r>
      <w:r w:rsidRPr="00EC3B16">
        <w:rPr>
          <w:rFonts w:ascii="宋体" w:hAnsi="宋体"/>
          <w:bCs/>
          <w:sz w:val="24"/>
          <w:lang w:eastAsia="zh-CN"/>
        </w:rPr>
        <w:t>投资限制</w:t>
      </w:r>
    </w:p>
    <w:p w14:paraId="772FEC0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1、组合限制</w:t>
      </w:r>
    </w:p>
    <w:p w14:paraId="047E3D9C"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基金的投资组合应遵循以下限制：</w:t>
      </w:r>
    </w:p>
    <w:p w14:paraId="7A0E295D"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lastRenderedPageBreak/>
        <w:t>（1）股票资产占基金资产的比例范围为60%-95%</w:t>
      </w:r>
      <w:r>
        <w:rPr>
          <w:rFonts w:ascii="宋体" w:hAnsi="宋体" w:hint="eastAsia"/>
          <w:bCs/>
          <w:sz w:val="24"/>
          <w:lang w:eastAsia="zh-CN"/>
        </w:rPr>
        <w:t>（</w:t>
      </w:r>
      <w:r w:rsidRPr="00935780">
        <w:rPr>
          <w:rFonts w:ascii="宋体" w:hAnsi="宋体" w:hint="eastAsia"/>
          <w:bCs/>
          <w:sz w:val="24"/>
          <w:lang w:eastAsia="zh-CN"/>
        </w:rPr>
        <w:t>投资于港股通标的股票的比例占股票资产的0-50%</w:t>
      </w:r>
      <w:r>
        <w:rPr>
          <w:rFonts w:ascii="宋体" w:hAnsi="宋体" w:hint="eastAsia"/>
          <w:bCs/>
          <w:sz w:val="24"/>
          <w:lang w:eastAsia="zh-CN"/>
        </w:rPr>
        <w:t>）</w:t>
      </w:r>
      <w:r w:rsidRPr="00935780">
        <w:rPr>
          <w:rFonts w:ascii="宋体" w:hAnsi="宋体" w:hint="eastAsia"/>
          <w:bCs/>
          <w:sz w:val="24"/>
          <w:lang w:eastAsia="zh-CN"/>
        </w:rPr>
        <w:t>，投资于消费主题相关</w:t>
      </w:r>
      <w:r w:rsidR="00927CC1">
        <w:rPr>
          <w:rFonts w:ascii="宋体" w:hAnsi="宋体" w:hint="eastAsia"/>
          <w:bCs/>
          <w:sz w:val="24"/>
          <w:lang w:eastAsia="zh-CN"/>
        </w:rPr>
        <w:t>股票</w:t>
      </w:r>
      <w:r w:rsidRPr="00935780">
        <w:rPr>
          <w:rFonts w:ascii="宋体" w:hAnsi="宋体" w:hint="eastAsia"/>
          <w:bCs/>
          <w:sz w:val="24"/>
          <w:lang w:eastAsia="zh-CN"/>
        </w:rPr>
        <w:t>占非现金基金资产的比例不低于80%；</w:t>
      </w:r>
    </w:p>
    <w:p w14:paraId="0C55CE9F"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2）本基金每个交易日日终在扣除股指期货、国债期货合约需缴纳的交易保证金后，应当保持不低于基金资产净值5%的现金或者到期日在一年以内的政府债券；其中现金不包括结算备付金、存出保证金和应收申购款等；</w:t>
      </w:r>
    </w:p>
    <w:p w14:paraId="52E46AB9"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（3）本基金持有一家公司发行的证券（同一家公司在内地和香港同时上市的A+H股合计计算），其市值不超过基金资产净值的10%；</w:t>
      </w:r>
    </w:p>
    <w:p w14:paraId="1FDF278E"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4EFD3F16"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（5）本基金投资于同一原始权益人的各类资产支持证券的比例，不得超过基金资产净值的10%；</w:t>
      </w:r>
    </w:p>
    <w:p w14:paraId="646A1A4A"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（6）本基金持有的全部资产支持证券，其市值不得超过基金资产净值的20%；</w:t>
      </w:r>
    </w:p>
    <w:p w14:paraId="557F66EB"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（7）本基金持有的同一(指同一信用级别)资产支持证券的比例，不得超过该资产支持证券规模的10%；</w:t>
      </w:r>
    </w:p>
    <w:p w14:paraId="139C1DA4"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（8）本基金管理人管理的全部基金投资于同一原始权益人的各类资产支持证券，不得超过其各类资产支持证券合计规模的10%；</w:t>
      </w:r>
    </w:p>
    <w:p w14:paraId="6729CF01"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（9）本基金应投资于信用级别评级为BBB以上(含BBB)的资产支持证券。基金持有资产支持证券期间，如果其信用等级下降、不再符合投资标准，应在评级报告发布之日起3个月内予以全部卖出；</w:t>
      </w:r>
    </w:p>
    <w:p w14:paraId="49F73C91"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（1</w:t>
      </w:r>
      <w:r>
        <w:rPr>
          <w:rFonts w:ascii="宋体" w:hAnsi="宋体"/>
          <w:bCs/>
          <w:sz w:val="24"/>
          <w:lang w:eastAsia="zh-CN"/>
        </w:rPr>
        <w:t>0</w:t>
      </w:r>
      <w:r w:rsidRPr="00935780">
        <w:rPr>
          <w:rFonts w:ascii="宋体" w:hAnsi="宋体" w:hint="eastAsia"/>
          <w:bCs/>
          <w:sz w:val="24"/>
          <w:lang w:eastAsia="zh-CN"/>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CDB7366"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lastRenderedPageBreak/>
        <w:t>（1</w:t>
      </w:r>
      <w:r>
        <w:rPr>
          <w:rFonts w:ascii="宋体" w:hAnsi="宋体"/>
          <w:bCs/>
          <w:sz w:val="24"/>
          <w:lang w:eastAsia="zh-CN"/>
        </w:rPr>
        <w:t>1</w:t>
      </w:r>
      <w:r w:rsidRPr="00935780">
        <w:rPr>
          <w:rFonts w:ascii="宋体" w:hAnsi="宋体" w:hint="eastAsia"/>
          <w:bCs/>
          <w:sz w:val="24"/>
          <w:lang w:eastAsia="zh-CN"/>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79E6D908"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（1</w:t>
      </w:r>
      <w:r>
        <w:rPr>
          <w:rFonts w:ascii="宋体" w:hAnsi="宋体"/>
          <w:bCs/>
          <w:sz w:val="24"/>
          <w:lang w:eastAsia="zh-CN"/>
        </w:rPr>
        <w:t>2</w:t>
      </w:r>
      <w:r w:rsidRPr="00935780">
        <w:rPr>
          <w:rFonts w:ascii="宋体" w:hAnsi="宋体" w:hint="eastAsia"/>
          <w:bCs/>
          <w:sz w:val="24"/>
          <w:lang w:eastAsia="zh-CN"/>
        </w:rPr>
        <w:t>）本基金与私募类证券资管产品及中国证监会认定的其他主体为交易对手开展逆回购交易的，可接受质押品的资质要求应当与本基金合同约定的投资范围保持一致；</w:t>
      </w:r>
    </w:p>
    <w:p w14:paraId="282104F7"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（1</w:t>
      </w:r>
      <w:r>
        <w:rPr>
          <w:rFonts w:ascii="宋体" w:hAnsi="宋体"/>
          <w:bCs/>
          <w:sz w:val="24"/>
          <w:lang w:eastAsia="zh-CN"/>
        </w:rPr>
        <w:t>3</w:t>
      </w:r>
      <w:r w:rsidRPr="00935780">
        <w:rPr>
          <w:rFonts w:ascii="宋体" w:hAnsi="宋体" w:hint="eastAsia"/>
          <w:bCs/>
          <w:sz w:val="24"/>
          <w:lang w:eastAsia="zh-CN"/>
        </w:rPr>
        <w:t>）本基金资产总值不超过基金资产净值的140%；</w:t>
      </w:r>
    </w:p>
    <w:p w14:paraId="15C8315A"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（1</w:t>
      </w:r>
      <w:r>
        <w:rPr>
          <w:rFonts w:ascii="宋体" w:hAnsi="宋体"/>
          <w:bCs/>
          <w:sz w:val="24"/>
          <w:lang w:eastAsia="zh-CN"/>
        </w:rPr>
        <w:t>4</w:t>
      </w:r>
      <w:r w:rsidRPr="00935780">
        <w:rPr>
          <w:rFonts w:ascii="宋体" w:hAnsi="宋体" w:hint="eastAsia"/>
          <w:bCs/>
          <w:sz w:val="24"/>
          <w:lang w:eastAsia="zh-CN"/>
        </w:rPr>
        <w:t>）本基金参与股指期货交易、国债期货交易</w:t>
      </w:r>
      <w:r>
        <w:rPr>
          <w:rFonts w:ascii="宋体" w:hAnsi="宋体" w:hint="eastAsia"/>
          <w:bCs/>
          <w:sz w:val="24"/>
          <w:lang w:eastAsia="zh-CN"/>
        </w:rPr>
        <w:t>后</w:t>
      </w:r>
      <w:r w:rsidRPr="00935780">
        <w:rPr>
          <w:rFonts w:ascii="宋体" w:hAnsi="宋体" w:hint="eastAsia"/>
          <w:bCs/>
          <w:sz w:val="24"/>
          <w:lang w:eastAsia="zh-CN"/>
        </w:rPr>
        <w:t>，需遵循下列投资比例限制：</w:t>
      </w:r>
    </w:p>
    <w:p w14:paraId="3C1A1752"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1）本基金在任何交易日日终，持有的买入股指期货合约价值，不得超过基金资产净值的10%；</w:t>
      </w:r>
    </w:p>
    <w:p w14:paraId="4FFD8585"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2）在任何交易日日终，持有的买入股指期货和国债期货合约价值与有价证券市值之和，不得超过基金资产净值的95%，其中，有价证券指股票、债券（不含到期日在一年以内的政府债券）、资产支持证券、买入返售金融资产（不含质押式回购）等；</w:t>
      </w:r>
    </w:p>
    <w:p w14:paraId="4BF82C43"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3）本基金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0AC6E43B"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4）本基金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0B2E4F67"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lastRenderedPageBreak/>
        <w:t>（1</w:t>
      </w:r>
      <w:r>
        <w:rPr>
          <w:rFonts w:ascii="宋体" w:hAnsi="宋体"/>
          <w:bCs/>
          <w:sz w:val="24"/>
          <w:lang w:eastAsia="zh-CN"/>
        </w:rPr>
        <w:t>5</w:t>
      </w:r>
      <w:r w:rsidRPr="00935780">
        <w:rPr>
          <w:rFonts w:ascii="宋体" w:hAnsi="宋体" w:hint="eastAsia"/>
          <w:bCs/>
          <w:sz w:val="24"/>
          <w:lang w:eastAsia="zh-CN"/>
        </w:rPr>
        <w:t>）基金财产参与股票发行申购，本基金所申报的金额不超过本基金的总资产，本基金所申报的股票数量不超过拟发行股票公司本次发行股票的总量；</w:t>
      </w:r>
    </w:p>
    <w:p w14:paraId="0AA8DD17"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（1</w:t>
      </w:r>
      <w:r>
        <w:rPr>
          <w:rFonts w:ascii="宋体" w:hAnsi="宋体"/>
          <w:bCs/>
          <w:sz w:val="24"/>
          <w:lang w:eastAsia="zh-CN"/>
        </w:rPr>
        <w:t>6</w:t>
      </w:r>
      <w:r w:rsidRPr="00935780">
        <w:rPr>
          <w:rFonts w:ascii="宋体" w:hAnsi="宋体" w:hint="eastAsia"/>
          <w:bCs/>
          <w:sz w:val="24"/>
          <w:lang w:eastAsia="zh-CN"/>
        </w:rPr>
        <w:t>）本基金参与融资业务后，在任何交易日日终，持有的融资买入股票与其他有价证券市值之和，不得超过基金资产净值的95%；</w:t>
      </w:r>
    </w:p>
    <w:p w14:paraId="0B367774"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（1</w:t>
      </w:r>
      <w:r>
        <w:rPr>
          <w:rFonts w:ascii="宋体" w:hAnsi="宋体"/>
          <w:bCs/>
          <w:sz w:val="24"/>
          <w:lang w:eastAsia="zh-CN"/>
        </w:rPr>
        <w:t>7</w:t>
      </w:r>
      <w:r w:rsidRPr="00935780">
        <w:rPr>
          <w:rFonts w:ascii="宋体" w:hAnsi="宋体" w:hint="eastAsia"/>
          <w:bCs/>
          <w:sz w:val="24"/>
          <w:lang w:eastAsia="zh-CN"/>
        </w:rPr>
        <w:t>）本基金投资存托凭证的比例限制依照国内依法发行上市的股票执行，与国内依法发行上市的股票合并计算；</w:t>
      </w:r>
    </w:p>
    <w:p w14:paraId="4391442E"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（1</w:t>
      </w:r>
      <w:r>
        <w:rPr>
          <w:rFonts w:ascii="宋体" w:hAnsi="宋体"/>
          <w:bCs/>
          <w:sz w:val="24"/>
          <w:lang w:eastAsia="zh-CN"/>
        </w:rPr>
        <w:t>8</w:t>
      </w:r>
      <w:r w:rsidRPr="00935780">
        <w:rPr>
          <w:rFonts w:ascii="宋体" w:hAnsi="宋体" w:hint="eastAsia"/>
          <w:bCs/>
          <w:sz w:val="24"/>
          <w:lang w:eastAsia="zh-CN"/>
        </w:rPr>
        <w:t>）法律法规及中国证监会规定的和《基金合同》约定的其他投资限制。</w:t>
      </w:r>
    </w:p>
    <w:p w14:paraId="36F1648A"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除上述第（2）、（9）、（1</w:t>
      </w:r>
      <w:r>
        <w:rPr>
          <w:rFonts w:ascii="宋体" w:hAnsi="宋体"/>
          <w:bCs/>
          <w:sz w:val="24"/>
          <w:lang w:eastAsia="zh-CN"/>
        </w:rPr>
        <w:t>1</w:t>
      </w:r>
      <w:r w:rsidRPr="00935780">
        <w:rPr>
          <w:rFonts w:ascii="宋体" w:hAnsi="宋体" w:hint="eastAsia"/>
          <w:bCs/>
          <w:sz w:val="24"/>
          <w:lang w:eastAsia="zh-CN"/>
        </w:rPr>
        <w:t>）、（1</w:t>
      </w:r>
      <w:r>
        <w:rPr>
          <w:rFonts w:ascii="宋体" w:hAnsi="宋体"/>
          <w:bCs/>
          <w:sz w:val="24"/>
          <w:lang w:eastAsia="zh-CN"/>
        </w:rPr>
        <w:t>2</w:t>
      </w:r>
      <w:r w:rsidRPr="00935780">
        <w:rPr>
          <w:rFonts w:ascii="宋体" w:hAnsi="宋体" w:hint="eastAsia"/>
          <w:bCs/>
          <w:sz w:val="24"/>
          <w:lang w:eastAsia="zh-CN"/>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5AAD514" w14:textId="77777777" w:rsidR="00D22677" w:rsidRPr="00935780"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65BD3D06" w14:textId="77777777" w:rsidR="00D22677" w:rsidRPr="00EC3B16" w:rsidRDefault="00D22677" w:rsidP="00D22677">
      <w:pPr>
        <w:spacing w:line="360" w:lineRule="auto"/>
        <w:ind w:firstLine="480"/>
        <w:jc w:val="both"/>
        <w:rPr>
          <w:rFonts w:ascii="宋体" w:hAnsi="宋体"/>
          <w:bCs/>
          <w:sz w:val="24"/>
          <w:lang w:eastAsia="zh-CN"/>
        </w:rPr>
      </w:pPr>
      <w:r w:rsidRPr="00935780">
        <w:rPr>
          <w:rFonts w:ascii="宋体" w:hAnsi="宋体" w:hint="eastAsia"/>
          <w:bCs/>
          <w:sz w:val="24"/>
          <w:lang w:eastAsia="zh-CN"/>
        </w:rPr>
        <w:t>法律法规或监管部门取消或变更上述限制，如适用于本基金，基金管理人在履行适当程序后，则本基金投资不再受相关限制或以变更后的规定为准。</w:t>
      </w:r>
    </w:p>
    <w:p w14:paraId="27DB0A7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2、禁止行为</w:t>
      </w:r>
    </w:p>
    <w:p w14:paraId="192C3CD0"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为维护基金份额持有人的合法权益，基金财产不得用于下列投资或者活动：</w:t>
      </w:r>
    </w:p>
    <w:p w14:paraId="5125AE0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（1）承销证券；</w:t>
      </w:r>
    </w:p>
    <w:p w14:paraId="2D926B22"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（2）违反规定向他人贷款或者提供担保；</w:t>
      </w:r>
    </w:p>
    <w:p w14:paraId="6524C55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（3）从事承担无限责任的投资；</w:t>
      </w:r>
    </w:p>
    <w:p w14:paraId="4EB3EAE8"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（4）买卖其他基金份额，但是中国证监会另有规定的除外；</w:t>
      </w:r>
    </w:p>
    <w:p w14:paraId="67479E9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（5）向其基金管理人、基金托管人出资；</w:t>
      </w:r>
    </w:p>
    <w:p w14:paraId="419D1985"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（6）从事内幕交易、操纵证券交易价格及其他不正当的证券交易活动；</w:t>
      </w:r>
    </w:p>
    <w:p w14:paraId="42E8E267"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（7）法律、行政法规和中国证监会规定禁止的其他活动。</w:t>
      </w:r>
    </w:p>
    <w:p w14:paraId="7B42502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3A09ADA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法律、行政法规或监管部门取消或变更上述限制，基金管理人在履行适当程序后，则本基金投资不再受相关限制或以变更后的规定为准。</w:t>
      </w:r>
    </w:p>
    <w:p w14:paraId="2056BBA7" w14:textId="77777777" w:rsidR="004154D1" w:rsidRPr="00EC3B16" w:rsidRDefault="004154D1" w:rsidP="00EC3B16">
      <w:pPr>
        <w:spacing w:line="360" w:lineRule="auto"/>
        <w:ind w:firstLine="480"/>
        <w:jc w:val="both"/>
        <w:rPr>
          <w:rFonts w:ascii="宋体" w:hAnsi="宋体"/>
          <w:bCs/>
          <w:sz w:val="24"/>
          <w:lang w:eastAsia="zh-CN"/>
        </w:rPr>
      </w:pPr>
    </w:p>
    <w:p w14:paraId="3A69B80E"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六、《基金合同》变更和终止的事由、程序以及基金财产清算方式</w:t>
      </w:r>
    </w:p>
    <w:p w14:paraId="04C6C862"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（一）</w:t>
      </w:r>
      <w:r w:rsidRPr="00EC3B16">
        <w:rPr>
          <w:rFonts w:ascii="宋体" w:hAnsi="宋体"/>
          <w:bCs/>
          <w:sz w:val="24"/>
          <w:lang w:eastAsia="zh-CN"/>
        </w:rPr>
        <w:t>《基金合同》的变更</w:t>
      </w:r>
    </w:p>
    <w:p w14:paraId="5901FC2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C33C9AD"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2、关于《基金合同》变更的基金份额持有人大会决议自生效后方可执行，自决议生效后两日内在规定媒介公告。</w:t>
      </w:r>
    </w:p>
    <w:p w14:paraId="29CCB356"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（二）</w:t>
      </w:r>
      <w:r w:rsidRPr="00EC3B16">
        <w:rPr>
          <w:rFonts w:ascii="宋体" w:hAnsi="宋体"/>
          <w:bCs/>
          <w:sz w:val="24"/>
          <w:lang w:eastAsia="zh-CN"/>
        </w:rPr>
        <w:t>《基金合同》的终止事由</w:t>
      </w:r>
    </w:p>
    <w:p w14:paraId="2D08BAA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有下列情形之一的，经履行相关程序后，《基金合同》应当终止：</w:t>
      </w:r>
    </w:p>
    <w:p w14:paraId="42ECFB9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1、基金份额持有人大会决定终止的。</w:t>
      </w:r>
    </w:p>
    <w:p w14:paraId="187CE424"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2、基金管理人、基金托管人职责终止，在6个月内没有新基金管理人、新基金托管人承接的。</w:t>
      </w:r>
    </w:p>
    <w:p w14:paraId="0A48FE77"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3、《基金合同》约定的其他情形。</w:t>
      </w:r>
    </w:p>
    <w:p w14:paraId="2D56D65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4、相关法律法规和中国证监会规定的其他情况。</w:t>
      </w:r>
    </w:p>
    <w:p w14:paraId="7769FA3B"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（三）</w:t>
      </w:r>
      <w:r w:rsidRPr="00EC3B16">
        <w:rPr>
          <w:rFonts w:ascii="宋体" w:hAnsi="宋体"/>
          <w:bCs/>
          <w:sz w:val="24"/>
          <w:lang w:eastAsia="zh-CN"/>
        </w:rPr>
        <w:t>基金财产的清算</w:t>
      </w:r>
    </w:p>
    <w:p w14:paraId="37B1AAD6"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1、基金财产清算小组：自出现《基金合同》终止事由之日起30个工作日内成立基金财产清算小组，基金管理人组织基金财产清算小组并在中国证监会的监督下进行基金清算。</w:t>
      </w:r>
    </w:p>
    <w:p w14:paraId="35F3A1E5"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E9692F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3、基金财产清算小组职责：基金财产清算小组负责基金财产的保管、清理、估价、变现和分配。基金财产清算小组可以依法进行必要的民事活动。</w:t>
      </w:r>
    </w:p>
    <w:p w14:paraId="519150EB"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4、基金财产清算程序：</w:t>
      </w:r>
    </w:p>
    <w:p w14:paraId="4EDA27E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（1）《基金合同》终止情形出现时，由基金财产清算小组统一接管基金；</w:t>
      </w:r>
    </w:p>
    <w:p w14:paraId="2238BAC8"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（2）对基金财产和债权债务进行清理和确认；</w:t>
      </w:r>
    </w:p>
    <w:p w14:paraId="75624E8A"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（3）对基金财产进行估值和变现；</w:t>
      </w:r>
    </w:p>
    <w:p w14:paraId="576BF3B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（4）制作清算报告；</w:t>
      </w:r>
    </w:p>
    <w:p w14:paraId="637105B3"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（5）聘请会计师事务所对清算报告进行外部审计，聘请律师事务所对清算报告出具法律意见书；</w:t>
      </w:r>
    </w:p>
    <w:p w14:paraId="01F47E8B"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（6）将清算报告报中国证监会备案并公告；</w:t>
      </w:r>
    </w:p>
    <w:p w14:paraId="1BA75E29"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（7）对基金剩余财产进行分配。</w:t>
      </w:r>
    </w:p>
    <w:p w14:paraId="7ED3FF3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5、基金财产清算的期限为6个月，但因本基金所持证券的流动性受到限制而不能及时变现的，清算期限相应顺延。</w:t>
      </w:r>
    </w:p>
    <w:p w14:paraId="25F209C4"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（四）</w:t>
      </w:r>
      <w:r w:rsidRPr="00EC3B16">
        <w:rPr>
          <w:rFonts w:ascii="宋体" w:hAnsi="宋体"/>
          <w:bCs/>
          <w:sz w:val="24"/>
          <w:lang w:eastAsia="zh-CN"/>
        </w:rPr>
        <w:t>清算费用</w:t>
      </w:r>
    </w:p>
    <w:p w14:paraId="516D6D8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清算费用是指基金财产清算小组在进行基金清算过程中发生的所有合理费用，清算费用由基金财产清算小组优先从基金财产中支付。</w:t>
      </w:r>
    </w:p>
    <w:p w14:paraId="6E10DA1E"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（五）</w:t>
      </w:r>
      <w:r w:rsidRPr="00EC3B16">
        <w:rPr>
          <w:rFonts w:ascii="宋体" w:hAnsi="宋体"/>
          <w:bCs/>
          <w:sz w:val="24"/>
          <w:lang w:eastAsia="zh-CN"/>
        </w:rPr>
        <w:t>基金财产清算剩余资产的分配</w:t>
      </w:r>
    </w:p>
    <w:p w14:paraId="178CA291"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依据基金财产清算的分配方案，将基金财产清算后的全部剩余资产扣除基金财产清算费用、交纳所欠税款并清偿基金债务后，按基金份额持有人持有的基金份额比例进行分配。</w:t>
      </w:r>
    </w:p>
    <w:p w14:paraId="09455D49"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（六）</w:t>
      </w:r>
      <w:r w:rsidRPr="00EC3B16">
        <w:rPr>
          <w:rFonts w:ascii="宋体" w:hAnsi="宋体"/>
          <w:bCs/>
          <w:sz w:val="24"/>
          <w:lang w:eastAsia="zh-CN"/>
        </w:rPr>
        <w:t>基金财产清算的公告</w:t>
      </w:r>
    </w:p>
    <w:p w14:paraId="45186D5F"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清算过程中的有关重大事项须及时公告；基金财产清算报告经符合《中华人民共和国证券法》规定的会计师事务所审计并由律师事务所出具法律意见书</w:t>
      </w:r>
      <w:r w:rsidRPr="00EC3B16">
        <w:rPr>
          <w:rFonts w:ascii="宋体" w:hAnsi="宋体"/>
          <w:bCs/>
          <w:sz w:val="24"/>
          <w:lang w:eastAsia="zh-CN"/>
        </w:rPr>
        <w:lastRenderedPageBreak/>
        <w:t>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528A3A9"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（七）</w:t>
      </w:r>
      <w:r w:rsidRPr="00EC3B16">
        <w:rPr>
          <w:rFonts w:ascii="宋体" w:hAnsi="宋体"/>
          <w:bCs/>
          <w:sz w:val="24"/>
          <w:lang w:eastAsia="zh-CN"/>
        </w:rPr>
        <w:t>基金财产清算账册及文件的保存</w:t>
      </w:r>
    </w:p>
    <w:p w14:paraId="131B758C" w14:textId="77777777" w:rsidR="00D22677" w:rsidRPr="00EC3B16" w:rsidRDefault="00D22677" w:rsidP="00D22677">
      <w:pPr>
        <w:spacing w:line="360" w:lineRule="auto"/>
        <w:ind w:firstLine="480"/>
        <w:jc w:val="both"/>
        <w:rPr>
          <w:rFonts w:ascii="宋体" w:hAnsi="宋体"/>
          <w:bCs/>
          <w:sz w:val="24"/>
          <w:lang w:eastAsia="zh-CN"/>
        </w:rPr>
      </w:pPr>
      <w:r w:rsidRPr="00EC3B16">
        <w:rPr>
          <w:rFonts w:ascii="宋体" w:hAnsi="宋体"/>
          <w:bCs/>
          <w:sz w:val="24"/>
          <w:lang w:eastAsia="zh-CN"/>
        </w:rPr>
        <w:t>基金财产清算账册及有关文件由基金托管人保存，保存时间不低于法律法规规定的最低期限。</w:t>
      </w:r>
    </w:p>
    <w:p w14:paraId="1F792599" w14:textId="77777777" w:rsidR="004154D1" w:rsidRPr="00EC3B16" w:rsidRDefault="004154D1" w:rsidP="00EC3B16">
      <w:pPr>
        <w:spacing w:line="360" w:lineRule="auto"/>
        <w:ind w:firstLine="480"/>
        <w:jc w:val="both"/>
        <w:rPr>
          <w:rFonts w:ascii="宋体" w:hAnsi="宋体"/>
          <w:bCs/>
          <w:sz w:val="24"/>
          <w:lang w:eastAsia="zh-CN"/>
        </w:rPr>
      </w:pPr>
    </w:p>
    <w:p w14:paraId="05A418BB"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七、基金资产净值的计算方法和公告方式</w:t>
      </w:r>
    </w:p>
    <w:p w14:paraId="03556F9D"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（一）</w:t>
      </w:r>
      <w:r w:rsidRPr="00EC3B16">
        <w:rPr>
          <w:rFonts w:ascii="宋体" w:hAnsi="宋体"/>
          <w:bCs/>
          <w:sz w:val="24"/>
          <w:lang w:eastAsia="zh-CN"/>
        </w:rPr>
        <w:t>基金资产总值</w:t>
      </w:r>
    </w:p>
    <w:p w14:paraId="7FA79DEB" w14:textId="77777777" w:rsidR="00655541" w:rsidRPr="00EC3B16" w:rsidRDefault="00655541" w:rsidP="00655541">
      <w:pPr>
        <w:spacing w:line="360" w:lineRule="auto"/>
        <w:ind w:firstLine="480"/>
        <w:jc w:val="both"/>
        <w:rPr>
          <w:rFonts w:ascii="宋体" w:hAnsi="宋体"/>
          <w:bCs/>
          <w:sz w:val="24"/>
          <w:lang w:eastAsia="zh-CN"/>
        </w:rPr>
      </w:pPr>
      <w:r w:rsidRPr="00EC3B16">
        <w:rPr>
          <w:rFonts w:ascii="宋体" w:hAnsi="宋体"/>
          <w:bCs/>
          <w:sz w:val="24"/>
          <w:lang w:eastAsia="zh-CN"/>
        </w:rPr>
        <w:t>基金资产总值是指基金拥有的各类证券、银行存款本息和基金应收申购款及其他投资所形成的价值总和。</w:t>
      </w:r>
    </w:p>
    <w:p w14:paraId="5C622FF1"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（二）</w:t>
      </w:r>
      <w:r w:rsidRPr="00EC3B16">
        <w:rPr>
          <w:rFonts w:ascii="宋体" w:hAnsi="宋体"/>
          <w:bCs/>
          <w:sz w:val="24"/>
          <w:lang w:eastAsia="zh-CN"/>
        </w:rPr>
        <w:t>基金资产净值</w:t>
      </w:r>
    </w:p>
    <w:p w14:paraId="3DD60CCA" w14:textId="77777777" w:rsidR="00655541" w:rsidRPr="00EC3B16" w:rsidRDefault="00655541" w:rsidP="00655541">
      <w:pPr>
        <w:spacing w:line="360" w:lineRule="auto"/>
        <w:ind w:firstLine="480"/>
        <w:jc w:val="both"/>
        <w:rPr>
          <w:rFonts w:ascii="宋体" w:hAnsi="宋体"/>
          <w:bCs/>
          <w:sz w:val="24"/>
          <w:lang w:eastAsia="zh-CN"/>
        </w:rPr>
      </w:pPr>
      <w:r w:rsidRPr="00EC3B16">
        <w:rPr>
          <w:rFonts w:ascii="宋体" w:hAnsi="宋体"/>
          <w:bCs/>
          <w:sz w:val="24"/>
          <w:lang w:eastAsia="zh-CN"/>
        </w:rPr>
        <w:t>基金资产净值是指基金资产总值减去基金负债后的价值。</w:t>
      </w:r>
    </w:p>
    <w:p w14:paraId="57B56BDC"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bCs/>
          <w:sz w:val="24"/>
          <w:lang w:eastAsia="zh-CN"/>
        </w:rPr>
        <w:t>（</w:t>
      </w:r>
      <w:r w:rsidRPr="00EC3B16">
        <w:rPr>
          <w:rFonts w:ascii="宋体" w:hAnsi="宋体" w:hint="eastAsia"/>
          <w:bCs/>
          <w:sz w:val="24"/>
          <w:lang w:eastAsia="zh-CN"/>
        </w:rPr>
        <w:t>三</w:t>
      </w:r>
      <w:r w:rsidRPr="00EC3B16">
        <w:rPr>
          <w:rFonts w:ascii="宋体" w:hAnsi="宋体"/>
          <w:bCs/>
          <w:sz w:val="24"/>
          <w:lang w:eastAsia="zh-CN"/>
        </w:rPr>
        <w:t>）基金净值信息</w:t>
      </w:r>
    </w:p>
    <w:p w14:paraId="65F7C5E4" w14:textId="77777777" w:rsidR="00655541" w:rsidRPr="00EC3B16" w:rsidRDefault="00655541" w:rsidP="00655541">
      <w:pPr>
        <w:spacing w:line="360" w:lineRule="auto"/>
        <w:ind w:firstLine="480"/>
        <w:jc w:val="both"/>
        <w:rPr>
          <w:rFonts w:ascii="宋体" w:hAnsi="宋体"/>
          <w:bCs/>
          <w:sz w:val="24"/>
          <w:lang w:eastAsia="zh-CN"/>
        </w:rPr>
      </w:pPr>
      <w:r w:rsidRPr="00EC3B16">
        <w:rPr>
          <w:rFonts w:ascii="宋体" w:hAnsi="宋体"/>
          <w:bCs/>
          <w:sz w:val="24"/>
          <w:lang w:eastAsia="zh-CN"/>
        </w:rPr>
        <w:t>《基金合同》生效后，在开始办理基金份额申购或者赎回前，基金管理人应当至少每周在规定网站披露一次两类基金份额的基金份额净值和基金份额累计净值。</w:t>
      </w:r>
    </w:p>
    <w:p w14:paraId="6D6F960A" w14:textId="77777777" w:rsidR="00655541" w:rsidRPr="00EC3B16" w:rsidRDefault="00655541" w:rsidP="00655541">
      <w:pPr>
        <w:spacing w:line="360" w:lineRule="auto"/>
        <w:ind w:firstLine="480"/>
        <w:jc w:val="both"/>
        <w:rPr>
          <w:rFonts w:ascii="宋体" w:hAnsi="宋体"/>
          <w:bCs/>
          <w:sz w:val="24"/>
          <w:lang w:eastAsia="zh-CN"/>
        </w:rPr>
      </w:pPr>
      <w:r w:rsidRPr="00EC3B16">
        <w:rPr>
          <w:rFonts w:ascii="宋体" w:hAnsi="宋体"/>
          <w:bCs/>
          <w:sz w:val="24"/>
          <w:lang w:eastAsia="zh-CN"/>
        </w:rPr>
        <w:t>在开始办理基金份额申购或者赎回后，基金管理人应当在不晚于每个开放日的次日，通过规定网站、基金销售机构网站或者营业网点披露开放日的两类基金份额的基金份额净值和基金份额累计净值。</w:t>
      </w:r>
    </w:p>
    <w:p w14:paraId="6CDBF225" w14:textId="77777777" w:rsidR="00655541" w:rsidRPr="00EC3B16" w:rsidRDefault="00655541" w:rsidP="00655541">
      <w:pPr>
        <w:spacing w:line="360" w:lineRule="auto"/>
        <w:ind w:firstLine="480"/>
        <w:jc w:val="both"/>
        <w:rPr>
          <w:rFonts w:ascii="宋体" w:hAnsi="宋体"/>
          <w:bCs/>
          <w:sz w:val="24"/>
          <w:lang w:eastAsia="zh-CN"/>
        </w:rPr>
      </w:pPr>
      <w:r w:rsidRPr="00EC3B16">
        <w:rPr>
          <w:rFonts w:ascii="宋体" w:hAnsi="宋体"/>
          <w:bCs/>
          <w:sz w:val="24"/>
          <w:lang w:eastAsia="zh-CN"/>
        </w:rPr>
        <w:t>基金管理人应当在不晚于半年度和年度最后一日的次日，在规定网站披露半年度和年度最后一日的两类基金份额的基金份额净值和基金份额累计净值。</w:t>
      </w:r>
    </w:p>
    <w:p w14:paraId="4CE560AA" w14:textId="77777777" w:rsidR="004154D1" w:rsidRPr="00EC3B16" w:rsidRDefault="004154D1" w:rsidP="00EC3B16">
      <w:pPr>
        <w:spacing w:line="360" w:lineRule="auto"/>
        <w:ind w:firstLine="480"/>
        <w:jc w:val="both"/>
        <w:rPr>
          <w:rFonts w:ascii="宋体" w:hAnsi="宋体"/>
          <w:bCs/>
          <w:sz w:val="24"/>
          <w:lang w:eastAsia="zh-CN"/>
        </w:rPr>
      </w:pPr>
    </w:p>
    <w:p w14:paraId="16BA30E7"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八、争议解决方式</w:t>
      </w:r>
    </w:p>
    <w:p w14:paraId="7FF2CAE8" w14:textId="77777777" w:rsidR="00655541" w:rsidRPr="00EC3B16" w:rsidRDefault="00655541" w:rsidP="00655541">
      <w:pPr>
        <w:spacing w:line="360" w:lineRule="auto"/>
        <w:ind w:firstLine="480"/>
        <w:jc w:val="both"/>
        <w:rPr>
          <w:rFonts w:ascii="宋体" w:hAnsi="宋体"/>
          <w:bCs/>
          <w:sz w:val="24"/>
          <w:lang w:eastAsia="zh-CN"/>
        </w:rPr>
      </w:pPr>
      <w:r w:rsidRPr="00EC3B16">
        <w:rPr>
          <w:rFonts w:ascii="宋体" w:hAnsi="宋体"/>
          <w:bCs/>
          <w:sz w:val="24"/>
          <w:lang w:eastAsia="zh-CN"/>
        </w:rPr>
        <w:t>各方当事人同意，因《基金合同》而产生的或与《基金合同》有关的一切争议，如经友好协商未能解决的，应提交</w:t>
      </w:r>
      <w:r w:rsidRPr="00EC3B16">
        <w:rPr>
          <w:rFonts w:ascii="宋体" w:hAnsi="宋体" w:hint="eastAsia"/>
          <w:bCs/>
          <w:sz w:val="24"/>
          <w:lang w:eastAsia="zh-CN"/>
        </w:rPr>
        <w:t>北京</w:t>
      </w:r>
      <w:r w:rsidRPr="00EC3B16">
        <w:rPr>
          <w:rFonts w:ascii="宋体" w:hAnsi="宋体"/>
          <w:bCs/>
          <w:sz w:val="24"/>
          <w:lang w:eastAsia="zh-CN"/>
        </w:rPr>
        <w:t>仲裁委员会根据该会当时有效的仲裁规则进行仲裁，仲裁地点为北京市。仲裁裁决是终局性的并对各方当事人具有约束力，</w:t>
      </w:r>
      <w:r w:rsidRPr="00EC3B16">
        <w:rPr>
          <w:rFonts w:ascii="宋体" w:hAnsi="宋体" w:hint="eastAsia"/>
          <w:bCs/>
          <w:sz w:val="24"/>
          <w:lang w:eastAsia="zh-CN"/>
        </w:rPr>
        <w:t>除非仲裁裁决另有规定，</w:t>
      </w:r>
      <w:r w:rsidRPr="00EC3B16">
        <w:rPr>
          <w:rFonts w:ascii="宋体" w:hAnsi="宋体"/>
          <w:bCs/>
          <w:sz w:val="24"/>
          <w:lang w:eastAsia="zh-CN"/>
        </w:rPr>
        <w:t>仲裁费由败诉方承担。</w:t>
      </w:r>
    </w:p>
    <w:p w14:paraId="205F20F1" w14:textId="77777777" w:rsidR="00655541" w:rsidRPr="00EC3B16" w:rsidRDefault="00655541" w:rsidP="00655541">
      <w:pPr>
        <w:spacing w:line="360" w:lineRule="auto"/>
        <w:ind w:firstLine="480"/>
        <w:jc w:val="both"/>
        <w:rPr>
          <w:rFonts w:ascii="宋体" w:hAnsi="宋体"/>
          <w:bCs/>
          <w:sz w:val="24"/>
          <w:lang w:eastAsia="zh-CN"/>
        </w:rPr>
      </w:pPr>
      <w:r w:rsidRPr="00EC3B16">
        <w:rPr>
          <w:rFonts w:ascii="宋体" w:hAnsi="宋体"/>
          <w:bCs/>
          <w:sz w:val="24"/>
          <w:lang w:eastAsia="zh-CN"/>
        </w:rPr>
        <w:lastRenderedPageBreak/>
        <w:t>争议处理期间，基金管理人、基金托管人应恪守各自的职责，继续忠实、勤勉、尽责地履行基金合同规定的义务，维护基金份额持有人的合法权益。</w:t>
      </w:r>
    </w:p>
    <w:p w14:paraId="7C7F7E5C" w14:textId="77777777" w:rsidR="00655541" w:rsidRPr="00EC3B16" w:rsidRDefault="00655541" w:rsidP="00655541">
      <w:pPr>
        <w:spacing w:line="360" w:lineRule="auto"/>
        <w:ind w:firstLine="480"/>
        <w:jc w:val="both"/>
        <w:rPr>
          <w:rFonts w:ascii="宋体" w:hAnsi="宋体"/>
          <w:bCs/>
          <w:sz w:val="24"/>
          <w:lang w:eastAsia="zh-CN"/>
        </w:rPr>
      </w:pPr>
      <w:r w:rsidRPr="00EC3B16">
        <w:rPr>
          <w:rFonts w:ascii="宋体" w:hAnsi="宋体"/>
          <w:bCs/>
          <w:sz w:val="24"/>
          <w:lang w:eastAsia="zh-CN"/>
        </w:rPr>
        <w:t>《基金合同》受中国法律（为本基金合同之目的，不含港澳台</w:t>
      </w:r>
      <w:r w:rsidRPr="00EC3B16">
        <w:rPr>
          <w:rFonts w:ascii="宋体" w:hAnsi="宋体" w:hint="eastAsia"/>
          <w:bCs/>
          <w:sz w:val="24"/>
          <w:lang w:eastAsia="zh-CN"/>
        </w:rPr>
        <w:t>地区法律</w:t>
      </w:r>
      <w:r w:rsidRPr="00EC3B16">
        <w:rPr>
          <w:rFonts w:ascii="宋体" w:hAnsi="宋体"/>
          <w:bCs/>
          <w:sz w:val="24"/>
          <w:lang w:eastAsia="zh-CN"/>
        </w:rPr>
        <w:t>）管辖</w:t>
      </w:r>
      <w:r w:rsidRPr="00EC3B16">
        <w:rPr>
          <w:rFonts w:ascii="宋体" w:hAnsi="宋体" w:hint="eastAsia"/>
          <w:bCs/>
          <w:sz w:val="24"/>
          <w:lang w:eastAsia="zh-CN"/>
        </w:rPr>
        <w:t>并从其解释</w:t>
      </w:r>
      <w:r w:rsidRPr="00EC3B16">
        <w:rPr>
          <w:rFonts w:ascii="宋体" w:hAnsi="宋体"/>
          <w:bCs/>
          <w:sz w:val="24"/>
          <w:lang w:eastAsia="zh-CN"/>
        </w:rPr>
        <w:t>。</w:t>
      </w:r>
    </w:p>
    <w:p w14:paraId="421F9432" w14:textId="77777777" w:rsidR="004154D1" w:rsidRPr="00EC3B16" w:rsidRDefault="004154D1" w:rsidP="00EC3B16">
      <w:pPr>
        <w:spacing w:line="360" w:lineRule="auto"/>
        <w:ind w:firstLine="480"/>
        <w:jc w:val="both"/>
        <w:rPr>
          <w:rFonts w:ascii="宋体" w:hAnsi="宋体"/>
          <w:bCs/>
          <w:sz w:val="24"/>
          <w:lang w:eastAsia="zh-CN"/>
        </w:rPr>
      </w:pPr>
    </w:p>
    <w:p w14:paraId="508516E8" w14:textId="77777777" w:rsidR="004154D1" w:rsidRPr="00EC3B16" w:rsidRDefault="004154D1" w:rsidP="00EC3B16">
      <w:pPr>
        <w:spacing w:line="360" w:lineRule="auto"/>
        <w:ind w:firstLine="480"/>
        <w:jc w:val="both"/>
        <w:rPr>
          <w:rFonts w:ascii="宋体" w:hAnsi="宋体"/>
          <w:bCs/>
          <w:sz w:val="24"/>
          <w:lang w:eastAsia="zh-CN"/>
        </w:rPr>
      </w:pPr>
      <w:r w:rsidRPr="00EC3B16">
        <w:rPr>
          <w:rFonts w:ascii="宋体" w:hAnsi="宋体" w:hint="eastAsia"/>
          <w:bCs/>
          <w:sz w:val="24"/>
          <w:lang w:eastAsia="zh-CN"/>
        </w:rPr>
        <w:t>九、《基金合同》存放地和投资者取得《基金合同》的方式</w:t>
      </w:r>
    </w:p>
    <w:p w14:paraId="1CCCACD5" w14:textId="77777777" w:rsidR="00EC3B16" w:rsidRDefault="00655541" w:rsidP="00EC3B16">
      <w:pPr>
        <w:spacing w:line="360" w:lineRule="auto"/>
        <w:ind w:firstLine="480"/>
        <w:jc w:val="both"/>
        <w:rPr>
          <w:rFonts w:ascii="宋体" w:hAnsi="宋体"/>
          <w:bCs/>
          <w:sz w:val="24"/>
          <w:lang w:eastAsia="zh-CN"/>
        </w:rPr>
      </w:pPr>
      <w:r w:rsidRPr="00EC3B16">
        <w:rPr>
          <w:rFonts w:ascii="宋体" w:hAnsi="宋体"/>
          <w:bCs/>
          <w:sz w:val="24"/>
          <w:lang w:eastAsia="zh-CN"/>
        </w:rPr>
        <w:t>《基金合同》可印制成册，供投资者在基金管理人、基金托管人、销售机构的办公场所和营业场所查阅。</w:t>
      </w:r>
    </w:p>
    <w:p w14:paraId="730F2617" w14:textId="77777777" w:rsidR="00522580" w:rsidRPr="00EC3B16" w:rsidRDefault="00522580" w:rsidP="00EC3B16">
      <w:pPr>
        <w:spacing w:line="360" w:lineRule="auto"/>
        <w:ind w:firstLine="480"/>
        <w:jc w:val="both"/>
        <w:rPr>
          <w:rFonts w:ascii="宋体" w:hAnsi="宋体"/>
          <w:bCs/>
          <w:sz w:val="24"/>
          <w:lang w:eastAsia="zh-CN"/>
        </w:rPr>
      </w:pPr>
    </w:p>
    <w:p w14:paraId="273541D5" w14:textId="78E01228" w:rsidR="004154D1" w:rsidRPr="00AB3A99" w:rsidRDefault="004154D1">
      <w:pPr>
        <w:pageBreakBefore/>
        <w:spacing w:line="360" w:lineRule="auto"/>
        <w:rPr>
          <w:rFonts w:ascii="宋体" w:hAnsi="宋体"/>
          <w:color w:val="FF0000"/>
          <w:sz w:val="24"/>
          <w:lang w:eastAsia="zh-CN"/>
        </w:rPr>
      </w:pPr>
      <w:bookmarkStart w:id="581" w:name="_Hlk70669300"/>
      <w:bookmarkEnd w:id="59"/>
      <w:r w:rsidRPr="00AB3A99">
        <w:rPr>
          <w:rFonts w:ascii="宋体" w:hAnsi="宋体"/>
          <w:sz w:val="24"/>
          <w:lang w:eastAsia="zh-CN"/>
        </w:rPr>
        <w:lastRenderedPageBreak/>
        <w:t>本页无正文，为《</w:t>
      </w:r>
      <w:r w:rsidR="005E142F">
        <w:rPr>
          <w:rFonts w:ascii="宋体" w:hAnsi="宋体"/>
          <w:sz w:val="24"/>
          <w:lang w:eastAsia="zh-CN"/>
        </w:rPr>
        <w:t>中信建投消费升级混合型发起式证券投资基金</w:t>
      </w:r>
      <w:r w:rsidRPr="00EC3B16">
        <w:rPr>
          <w:rFonts w:ascii="宋体" w:hAnsi="宋体"/>
          <w:bCs/>
          <w:sz w:val="24"/>
          <w:lang w:eastAsia="zh-CN"/>
        </w:rPr>
        <w:t>基金合同</w:t>
      </w:r>
      <w:r w:rsidRPr="00AB3A99">
        <w:rPr>
          <w:rFonts w:ascii="宋体" w:hAnsi="宋体"/>
          <w:sz w:val="24"/>
          <w:lang w:eastAsia="zh-CN"/>
        </w:rPr>
        <w:t>》签署页。</w:t>
      </w:r>
    </w:p>
    <w:p w14:paraId="412B5D6C" w14:textId="77777777" w:rsidR="004154D1" w:rsidRPr="00AB3A99" w:rsidRDefault="004154D1">
      <w:pPr>
        <w:spacing w:line="360" w:lineRule="auto"/>
        <w:rPr>
          <w:rFonts w:ascii="宋体" w:hAnsi="宋体"/>
          <w:sz w:val="24"/>
          <w:lang w:eastAsia="zh-CN"/>
        </w:rPr>
      </w:pPr>
    </w:p>
    <w:p w14:paraId="37ABD84B" w14:textId="77777777" w:rsidR="004154D1" w:rsidRPr="00AB3A99" w:rsidRDefault="004154D1">
      <w:pPr>
        <w:spacing w:line="360" w:lineRule="auto"/>
        <w:rPr>
          <w:rFonts w:ascii="宋体" w:hAnsi="宋体"/>
          <w:sz w:val="24"/>
          <w:lang w:eastAsia="zh-CN"/>
        </w:rPr>
      </w:pPr>
    </w:p>
    <w:p w14:paraId="569589D7" w14:textId="77777777" w:rsidR="004154D1" w:rsidRPr="00AB3A99" w:rsidRDefault="004154D1">
      <w:pPr>
        <w:spacing w:line="360" w:lineRule="auto"/>
        <w:ind w:right="26"/>
        <w:rPr>
          <w:rFonts w:ascii="宋体" w:hAnsi="宋体"/>
          <w:sz w:val="24"/>
          <w:lang w:eastAsia="zh-CN"/>
        </w:rPr>
      </w:pPr>
    </w:p>
    <w:p w14:paraId="41D5D9B8" w14:textId="77777777" w:rsidR="004154D1" w:rsidRPr="00AB3A99" w:rsidRDefault="004154D1">
      <w:pPr>
        <w:spacing w:line="360" w:lineRule="auto"/>
        <w:ind w:right="26"/>
        <w:rPr>
          <w:rFonts w:ascii="宋体" w:hAnsi="宋体"/>
          <w:sz w:val="24"/>
          <w:lang w:eastAsia="zh-CN"/>
        </w:rPr>
      </w:pPr>
    </w:p>
    <w:p w14:paraId="440E2ECD" w14:textId="77777777" w:rsidR="004154D1" w:rsidRPr="00AB3A99" w:rsidRDefault="004154D1">
      <w:pPr>
        <w:spacing w:line="360" w:lineRule="auto"/>
        <w:ind w:right="26"/>
        <w:rPr>
          <w:rFonts w:ascii="宋体" w:hAnsi="宋体"/>
          <w:b/>
          <w:sz w:val="24"/>
        </w:rPr>
      </w:pPr>
      <w:r w:rsidRPr="00AB3A99">
        <w:rPr>
          <w:rFonts w:ascii="宋体" w:hAnsi="宋体"/>
          <w:b/>
          <w:sz w:val="24"/>
        </w:rPr>
        <w:t>基金管理人：中信建投基金管理有限公司（章）</w:t>
      </w:r>
    </w:p>
    <w:p w14:paraId="6F2648D5" w14:textId="77777777" w:rsidR="004154D1" w:rsidRPr="00AB3A99" w:rsidRDefault="004154D1">
      <w:pPr>
        <w:spacing w:line="360" w:lineRule="auto"/>
        <w:ind w:right="26"/>
        <w:rPr>
          <w:rFonts w:ascii="宋体" w:hAnsi="宋体"/>
          <w:b/>
          <w:sz w:val="24"/>
        </w:rPr>
      </w:pPr>
    </w:p>
    <w:p w14:paraId="2AC515D5" w14:textId="77777777" w:rsidR="004154D1" w:rsidRPr="00AB3A99" w:rsidRDefault="004154D1">
      <w:pPr>
        <w:spacing w:line="360" w:lineRule="auto"/>
        <w:ind w:right="26"/>
        <w:rPr>
          <w:rFonts w:ascii="宋体" w:hAnsi="宋体"/>
          <w:b/>
          <w:sz w:val="24"/>
        </w:rPr>
      </w:pPr>
    </w:p>
    <w:p w14:paraId="65E348FE" w14:textId="77777777" w:rsidR="004154D1" w:rsidRPr="00AB3A99" w:rsidRDefault="004154D1">
      <w:pPr>
        <w:spacing w:line="360" w:lineRule="auto"/>
        <w:ind w:right="26"/>
        <w:rPr>
          <w:rFonts w:ascii="宋体" w:hAnsi="宋体"/>
          <w:b/>
          <w:sz w:val="24"/>
        </w:rPr>
      </w:pPr>
    </w:p>
    <w:p w14:paraId="5B743674" w14:textId="77777777" w:rsidR="004154D1" w:rsidRPr="00AB3A99" w:rsidRDefault="004154D1">
      <w:pPr>
        <w:spacing w:line="360" w:lineRule="auto"/>
        <w:ind w:right="26"/>
        <w:rPr>
          <w:rFonts w:ascii="宋体" w:hAnsi="宋体"/>
          <w:b/>
          <w:sz w:val="24"/>
        </w:rPr>
      </w:pPr>
    </w:p>
    <w:p w14:paraId="1459D57D" w14:textId="77777777" w:rsidR="004154D1" w:rsidRPr="00AB3A99" w:rsidRDefault="004154D1">
      <w:pPr>
        <w:spacing w:line="360" w:lineRule="auto"/>
        <w:ind w:right="26"/>
        <w:rPr>
          <w:rFonts w:ascii="宋体" w:hAnsi="宋体"/>
          <w:b/>
          <w:sz w:val="24"/>
          <w:lang w:eastAsia="zh-CN"/>
        </w:rPr>
      </w:pPr>
      <w:r w:rsidRPr="00AB3A99">
        <w:rPr>
          <w:rFonts w:ascii="宋体" w:hAnsi="宋体"/>
          <w:b/>
          <w:sz w:val="24"/>
          <w:lang w:eastAsia="zh-CN"/>
        </w:rPr>
        <w:t>法定代表人或授权代表：                   （签字或盖章）</w:t>
      </w:r>
    </w:p>
    <w:p w14:paraId="555FCB9D" w14:textId="77777777" w:rsidR="004154D1" w:rsidRPr="00AB3A99" w:rsidRDefault="004154D1">
      <w:pPr>
        <w:spacing w:line="360" w:lineRule="auto"/>
        <w:ind w:right="26"/>
        <w:rPr>
          <w:rFonts w:ascii="宋体" w:hAnsi="宋体"/>
          <w:b/>
          <w:sz w:val="24"/>
          <w:lang w:eastAsia="zh-CN"/>
        </w:rPr>
      </w:pPr>
    </w:p>
    <w:p w14:paraId="57133082" w14:textId="77777777" w:rsidR="004154D1" w:rsidRPr="00AB3A99" w:rsidRDefault="004154D1">
      <w:pPr>
        <w:spacing w:line="360" w:lineRule="auto"/>
        <w:ind w:right="26"/>
        <w:rPr>
          <w:rFonts w:ascii="宋体" w:hAnsi="宋体"/>
          <w:b/>
          <w:sz w:val="24"/>
          <w:lang w:eastAsia="zh-CN"/>
        </w:rPr>
      </w:pPr>
    </w:p>
    <w:p w14:paraId="1638C957" w14:textId="77777777" w:rsidR="004154D1" w:rsidRPr="00AB3A99" w:rsidRDefault="004154D1">
      <w:pPr>
        <w:spacing w:line="360" w:lineRule="auto"/>
        <w:ind w:right="26"/>
        <w:rPr>
          <w:rFonts w:ascii="宋体" w:hAnsi="宋体"/>
          <w:b/>
          <w:sz w:val="24"/>
          <w:lang w:eastAsia="zh-CN"/>
        </w:rPr>
      </w:pPr>
    </w:p>
    <w:p w14:paraId="1B90C77B" w14:textId="77777777" w:rsidR="004154D1" w:rsidRPr="00AB3A99" w:rsidRDefault="004154D1">
      <w:pPr>
        <w:spacing w:line="360" w:lineRule="auto"/>
        <w:ind w:right="26"/>
        <w:rPr>
          <w:rFonts w:ascii="宋体" w:hAnsi="宋体"/>
          <w:b/>
          <w:sz w:val="24"/>
          <w:lang w:eastAsia="zh-CN"/>
        </w:rPr>
      </w:pPr>
    </w:p>
    <w:p w14:paraId="1C4167FE" w14:textId="77777777" w:rsidR="004154D1" w:rsidRPr="00AB3A99" w:rsidRDefault="004154D1">
      <w:pPr>
        <w:spacing w:line="360" w:lineRule="auto"/>
        <w:ind w:right="26"/>
        <w:rPr>
          <w:rFonts w:ascii="宋体" w:hAnsi="宋体"/>
          <w:b/>
          <w:sz w:val="24"/>
          <w:lang w:eastAsia="zh-CN"/>
        </w:rPr>
      </w:pPr>
      <w:r w:rsidRPr="00AB3A99">
        <w:rPr>
          <w:rFonts w:ascii="宋体" w:hAnsi="宋体"/>
          <w:b/>
          <w:sz w:val="24"/>
          <w:lang w:eastAsia="zh-CN"/>
        </w:rPr>
        <w:t>基金托管人：</w:t>
      </w:r>
      <w:r w:rsidR="005E142F">
        <w:rPr>
          <w:rFonts w:ascii="宋体" w:hAnsi="宋体"/>
          <w:b/>
          <w:bCs/>
          <w:sz w:val="24"/>
          <w:lang w:eastAsia="zh-CN"/>
        </w:rPr>
        <w:t>上海浦东发展银行股份有限公司</w:t>
      </w:r>
      <w:r w:rsidRPr="00AB3A99">
        <w:rPr>
          <w:rFonts w:ascii="宋体" w:hAnsi="宋体"/>
          <w:b/>
          <w:sz w:val="24"/>
          <w:lang w:eastAsia="zh-CN"/>
        </w:rPr>
        <w:t>（章）</w:t>
      </w:r>
    </w:p>
    <w:p w14:paraId="143F387E" w14:textId="77777777" w:rsidR="004154D1" w:rsidRPr="00AB3A99" w:rsidRDefault="004154D1">
      <w:pPr>
        <w:spacing w:line="360" w:lineRule="auto"/>
        <w:ind w:right="26"/>
        <w:rPr>
          <w:rFonts w:ascii="宋体" w:hAnsi="宋体"/>
          <w:b/>
          <w:sz w:val="24"/>
          <w:lang w:eastAsia="zh-CN"/>
        </w:rPr>
      </w:pPr>
    </w:p>
    <w:p w14:paraId="5866FC9C" w14:textId="77777777" w:rsidR="004154D1" w:rsidRDefault="004154D1">
      <w:pPr>
        <w:spacing w:line="360" w:lineRule="auto"/>
        <w:ind w:right="26"/>
        <w:rPr>
          <w:rFonts w:ascii="宋体" w:hAnsi="宋体"/>
          <w:b/>
          <w:sz w:val="24"/>
          <w:lang w:eastAsia="zh-CN"/>
        </w:rPr>
      </w:pPr>
    </w:p>
    <w:p w14:paraId="01F5C76A" w14:textId="77777777" w:rsidR="00780323" w:rsidRPr="00AB3A99" w:rsidRDefault="00780323">
      <w:pPr>
        <w:spacing w:line="360" w:lineRule="auto"/>
        <w:ind w:right="26"/>
        <w:rPr>
          <w:rFonts w:ascii="宋体" w:hAnsi="宋体"/>
          <w:b/>
          <w:sz w:val="24"/>
          <w:lang w:eastAsia="zh-CN"/>
        </w:rPr>
      </w:pPr>
    </w:p>
    <w:p w14:paraId="4CEFDFB6" w14:textId="77777777" w:rsidR="004154D1" w:rsidRPr="00AB3A99" w:rsidRDefault="004154D1">
      <w:pPr>
        <w:spacing w:line="360" w:lineRule="auto"/>
        <w:ind w:right="26"/>
        <w:rPr>
          <w:rFonts w:ascii="宋体" w:hAnsi="宋体"/>
          <w:b/>
          <w:sz w:val="24"/>
          <w:lang w:eastAsia="zh-CN"/>
        </w:rPr>
      </w:pPr>
    </w:p>
    <w:p w14:paraId="2966176C" w14:textId="77777777" w:rsidR="004154D1" w:rsidRPr="00AB3A99" w:rsidRDefault="004154D1">
      <w:pPr>
        <w:spacing w:line="360" w:lineRule="auto"/>
        <w:ind w:right="26"/>
        <w:rPr>
          <w:rFonts w:ascii="宋体" w:hAnsi="宋体"/>
          <w:b/>
          <w:sz w:val="24"/>
          <w:lang w:eastAsia="zh-CN"/>
        </w:rPr>
      </w:pPr>
      <w:r w:rsidRPr="00AB3A99">
        <w:rPr>
          <w:rFonts w:ascii="宋体" w:hAnsi="宋体"/>
          <w:b/>
          <w:sz w:val="24"/>
          <w:lang w:eastAsia="zh-CN"/>
        </w:rPr>
        <w:t>法定代表人或授权代表：                   （签字或盖章）</w:t>
      </w:r>
    </w:p>
    <w:p w14:paraId="4C9D4D98" w14:textId="77777777" w:rsidR="004154D1" w:rsidRPr="00AB3A99" w:rsidRDefault="004154D1">
      <w:pPr>
        <w:spacing w:line="360" w:lineRule="auto"/>
        <w:ind w:right="26"/>
        <w:rPr>
          <w:rFonts w:ascii="宋体" w:hAnsi="宋体"/>
          <w:b/>
          <w:sz w:val="24"/>
          <w:lang w:eastAsia="zh-CN"/>
        </w:rPr>
      </w:pPr>
    </w:p>
    <w:p w14:paraId="49B6A55F" w14:textId="77777777" w:rsidR="004154D1" w:rsidRPr="00AB3A99" w:rsidRDefault="004154D1">
      <w:pPr>
        <w:spacing w:line="360" w:lineRule="auto"/>
        <w:ind w:right="26"/>
        <w:rPr>
          <w:rFonts w:ascii="宋体" w:hAnsi="宋体"/>
          <w:b/>
          <w:sz w:val="24"/>
          <w:lang w:eastAsia="zh-CN"/>
        </w:rPr>
      </w:pPr>
    </w:p>
    <w:p w14:paraId="7EF30F97" w14:textId="77777777" w:rsidR="004154D1" w:rsidRPr="00AB3A99" w:rsidRDefault="004154D1">
      <w:pPr>
        <w:spacing w:line="360" w:lineRule="auto"/>
        <w:ind w:right="26"/>
        <w:rPr>
          <w:rFonts w:ascii="宋体" w:hAnsi="宋体"/>
          <w:b/>
          <w:sz w:val="24"/>
          <w:lang w:eastAsia="zh-CN"/>
        </w:rPr>
      </w:pPr>
    </w:p>
    <w:p w14:paraId="4DAA0B24" w14:textId="77777777" w:rsidR="004154D1" w:rsidRPr="00AB3A99" w:rsidRDefault="004154D1">
      <w:pPr>
        <w:spacing w:line="360" w:lineRule="auto"/>
        <w:ind w:right="26"/>
        <w:rPr>
          <w:rFonts w:ascii="宋体" w:hAnsi="宋体"/>
          <w:b/>
          <w:sz w:val="24"/>
          <w:lang w:eastAsia="zh-CN"/>
        </w:rPr>
      </w:pPr>
    </w:p>
    <w:p w14:paraId="0F7A4484" w14:textId="77777777" w:rsidR="004154D1" w:rsidRPr="00AB3A99" w:rsidRDefault="004154D1">
      <w:pPr>
        <w:spacing w:line="360" w:lineRule="auto"/>
        <w:ind w:right="26"/>
        <w:rPr>
          <w:rFonts w:ascii="宋体" w:hAnsi="宋体"/>
          <w:b/>
          <w:sz w:val="24"/>
          <w:lang w:eastAsia="zh-CN"/>
        </w:rPr>
      </w:pPr>
      <w:r w:rsidRPr="00AB3A99">
        <w:rPr>
          <w:rFonts w:ascii="宋体" w:hAnsi="宋体"/>
          <w:b/>
          <w:sz w:val="24"/>
          <w:lang w:eastAsia="zh-CN"/>
        </w:rPr>
        <w:t>签订地点：</w:t>
      </w:r>
    </w:p>
    <w:p w14:paraId="60A326A9" w14:textId="77777777" w:rsidR="004154D1" w:rsidRPr="00EC3B16" w:rsidRDefault="004154D1">
      <w:pPr>
        <w:rPr>
          <w:rFonts w:ascii="宋体" w:hAnsi="宋体"/>
          <w:bCs/>
          <w:lang w:eastAsia="zh-CN"/>
        </w:rPr>
      </w:pPr>
      <w:r w:rsidRPr="00AB3A99">
        <w:rPr>
          <w:rFonts w:ascii="宋体" w:hAnsi="宋体"/>
          <w:b/>
          <w:sz w:val="24"/>
          <w:lang w:eastAsia="zh-CN"/>
        </w:rPr>
        <w:t xml:space="preserve">签 订 日：  </w:t>
      </w:r>
      <w:r w:rsidR="00EC3B16">
        <w:rPr>
          <w:rFonts w:ascii="宋体" w:hAnsi="宋体"/>
          <w:b/>
          <w:sz w:val="24"/>
          <w:lang w:eastAsia="zh-CN"/>
        </w:rPr>
        <w:t xml:space="preserve"> </w:t>
      </w:r>
      <w:r w:rsidRPr="00AB3A99">
        <w:rPr>
          <w:rFonts w:ascii="宋体" w:hAnsi="宋体"/>
          <w:b/>
          <w:sz w:val="24"/>
          <w:lang w:eastAsia="zh-CN"/>
        </w:rPr>
        <w:t xml:space="preserve"> 年 </w:t>
      </w:r>
      <w:r w:rsidR="00EC3B16">
        <w:rPr>
          <w:rFonts w:ascii="宋体" w:hAnsi="宋体"/>
          <w:b/>
          <w:sz w:val="24"/>
          <w:lang w:eastAsia="zh-CN"/>
        </w:rPr>
        <w:t xml:space="preserve">  </w:t>
      </w:r>
      <w:r w:rsidRPr="00AB3A99">
        <w:rPr>
          <w:rFonts w:ascii="宋体" w:hAnsi="宋体"/>
          <w:b/>
          <w:sz w:val="24"/>
          <w:lang w:eastAsia="zh-CN"/>
        </w:rPr>
        <w:t xml:space="preserve"> 月</w:t>
      </w:r>
      <w:r w:rsidR="00EC3B16">
        <w:rPr>
          <w:rFonts w:ascii="宋体" w:hAnsi="宋体" w:hint="eastAsia"/>
          <w:b/>
          <w:sz w:val="24"/>
          <w:lang w:eastAsia="zh-CN"/>
        </w:rPr>
        <w:t xml:space="preserve"> </w:t>
      </w:r>
      <w:r w:rsidR="00EC3B16">
        <w:rPr>
          <w:rFonts w:ascii="宋体" w:hAnsi="宋体"/>
          <w:b/>
          <w:sz w:val="24"/>
          <w:lang w:eastAsia="zh-CN"/>
        </w:rPr>
        <w:t xml:space="preserve"> </w:t>
      </w:r>
      <w:r w:rsidRPr="00AB3A99">
        <w:rPr>
          <w:rFonts w:ascii="宋体" w:hAnsi="宋体"/>
          <w:b/>
          <w:sz w:val="24"/>
          <w:lang w:eastAsia="zh-CN"/>
        </w:rPr>
        <w:t xml:space="preserve">  日</w:t>
      </w:r>
      <w:bookmarkStart w:id="582" w:name="_Hlk73625240"/>
      <w:bookmarkEnd w:id="581"/>
    </w:p>
    <w:bookmarkEnd w:id="582"/>
    <w:p w14:paraId="6E0F0FC3" w14:textId="77777777" w:rsidR="004154D1" w:rsidRPr="00EC3B16" w:rsidRDefault="004154D1">
      <w:pPr>
        <w:spacing w:line="360" w:lineRule="auto"/>
        <w:ind w:right="840"/>
        <w:rPr>
          <w:rFonts w:ascii="宋体" w:hAnsi="宋体"/>
          <w:bCs/>
          <w:lang w:eastAsia="zh-CN"/>
        </w:rPr>
      </w:pPr>
    </w:p>
    <w:sectPr w:rsidR="004154D1" w:rsidRPr="00EC3B16">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AF27" w14:textId="77777777" w:rsidR="000F5872" w:rsidRDefault="000F5872">
      <w:r>
        <w:separator/>
      </w:r>
    </w:p>
  </w:endnote>
  <w:endnote w:type="continuationSeparator" w:id="0">
    <w:p w14:paraId="5325E2B9" w14:textId="77777777" w:rsidR="000F5872" w:rsidRDefault="000F5872">
      <w:r>
        <w:continuationSeparator/>
      </w:r>
    </w:p>
  </w:endnote>
  <w:endnote w:type="continuationNotice" w:id="1">
    <w:p w14:paraId="1E6A123F" w14:textId="77777777" w:rsidR="000F5872" w:rsidRDefault="000F5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DB55" w14:textId="77777777" w:rsidR="004154D1" w:rsidRDefault="004154D1">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02AB" w14:textId="77777777" w:rsidR="004154D1" w:rsidRDefault="004154D1">
    <w:pPr>
      <w:pStyle w:val="aa"/>
      <w:jc w:val="center"/>
    </w:pPr>
    <w:r>
      <w:rPr>
        <w:lang w:val="zh-CN"/>
      </w:rPr>
      <w:fldChar w:fldCharType="begin"/>
    </w:r>
    <w:r>
      <w:rPr>
        <w:lang w:val="zh-CN"/>
      </w:rPr>
      <w:instrText xml:space="preserve"> PAGE   \* MERGEFORMAT </w:instrText>
    </w:r>
    <w:r>
      <w:rPr>
        <w:lang w:val="zh-CN"/>
      </w:rPr>
      <w:fldChar w:fldCharType="separate"/>
    </w:r>
    <w:r w:rsidR="00964425">
      <w:rPr>
        <w:noProof/>
        <w:lang w:val="zh-CN" w:eastAsia="zh-CN"/>
      </w:rPr>
      <w:t>85</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FDEC" w14:textId="77777777" w:rsidR="000F5872" w:rsidRDefault="000F5872">
      <w:r>
        <w:separator/>
      </w:r>
    </w:p>
  </w:footnote>
  <w:footnote w:type="continuationSeparator" w:id="0">
    <w:p w14:paraId="22F6E7F3" w14:textId="77777777" w:rsidR="000F5872" w:rsidRDefault="000F5872">
      <w:r>
        <w:continuationSeparator/>
      </w:r>
    </w:p>
  </w:footnote>
  <w:footnote w:type="continuationNotice" w:id="1">
    <w:p w14:paraId="73CF117A" w14:textId="77777777" w:rsidR="000F5872" w:rsidRDefault="000F58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9B08" w14:textId="77777777" w:rsidR="004154D1" w:rsidRDefault="004154D1">
    <w:pPr>
      <w:pStyle w:val="ac"/>
      <w:pBdr>
        <w:bottom w:val="single" w:sz="24" w:space="10" w:color="000000"/>
      </w:pBdr>
      <w:tabs>
        <w:tab w:val="right" w:pos="8280"/>
      </w:tabs>
      <w:jc w:val="both"/>
    </w:pPr>
    <w:r>
      <w:rPr>
        <w:color w:val="000000"/>
      </w:rPr>
      <w:t>XXXX</w:t>
    </w:r>
    <w: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F7A8" w14:textId="472575DA" w:rsidR="004154D1" w:rsidRDefault="00D4103F">
    <w:pPr>
      <w:pStyle w:val="ac"/>
      <w:pBdr>
        <w:bottom w:val="single" w:sz="24" w:space="10" w:color="000000"/>
      </w:pBdr>
      <w:tabs>
        <w:tab w:val="right" w:pos="8280"/>
      </w:tabs>
      <w:jc w:val="both"/>
    </w:pPr>
    <w:r w:rsidRPr="00D4103F">
      <w:rPr>
        <w:rFonts w:hint="eastAsia"/>
      </w:rPr>
      <w:t>中信建投消费升级混合型发起式证券投资基金</w:t>
    </w:r>
    <w:r w:rsidR="004154D1">
      <w:t xml:space="preserve">                      </w:t>
    </w:r>
    <w:r w:rsidR="004154D1">
      <w:rPr>
        <w:rFonts w:hint="eastAsia"/>
      </w:rPr>
      <w:t xml:space="preserve"> </w:t>
    </w:r>
    <w:r w:rsidR="004154D1">
      <w:t xml:space="preserve">            </w:t>
    </w:r>
    <w:r w:rsidR="004154D1">
      <w:rPr>
        <w:rFonts w:hint="eastAsia"/>
      </w:rPr>
      <w:t xml:space="preserve"> </w:t>
    </w:r>
    <w:r w:rsidR="00697D8A">
      <w:t xml:space="preserve">        </w:t>
    </w:r>
    <w:r w:rsidR="004154D1">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A64D3"/>
    <w:multiLevelType w:val="multilevel"/>
    <w:tmpl w:val="754A64D3"/>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BF40B61"/>
    <w:multiLevelType w:val="multilevel"/>
    <w:tmpl w:val="7BF40B61"/>
    <w:lvl w:ilvl="0">
      <w:start w:val="1"/>
      <w:numFmt w:val="bullet"/>
      <w:pStyle w:val="Listbullet"/>
      <w:lvlText w:val=""/>
      <w:lvlJc w:val="left"/>
      <w:pPr>
        <w:tabs>
          <w:tab w:val="num" w:pos="360"/>
        </w:tabs>
        <w:ind w:left="360" w:hanging="360"/>
      </w:pPr>
      <w:rPr>
        <w:rFonts w:ascii="Symbol" w:hAnsi="Symbol"/>
        <w:color w:val="00000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662351708">
    <w:abstractNumId w:val="1"/>
  </w:num>
  <w:num w:numId="2" w16cid:durableId="55123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96"/>
    <w:rsid w:val="00000A16"/>
    <w:rsid w:val="00001C16"/>
    <w:rsid w:val="00005EBB"/>
    <w:rsid w:val="00010432"/>
    <w:rsid w:val="000150FC"/>
    <w:rsid w:val="000159AD"/>
    <w:rsid w:val="000173B5"/>
    <w:rsid w:val="000175FB"/>
    <w:rsid w:val="00023BE0"/>
    <w:rsid w:val="000325C1"/>
    <w:rsid w:val="00033889"/>
    <w:rsid w:val="00040E49"/>
    <w:rsid w:val="00055251"/>
    <w:rsid w:val="00065624"/>
    <w:rsid w:val="000674BC"/>
    <w:rsid w:val="00067670"/>
    <w:rsid w:val="00074888"/>
    <w:rsid w:val="00082147"/>
    <w:rsid w:val="00085BA9"/>
    <w:rsid w:val="00087C7B"/>
    <w:rsid w:val="000A3890"/>
    <w:rsid w:val="000A5A8C"/>
    <w:rsid w:val="000A6FEB"/>
    <w:rsid w:val="000B79AD"/>
    <w:rsid w:val="000C3291"/>
    <w:rsid w:val="000C4106"/>
    <w:rsid w:val="000D0B79"/>
    <w:rsid w:val="000D3468"/>
    <w:rsid w:val="000D353B"/>
    <w:rsid w:val="000D4829"/>
    <w:rsid w:val="000D72A2"/>
    <w:rsid w:val="000E7DA8"/>
    <w:rsid w:val="000F06B3"/>
    <w:rsid w:val="000F5872"/>
    <w:rsid w:val="000F6BA4"/>
    <w:rsid w:val="000F70A8"/>
    <w:rsid w:val="001014F7"/>
    <w:rsid w:val="00103FB2"/>
    <w:rsid w:val="00117073"/>
    <w:rsid w:val="00122284"/>
    <w:rsid w:val="00126507"/>
    <w:rsid w:val="00132E71"/>
    <w:rsid w:val="00133452"/>
    <w:rsid w:val="00157A87"/>
    <w:rsid w:val="00157DF1"/>
    <w:rsid w:val="00160924"/>
    <w:rsid w:val="00160E63"/>
    <w:rsid w:val="00171500"/>
    <w:rsid w:val="001735ED"/>
    <w:rsid w:val="0017613C"/>
    <w:rsid w:val="001826DA"/>
    <w:rsid w:val="0018714E"/>
    <w:rsid w:val="00196E1A"/>
    <w:rsid w:val="001A166C"/>
    <w:rsid w:val="001A362D"/>
    <w:rsid w:val="001B21D0"/>
    <w:rsid w:val="001B3259"/>
    <w:rsid w:val="001B6934"/>
    <w:rsid w:val="001C0E45"/>
    <w:rsid w:val="001C24CB"/>
    <w:rsid w:val="001C403D"/>
    <w:rsid w:val="001D32D9"/>
    <w:rsid w:val="001D65E0"/>
    <w:rsid w:val="001E0496"/>
    <w:rsid w:val="001E263D"/>
    <w:rsid w:val="001E426C"/>
    <w:rsid w:val="001F1BBC"/>
    <w:rsid w:val="001F3E8D"/>
    <w:rsid w:val="001F7978"/>
    <w:rsid w:val="00201ABB"/>
    <w:rsid w:val="00214F99"/>
    <w:rsid w:val="0022266F"/>
    <w:rsid w:val="0022511B"/>
    <w:rsid w:val="002271E8"/>
    <w:rsid w:val="00232CB1"/>
    <w:rsid w:val="002352FF"/>
    <w:rsid w:val="00241E44"/>
    <w:rsid w:val="00253AFF"/>
    <w:rsid w:val="0025467C"/>
    <w:rsid w:val="00260C16"/>
    <w:rsid w:val="002613CE"/>
    <w:rsid w:val="002637BF"/>
    <w:rsid w:val="00267B7A"/>
    <w:rsid w:val="00270758"/>
    <w:rsid w:val="002756BB"/>
    <w:rsid w:val="002809BD"/>
    <w:rsid w:val="00282906"/>
    <w:rsid w:val="0028357B"/>
    <w:rsid w:val="00283999"/>
    <w:rsid w:val="002A2AA2"/>
    <w:rsid w:val="002A36DE"/>
    <w:rsid w:val="002B0C0D"/>
    <w:rsid w:val="002B54B0"/>
    <w:rsid w:val="002B7050"/>
    <w:rsid w:val="002B7A4E"/>
    <w:rsid w:val="002C1D5A"/>
    <w:rsid w:val="002E4F5C"/>
    <w:rsid w:val="002F2BE2"/>
    <w:rsid w:val="003017CA"/>
    <w:rsid w:val="00302E1E"/>
    <w:rsid w:val="003048FD"/>
    <w:rsid w:val="00306216"/>
    <w:rsid w:val="00317777"/>
    <w:rsid w:val="00324B0B"/>
    <w:rsid w:val="003344F4"/>
    <w:rsid w:val="00340F67"/>
    <w:rsid w:val="003440DF"/>
    <w:rsid w:val="0034462B"/>
    <w:rsid w:val="00345B3D"/>
    <w:rsid w:val="00350F6F"/>
    <w:rsid w:val="00351A9B"/>
    <w:rsid w:val="00366EA4"/>
    <w:rsid w:val="00371F87"/>
    <w:rsid w:val="00376A51"/>
    <w:rsid w:val="00377070"/>
    <w:rsid w:val="0037778C"/>
    <w:rsid w:val="0038313F"/>
    <w:rsid w:val="0038452B"/>
    <w:rsid w:val="003845CF"/>
    <w:rsid w:val="00393617"/>
    <w:rsid w:val="0039680C"/>
    <w:rsid w:val="003A396A"/>
    <w:rsid w:val="003A6794"/>
    <w:rsid w:val="003B2B47"/>
    <w:rsid w:val="003C4E63"/>
    <w:rsid w:val="003C601F"/>
    <w:rsid w:val="003C6707"/>
    <w:rsid w:val="003D08C8"/>
    <w:rsid w:val="003D32E1"/>
    <w:rsid w:val="003D382F"/>
    <w:rsid w:val="003D5317"/>
    <w:rsid w:val="003D6986"/>
    <w:rsid w:val="003E24DA"/>
    <w:rsid w:val="003E38D6"/>
    <w:rsid w:val="003F3105"/>
    <w:rsid w:val="003F3F0C"/>
    <w:rsid w:val="004154D1"/>
    <w:rsid w:val="00430CD5"/>
    <w:rsid w:val="00434066"/>
    <w:rsid w:val="0043409E"/>
    <w:rsid w:val="00442017"/>
    <w:rsid w:val="00444F7B"/>
    <w:rsid w:val="00456FE6"/>
    <w:rsid w:val="00461D72"/>
    <w:rsid w:val="004625F7"/>
    <w:rsid w:val="00467D1B"/>
    <w:rsid w:val="004778A3"/>
    <w:rsid w:val="00482BDD"/>
    <w:rsid w:val="004B2455"/>
    <w:rsid w:val="004B3648"/>
    <w:rsid w:val="004B4CD1"/>
    <w:rsid w:val="004C44A9"/>
    <w:rsid w:val="004C6A66"/>
    <w:rsid w:val="004C733B"/>
    <w:rsid w:val="004D3929"/>
    <w:rsid w:val="004D697C"/>
    <w:rsid w:val="004E395B"/>
    <w:rsid w:val="004E55E8"/>
    <w:rsid w:val="004E6B33"/>
    <w:rsid w:val="004E753A"/>
    <w:rsid w:val="004F0A30"/>
    <w:rsid w:val="004F451F"/>
    <w:rsid w:val="00502509"/>
    <w:rsid w:val="00502F30"/>
    <w:rsid w:val="005035ED"/>
    <w:rsid w:val="0050428C"/>
    <w:rsid w:val="00515BB9"/>
    <w:rsid w:val="00520791"/>
    <w:rsid w:val="00522580"/>
    <w:rsid w:val="005240FD"/>
    <w:rsid w:val="005308B4"/>
    <w:rsid w:val="00530BFB"/>
    <w:rsid w:val="00541DDE"/>
    <w:rsid w:val="00547ADF"/>
    <w:rsid w:val="00550B75"/>
    <w:rsid w:val="005818E5"/>
    <w:rsid w:val="00582A7C"/>
    <w:rsid w:val="005933E8"/>
    <w:rsid w:val="005954AB"/>
    <w:rsid w:val="005A233F"/>
    <w:rsid w:val="005A2B43"/>
    <w:rsid w:val="005B0997"/>
    <w:rsid w:val="005B2228"/>
    <w:rsid w:val="005B5392"/>
    <w:rsid w:val="005B698E"/>
    <w:rsid w:val="005C214B"/>
    <w:rsid w:val="005E1227"/>
    <w:rsid w:val="005E142F"/>
    <w:rsid w:val="005E68CC"/>
    <w:rsid w:val="005F0098"/>
    <w:rsid w:val="00607572"/>
    <w:rsid w:val="006102FD"/>
    <w:rsid w:val="006122F1"/>
    <w:rsid w:val="0061375A"/>
    <w:rsid w:val="00613EA7"/>
    <w:rsid w:val="00613EE9"/>
    <w:rsid w:val="00614FCB"/>
    <w:rsid w:val="00616B60"/>
    <w:rsid w:val="006232D2"/>
    <w:rsid w:val="006270B0"/>
    <w:rsid w:val="00632A98"/>
    <w:rsid w:val="006423B2"/>
    <w:rsid w:val="00647556"/>
    <w:rsid w:val="006550EB"/>
    <w:rsid w:val="00655541"/>
    <w:rsid w:val="0065562B"/>
    <w:rsid w:val="006714F1"/>
    <w:rsid w:val="006734F6"/>
    <w:rsid w:val="006777E8"/>
    <w:rsid w:val="0069071E"/>
    <w:rsid w:val="00693497"/>
    <w:rsid w:val="006965FF"/>
    <w:rsid w:val="00697D8A"/>
    <w:rsid w:val="006A29C7"/>
    <w:rsid w:val="006B5474"/>
    <w:rsid w:val="006B6841"/>
    <w:rsid w:val="006C2585"/>
    <w:rsid w:val="006C62AE"/>
    <w:rsid w:val="006D1909"/>
    <w:rsid w:val="006F1164"/>
    <w:rsid w:val="006F26DC"/>
    <w:rsid w:val="006F2EE5"/>
    <w:rsid w:val="006F6EAF"/>
    <w:rsid w:val="007043BE"/>
    <w:rsid w:val="00710CD7"/>
    <w:rsid w:val="00714BBF"/>
    <w:rsid w:val="007173FE"/>
    <w:rsid w:val="00731639"/>
    <w:rsid w:val="00753119"/>
    <w:rsid w:val="00774C8D"/>
    <w:rsid w:val="00780323"/>
    <w:rsid w:val="007810F7"/>
    <w:rsid w:val="00783368"/>
    <w:rsid w:val="00784644"/>
    <w:rsid w:val="007863DE"/>
    <w:rsid w:val="00791723"/>
    <w:rsid w:val="00797936"/>
    <w:rsid w:val="00797C06"/>
    <w:rsid w:val="007A2911"/>
    <w:rsid w:val="007A2CC4"/>
    <w:rsid w:val="007A4F7D"/>
    <w:rsid w:val="007A5C1C"/>
    <w:rsid w:val="007B597C"/>
    <w:rsid w:val="007B7AD3"/>
    <w:rsid w:val="007C07FB"/>
    <w:rsid w:val="007C143E"/>
    <w:rsid w:val="007C5151"/>
    <w:rsid w:val="007E0964"/>
    <w:rsid w:val="007E612E"/>
    <w:rsid w:val="007E71A9"/>
    <w:rsid w:val="007E7C2B"/>
    <w:rsid w:val="007F0CA9"/>
    <w:rsid w:val="007F4829"/>
    <w:rsid w:val="008042B6"/>
    <w:rsid w:val="00812617"/>
    <w:rsid w:val="00816832"/>
    <w:rsid w:val="00820010"/>
    <w:rsid w:val="00823365"/>
    <w:rsid w:val="008302F1"/>
    <w:rsid w:val="00834933"/>
    <w:rsid w:val="00836D31"/>
    <w:rsid w:val="0084341F"/>
    <w:rsid w:val="00845BA1"/>
    <w:rsid w:val="00851890"/>
    <w:rsid w:val="008524FD"/>
    <w:rsid w:val="00861D87"/>
    <w:rsid w:val="008642C6"/>
    <w:rsid w:val="00864E55"/>
    <w:rsid w:val="008652F5"/>
    <w:rsid w:val="00876CB9"/>
    <w:rsid w:val="00885C5A"/>
    <w:rsid w:val="008907ED"/>
    <w:rsid w:val="00896BE3"/>
    <w:rsid w:val="008A1D95"/>
    <w:rsid w:val="008B59FC"/>
    <w:rsid w:val="008D03CE"/>
    <w:rsid w:val="008D1299"/>
    <w:rsid w:val="008D1D1E"/>
    <w:rsid w:val="008D51DD"/>
    <w:rsid w:val="008D6EAF"/>
    <w:rsid w:val="008D70D2"/>
    <w:rsid w:val="008F5674"/>
    <w:rsid w:val="008F610B"/>
    <w:rsid w:val="009063FB"/>
    <w:rsid w:val="00906F63"/>
    <w:rsid w:val="00912459"/>
    <w:rsid w:val="00920AEE"/>
    <w:rsid w:val="00923489"/>
    <w:rsid w:val="00924246"/>
    <w:rsid w:val="0092572D"/>
    <w:rsid w:val="00927CC1"/>
    <w:rsid w:val="009310B6"/>
    <w:rsid w:val="00935780"/>
    <w:rsid w:val="00943132"/>
    <w:rsid w:val="009464CC"/>
    <w:rsid w:val="00946AA6"/>
    <w:rsid w:val="009511F7"/>
    <w:rsid w:val="009552DD"/>
    <w:rsid w:val="00964425"/>
    <w:rsid w:val="009653C2"/>
    <w:rsid w:val="00972CCE"/>
    <w:rsid w:val="00983B87"/>
    <w:rsid w:val="00994D12"/>
    <w:rsid w:val="009A072B"/>
    <w:rsid w:val="009A3027"/>
    <w:rsid w:val="009A37A5"/>
    <w:rsid w:val="009A590E"/>
    <w:rsid w:val="009B5C21"/>
    <w:rsid w:val="009C04C8"/>
    <w:rsid w:val="009D0736"/>
    <w:rsid w:val="009D49B9"/>
    <w:rsid w:val="009E308D"/>
    <w:rsid w:val="009E5016"/>
    <w:rsid w:val="009E725C"/>
    <w:rsid w:val="009F11AF"/>
    <w:rsid w:val="009F6C65"/>
    <w:rsid w:val="00A0099C"/>
    <w:rsid w:val="00A07254"/>
    <w:rsid w:val="00A15347"/>
    <w:rsid w:val="00A200B2"/>
    <w:rsid w:val="00A20C13"/>
    <w:rsid w:val="00A20DA6"/>
    <w:rsid w:val="00A23858"/>
    <w:rsid w:val="00A3117C"/>
    <w:rsid w:val="00A35A93"/>
    <w:rsid w:val="00A421C2"/>
    <w:rsid w:val="00A4460F"/>
    <w:rsid w:val="00A45FBB"/>
    <w:rsid w:val="00A53757"/>
    <w:rsid w:val="00A550C0"/>
    <w:rsid w:val="00A57410"/>
    <w:rsid w:val="00A57F19"/>
    <w:rsid w:val="00A62CBC"/>
    <w:rsid w:val="00A72D79"/>
    <w:rsid w:val="00A72E70"/>
    <w:rsid w:val="00A7430A"/>
    <w:rsid w:val="00A7789B"/>
    <w:rsid w:val="00A778BB"/>
    <w:rsid w:val="00A8070E"/>
    <w:rsid w:val="00A935FC"/>
    <w:rsid w:val="00A93A77"/>
    <w:rsid w:val="00A96FB7"/>
    <w:rsid w:val="00AA1960"/>
    <w:rsid w:val="00AA3961"/>
    <w:rsid w:val="00AA3F81"/>
    <w:rsid w:val="00AA45EA"/>
    <w:rsid w:val="00AA52B2"/>
    <w:rsid w:val="00AA6290"/>
    <w:rsid w:val="00AB0745"/>
    <w:rsid w:val="00AB0C2A"/>
    <w:rsid w:val="00AB24B6"/>
    <w:rsid w:val="00AB3A99"/>
    <w:rsid w:val="00AE05B8"/>
    <w:rsid w:val="00AF2E36"/>
    <w:rsid w:val="00AF762F"/>
    <w:rsid w:val="00B0000D"/>
    <w:rsid w:val="00B10D8A"/>
    <w:rsid w:val="00B20C2F"/>
    <w:rsid w:val="00B22927"/>
    <w:rsid w:val="00B237BC"/>
    <w:rsid w:val="00B27C9B"/>
    <w:rsid w:val="00B37784"/>
    <w:rsid w:val="00B40D1F"/>
    <w:rsid w:val="00B41D35"/>
    <w:rsid w:val="00B42B31"/>
    <w:rsid w:val="00B47209"/>
    <w:rsid w:val="00B5013A"/>
    <w:rsid w:val="00B536E1"/>
    <w:rsid w:val="00B55611"/>
    <w:rsid w:val="00B62BC3"/>
    <w:rsid w:val="00B644F4"/>
    <w:rsid w:val="00B90A08"/>
    <w:rsid w:val="00B91746"/>
    <w:rsid w:val="00B91D33"/>
    <w:rsid w:val="00B966F6"/>
    <w:rsid w:val="00BA1321"/>
    <w:rsid w:val="00BA3431"/>
    <w:rsid w:val="00BA6361"/>
    <w:rsid w:val="00BB1BE7"/>
    <w:rsid w:val="00BB21BE"/>
    <w:rsid w:val="00BB5C17"/>
    <w:rsid w:val="00BC6296"/>
    <w:rsid w:val="00BD57AE"/>
    <w:rsid w:val="00BD6D49"/>
    <w:rsid w:val="00BD7A0C"/>
    <w:rsid w:val="00BE742A"/>
    <w:rsid w:val="00BF4755"/>
    <w:rsid w:val="00BF72B5"/>
    <w:rsid w:val="00C0567E"/>
    <w:rsid w:val="00C077F7"/>
    <w:rsid w:val="00C10AA4"/>
    <w:rsid w:val="00C13CA7"/>
    <w:rsid w:val="00C143DC"/>
    <w:rsid w:val="00C207E2"/>
    <w:rsid w:val="00C219EB"/>
    <w:rsid w:val="00C27DFB"/>
    <w:rsid w:val="00C320CE"/>
    <w:rsid w:val="00C34D79"/>
    <w:rsid w:val="00C36D1D"/>
    <w:rsid w:val="00C37EE6"/>
    <w:rsid w:val="00C4068C"/>
    <w:rsid w:val="00C415CC"/>
    <w:rsid w:val="00C417AD"/>
    <w:rsid w:val="00C42AF4"/>
    <w:rsid w:val="00C45191"/>
    <w:rsid w:val="00C55FE8"/>
    <w:rsid w:val="00C6367B"/>
    <w:rsid w:val="00C64392"/>
    <w:rsid w:val="00C65CB0"/>
    <w:rsid w:val="00C8537A"/>
    <w:rsid w:val="00C91060"/>
    <w:rsid w:val="00C918D3"/>
    <w:rsid w:val="00CA45A1"/>
    <w:rsid w:val="00CA6472"/>
    <w:rsid w:val="00CC0906"/>
    <w:rsid w:val="00CC746D"/>
    <w:rsid w:val="00CD1682"/>
    <w:rsid w:val="00CE1578"/>
    <w:rsid w:val="00CE5FB5"/>
    <w:rsid w:val="00CE7125"/>
    <w:rsid w:val="00CF0A1F"/>
    <w:rsid w:val="00D0060C"/>
    <w:rsid w:val="00D01C79"/>
    <w:rsid w:val="00D02346"/>
    <w:rsid w:val="00D11BDC"/>
    <w:rsid w:val="00D13857"/>
    <w:rsid w:val="00D14522"/>
    <w:rsid w:val="00D22677"/>
    <w:rsid w:val="00D22E5E"/>
    <w:rsid w:val="00D37AF9"/>
    <w:rsid w:val="00D4103F"/>
    <w:rsid w:val="00D50A25"/>
    <w:rsid w:val="00D50A61"/>
    <w:rsid w:val="00D542A7"/>
    <w:rsid w:val="00D56439"/>
    <w:rsid w:val="00D661DF"/>
    <w:rsid w:val="00D72C31"/>
    <w:rsid w:val="00D73D70"/>
    <w:rsid w:val="00D7623D"/>
    <w:rsid w:val="00D806FE"/>
    <w:rsid w:val="00D8208F"/>
    <w:rsid w:val="00D82DB1"/>
    <w:rsid w:val="00D8665C"/>
    <w:rsid w:val="00D87CCC"/>
    <w:rsid w:val="00D918F1"/>
    <w:rsid w:val="00DA0C0A"/>
    <w:rsid w:val="00DA3E7D"/>
    <w:rsid w:val="00DA51C5"/>
    <w:rsid w:val="00DA51FC"/>
    <w:rsid w:val="00DB6EFC"/>
    <w:rsid w:val="00DD4167"/>
    <w:rsid w:val="00DD45AC"/>
    <w:rsid w:val="00DD4FF1"/>
    <w:rsid w:val="00DE417C"/>
    <w:rsid w:val="00DE50BD"/>
    <w:rsid w:val="00DF41B2"/>
    <w:rsid w:val="00DF65E9"/>
    <w:rsid w:val="00E03C2D"/>
    <w:rsid w:val="00E041E9"/>
    <w:rsid w:val="00E06B24"/>
    <w:rsid w:val="00E173E8"/>
    <w:rsid w:val="00E22DAA"/>
    <w:rsid w:val="00E34D31"/>
    <w:rsid w:val="00E356FD"/>
    <w:rsid w:val="00E3707F"/>
    <w:rsid w:val="00E44DA1"/>
    <w:rsid w:val="00E459FD"/>
    <w:rsid w:val="00E5013F"/>
    <w:rsid w:val="00E548CE"/>
    <w:rsid w:val="00E55428"/>
    <w:rsid w:val="00E56286"/>
    <w:rsid w:val="00E71B51"/>
    <w:rsid w:val="00E81A4D"/>
    <w:rsid w:val="00E913E6"/>
    <w:rsid w:val="00E95B86"/>
    <w:rsid w:val="00EA0787"/>
    <w:rsid w:val="00EA3E84"/>
    <w:rsid w:val="00EC166C"/>
    <w:rsid w:val="00EC1D24"/>
    <w:rsid w:val="00EC3B16"/>
    <w:rsid w:val="00EC7314"/>
    <w:rsid w:val="00EC7AFA"/>
    <w:rsid w:val="00ED2004"/>
    <w:rsid w:val="00ED3057"/>
    <w:rsid w:val="00EE1C75"/>
    <w:rsid w:val="00EE2818"/>
    <w:rsid w:val="00EF1D88"/>
    <w:rsid w:val="00EF4755"/>
    <w:rsid w:val="00EF5E05"/>
    <w:rsid w:val="00F0456A"/>
    <w:rsid w:val="00F04E77"/>
    <w:rsid w:val="00F17BC6"/>
    <w:rsid w:val="00F235E5"/>
    <w:rsid w:val="00F24072"/>
    <w:rsid w:val="00F27D3C"/>
    <w:rsid w:val="00F370B0"/>
    <w:rsid w:val="00F37899"/>
    <w:rsid w:val="00F5147D"/>
    <w:rsid w:val="00F523A3"/>
    <w:rsid w:val="00F553AC"/>
    <w:rsid w:val="00F56247"/>
    <w:rsid w:val="00F56AF5"/>
    <w:rsid w:val="00F617EA"/>
    <w:rsid w:val="00F66D71"/>
    <w:rsid w:val="00F71552"/>
    <w:rsid w:val="00F7179D"/>
    <w:rsid w:val="00F748A3"/>
    <w:rsid w:val="00F84931"/>
    <w:rsid w:val="00FB4E1E"/>
    <w:rsid w:val="00FC651C"/>
    <w:rsid w:val="00FD49FC"/>
    <w:rsid w:val="00FD6FC5"/>
    <w:rsid w:val="00FE648C"/>
    <w:rsid w:val="00FE7D57"/>
    <w:rsid w:val="00FF10DD"/>
    <w:rsid w:val="00FF6CD3"/>
    <w:rsid w:val="0AD83D5A"/>
    <w:rsid w:val="0E657244"/>
    <w:rsid w:val="188D35B0"/>
    <w:rsid w:val="242A41FB"/>
    <w:rsid w:val="2990455D"/>
    <w:rsid w:val="2DE900D3"/>
    <w:rsid w:val="33525442"/>
    <w:rsid w:val="34AA67C8"/>
    <w:rsid w:val="60703F9D"/>
    <w:rsid w:val="6B88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41DD19"/>
  <w15:chartTrackingRefBased/>
  <w15:docId w15:val="{84E6F241-092B-4BB3-93AD-9A70AE19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iPriority="0"/>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pPr>
    <w:rPr>
      <w:szCs w:val="22"/>
      <w:lang w:eastAsia="en-US" w:bidi="en-US"/>
    </w:rPr>
  </w:style>
  <w:style w:type="paragraph" w:styleId="1">
    <w:name w:val="heading 1"/>
    <w:basedOn w:val="a"/>
    <w:next w:val="a"/>
    <w:qFormat/>
    <w:pPr>
      <w:keepNext/>
      <w:keepLines/>
      <w:spacing w:before="120" w:after="120" w:line="360" w:lineRule="auto"/>
      <w:outlineLvl w:val="0"/>
    </w:pPr>
    <w:rPr>
      <w:rFonts w:ascii="宋体"/>
      <w:b/>
      <w:color w:val="00000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目录 7"/>
    <w:next w:val="a"/>
    <w:uiPriority w:val="39"/>
    <w:unhideWhenUsed/>
    <w:pPr>
      <w:pBdr>
        <w:top w:val="none" w:sz="0" w:space="0" w:color="000000"/>
        <w:left w:val="none" w:sz="0" w:space="0" w:color="000000"/>
        <w:bottom w:val="none" w:sz="0" w:space="0" w:color="000000"/>
        <w:right w:val="none" w:sz="0" w:space="0" w:color="000000"/>
        <w:between w:val="none" w:sz="0" w:space="0" w:color="000000"/>
      </w:pBdr>
      <w:spacing w:after="57"/>
      <w:ind w:left="1701"/>
    </w:pPr>
    <w:rPr>
      <w:szCs w:val="22"/>
      <w:lang w:eastAsia="en-US" w:bidi="en-US"/>
    </w:rPr>
  </w:style>
  <w:style w:type="paragraph" w:styleId="a3">
    <w:name w:val="Normal Indent"/>
    <w:basedOn w:val="a"/>
    <w:pPr>
      <w:ind w:firstLine="200"/>
    </w:pPr>
  </w:style>
  <w:style w:type="paragraph" w:styleId="a4">
    <w:name w:val="Document Map"/>
    <w:basedOn w:val="a"/>
    <w:pPr>
      <w:shd w:val="clear" w:color="auto" w:fill="000080"/>
    </w:pPr>
  </w:style>
  <w:style w:type="paragraph" w:styleId="a5">
    <w:name w:val="annotation text"/>
    <w:basedOn w:val="a"/>
    <w:link w:val="10"/>
    <w:rPr>
      <w:sz w:val="21"/>
      <w:szCs w:val="20"/>
      <w:lang w:val="x-none" w:eastAsia="x-none" w:bidi="ar-SA"/>
    </w:rPr>
  </w:style>
  <w:style w:type="character" w:customStyle="1" w:styleId="10">
    <w:name w:val="批注文字 字符1"/>
    <w:link w:val="a5"/>
    <w:rPr>
      <w:sz w:val="21"/>
    </w:rPr>
  </w:style>
  <w:style w:type="paragraph" w:styleId="a6">
    <w:name w:val="Body Text"/>
    <w:basedOn w:val="a"/>
    <w:link w:val="a7"/>
    <w:pPr>
      <w:spacing w:line="360" w:lineRule="auto"/>
    </w:pPr>
    <w:rPr>
      <w:rFonts w:ascii="宋体"/>
      <w:szCs w:val="20"/>
      <w:lang w:val="x-none" w:eastAsia="x-none" w:bidi="ar-SA"/>
    </w:rPr>
  </w:style>
  <w:style w:type="character" w:customStyle="1" w:styleId="a7">
    <w:name w:val="正文文本 字符"/>
    <w:link w:val="a6"/>
    <w:rPr>
      <w:rFonts w:ascii="宋体"/>
    </w:rPr>
  </w:style>
  <w:style w:type="paragraph" w:customStyle="1" w:styleId="5">
    <w:name w:val="目录 5"/>
    <w:next w:val="a"/>
    <w:uiPriority w:val="39"/>
    <w:unhideWhenUsed/>
    <w:pPr>
      <w:pBdr>
        <w:top w:val="none" w:sz="0" w:space="0" w:color="000000"/>
        <w:left w:val="none" w:sz="0" w:space="0" w:color="000000"/>
        <w:bottom w:val="none" w:sz="0" w:space="0" w:color="000000"/>
        <w:right w:val="none" w:sz="0" w:space="0" w:color="000000"/>
        <w:between w:val="none" w:sz="0" w:space="0" w:color="000000"/>
      </w:pBdr>
      <w:spacing w:after="57"/>
      <w:ind w:left="1134"/>
    </w:pPr>
    <w:rPr>
      <w:szCs w:val="22"/>
      <w:lang w:eastAsia="en-US" w:bidi="en-US"/>
    </w:rPr>
  </w:style>
  <w:style w:type="paragraph" w:customStyle="1" w:styleId="30">
    <w:name w:val="目录 3"/>
    <w:basedOn w:val="a"/>
    <w:next w:val="a"/>
    <w:pPr>
      <w:ind w:left="400"/>
    </w:pPr>
  </w:style>
  <w:style w:type="paragraph" w:styleId="a8">
    <w:name w:val="Plain Text"/>
    <w:basedOn w:val="a"/>
    <w:pPr>
      <w:spacing w:line="312" w:lineRule="atLeast"/>
    </w:pPr>
    <w:rPr>
      <w:rFonts w:ascii="宋体" w:hAnsi="Courier New"/>
    </w:rPr>
  </w:style>
  <w:style w:type="paragraph" w:customStyle="1" w:styleId="8">
    <w:name w:val="目录 8"/>
    <w:next w:val="a"/>
    <w:uiPriority w:val="39"/>
    <w:unhideWhenUsed/>
    <w:pPr>
      <w:pBdr>
        <w:top w:val="none" w:sz="0" w:space="0" w:color="000000"/>
        <w:left w:val="none" w:sz="0" w:space="0" w:color="000000"/>
        <w:bottom w:val="none" w:sz="0" w:space="0" w:color="000000"/>
        <w:right w:val="none" w:sz="0" w:space="0" w:color="000000"/>
        <w:between w:val="none" w:sz="0" w:space="0" w:color="000000"/>
      </w:pBdr>
      <w:spacing w:after="57"/>
      <w:ind w:left="1984"/>
    </w:pPr>
    <w:rPr>
      <w:szCs w:val="22"/>
      <w:lang w:eastAsia="en-US" w:bidi="en-US"/>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link w:val="ab"/>
    <w:pPr>
      <w:tabs>
        <w:tab w:val="center" w:pos="4153"/>
        <w:tab w:val="right" w:pos="8306"/>
      </w:tabs>
    </w:pPr>
    <w:rPr>
      <w:sz w:val="18"/>
      <w:szCs w:val="20"/>
      <w:lang w:val="x-none" w:eastAsia="x-none" w:bidi="ar-SA"/>
    </w:rPr>
  </w:style>
  <w:style w:type="character" w:customStyle="1" w:styleId="ab">
    <w:name w:val="页脚 字符"/>
    <w:link w:val="aa"/>
    <w:rPr>
      <w:sz w:val="18"/>
    </w:rPr>
  </w:style>
  <w:style w:type="paragraph" w:styleId="ac">
    <w:name w:val="header"/>
    <w:basedOn w:val="a"/>
    <w:link w:val="ad"/>
    <w:pPr>
      <w:pBdr>
        <w:bottom w:val="single" w:sz="6" w:space="1" w:color="000000"/>
      </w:pBdr>
      <w:tabs>
        <w:tab w:val="center" w:pos="4153"/>
        <w:tab w:val="right" w:pos="8306"/>
      </w:tabs>
      <w:jc w:val="center"/>
    </w:pPr>
    <w:rPr>
      <w:sz w:val="18"/>
      <w:szCs w:val="20"/>
      <w:lang w:eastAsia="zh-CN" w:bidi="ar-SA"/>
    </w:rPr>
  </w:style>
  <w:style w:type="character" w:customStyle="1" w:styleId="ad">
    <w:name w:val="页眉 字符"/>
    <w:link w:val="ac"/>
    <w:rPr>
      <w:rFonts w:eastAsia="宋体"/>
      <w:sz w:val="18"/>
      <w:lang w:val="en-US" w:eastAsia="zh-CN"/>
    </w:rPr>
  </w:style>
  <w:style w:type="paragraph" w:customStyle="1" w:styleId="11">
    <w:name w:val="目录 1"/>
    <w:basedOn w:val="a"/>
    <w:next w:val="a"/>
    <w:uiPriority w:val="39"/>
    <w:pPr>
      <w:tabs>
        <w:tab w:val="right" w:leader="dot" w:pos="8296"/>
      </w:tabs>
      <w:spacing w:line="360" w:lineRule="auto"/>
    </w:pPr>
  </w:style>
  <w:style w:type="paragraph" w:customStyle="1" w:styleId="4">
    <w:name w:val="目录 4"/>
    <w:next w:val="a"/>
    <w:uiPriority w:val="39"/>
    <w:unhideWhenUsed/>
    <w:pPr>
      <w:pBdr>
        <w:top w:val="none" w:sz="0" w:space="0" w:color="000000"/>
        <w:left w:val="none" w:sz="0" w:space="0" w:color="000000"/>
        <w:bottom w:val="none" w:sz="0" w:space="0" w:color="000000"/>
        <w:right w:val="none" w:sz="0" w:space="0" w:color="000000"/>
        <w:between w:val="none" w:sz="0" w:space="0" w:color="000000"/>
      </w:pBdr>
      <w:spacing w:after="57"/>
      <w:ind w:left="850"/>
    </w:pPr>
    <w:rPr>
      <w:szCs w:val="22"/>
      <w:lang w:eastAsia="en-US" w:bidi="en-US"/>
    </w:rPr>
  </w:style>
  <w:style w:type="paragraph" w:styleId="ae">
    <w:name w:val="Subtitle"/>
    <w:link w:val="af"/>
    <w:uiPriority w:val="11"/>
    <w:qFormat/>
    <w:pPr>
      <w:pBdr>
        <w:top w:val="none" w:sz="0" w:space="0" w:color="000000"/>
        <w:left w:val="none" w:sz="0" w:space="0" w:color="000000"/>
        <w:bottom w:val="none" w:sz="0" w:space="0" w:color="000000"/>
        <w:right w:val="none" w:sz="0" w:space="0" w:color="000000"/>
        <w:between w:val="none" w:sz="0" w:space="0" w:color="000000"/>
      </w:pBdr>
      <w:spacing w:before="200" w:after="200"/>
    </w:pPr>
    <w:rPr>
      <w:sz w:val="24"/>
      <w:szCs w:val="24"/>
      <w:lang w:eastAsia="en-US" w:bidi="en-US"/>
    </w:rPr>
  </w:style>
  <w:style w:type="character" w:customStyle="1" w:styleId="af">
    <w:name w:val="副标题 字符"/>
    <w:link w:val="ae"/>
    <w:uiPriority w:val="11"/>
    <w:rPr>
      <w:sz w:val="24"/>
      <w:szCs w:val="24"/>
      <w:lang w:val="en-US" w:eastAsia="en-US" w:bidi="en-US"/>
    </w:rPr>
  </w:style>
  <w:style w:type="paragraph" w:styleId="af0">
    <w:name w:val="footnote text"/>
    <w:basedOn w:val="a"/>
    <w:link w:val="af1"/>
    <w:uiPriority w:val="99"/>
    <w:rPr>
      <w:sz w:val="18"/>
      <w:szCs w:val="20"/>
      <w:lang w:val="x-none" w:eastAsia="x-none" w:bidi="ar-SA"/>
    </w:rPr>
  </w:style>
  <w:style w:type="character" w:customStyle="1" w:styleId="af1">
    <w:name w:val="脚注文本 字符"/>
    <w:link w:val="af0"/>
    <w:uiPriority w:val="99"/>
    <w:rPr>
      <w:sz w:val="18"/>
    </w:rPr>
  </w:style>
  <w:style w:type="paragraph" w:customStyle="1" w:styleId="6">
    <w:name w:val="目录 6"/>
    <w:next w:val="a"/>
    <w:uiPriority w:val="39"/>
    <w:unhideWhenUsed/>
    <w:pPr>
      <w:pBdr>
        <w:top w:val="none" w:sz="0" w:space="0" w:color="000000"/>
        <w:left w:val="none" w:sz="0" w:space="0" w:color="000000"/>
        <w:bottom w:val="none" w:sz="0" w:space="0" w:color="000000"/>
        <w:right w:val="none" w:sz="0" w:space="0" w:color="000000"/>
        <w:between w:val="none" w:sz="0" w:space="0" w:color="000000"/>
      </w:pBdr>
      <w:spacing w:after="57"/>
      <w:ind w:left="1417"/>
    </w:pPr>
    <w:rPr>
      <w:szCs w:val="22"/>
      <w:lang w:eastAsia="en-US" w:bidi="en-US"/>
    </w:rPr>
  </w:style>
  <w:style w:type="paragraph" w:styleId="31">
    <w:name w:val="Body Text Indent 3"/>
    <w:basedOn w:val="a"/>
    <w:pPr>
      <w:spacing w:line="360" w:lineRule="auto"/>
      <w:ind w:left="420" w:firstLine="435"/>
    </w:pPr>
    <w:rPr>
      <w:color w:val="0000FF"/>
    </w:rPr>
  </w:style>
  <w:style w:type="paragraph" w:customStyle="1" w:styleId="21">
    <w:name w:val="目录 2"/>
    <w:next w:val="a"/>
    <w:uiPriority w:val="39"/>
    <w:unhideWhenUsed/>
    <w:pPr>
      <w:pBdr>
        <w:top w:val="none" w:sz="0" w:space="0" w:color="000000"/>
        <w:left w:val="none" w:sz="0" w:space="0" w:color="000000"/>
        <w:bottom w:val="none" w:sz="0" w:space="0" w:color="000000"/>
        <w:right w:val="none" w:sz="0" w:space="0" w:color="000000"/>
        <w:between w:val="none" w:sz="0" w:space="0" w:color="000000"/>
      </w:pBdr>
      <w:spacing w:after="57"/>
      <w:ind w:left="283"/>
    </w:pPr>
    <w:rPr>
      <w:szCs w:val="22"/>
      <w:lang w:eastAsia="en-US" w:bidi="en-US"/>
    </w:rPr>
  </w:style>
  <w:style w:type="paragraph" w:customStyle="1" w:styleId="9">
    <w:name w:val="目录 9"/>
    <w:next w:val="a"/>
    <w:uiPriority w:val="39"/>
    <w:unhideWhenUsed/>
    <w:pPr>
      <w:pBdr>
        <w:top w:val="none" w:sz="0" w:space="0" w:color="000000"/>
        <w:left w:val="none" w:sz="0" w:space="0" w:color="000000"/>
        <w:bottom w:val="none" w:sz="0" w:space="0" w:color="000000"/>
        <w:right w:val="none" w:sz="0" w:space="0" w:color="000000"/>
        <w:between w:val="none" w:sz="0" w:space="0" w:color="000000"/>
      </w:pBdr>
      <w:spacing w:after="57"/>
      <w:ind w:left="2268"/>
    </w:pPr>
    <w:rPr>
      <w:szCs w:val="22"/>
      <w:lang w:eastAsia="en-US" w:bidi="en-US"/>
    </w:rPr>
  </w:style>
  <w:style w:type="paragraph" w:styleId="af2">
    <w:name w:val="Title"/>
    <w:basedOn w:val="a"/>
    <w:next w:val="a"/>
    <w:link w:val="af3"/>
    <w:qFormat/>
    <w:pPr>
      <w:spacing w:before="240" w:after="60"/>
      <w:jc w:val="center"/>
      <w:outlineLvl w:val="0"/>
    </w:pPr>
    <w:rPr>
      <w:rFonts w:ascii="Cambria" w:hAnsi="Cambria"/>
      <w:b/>
      <w:sz w:val="32"/>
      <w:szCs w:val="20"/>
      <w:lang w:val="x-none" w:eastAsia="x-none" w:bidi="ar-SA"/>
    </w:rPr>
  </w:style>
  <w:style w:type="character" w:customStyle="1" w:styleId="af3">
    <w:name w:val="标题 字符"/>
    <w:link w:val="af2"/>
    <w:rPr>
      <w:rFonts w:ascii="Cambria" w:hAnsi="Cambria"/>
      <w:b/>
      <w:sz w:val="32"/>
    </w:rPr>
  </w:style>
  <w:style w:type="paragraph" w:styleId="af4">
    <w:name w:val="annotation subject"/>
    <w:basedOn w:val="a5"/>
    <w:next w:val="a5"/>
    <w:rPr>
      <w:b/>
    </w:rPr>
  </w:style>
  <w:style w:type="table" w:styleId="af5">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page number"/>
  </w:style>
  <w:style w:type="character" w:customStyle="1" w:styleId="af7">
    <w:name w:val="已访问的超链接"/>
    <w:semiHidden/>
    <w:rPr>
      <w:color w:val="800080"/>
      <w:u w:val="single"/>
    </w:rPr>
  </w:style>
  <w:style w:type="character" w:styleId="af8">
    <w:name w:val="Hyperlink"/>
    <w:uiPriority w:val="99"/>
    <w:rPr>
      <w:color w:val="0000FF"/>
      <w:u w:val="single"/>
    </w:rPr>
  </w:style>
  <w:style w:type="character" w:styleId="af9">
    <w:name w:val="annotation reference"/>
    <w:rPr>
      <w:sz w:val="21"/>
    </w:rPr>
  </w:style>
  <w:style w:type="character" w:styleId="afa">
    <w:name w:val="footnote reference"/>
    <w:rPr>
      <w:vertAlign w:val="superscript"/>
    </w:rPr>
  </w:style>
  <w:style w:type="character" w:customStyle="1" w:styleId="Heading1Char">
    <w:name w:val="Heading 1 Char"/>
    <w:link w:val="110"/>
    <w:uiPriority w:val="9"/>
    <w:rPr>
      <w:rFonts w:ascii="Arial" w:eastAsia="Arial" w:hAnsi="Arial" w:cs="Arial"/>
      <w:sz w:val="40"/>
      <w:szCs w:val="40"/>
      <w:lang w:val="en-US" w:eastAsia="en-US" w:bidi="en-US"/>
    </w:rPr>
  </w:style>
  <w:style w:type="paragraph" w:customStyle="1" w:styleId="110">
    <w:name w:val="标题 11"/>
    <w:link w:val="Heading1Char"/>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200"/>
      <w:outlineLvl w:val="0"/>
    </w:pPr>
    <w:rPr>
      <w:rFonts w:ascii="Arial" w:eastAsia="Arial" w:hAnsi="Arial" w:cs="Arial"/>
      <w:sz w:val="40"/>
      <w:szCs w:val="40"/>
      <w:lang w:eastAsia="en-US" w:bidi="en-US"/>
    </w:rPr>
  </w:style>
  <w:style w:type="character" w:customStyle="1" w:styleId="Heading9Char">
    <w:name w:val="Heading 9 Char"/>
    <w:link w:val="91"/>
    <w:uiPriority w:val="9"/>
    <w:rPr>
      <w:rFonts w:ascii="Arial" w:eastAsia="Arial" w:hAnsi="Arial" w:cs="Arial"/>
      <w:i/>
      <w:iCs/>
      <w:sz w:val="21"/>
      <w:szCs w:val="21"/>
      <w:lang w:val="en-US" w:eastAsia="en-US" w:bidi="en-US"/>
    </w:rPr>
  </w:style>
  <w:style w:type="paragraph" w:customStyle="1" w:styleId="91">
    <w:name w:val="标题 91"/>
    <w:link w:val="Heading9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8"/>
    </w:pPr>
    <w:rPr>
      <w:rFonts w:ascii="Arial" w:eastAsia="Arial" w:hAnsi="Arial" w:cs="Arial"/>
      <w:i/>
      <w:iCs/>
      <w:sz w:val="21"/>
      <w:szCs w:val="21"/>
      <w:lang w:eastAsia="en-US" w:bidi="en-US"/>
    </w:rPr>
  </w:style>
  <w:style w:type="character" w:customStyle="1" w:styleId="Heading8Char">
    <w:name w:val="Heading 8 Char"/>
    <w:link w:val="81"/>
    <w:uiPriority w:val="9"/>
    <w:rPr>
      <w:rFonts w:ascii="Arial" w:eastAsia="Arial" w:hAnsi="Arial" w:cs="Arial"/>
      <w:i/>
      <w:iCs/>
      <w:sz w:val="22"/>
      <w:szCs w:val="22"/>
      <w:lang w:val="en-US" w:eastAsia="en-US" w:bidi="en-US"/>
    </w:rPr>
  </w:style>
  <w:style w:type="paragraph" w:customStyle="1" w:styleId="81">
    <w:name w:val="标题 81"/>
    <w:link w:val="Heading8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7"/>
    </w:pPr>
    <w:rPr>
      <w:rFonts w:ascii="Arial" w:eastAsia="Arial" w:hAnsi="Arial" w:cs="Arial"/>
      <w:i/>
      <w:iCs/>
      <w:sz w:val="22"/>
      <w:szCs w:val="22"/>
      <w:lang w:eastAsia="en-US" w:bidi="en-US"/>
    </w:rPr>
  </w:style>
  <w:style w:type="character" w:customStyle="1" w:styleId="Heading7Char">
    <w:name w:val="Heading 7 Char"/>
    <w:link w:val="71"/>
    <w:uiPriority w:val="9"/>
    <w:rPr>
      <w:rFonts w:ascii="Arial" w:eastAsia="Arial" w:hAnsi="Arial" w:cs="Arial"/>
      <w:b/>
      <w:bCs/>
      <w:i/>
      <w:iCs/>
      <w:sz w:val="22"/>
      <w:szCs w:val="22"/>
      <w:lang w:val="en-US" w:eastAsia="en-US" w:bidi="en-US"/>
    </w:rPr>
  </w:style>
  <w:style w:type="paragraph" w:customStyle="1" w:styleId="71">
    <w:name w:val="标题 71"/>
    <w:link w:val="Heading7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6"/>
    </w:pPr>
    <w:rPr>
      <w:rFonts w:ascii="Arial" w:eastAsia="Arial" w:hAnsi="Arial" w:cs="Arial"/>
      <w:b/>
      <w:bCs/>
      <w:i/>
      <w:iCs/>
      <w:sz w:val="22"/>
      <w:szCs w:val="22"/>
      <w:lang w:eastAsia="en-US" w:bidi="en-US"/>
    </w:rPr>
  </w:style>
  <w:style w:type="character" w:customStyle="1" w:styleId="afb">
    <w:name w:val="明显引用 字符"/>
    <w:link w:val="afc"/>
    <w:uiPriority w:val="30"/>
    <w:rPr>
      <w:i/>
      <w:szCs w:val="22"/>
      <w:shd w:val="clear" w:color="auto" w:fill="F2F2F2"/>
      <w:lang w:val="en-US" w:eastAsia="en-US" w:bidi="en-US"/>
    </w:rPr>
  </w:style>
  <w:style w:type="paragraph" w:styleId="afc">
    <w:name w:val="Intense Quote"/>
    <w:link w:val="afb"/>
    <w:uiPriority w:val="30"/>
    <w:qFormat/>
    <w:pPr>
      <w:pBdr>
        <w:top w:val="single" w:sz="4" w:space="5" w:color="FFFFFF"/>
        <w:left w:val="single" w:sz="4" w:space="10" w:color="FFFFFF"/>
        <w:bottom w:val="single" w:sz="4" w:space="5" w:color="FFFFFF"/>
        <w:right w:val="single" w:sz="4" w:space="10" w:color="FFFFFF"/>
        <w:between w:val="none" w:sz="0" w:space="0" w:color="000000"/>
      </w:pBdr>
      <w:shd w:val="clear" w:color="auto" w:fill="F2F2F2"/>
      <w:ind w:left="720" w:right="720"/>
    </w:pPr>
    <w:rPr>
      <w:i/>
      <w:szCs w:val="22"/>
      <w:lang w:eastAsia="en-US" w:bidi="en-US"/>
    </w:rPr>
  </w:style>
  <w:style w:type="character" w:customStyle="1" w:styleId="Char">
    <w:name w:val="批注文字 Char"/>
  </w:style>
  <w:style w:type="character" w:customStyle="1" w:styleId="FooterChar">
    <w:name w:val="Footer Char"/>
    <w:link w:val="12"/>
    <w:uiPriority w:val="99"/>
    <w:rPr>
      <w:szCs w:val="22"/>
      <w:lang w:val="en-US" w:eastAsia="en-US" w:bidi="en-US"/>
    </w:rPr>
  </w:style>
  <w:style w:type="paragraph" w:customStyle="1" w:styleId="12">
    <w:name w:val="页脚1"/>
    <w:link w:val="FooterChar"/>
    <w:uiPriority w:val="99"/>
    <w:unhideWhenUsed/>
    <w:pPr>
      <w:pBdr>
        <w:top w:val="none" w:sz="0" w:space="0" w:color="000000"/>
        <w:left w:val="none" w:sz="0" w:space="0" w:color="000000"/>
        <w:bottom w:val="none" w:sz="0" w:space="0" w:color="000000"/>
        <w:right w:val="none" w:sz="0" w:space="0" w:color="000000"/>
        <w:between w:val="none" w:sz="0" w:space="0" w:color="000000"/>
      </w:pBdr>
      <w:tabs>
        <w:tab w:val="center" w:pos="7143"/>
        <w:tab w:val="right" w:pos="14287"/>
      </w:tabs>
    </w:pPr>
    <w:rPr>
      <w:szCs w:val="22"/>
      <w:lang w:eastAsia="en-US" w:bidi="en-US"/>
    </w:rPr>
  </w:style>
  <w:style w:type="character" w:customStyle="1" w:styleId="unnamed11">
    <w:name w:val="unnamed11"/>
    <w:rPr>
      <w:rFonts w:ascii="宋体" w:eastAsia="宋体" w:hAnsi="宋体"/>
      <w:sz w:val="18"/>
    </w:rPr>
  </w:style>
  <w:style w:type="character" w:customStyle="1" w:styleId="Heading2Char">
    <w:name w:val="Heading 2 Char"/>
    <w:link w:val="210"/>
    <w:uiPriority w:val="9"/>
    <w:rPr>
      <w:rFonts w:ascii="Arial" w:eastAsia="Arial" w:hAnsi="Arial" w:cs="Arial"/>
      <w:sz w:val="34"/>
      <w:szCs w:val="22"/>
      <w:lang w:val="en-US" w:eastAsia="en-US" w:bidi="en-US"/>
    </w:rPr>
  </w:style>
  <w:style w:type="paragraph" w:customStyle="1" w:styleId="210">
    <w:name w:val="标题 21"/>
    <w:link w:val="Heading2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200"/>
      <w:outlineLvl w:val="1"/>
    </w:pPr>
    <w:rPr>
      <w:rFonts w:ascii="Arial" w:eastAsia="Arial" w:hAnsi="Arial" w:cs="Arial"/>
      <w:sz w:val="34"/>
      <w:szCs w:val="22"/>
      <w:lang w:eastAsia="en-US" w:bidi="en-US"/>
    </w:rPr>
  </w:style>
  <w:style w:type="character" w:customStyle="1" w:styleId="Heading5Char">
    <w:name w:val="Heading 5 Char"/>
    <w:link w:val="51"/>
    <w:uiPriority w:val="9"/>
    <w:rPr>
      <w:rFonts w:ascii="Arial" w:eastAsia="Arial" w:hAnsi="Arial" w:cs="Arial"/>
      <w:b/>
      <w:bCs/>
      <w:sz w:val="24"/>
      <w:szCs w:val="24"/>
      <w:lang w:val="en-US" w:eastAsia="en-US" w:bidi="en-US"/>
    </w:rPr>
  </w:style>
  <w:style w:type="paragraph" w:customStyle="1" w:styleId="51">
    <w:name w:val="标题 51"/>
    <w:link w:val="Heading5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4"/>
    </w:pPr>
    <w:rPr>
      <w:rFonts w:ascii="Arial" w:eastAsia="Arial" w:hAnsi="Arial" w:cs="Arial"/>
      <w:b/>
      <w:bCs/>
      <w:sz w:val="24"/>
      <w:szCs w:val="24"/>
      <w:lang w:eastAsia="en-US" w:bidi="en-US"/>
    </w:rPr>
  </w:style>
  <w:style w:type="character" w:customStyle="1" w:styleId="Heading6Char">
    <w:name w:val="Heading 6 Char"/>
    <w:link w:val="61"/>
    <w:uiPriority w:val="9"/>
    <w:rPr>
      <w:rFonts w:ascii="Arial" w:eastAsia="Arial" w:hAnsi="Arial" w:cs="Arial"/>
      <w:b/>
      <w:bCs/>
      <w:sz w:val="22"/>
      <w:szCs w:val="22"/>
      <w:lang w:val="en-US" w:eastAsia="en-US" w:bidi="en-US"/>
    </w:rPr>
  </w:style>
  <w:style w:type="paragraph" w:customStyle="1" w:styleId="61">
    <w:name w:val="标题 61"/>
    <w:link w:val="Heading6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5"/>
    </w:pPr>
    <w:rPr>
      <w:rFonts w:ascii="Arial" w:eastAsia="Arial" w:hAnsi="Arial" w:cs="Arial"/>
      <w:b/>
      <w:bCs/>
      <w:sz w:val="22"/>
      <w:szCs w:val="22"/>
      <w:lang w:eastAsia="en-US" w:bidi="en-US"/>
    </w:rPr>
  </w:style>
  <w:style w:type="character" w:customStyle="1" w:styleId="read">
    <w:name w:val="read"/>
  </w:style>
  <w:style w:type="character" w:customStyle="1" w:styleId="Heading3Char">
    <w:name w:val="Heading 3 Char"/>
    <w:link w:val="310"/>
    <w:uiPriority w:val="9"/>
    <w:rPr>
      <w:rFonts w:ascii="Arial" w:eastAsia="Arial" w:hAnsi="Arial" w:cs="Arial"/>
      <w:sz w:val="30"/>
      <w:szCs w:val="30"/>
      <w:lang w:val="en-US" w:eastAsia="en-US" w:bidi="en-US"/>
    </w:rPr>
  </w:style>
  <w:style w:type="paragraph" w:customStyle="1" w:styleId="310">
    <w:name w:val="标题 31"/>
    <w:link w:val="Heading3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2"/>
    </w:pPr>
    <w:rPr>
      <w:rFonts w:ascii="Arial" w:eastAsia="Arial" w:hAnsi="Arial" w:cs="Arial"/>
      <w:sz w:val="30"/>
      <w:szCs w:val="30"/>
      <w:lang w:eastAsia="en-US" w:bidi="en-US"/>
    </w:rPr>
  </w:style>
  <w:style w:type="character" w:customStyle="1" w:styleId="Heading4Char">
    <w:name w:val="Heading 4 Char"/>
    <w:link w:val="41"/>
    <w:uiPriority w:val="9"/>
    <w:rPr>
      <w:rFonts w:ascii="Arial" w:eastAsia="Arial" w:hAnsi="Arial" w:cs="Arial"/>
      <w:b/>
      <w:bCs/>
      <w:sz w:val="26"/>
      <w:szCs w:val="26"/>
      <w:lang w:val="en-US" w:eastAsia="en-US" w:bidi="en-US"/>
    </w:rPr>
  </w:style>
  <w:style w:type="paragraph" w:customStyle="1" w:styleId="41">
    <w:name w:val="标题 41"/>
    <w:link w:val="Heading4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3"/>
    </w:pPr>
    <w:rPr>
      <w:rFonts w:ascii="Arial" w:eastAsia="Arial" w:hAnsi="Arial" w:cs="Arial"/>
      <w:b/>
      <w:bCs/>
      <w:sz w:val="26"/>
      <w:szCs w:val="26"/>
      <w:lang w:eastAsia="en-US" w:bidi="en-US"/>
    </w:rPr>
  </w:style>
  <w:style w:type="character" w:customStyle="1" w:styleId="afd">
    <w:name w:val="引用 字符"/>
    <w:link w:val="afe"/>
    <w:uiPriority w:val="29"/>
    <w:rPr>
      <w:i/>
      <w:szCs w:val="22"/>
      <w:lang w:val="en-US" w:eastAsia="en-US" w:bidi="en-US"/>
    </w:rPr>
  </w:style>
  <w:style w:type="paragraph" w:styleId="afe">
    <w:name w:val="Quote"/>
    <w:link w:val="afd"/>
    <w:uiPriority w:val="29"/>
    <w:qFormat/>
    <w:pPr>
      <w:pBdr>
        <w:top w:val="none" w:sz="0" w:space="0" w:color="000000"/>
        <w:left w:val="none" w:sz="0" w:space="0" w:color="000000"/>
        <w:bottom w:val="none" w:sz="0" w:space="0" w:color="000000"/>
        <w:right w:val="none" w:sz="0" w:space="0" w:color="000000"/>
        <w:between w:val="none" w:sz="0" w:space="0" w:color="000000"/>
      </w:pBdr>
      <w:ind w:left="720" w:right="720"/>
    </w:pPr>
    <w:rPr>
      <w:i/>
      <w:szCs w:val="22"/>
      <w:lang w:eastAsia="en-US" w:bidi="en-US"/>
    </w:rPr>
  </w:style>
  <w:style w:type="character" w:customStyle="1" w:styleId="HeaderChar">
    <w:name w:val="Header Char"/>
    <w:link w:val="13"/>
    <w:uiPriority w:val="99"/>
    <w:rPr>
      <w:szCs w:val="22"/>
      <w:lang w:val="en-US" w:eastAsia="en-US" w:bidi="en-US"/>
    </w:rPr>
  </w:style>
  <w:style w:type="paragraph" w:customStyle="1" w:styleId="13">
    <w:name w:val="页眉1"/>
    <w:link w:val="HeaderChar"/>
    <w:uiPriority w:val="99"/>
    <w:unhideWhenUsed/>
    <w:pPr>
      <w:pBdr>
        <w:top w:val="none" w:sz="0" w:space="0" w:color="000000"/>
        <w:left w:val="none" w:sz="0" w:space="0" w:color="000000"/>
        <w:bottom w:val="none" w:sz="0" w:space="0" w:color="000000"/>
        <w:right w:val="none" w:sz="0" w:space="0" w:color="000000"/>
        <w:between w:val="none" w:sz="0" w:space="0" w:color="000000"/>
      </w:pBdr>
      <w:tabs>
        <w:tab w:val="center" w:pos="7143"/>
        <w:tab w:val="right" w:pos="14287"/>
      </w:tabs>
    </w:pPr>
    <w:rPr>
      <w:szCs w:val="22"/>
      <w:lang w:eastAsia="en-US" w:bidi="en-US"/>
    </w:rPr>
  </w:style>
  <w:style w:type="character" w:customStyle="1" w:styleId="TitleChar">
    <w:name w:val="Title Char"/>
    <w:uiPriority w:val="10"/>
    <w:rPr>
      <w:sz w:val="48"/>
      <w:szCs w:val="48"/>
    </w:rPr>
  </w:style>
  <w:style w:type="paragraph" w:customStyle="1" w:styleId="CharChar2">
    <w:name w:val="Char Char2"/>
    <w:basedOn w:val="a"/>
  </w:style>
  <w:style w:type="paragraph" w:customStyle="1" w:styleId="aff">
    <w:name w:val="正文所"/>
    <w:basedOn w:val="a"/>
    <w:pPr>
      <w:spacing w:line="360" w:lineRule="auto"/>
      <w:ind w:firstLine="200"/>
    </w:pPr>
    <w:rPr>
      <w:rFonts w:ascii="宋体"/>
    </w:rPr>
  </w:style>
  <w:style w:type="paragraph" w:styleId="aff0">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lang w:eastAsia="en-US" w:bidi="en-US"/>
    </w:rPr>
  </w:style>
  <w:style w:type="paragraph" w:customStyle="1" w:styleId="msonormal1">
    <w:name w:val="msonormal1"/>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sz w:val="21"/>
      <w:szCs w:val="22"/>
    </w:rPr>
  </w:style>
  <w:style w:type="paragraph" w:customStyle="1" w:styleId="aff1">
    <w:name w:val="正文正文"/>
    <w:basedOn w:val="a"/>
    <w:pPr>
      <w:spacing w:line="360" w:lineRule="auto"/>
      <w:ind w:firstLine="200"/>
    </w:pPr>
    <w:rPr>
      <w:sz w:val="24"/>
    </w:rPr>
  </w:style>
  <w:style w:type="paragraph" w:customStyle="1" w:styleId="CharCharCharChar">
    <w:name w:val="Char Char Char Char"/>
    <w:basedOn w:val="a"/>
    <w:pPr>
      <w:tabs>
        <w:tab w:val="left" w:pos="360"/>
      </w:tabs>
    </w:pPr>
  </w:style>
  <w:style w:type="paragraph" w:customStyle="1" w:styleId="InfoBlue">
    <w:name w:val="InfoBlue"/>
    <w:basedOn w:val="a"/>
    <w:next w:val="a6"/>
    <w:pPr>
      <w:tabs>
        <w:tab w:val="left" w:pos="420"/>
      </w:tabs>
      <w:spacing w:after="120" w:line="240" w:lineRule="atLeast"/>
      <w:ind w:left="420" w:hanging="420"/>
    </w:pPr>
    <w:rPr>
      <w:rFonts w:ascii="宋体" w:hAnsi="宋体"/>
    </w:rPr>
  </w:style>
  <w:style w:type="paragraph" w:customStyle="1" w:styleId="CharChar">
    <w:name w:val="Char Char"/>
    <w:basedOn w:val="a"/>
  </w:style>
  <w:style w:type="paragraph" w:customStyle="1" w:styleId="CharChar1">
    <w:name w:val="Char Char1"/>
    <w:basedOn w:val="a"/>
  </w:style>
  <w:style w:type="paragraph" w:customStyle="1" w:styleId="Default">
    <w:name w:val="Default"/>
    <w:pPr>
      <w:widowControl w:val="0"/>
      <w:pBdr>
        <w:top w:val="none" w:sz="0" w:space="0" w:color="000000"/>
        <w:left w:val="none" w:sz="0" w:space="0" w:color="000000"/>
        <w:bottom w:val="none" w:sz="0" w:space="0" w:color="000000"/>
        <w:right w:val="none" w:sz="0" w:space="0" w:color="000000"/>
        <w:between w:val="none" w:sz="0" w:space="0" w:color="000000"/>
      </w:pBdr>
    </w:pPr>
    <w:rPr>
      <w:rFonts w:ascii="宋体"/>
      <w:color w:val="000000"/>
      <w:sz w:val="24"/>
      <w:szCs w:val="22"/>
    </w:rPr>
  </w:style>
  <w:style w:type="paragraph" w:customStyle="1" w:styleId="CharCharChar">
    <w:name w:val="Char Char Char"/>
    <w:basedOn w:val="a"/>
  </w:style>
  <w:style w:type="paragraph" w:customStyle="1" w:styleId="Listbullet">
    <w:name w:val="List_bullet"/>
    <w:basedOn w:val="a"/>
    <w:pPr>
      <w:numPr>
        <w:numId w:val="1"/>
      </w:numPr>
      <w:tabs>
        <w:tab w:val="left" w:pos="360"/>
      </w:tabs>
    </w:pPr>
    <w:rPr>
      <w:sz w:val="24"/>
    </w:rPr>
  </w:style>
  <w:style w:type="paragraph" w:customStyle="1" w:styleId="TOC1">
    <w:name w:val="TOC 标题1"/>
    <w:uiPriority w:val="39"/>
    <w:unhideWhenUsed/>
    <w:pPr>
      <w:pBdr>
        <w:top w:val="none" w:sz="0" w:space="0" w:color="000000"/>
        <w:left w:val="none" w:sz="0" w:space="0" w:color="000000"/>
        <w:bottom w:val="none" w:sz="0" w:space="0" w:color="000000"/>
        <w:right w:val="none" w:sz="0" w:space="0" w:color="000000"/>
        <w:between w:val="none" w:sz="0" w:space="0" w:color="000000"/>
      </w:pBdr>
    </w:pPr>
    <w:rPr>
      <w:szCs w:val="22"/>
      <w:lang w:eastAsia="en-US" w:bidi="en-US"/>
    </w:rPr>
  </w:style>
  <w:style w:type="paragraph" w:customStyle="1" w:styleId="unnamed1">
    <w:name w:val="unnamed1"/>
    <w:basedOn w:val="a"/>
    <w:pPr>
      <w:spacing w:before="60" w:after="60"/>
      <w:ind w:left="15" w:right="15"/>
    </w:pPr>
    <w:rPr>
      <w:rFonts w:ascii="宋体" w:hAnsi="宋体"/>
      <w:color w:val="000000"/>
      <w:sz w:val="18"/>
      <w:szCs w:val="18"/>
    </w:rPr>
  </w:style>
  <w:style w:type="paragraph" w:customStyle="1" w:styleId="aff2">
    <w:name w:val="列出段落"/>
    <w:basedOn w:val="a"/>
    <w:uiPriority w:val="34"/>
    <w:qFormat/>
    <w:pPr>
      <w:ind w:firstLine="200"/>
    </w:pPr>
  </w:style>
  <w:style w:type="paragraph" w:customStyle="1" w:styleId="14">
    <w:name w:val="修订1"/>
    <w:semiHidden/>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customStyle="1" w:styleId="Char0">
    <w:name w:val="Char"/>
    <w:basedOn w:val="a"/>
  </w:style>
  <w:style w:type="table" w:customStyle="1" w:styleId="Lined-Accent4">
    <w:name w:val="Lined - Accent 4"/>
    <w:uiPriority w:val="99"/>
    <w:rPr>
      <w:color w:val="404040"/>
    </w:rPr>
    <w:tblPr>
      <w:tblCellMar>
        <w:top w:w="0" w:type="dxa"/>
        <w:left w:w="0" w:type="dxa"/>
        <w:bottom w:w="0" w:type="dxa"/>
        <w:right w:w="0" w:type="dxa"/>
      </w:tblCellMar>
    </w:tblPr>
  </w:style>
  <w:style w:type="table" w:customStyle="1" w:styleId="ListTable5Dark-Accent3">
    <w:name w:val="List Table 5 Dark - Accent 3"/>
    <w:uiPriority w:val="99"/>
    <w:tblPr>
      <w:tblBorders>
        <w:top w:val="single" w:sz="32" w:space="0" w:color="C3D69C"/>
        <w:left w:val="single" w:sz="32" w:space="0" w:color="C3D69C"/>
        <w:bottom w:val="single" w:sz="32" w:space="0" w:color="C3D69C"/>
        <w:right w:val="single" w:sz="32" w:space="0" w:color="C3D69C"/>
      </w:tblBorders>
      <w:tblCellMar>
        <w:top w:w="0" w:type="dxa"/>
        <w:left w:w="0" w:type="dxa"/>
        <w:bottom w:w="0" w:type="dxa"/>
        <w:right w:w="0" w:type="dxa"/>
      </w:tblCellMar>
    </w:tblPr>
    <w:tcPr>
      <w:shd w:val="clear" w:color="auto" w:fill="C3D69C"/>
    </w:tcPr>
  </w:style>
  <w:style w:type="table" w:customStyle="1" w:styleId="610">
    <w:name w:val="清单表 6 彩色1"/>
    <w:uiPriority w:val="99"/>
    <w:tblPr>
      <w:tblBorders>
        <w:top w:val="single" w:sz="4" w:space="0" w:color="7E7E7E"/>
        <w:bottom w:val="single" w:sz="4" w:space="0" w:color="7E7E7E"/>
      </w:tblBorders>
      <w:tblCellMar>
        <w:top w:w="0" w:type="dxa"/>
        <w:left w:w="0" w:type="dxa"/>
        <w:bottom w:w="0" w:type="dxa"/>
        <w:right w:w="0" w:type="dxa"/>
      </w:tblCellMar>
    </w:tblPr>
  </w:style>
  <w:style w:type="table" w:customStyle="1" w:styleId="ListTable6Colorful-Accent2">
    <w:name w:val="List Table 6 Colorful - Accent 2"/>
    <w:uiPriority w:val="99"/>
    <w:tblPr>
      <w:tblBorders>
        <w:top w:val="single" w:sz="4" w:space="0" w:color="D99795"/>
        <w:bottom w:val="single" w:sz="4" w:space="0" w:color="D99795"/>
      </w:tblBorders>
      <w:tblCellMar>
        <w:top w:w="0" w:type="dxa"/>
        <w:left w:w="0" w:type="dxa"/>
        <w:bottom w:w="0" w:type="dxa"/>
        <w:right w:w="0" w:type="dxa"/>
      </w:tblCellMar>
    </w:tblPr>
  </w:style>
  <w:style w:type="table" w:customStyle="1" w:styleId="ListTable6Colorful-Accent6">
    <w:name w:val="List Table 6 Colorful - Accent 6"/>
    <w:uiPriority w:val="99"/>
    <w:tblPr>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Accent1">
    <w:name w:val="List Table 7 Colorful - Accent 1"/>
    <w:uiPriority w:val="99"/>
    <w:tblPr>
      <w:tblBorders>
        <w:right w:val="single" w:sz="4" w:space="0" w:color="4F81BD"/>
      </w:tblBorders>
      <w:tblCellMar>
        <w:top w:w="0" w:type="dxa"/>
        <w:left w:w="0" w:type="dxa"/>
        <w:bottom w:w="0" w:type="dxa"/>
        <w:right w:w="0" w:type="dxa"/>
      </w:tblCellMar>
    </w:tblPr>
  </w:style>
  <w:style w:type="table" w:customStyle="1" w:styleId="Lined-Accent2">
    <w:name w:val="Lined - Accent 2"/>
    <w:uiPriority w:val="99"/>
    <w:rPr>
      <w:color w:val="404040"/>
    </w:rPr>
    <w:tblPr>
      <w:tblCellMar>
        <w:top w:w="0" w:type="dxa"/>
        <w:left w:w="0" w:type="dxa"/>
        <w:bottom w:w="0" w:type="dxa"/>
        <w:right w:w="0" w:type="dxa"/>
      </w:tblCellMar>
    </w:tblPr>
  </w:style>
  <w:style w:type="table" w:customStyle="1" w:styleId="ListTable5Dark-Accent2">
    <w:name w:val="List Table 5 Dark - Accent 2"/>
    <w:uiPriority w:val="99"/>
    <w:tblPr>
      <w:tblBorders>
        <w:top w:val="single" w:sz="32" w:space="0" w:color="D99795"/>
        <w:left w:val="single" w:sz="32" w:space="0" w:color="D99795"/>
        <w:bottom w:val="single" w:sz="32" w:space="0" w:color="D99795"/>
        <w:right w:val="single" w:sz="32" w:space="0" w:color="D99795"/>
      </w:tblBorders>
      <w:tblCellMar>
        <w:top w:w="0" w:type="dxa"/>
        <w:left w:w="0" w:type="dxa"/>
        <w:bottom w:w="0" w:type="dxa"/>
        <w:right w:w="0" w:type="dxa"/>
      </w:tblCellMar>
    </w:tblPr>
    <w:tcPr>
      <w:shd w:val="clear" w:color="auto" w:fill="D99795"/>
    </w:tcPr>
  </w:style>
  <w:style w:type="table" w:customStyle="1" w:styleId="ListTable5Dark-Accent4">
    <w:name w:val="List Table 5 Dark - Accent 4"/>
    <w:uiPriority w:val="99"/>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cPr>
      <w:shd w:val="clear" w:color="auto" w:fill="B2A1C6"/>
    </w:tcPr>
  </w:style>
  <w:style w:type="table" w:customStyle="1" w:styleId="ListTable5Dark-Accent6">
    <w:name w:val="List Table 5 Dark - Accent 6"/>
    <w:uiPriority w:val="99"/>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cPr>
      <w:shd w:val="clear" w:color="auto" w:fill="FAC090"/>
    </w:tcPr>
  </w:style>
  <w:style w:type="table" w:customStyle="1" w:styleId="ListTable6Colorful-Accent5">
    <w:name w:val="List Table 6 Colorful - Accent 5"/>
    <w:uiPriority w:val="99"/>
    <w:tblPr>
      <w:tblBorders>
        <w:top w:val="single" w:sz="4" w:space="0" w:color="92CCDC"/>
        <w:bottom w:val="single" w:sz="4" w:space="0" w:color="92CCDC"/>
      </w:tblBorders>
      <w:tblCellMar>
        <w:top w:w="0" w:type="dxa"/>
        <w:left w:w="0" w:type="dxa"/>
        <w:bottom w:w="0" w:type="dxa"/>
        <w:right w:w="0" w:type="dxa"/>
      </w:tblCellMar>
    </w:tblPr>
  </w:style>
  <w:style w:type="table" w:customStyle="1" w:styleId="Bordered">
    <w:name w:val="Bordered"/>
    <w:uiPriority w:val="99"/>
    <w:tblPr>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CellMar>
        <w:top w:w="0" w:type="dxa"/>
        <w:left w:w="0" w:type="dxa"/>
        <w:bottom w:w="0" w:type="dxa"/>
        <w:right w:w="0" w:type="dxa"/>
      </w:tblCellMar>
    </w:tblPr>
  </w:style>
  <w:style w:type="table" w:customStyle="1" w:styleId="Bordered-Accent4">
    <w:name w:val="Bordered - Accent 4"/>
    <w:uiPriority w:val="99"/>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ned-Accent1">
    <w:name w:val="Lined - Accent 1"/>
    <w:uiPriority w:val="99"/>
    <w:rPr>
      <w:color w:val="404040"/>
    </w:rPr>
    <w:tblPr>
      <w:tblCellMar>
        <w:top w:w="0" w:type="dxa"/>
        <w:left w:w="0" w:type="dxa"/>
        <w:bottom w:w="0" w:type="dxa"/>
        <w:right w:w="0" w:type="dxa"/>
      </w:tblCellMar>
    </w:tblPr>
  </w:style>
  <w:style w:type="table" w:customStyle="1" w:styleId="BorderedLined-Accent2">
    <w:name w:val="Bordered &amp; Lined - Accent 2"/>
    <w:uiPriority w:val="99"/>
    <w:rPr>
      <w:color w:val="404040"/>
    </w:rPr>
    <w:tblPr>
      <w:tblBorders>
        <w:top w:val="single" w:sz="4" w:space="0" w:color="742B29"/>
        <w:left w:val="single" w:sz="4" w:space="0" w:color="742B29"/>
        <w:bottom w:val="single" w:sz="4" w:space="0" w:color="742B29"/>
        <w:right w:val="single" w:sz="4" w:space="0" w:color="742B29"/>
        <w:insideH w:val="single" w:sz="4" w:space="0" w:color="742B29"/>
        <w:insideV w:val="single" w:sz="4" w:space="0" w:color="742B29"/>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7Colorful-Accent4">
    <w:name w:val="List Table 7 Colorful - Accent 4"/>
    <w:uiPriority w:val="99"/>
    <w:tblPr>
      <w:tblBorders>
        <w:right w:val="single" w:sz="4" w:space="0" w:color="B2A1C6"/>
      </w:tblBorders>
      <w:tblCellMar>
        <w:top w:w="0" w:type="dxa"/>
        <w:left w:w="0" w:type="dxa"/>
        <w:bottom w:w="0" w:type="dxa"/>
        <w:right w:w="0" w:type="dxa"/>
      </w:tblCellMar>
    </w:tblPr>
  </w:style>
  <w:style w:type="table" w:customStyle="1" w:styleId="BorderedLined-Accent">
    <w:name w:val="Bordered &amp; Lined - Accent"/>
    <w:uiPriority w:val="99"/>
    <w:rPr>
      <w:color w:val="404040"/>
    </w:r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0" w:type="dxa"/>
        <w:bottom w:w="0" w:type="dxa"/>
        <w:right w:w="0" w:type="dxa"/>
      </w:tblCellMar>
    </w:tblPr>
  </w:style>
  <w:style w:type="table" w:customStyle="1" w:styleId="710">
    <w:name w:val="清单表 7 彩色1"/>
    <w:uiPriority w:val="99"/>
    <w:tblPr>
      <w:tblBorders>
        <w:right w:val="single" w:sz="4" w:space="0" w:color="7E7E7E"/>
      </w:tblBorders>
      <w:tblCellMar>
        <w:top w:w="0" w:type="dxa"/>
        <w:left w:w="0" w:type="dxa"/>
        <w:bottom w:w="0" w:type="dxa"/>
        <w:right w:w="0" w:type="dxa"/>
      </w:tblCellMar>
    </w:tblPr>
  </w:style>
  <w:style w:type="table" w:customStyle="1" w:styleId="Bordered-Accent6">
    <w:name w:val="Bordered - Accent 6"/>
    <w:uiPriority w:val="99"/>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ListTable6Colorful-Accent4">
    <w:name w:val="List Table 6 Colorful - Accent 4"/>
    <w:uiPriority w:val="99"/>
    <w:tblPr>
      <w:tblBorders>
        <w:top w:val="single" w:sz="4" w:space="0" w:color="B2A1C6"/>
        <w:bottom w:val="single" w:sz="4" w:space="0" w:color="B2A1C6"/>
      </w:tblBorders>
      <w:tblCellMar>
        <w:top w:w="0" w:type="dxa"/>
        <w:left w:w="0" w:type="dxa"/>
        <w:bottom w:w="0" w:type="dxa"/>
        <w:right w:w="0" w:type="dxa"/>
      </w:tblCellMar>
    </w:tblPr>
  </w:style>
  <w:style w:type="table" w:customStyle="1" w:styleId="Bordered-Accent5">
    <w:name w:val="Bordered - Accent 5"/>
    <w:uiPriority w:val="99"/>
    <w:tblPr>
      <w:tblBorders>
        <w:top w:val="single" w:sz="4" w:space="0" w:color="B6DDE7"/>
        <w:left w:val="single" w:sz="4" w:space="0" w:color="B6DDE7"/>
        <w:bottom w:val="single" w:sz="4" w:space="0" w:color="B6DDE7"/>
        <w:right w:val="single" w:sz="4" w:space="0" w:color="B6DDE7"/>
        <w:insideH w:val="single" w:sz="4" w:space="0" w:color="B6DDE7"/>
        <w:insideV w:val="single" w:sz="4" w:space="0" w:color="B6DDE7"/>
      </w:tblBorders>
      <w:tblCellMar>
        <w:top w:w="0" w:type="dxa"/>
        <w:left w:w="0" w:type="dxa"/>
        <w:bottom w:w="0" w:type="dxa"/>
        <w:right w:w="0" w:type="dxa"/>
      </w:tblCellMar>
    </w:tblPr>
  </w:style>
  <w:style w:type="table" w:customStyle="1" w:styleId="ListTable5Dark-Accent5">
    <w:name w:val="List Table 5 Dark - Accent 5"/>
    <w:uiPriority w:val="99"/>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cPr>
      <w:shd w:val="clear" w:color="auto" w:fill="92CCDC"/>
    </w:tcPr>
  </w:style>
  <w:style w:type="table" w:customStyle="1" w:styleId="Bordered-Accent3">
    <w:name w:val="Bordered - Accent 3"/>
    <w:uiPriority w:val="99"/>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ListTable6Colorful-Accent3">
    <w:name w:val="List Table 6 Colorful - Accent 3"/>
    <w:uiPriority w:val="99"/>
    <w:tblPr>
      <w:tblBorders>
        <w:top w:val="single" w:sz="4" w:space="0" w:color="C3D69C"/>
        <w:bottom w:val="single" w:sz="4" w:space="0" w:color="C3D69C"/>
      </w:tblBorders>
      <w:tblCellMar>
        <w:top w:w="0" w:type="dxa"/>
        <w:left w:w="0" w:type="dxa"/>
        <w:bottom w:w="0" w:type="dxa"/>
        <w:right w:w="0" w:type="dxa"/>
      </w:tblCellMar>
    </w:tblPr>
  </w:style>
  <w:style w:type="table" w:customStyle="1" w:styleId="ListTable6Colorful-Accent1">
    <w:name w:val="List Table 6 Colorful - Accent 1"/>
    <w:uiPriority w:val="99"/>
    <w:tblPr>
      <w:tblBorders>
        <w:top w:val="single" w:sz="4" w:space="0" w:color="4F81BD"/>
        <w:bottom w:val="single" w:sz="4" w:space="0" w:color="4F81BD"/>
      </w:tblBorders>
      <w:tblCellMar>
        <w:top w:w="0" w:type="dxa"/>
        <w:left w:w="0" w:type="dxa"/>
        <w:bottom w:w="0" w:type="dxa"/>
        <w:right w:w="0" w:type="dxa"/>
      </w:tblCellMar>
    </w:tblPr>
  </w:style>
  <w:style w:type="table" w:customStyle="1" w:styleId="Bordered-Accent2">
    <w:name w:val="Bordered - Accent 2"/>
    <w:uiPriority w:val="99"/>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0" w:type="dxa"/>
        <w:bottom w:w="0" w:type="dxa"/>
        <w:right w:w="0" w:type="dxa"/>
      </w:tblCellMar>
    </w:tblPr>
  </w:style>
  <w:style w:type="table" w:customStyle="1" w:styleId="GridTable7Colorful-Accent6">
    <w:name w:val="Grid Table 7 Colorful - Accent 6"/>
    <w:uiPriority w:val="99"/>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Accent3">
    <w:name w:val="List Table 1 Light - Accent 3"/>
    <w:uiPriority w:val="99"/>
    <w:tblPr>
      <w:tblCellMar>
        <w:top w:w="0" w:type="dxa"/>
        <w:left w:w="0" w:type="dxa"/>
        <w:bottom w:w="0" w:type="dxa"/>
        <w:right w:w="0" w:type="dxa"/>
      </w:tblCellMar>
    </w:tblPr>
  </w:style>
  <w:style w:type="table" w:customStyle="1" w:styleId="ListTable1Light-Accent4">
    <w:name w:val="List Table 1 Light - Accent 4"/>
    <w:uiPriority w:val="99"/>
    <w:tblPr>
      <w:tblCellMar>
        <w:top w:w="0" w:type="dxa"/>
        <w:left w:w="0" w:type="dxa"/>
        <w:bottom w:w="0" w:type="dxa"/>
        <w:right w:w="0" w:type="dxa"/>
      </w:tblCellMar>
    </w:tblPr>
  </w:style>
  <w:style w:type="table" w:customStyle="1" w:styleId="GridTable3-Accent6">
    <w:name w:val="Grid Table 3 - Accent 6"/>
    <w:uiPriority w:val="99"/>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6Colorful-Accent2">
    <w:name w:val="Grid Table 6 Colorful - Accent 2"/>
    <w:uiPriority w:val="99"/>
    <w:tblPr>
      <w:tblBorders>
        <w:top w:val="single" w:sz="4" w:space="0" w:color="D99795"/>
        <w:left w:val="single" w:sz="4" w:space="0" w:color="D99795"/>
        <w:bottom w:val="single" w:sz="4" w:space="0" w:color="D99795"/>
        <w:right w:val="single" w:sz="4" w:space="0" w:color="D99795"/>
        <w:insideH w:val="single" w:sz="4" w:space="0" w:color="D99795"/>
        <w:insideV w:val="single" w:sz="4" w:space="0" w:color="D99795"/>
      </w:tblBorders>
      <w:tblCellMar>
        <w:top w:w="0" w:type="dxa"/>
        <w:left w:w="0" w:type="dxa"/>
        <w:bottom w:w="0" w:type="dxa"/>
        <w:right w:w="0" w:type="dxa"/>
      </w:tblCellMar>
    </w:tblPr>
  </w:style>
  <w:style w:type="table" w:customStyle="1" w:styleId="GridTable7Colorful-Accent5">
    <w:name w:val="Grid Table 7 Colorful - Accent 5"/>
    <w:uiPriority w:val="99"/>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410">
    <w:name w:val="网格表 41"/>
    <w:uiPriority w:val="59"/>
    <w:tblPr>
      <w:tblBorders>
        <w:top w:val="single" w:sz="4" w:space="0" w:color="6E6E6E"/>
        <w:left w:val="single" w:sz="4" w:space="0" w:color="6E6E6E"/>
        <w:bottom w:val="single" w:sz="4" w:space="0" w:color="6E6E6E"/>
        <w:right w:val="single" w:sz="4" w:space="0" w:color="6E6E6E"/>
        <w:insideH w:val="single" w:sz="4" w:space="0" w:color="6E6E6E"/>
        <w:insideV w:val="single" w:sz="4" w:space="0" w:color="6E6E6E"/>
      </w:tblBorders>
      <w:tblCellMar>
        <w:top w:w="0" w:type="dxa"/>
        <w:left w:w="0" w:type="dxa"/>
        <w:bottom w:w="0" w:type="dxa"/>
        <w:right w:w="0" w:type="dxa"/>
      </w:tblCellMar>
    </w:tblPr>
  </w:style>
  <w:style w:type="table" w:customStyle="1" w:styleId="GridTable2-Accent1">
    <w:name w:val="Grid Table 2 - Accent 1"/>
    <w:uiPriority w:val="99"/>
    <w:tblPr>
      <w:tblBorders>
        <w:bottom w:val="single" w:sz="4" w:space="0" w:color="5D8BC2"/>
        <w:insideH w:val="single" w:sz="4" w:space="0" w:color="5D8BC2"/>
        <w:insideV w:val="single" w:sz="4" w:space="0" w:color="5D8BC2"/>
      </w:tblBorders>
      <w:tblCellMar>
        <w:top w:w="0" w:type="dxa"/>
        <w:left w:w="0" w:type="dxa"/>
        <w:bottom w:w="0" w:type="dxa"/>
        <w:right w:w="0" w:type="dxa"/>
      </w:tblCellMar>
    </w:tblPr>
  </w:style>
  <w:style w:type="table" w:customStyle="1" w:styleId="411">
    <w:name w:val="清单表 41"/>
    <w:uiPriority w:val="99"/>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GridTable2-Accent6">
    <w:name w:val="Grid Table 2 - Accent 6"/>
    <w:uiPriority w:val="99"/>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1Light-Accent5">
    <w:name w:val="List Table 1 Light - Accent 5"/>
    <w:uiPriority w:val="99"/>
    <w:tblPr>
      <w:tblCellMar>
        <w:top w:w="0" w:type="dxa"/>
        <w:left w:w="0" w:type="dxa"/>
        <w:bottom w:w="0" w:type="dxa"/>
        <w:right w:w="0" w:type="dxa"/>
      </w:tblCellMar>
    </w:tblPr>
  </w:style>
  <w:style w:type="table" w:customStyle="1" w:styleId="GridTable1Light-Accent2">
    <w:name w:val="Grid Table 1 Light - Accent 2"/>
    <w:uiPriority w:val="99"/>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0" w:type="dxa"/>
        <w:bottom w:w="0" w:type="dxa"/>
        <w:right w:w="0" w:type="dxa"/>
      </w:tblCellMar>
    </w:tblPr>
  </w:style>
  <w:style w:type="table" w:customStyle="1" w:styleId="GridTable4-Accent1">
    <w:name w:val="Grid Table 4 - Accent 1"/>
    <w:uiPriority w:val="59"/>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211">
    <w:name w:val="网格表 21"/>
    <w:uiPriority w:val="99"/>
    <w:tblPr>
      <w:tblBorders>
        <w:bottom w:val="single" w:sz="4" w:space="0" w:color="696969"/>
        <w:insideH w:val="single" w:sz="4" w:space="0" w:color="696969"/>
        <w:insideV w:val="single" w:sz="4" w:space="0" w:color="696969"/>
      </w:tblBorders>
      <w:tblCellMar>
        <w:top w:w="0" w:type="dxa"/>
        <w:left w:w="0" w:type="dxa"/>
        <w:bottom w:w="0" w:type="dxa"/>
        <w:right w:w="0" w:type="dxa"/>
      </w:tblCellMar>
    </w:tblPr>
  </w:style>
  <w:style w:type="table" w:customStyle="1" w:styleId="ListTable1Light-Accent6">
    <w:name w:val="List Table 1 Light - Accent 6"/>
    <w:uiPriority w:val="99"/>
    <w:tblPr>
      <w:tblCellMar>
        <w:top w:w="0" w:type="dxa"/>
        <w:left w:w="0" w:type="dxa"/>
        <w:bottom w:w="0" w:type="dxa"/>
        <w:right w:w="0" w:type="dxa"/>
      </w:tblCellMar>
    </w:tblPr>
  </w:style>
  <w:style w:type="table" w:customStyle="1" w:styleId="GridTable2-Accent2">
    <w:name w:val="Grid Table 2 - Accent 2"/>
    <w:uiPriority w:val="99"/>
    <w:tblPr>
      <w:tblBorders>
        <w:bottom w:val="single" w:sz="4" w:space="0" w:color="D99795"/>
        <w:insideH w:val="single" w:sz="4" w:space="0" w:color="D99795"/>
        <w:insideV w:val="single" w:sz="4" w:space="0" w:color="D99795"/>
      </w:tblBorders>
      <w:tblCellMar>
        <w:top w:w="0" w:type="dxa"/>
        <w:left w:w="0" w:type="dxa"/>
        <w:bottom w:w="0" w:type="dxa"/>
        <w:right w:w="0" w:type="dxa"/>
      </w:tblCellMar>
    </w:tblPr>
  </w:style>
  <w:style w:type="table" w:customStyle="1" w:styleId="GridTable4-Accent2">
    <w:name w:val="Grid Table 4 - Accent 2"/>
    <w:uiPriority w:val="59"/>
    <w:tblPr>
      <w:tblBorders>
        <w:top w:val="single" w:sz="4" w:space="0" w:color="DB9C9A"/>
        <w:left w:val="single" w:sz="4" w:space="0" w:color="DB9C9A"/>
        <w:bottom w:val="single" w:sz="4" w:space="0" w:color="DB9C9A"/>
        <w:right w:val="single" w:sz="4" w:space="0" w:color="DB9C9A"/>
        <w:insideH w:val="single" w:sz="4" w:space="0" w:color="DB9C9A"/>
        <w:insideV w:val="single" w:sz="4" w:space="0" w:color="DB9C9A"/>
      </w:tblBorders>
      <w:tblCellMar>
        <w:top w:w="0" w:type="dxa"/>
        <w:left w:w="0" w:type="dxa"/>
        <w:bottom w:w="0" w:type="dxa"/>
        <w:right w:w="0" w:type="dxa"/>
      </w:tblCellMar>
    </w:tblPr>
  </w:style>
  <w:style w:type="table" w:customStyle="1" w:styleId="GridTable3-Accent2">
    <w:name w:val="Grid Table 3 - Accent 2"/>
    <w:uiPriority w:val="99"/>
    <w:tblPr>
      <w:tblBorders>
        <w:bottom w:val="single" w:sz="4" w:space="0" w:color="D99795"/>
        <w:insideH w:val="single" w:sz="4" w:space="0" w:color="D99795"/>
        <w:insideV w:val="single" w:sz="4" w:space="0" w:color="D99795"/>
      </w:tblBorders>
      <w:tblCellMar>
        <w:top w:w="0" w:type="dxa"/>
        <w:left w:w="0" w:type="dxa"/>
        <w:bottom w:w="0" w:type="dxa"/>
        <w:right w:w="0" w:type="dxa"/>
      </w:tblCellMar>
    </w:tblPr>
  </w:style>
  <w:style w:type="table" w:customStyle="1" w:styleId="212">
    <w:name w:val="清单表 21"/>
    <w:uiPriority w:val="99"/>
    <w:tblPr>
      <w:tblBorders>
        <w:top w:val="single" w:sz="4" w:space="0" w:color="6E6E6E"/>
        <w:bottom w:val="single" w:sz="4" w:space="0" w:color="6E6E6E"/>
        <w:insideH w:val="single" w:sz="4" w:space="0" w:color="6E6E6E"/>
      </w:tblBorders>
      <w:tblCellMar>
        <w:top w:w="0" w:type="dxa"/>
        <w:left w:w="0" w:type="dxa"/>
        <w:bottom w:w="0" w:type="dxa"/>
        <w:right w:w="0" w:type="dxa"/>
      </w:tblCellMar>
    </w:tblPr>
  </w:style>
  <w:style w:type="table" w:customStyle="1" w:styleId="311">
    <w:name w:val="无格式表格 31"/>
    <w:uiPriority w:val="99"/>
    <w:tblPr>
      <w:tblCellMar>
        <w:top w:w="0" w:type="dxa"/>
        <w:left w:w="0" w:type="dxa"/>
        <w:bottom w:w="0" w:type="dxa"/>
        <w:right w:w="0" w:type="dxa"/>
      </w:tblCellMar>
    </w:tblPr>
  </w:style>
  <w:style w:type="table" w:customStyle="1" w:styleId="GridTable4-Accent3">
    <w:name w:val="Grid Table 4 - Accent 3"/>
    <w:uiPriority w:val="59"/>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1Light-Accent5">
    <w:name w:val="Grid Table 1 Light - Accent 5"/>
    <w:uiPriority w:val="99"/>
    <w:tblPr>
      <w:tblBorders>
        <w:top w:val="single" w:sz="4" w:space="0" w:color="B6DDE7"/>
        <w:left w:val="single" w:sz="4" w:space="0" w:color="B6DDE7"/>
        <w:bottom w:val="single" w:sz="4" w:space="0" w:color="B6DDE7"/>
        <w:right w:val="single" w:sz="4" w:space="0" w:color="B6DDE7"/>
        <w:insideH w:val="single" w:sz="4" w:space="0" w:color="B6DDE7"/>
        <w:insideV w:val="single" w:sz="4" w:space="0" w:color="B6DDE7"/>
      </w:tblBorders>
      <w:tblCellMar>
        <w:top w:w="0" w:type="dxa"/>
        <w:left w:w="0" w:type="dxa"/>
        <w:bottom w:w="0" w:type="dxa"/>
        <w:right w:w="0" w:type="dxa"/>
      </w:tblCellMar>
    </w:tblPr>
  </w:style>
  <w:style w:type="table" w:customStyle="1" w:styleId="ListTable2-Accent1">
    <w:name w:val="List Table 2 - Accent 1"/>
    <w:uiPriority w:val="99"/>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GridTable3-Accent1">
    <w:name w:val="Grid Table 3 - Accent 1"/>
    <w:uiPriority w:val="99"/>
    <w:tblPr>
      <w:tblBorders>
        <w:bottom w:val="single" w:sz="4" w:space="0" w:color="5D8BC2"/>
        <w:insideH w:val="single" w:sz="4" w:space="0" w:color="5D8BC2"/>
        <w:insideV w:val="single" w:sz="4" w:space="0" w:color="5D8BC2"/>
      </w:tblBorders>
      <w:tblCellMar>
        <w:top w:w="0" w:type="dxa"/>
        <w:left w:w="0" w:type="dxa"/>
        <w:bottom w:w="0" w:type="dxa"/>
        <w:right w:w="0" w:type="dxa"/>
      </w:tblCellMar>
    </w:tblPr>
  </w:style>
  <w:style w:type="table" w:customStyle="1" w:styleId="GridTable4-Accent4">
    <w:name w:val="Grid Table 4 - Accent 4"/>
    <w:uiPriority w:val="59"/>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TableGridLight">
    <w:name w:val="Table Grid Light"/>
    <w:uiPriority w:val="59"/>
    <w:tblPr>
      <w:tblBorders>
        <w:top w:val="single" w:sz="4" w:space="0" w:color="AEAEAE"/>
        <w:left w:val="single" w:sz="4" w:space="0" w:color="AEAEAE"/>
        <w:bottom w:val="single" w:sz="4" w:space="0" w:color="AEAEAE"/>
        <w:right w:val="single" w:sz="4" w:space="0" w:color="AEAEAE"/>
        <w:insideH w:val="single" w:sz="4" w:space="0" w:color="AEAEAE"/>
        <w:insideV w:val="single" w:sz="4" w:space="0" w:color="AEAEAE"/>
      </w:tblBorders>
      <w:tblCellMar>
        <w:top w:w="0" w:type="dxa"/>
        <w:left w:w="108" w:type="dxa"/>
        <w:bottom w:w="0" w:type="dxa"/>
        <w:right w:w="108" w:type="dxa"/>
      </w:tblCellMar>
    </w:tblPr>
  </w:style>
  <w:style w:type="table" w:customStyle="1" w:styleId="ListTable2-Accent2">
    <w:name w:val="List Table 2 - Accent 2"/>
    <w:uiPriority w:val="99"/>
    <w:tblPr>
      <w:tblBorders>
        <w:top w:val="single" w:sz="4" w:space="0" w:color="DB9C9A"/>
        <w:bottom w:val="single" w:sz="4" w:space="0" w:color="DB9C9A"/>
        <w:insideH w:val="single" w:sz="4" w:space="0" w:color="DB9C9A"/>
      </w:tblBorders>
      <w:tblCellMar>
        <w:top w:w="0" w:type="dxa"/>
        <w:left w:w="0" w:type="dxa"/>
        <w:bottom w:w="0" w:type="dxa"/>
        <w:right w:w="0" w:type="dxa"/>
      </w:tblCellMar>
    </w:tblPr>
  </w:style>
  <w:style w:type="table" w:customStyle="1" w:styleId="111">
    <w:name w:val="无格式表格 11"/>
    <w:uiPriority w:val="59"/>
    <w:tblPr>
      <w:tblBorders>
        <w:top w:val="single" w:sz="4" w:space="0" w:color="AEAEAE"/>
        <w:left w:val="single" w:sz="4" w:space="0" w:color="AEAEAE"/>
        <w:bottom w:val="single" w:sz="4" w:space="0" w:color="AEAEAE"/>
        <w:right w:val="single" w:sz="4" w:space="0" w:color="AEAEAE"/>
        <w:insideH w:val="single" w:sz="4" w:space="0" w:color="AEAEAE"/>
        <w:insideV w:val="single" w:sz="4" w:space="0" w:color="AEAEAE"/>
      </w:tblBorders>
      <w:tblCellMar>
        <w:top w:w="0" w:type="dxa"/>
        <w:left w:w="108" w:type="dxa"/>
        <w:bottom w:w="0" w:type="dxa"/>
        <w:right w:w="108" w:type="dxa"/>
      </w:tblCellMar>
    </w:tblPr>
  </w:style>
  <w:style w:type="table" w:customStyle="1" w:styleId="GridTable4-Accent5">
    <w:name w:val="Grid Table 4 - Accent 5"/>
    <w:uiPriority w:val="59"/>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213">
    <w:name w:val="无格式表格 21"/>
    <w:uiPriority w:val="59"/>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ListTable2-Accent3">
    <w:name w:val="List Table 2 - Accent 3"/>
    <w:uiPriority w:val="99"/>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412">
    <w:name w:val="无格式表格 41"/>
    <w:uiPriority w:val="99"/>
    <w:tblPr>
      <w:tblCellMar>
        <w:top w:w="0" w:type="dxa"/>
        <w:left w:w="0" w:type="dxa"/>
        <w:bottom w:w="0" w:type="dxa"/>
        <w:right w:w="0" w:type="dxa"/>
      </w:tblCellMar>
    </w:tblPr>
  </w:style>
  <w:style w:type="table" w:customStyle="1" w:styleId="GridTable4-Accent6">
    <w:name w:val="Grid Table 4 - Accent 6"/>
    <w:uiPriority w:val="59"/>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0">
    <w:name w:val="无格式表格 51"/>
    <w:uiPriority w:val="99"/>
    <w:tblPr>
      <w:tblCellMar>
        <w:top w:w="0" w:type="dxa"/>
        <w:left w:w="0" w:type="dxa"/>
        <w:bottom w:w="0" w:type="dxa"/>
        <w:right w:w="0" w:type="dxa"/>
      </w:tblCellMar>
    </w:tblPr>
  </w:style>
  <w:style w:type="table" w:customStyle="1" w:styleId="ListTable2-Accent4">
    <w:name w:val="List Table 2 - Accent 4"/>
    <w:uiPriority w:val="99"/>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312">
    <w:name w:val="网格表 31"/>
    <w:uiPriority w:val="99"/>
    <w:tblPr>
      <w:tblBorders>
        <w:bottom w:val="single" w:sz="4" w:space="0" w:color="696969"/>
        <w:insideH w:val="single" w:sz="4" w:space="0" w:color="696969"/>
        <w:insideV w:val="single" w:sz="4" w:space="0" w:color="696969"/>
      </w:tblBorders>
      <w:tblCellMar>
        <w:top w:w="0" w:type="dxa"/>
        <w:left w:w="0" w:type="dxa"/>
        <w:bottom w:w="0" w:type="dxa"/>
        <w:right w:w="0" w:type="dxa"/>
      </w:tblCellMar>
    </w:tblPr>
  </w:style>
  <w:style w:type="table" w:customStyle="1" w:styleId="511">
    <w:name w:val="网格表 5 深色1"/>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BEBEBE"/>
    </w:tcPr>
  </w:style>
  <w:style w:type="table" w:customStyle="1" w:styleId="112">
    <w:name w:val="网格表 1 浅色1"/>
    <w:uiPriority w:val="99"/>
    <w:tblPr>
      <w:tblBorders>
        <w:top w:val="single" w:sz="4" w:space="0" w:color="979797"/>
        <w:left w:val="single" w:sz="4" w:space="0" w:color="979797"/>
        <w:bottom w:val="single" w:sz="4" w:space="0" w:color="979797"/>
        <w:right w:val="single" w:sz="4" w:space="0" w:color="979797"/>
        <w:insideH w:val="single" w:sz="4" w:space="0" w:color="979797"/>
        <w:insideV w:val="single" w:sz="4" w:space="0" w:color="979797"/>
      </w:tblBorders>
      <w:tblCellMar>
        <w:top w:w="0" w:type="dxa"/>
        <w:left w:w="0" w:type="dxa"/>
        <w:bottom w:w="0" w:type="dxa"/>
        <w:right w:w="0" w:type="dxa"/>
      </w:tblCellMar>
    </w:tblPr>
  </w:style>
  <w:style w:type="table" w:customStyle="1" w:styleId="ListTable2-Accent5">
    <w:name w:val="List Table 2 - Accent 5"/>
    <w:uiPriority w:val="99"/>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GridTable3-Accent3">
    <w:name w:val="Grid Table 3 - Accent 3"/>
    <w:uiPriority w:val="99"/>
    <w:tblPr>
      <w:tblBorders>
        <w:bottom w:val="single" w:sz="4" w:space="0" w:color="9BBB59"/>
        <w:insideH w:val="single" w:sz="4" w:space="0" w:color="9BBB59"/>
        <w:insideV w:val="single" w:sz="4" w:space="0" w:color="9BBB59"/>
      </w:tblBorders>
      <w:tblCellMar>
        <w:top w:w="0" w:type="dxa"/>
        <w:left w:w="0" w:type="dxa"/>
        <w:bottom w:w="0" w:type="dxa"/>
        <w:right w:w="0" w:type="dxa"/>
      </w:tblCellMar>
    </w:tblPr>
  </w:style>
  <w:style w:type="table" w:customStyle="1" w:styleId="GridTable5Dark-Accent1">
    <w:name w:val="Grid Table 5 Dark- Accent 1"/>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BE5F1"/>
    </w:tcPr>
  </w:style>
  <w:style w:type="table" w:customStyle="1" w:styleId="GridTable1Light-Accent1">
    <w:name w:val="Grid Table 1 Light - Accent 1"/>
    <w:uiPriority w:val="99"/>
    <w:tblPr>
      <w:tblBorders>
        <w:top w:val="single" w:sz="4" w:space="0" w:color="B7CCE4"/>
        <w:left w:val="single" w:sz="4" w:space="0" w:color="B7CCE4"/>
        <w:bottom w:val="single" w:sz="4" w:space="0" w:color="B7CCE4"/>
        <w:right w:val="single" w:sz="4" w:space="0" w:color="B7CCE4"/>
        <w:insideH w:val="single" w:sz="4" w:space="0" w:color="B7CCE4"/>
        <w:insideV w:val="single" w:sz="4" w:space="0" w:color="B7CCE4"/>
      </w:tblBorders>
      <w:tblCellMar>
        <w:top w:w="0" w:type="dxa"/>
        <w:left w:w="0" w:type="dxa"/>
        <w:bottom w:w="0" w:type="dxa"/>
        <w:right w:w="0" w:type="dxa"/>
      </w:tblCellMar>
    </w:tblPr>
  </w:style>
  <w:style w:type="table" w:customStyle="1" w:styleId="ListTable2-Accent6">
    <w:name w:val="List Table 2 - Accent 6"/>
    <w:uiPriority w:val="99"/>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GridTable3-Accent4">
    <w:name w:val="Grid Table 3 - Accent 4"/>
    <w:uiPriority w:val="99"/>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5Dark-Accent2">
    <w:name w:val="Grid Table 5 Dark - Accent 2"/>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2DCDC"/>
    </w:tcPr>
  </w:style>
  <w:style w:type="table" w:customStyle="1" w:styleId="GridTable1Light-Accent3">
    <w:name w:val="Grid Table 1 Light - Accent 3"/>
    <w:uiPriority w:val="99"/>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313">
    <w:name w:val="清单表 31"/>
    <w:uiPriority w:val="99"/>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GridTable1Light-Accent4">
    <w:name w:val="Grid Table 1 Light - Accent 4"/>
    <w:uiPriority w:val="99"/>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5Dark-Accent3">
    <w:name w:val="Grid Table 5 Dark - Accent 3"/>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AF1DD"/>
    </w:tcPr>
  </w:style>
  <w:style w:type="table" w:customStyle="1" w:styleId="GridTable1Light-Accent6">
    <w:name w:val="Grid Table 1 Light - Accent 6"/>
    <w:uiPriority w:val="99"/>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Accent3">
    <w:name w:val="Grid Table 2 - Accent 3"/>
    <w:uiPriority w:val="99"/>
    <w:tblPr>
      <w:tblBorders>
        <w:bottom w:val="single" w:sz="4" w:space="0" w:color="9BBB59"/>
        <w:insideH w:val="single" w:sz="4" w:space="0" w:color="9BBB59"/>
        <w:insideV w:val="single" w:sz="4" w:space="0" w:color="9BBB59"/>
      </w:tblBorders>
      <w:tblCellMar>
        <w:top w:w="0" w:type="dxa"/>
        <w:left w:w="0" w:type="dxa"/>
        <w:bottom w:w="0" w:type="dxa"/>
        <w:right w:w="0" w:type="dxa"/>
      </w:tblCellMar>
    </w:tblPr>
  </w:style>
  <w:style w:type="table" w:customStyle="1" w:styleId="GridTable2-Accent4">
    <w:name w:val="Grid Table 2 - Accent 4"/>
    <w:uiPriority w:val="99"/>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ListTable3-Accent5">
    <w:name w:val="List Table 3 - Accent 5"/>
    <w:uiPriority w:val="99"/>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1Light-Accent2">
    <w:name w:val="List Table 1 Light - Accent 2"/>
    <w:uiPriority w:val="99"/>
    <w:tblPr>
      <w:tblCellMar>
        <w:top w:w="0" w:type="dxa"/>
        <w:left w:w="0" w:type="dxa"/>
        <w:bottom w:w="0" w:type="dxa"/>
        <w:right w:w="0" w:type="dxa"/>
      </w:tblCellMar>
    </w:tblPr>
  </w:style>
  <w:style w:type="table" w:customStyle="1" w:styleId="GridTable6Colorful-Accent1">
    <w:name w:val="Grid Table 6 Colorful - Accent 1"/>
    <w:uiPriority w:val="99"/>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3-Accent5">
    <w:name w:val="Grid Table 3 - Accent 5"/>
    <w:uiPriority w:val="99"/>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ListTable3-Accent6">
    <w:name w:val="List Table 3 - Accent 6"/>
    <w:uiPriority w:val="99"/>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5Dark-Accent1">
    <w:name w:val="List Table 5 Dark - Accent 1"/>
    <w:uiPriority w:val="99"/>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cPr>
      <w:shd w:val="clear" w:color="auto" w:fill="4F81BD"/>
    </w:tcPr>
  </w:style>
  <w:style w:type="table" w:customStyle="1" w:styleId="ListTable3-Accent1">
    <w:name w:val="List Table 3 - Accent 1"/>
    <w:uiPriority w:val="99"/>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ned-Accent3">
    <w:name w:val="Lined - Accent 3"/>
    <w:uiPriority w:val="99"/>
    <w:rPr>
      <w:color w:val="404040"/>
    </w:rPr>
    <w:tblPr>
      <w:tblCellMar>
        <w:top w:w="0" w:type="dxa"/>
        <w:left w:w="0" w:type="dxa"/>
        <w:bottom w:w="0" w:type="dxa"/>
        <w:right w:w="0" w:type="dxa"/>
      </w:tblCellMar>
    </w:tblPr>
  </w:style>
  <w:style w:type="table" w:customStyle="1" w:styleId="GridTable5Dark-Accent4">
    <w:name w:val="Grid Table 5 Dark- Accent 4"/>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5DFEC"/>
    </w:tcPr>
  </w:style>
  <w:style w:type="table" w:customStyle="1" w:styleId="BorderedLined-Accent3">
    <w:name w:val="Bordered &amp; Lined - Accent 3"/>
    <w:uiPriority w:val="99"/>
    <w:rPr>
      <w:color w:val="404040"/>
    </w:rPr>
    <w:tblPr>
      <w:tblBorders>
        <w:top w:val="single" w:sz="4" w:space="0" w:color="5C722E"/>
        <w:left w:val="single" w:sz="4" w:space="0" w:color="5C722E"/>
        <w:bottom w:val="single" w:sz="4" w:space="0" w:color="5C722E"/>
        <w:right w:val="single" w:sz="4" w:space="0" w:color="5C722E"/>
        <w:insideH w:val="single" w:sz="4" w:space="0" w:color="5C722E"/>
        <w:insideV w:val="single" w:sz="4" w:space="0" w:color="5C722E"/>
      </w:tblBorders>
      <w:tblCellMar>
        <w:top w:w="0" w:type="dxa"/>
        <w:left w:w="0" w:type="dxa"/>
        <w:bottom w:w="0" w:type="dxa"/>
        <w:right w:w="0" w:type="dxa"/>
      </w:tblCellMar>
    </w:tblPr>
  </w:style>
  <w:style w:type="table" w:customStyle="1" w:styleId="ListTable3-Accent2">
    <w:name w:val="List Table 3 - Accent 2"/>
    <w:uiPriority w:val="99"/>
    <w:tblPr>
      <w:tblBorders>
        <w:top w:val="single" w:sz="4" w:space="0" w:color="D99795"/>
        <w:left w:val="single" w:sz="4" w:space="0" w:color="D99795"/>
        <w:bottom w:val="single" w:sz="4" w:space="0" w:color="D99795"/>
        <w:right w:val="single" w:sz="4" w:space="0" w:color="D99795"/>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5Dark-Accent5">
    <w:name w:val="Grid Table 5 Dark - Accent 5"/>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AEEF3"/>
    </w:tcPr>
  </w:style>
  <w:style w:type="table" w:customStyle="1" w:styleId="BorderedLined-Accent6">
    <w:name w:val="Bordered &amp; Lined - Accent 6"/>
    <w:uiPriority w:val="99"/>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stTable3-Accent3">
    <w:name w:val="List Table 3 - Accent 3"/>
    <w:uiPriority w:val="99"/>
    <w:tblPr>
      <w:tblBorders>
        <w:top w:val="single" w:sz="4" w:space="0" w:color="C3D69C"/>
        <w:left w:val="single" w:sz="4" w:space="0" w:color="C3D69C"/>
        <w:bottom w:val="single" w:sz="4" w:space="0" w:color="C3D69C"/>
        <w:right w:val="single" w:sz="4" w:space="0" w:color="C3D69C"/>
      </w:tblBorders>
      <w:tblCellMar>
        <w:top w:w="0" w:type="dxa"/>
        <w:left w:w="0" w:type="dxa"/>
        <w:bottom w:w="0" w:type="dxa"/>
        <w:right w:w="0" w:type="dxa"/>
      </w:tblCellMar>
    </w:tblPr>
  </w:style>
  <w:style w:type="table" w:customStyle="1" w:styleId="Bordered-Accent1">
    <w:name w:val="Bordered - Accent 1"/>
    <w:uiPriority w:val="99"/>
    <w:tblPr>
      <w:tblBorders>
        <w:top w:val="single" w:sz="4" w:space="0" w:color="B7CCE4"/>
        <w:left w:val="single" w:sz="4" w:space="0" w:color="B7CCE4"/>
        <w:bottom w:val="single" w:sz="4" w:space="0" w:color="B7CCE4"/>
        <w:right w:val="single" w:sz="4" w:space="0" w:color="B7CCE4"/>
        <w:insideH w:val="single" w:sz="4" w:space="0" w:color="B7CCE4"/>
        <w:insideV w:val="single" w:sz="4" w:space="0" w:color="B7CCE4"/>
      </w:tblBorders>
      <w:tblCellMar>
        <w:top w:w="0" w:type="dxa"/>
        <w:left w:w="0" w:type="dxa"/>
        <w:bottom w:w="0" w:type="dxa"/>
        <w:right w:w="0" w:type="dxa"/>
      </w:tblCellMar>
    </w:tblPr>
  </w:style>
  <w:style w:type="table" w:customStyle="1" w:styleId="GridTable5Dark-Accent6">
    <w:name w:val="Grid Table 5 Dark - Accent 6"/>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DE9D9"/>
    </w:tcPr>
  </w:style>
  <w:style w:type="table" w:customStyle="1" w:styleId="ListTable7Colorful-Accent2">
    <w:name w:val="List Table 7 Colorful - Accent 2"/>
    <w:uiPriority w:val="99"/>
    <w:tblPr>
      <w:tblBorders>
        <w:right w:val="single" w:sz="4" w:space="0" w:color="D99795"/>
      </w:tblBorders>
      <w:tblCellMar>
        <w:top w:w="0" w:type="dxa"/>
        <w:left w:w="0" w:type="dxa"/>
        <w:bottom w:w="0" w:type="dxa"/>
        <w:right w:w="0" w:type="dxa"/>
      </w:tblCellMar>
    </w:tblPr>
  </w:style>
  <w:style w:type="table" w:customStyle="1" w:styleId="ListTable3-Accent4">
    <w:name w:val="List Table 3 - Accent 4"/>
    <w:uiPriority w:val="99"/>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7Colorful-Accent3">
    <w:name w:val="List Table 7 Colorful - Accent 3"/>
    <w:uiPriority w:val="99"/>
    <w:tblPr>
      <w:tblBorders>
        <w:right w:val="single" w:sz="4" w:space="0" w:color="C3D69C"/>
      </w:tblBorders>
      <w:tblCellMar>
        <w:top w:w="0" w:type="dxa"/>
        <w:left w:w="0" w:type="dxa"/>
        <w:bottom w:w="0" w:type="dxa"/>
        <w:right w:w="0" w:type="dxa"/>
      </w:tblCellMar>
    </w:tblPr>
  </w:style>
  <w:style w:type="table" w:customStyle="1" w:styleId="611">
    <w:name w:val="网格表 6 彩色1"/>
    <w:uiPriority w:val="99"/>
    <w:tblPr>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top w:w="0" w:type="dxa"/>
        <w:left w:w="0" w:type="dxa"/>
        <w:bottom w:w="0" w:type="dxa"/>
        <w:right w:w="0" w:type="dxa"/>
      </w:tblCellMar>
    </w:tblPr>
  </w:style>
  <w:style w:type="table" w:customStyle="1" w:styleId="GridTable6Colorful-Accent3">
    <w:name w:val="Grid Table 6 Colorful - Accent 3"/>
    <w:uiPriority w:val="99"/>
    <w:tblP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style>
  <w:style w:type="table" w:customStyle="1" w:styleId="ListTable4-Accent1">
    <w:name w:val="List Table 4 - Accent 1"/>
    <w:uiPriority w:val="99"/>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GridTable6Colorful-Accent4">
    <w:name w:val="Grid Table 6 Colorful - Accent 4"/>
    <w:uiPriority w:val="99"/>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4-Accent2">
    <w:name w:val="List Table 4 - Accent 2"/>
    <w:uiPriority w:val="99"/>
    <w:tblPr>
      <w:tblBorders>
        <w:top w:val="single" w:sz="4" w:space="0" w:color="DB9C9A"/>
        <w:left w:val="single" w:sz="4" w:space="0" w:color="DB9C9A"/>
        <w:bottom w:val="single" w:sz="4" w:space="0" w:color="DB9C9A"/>
        <w:right w:val="single" w:sz="4" w:space="0" w:color="DB9C9A"/>
        <w:insideH w:val="single" w:sz="4" w:space="0" w:color="DB9C9A"/>
      </w:tblBorders>
      <w:tblCellMar>
        <w:top w:w="0" w:type="dxa"/>
        <w:left w:w="0" w:type="dxa"/>
        <w:bottom w:w="0" w:type="dxa"/>
        <w:right w:w="0" w:type="dxa"/>
      </w:tblCellMar>
    </w:tblPr>
  </w:style>
  <w:style w:type="table" w:customStyle="1" w:styleId="GridTable6Colorful-Accent5">
    <w:name w:val="Grid Table 6 Colorful - Accent 5"/>
    <w:uiPriority w:val="99"/>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ListTable4-Accent3">
    <w:name w:val="List Table 4 - Accent 3"/>
    <w:uiPriority w:val="99"/>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GridTable6Colorful-Accent6">
    <w:name w:val="Grid Table 6 Colorful - Accent 6"/>
    <w:uiPriority w:val="99"/>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4-Accent4">
    <w:name w:val="List Table 4 - Accent 4"/>
    <w:uiPriority w:val="99"/>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711">
    <w:name w:val="网格表 7 彩色1"/>
    <w:uiPriority w:val="99"/>
    <w:tblPr>
      <w:tblBorders>
        <w:bottom w:val="single" w:sz="4" w:space="0" w:color="7E7E7E"/>
        <w:right w:val="single" w:sz="4" w:space="0" w:color="7E7E7E"/>
        <w:insideH w:val="single" w:sz="4" w:space="0" w:color="7E7E7E"/>
        <w:insideV w:val="single" w:sz="4" w:space="0" w:color="7E7E7E"/>
      </w:tblBorders>
      <w:tblCellMar>
        <w:top w:w="0" w:type="dxa"/>
        <w:left w:w="0" w:type="dxa"/>
        <w:bottom w:w="0" w:type="dxa"/>
        <w:right w:w="0" w:type="dxa"/>
      </w:tblCellMar>
    </w:tblPr>
  </w:style>
  <w:style w:type="table" w:customStyle="1" w:styleId="GridTable7Colorful-Accent1">
    <w:name w:val="Grid Table 7 Colorful - Accent 1"/>
    <w:uiPriority w:val="99"/>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tblPr>
      <w:tblBorders>
        <w:bottom w:val="single" w:sz="4" w:space="0" w:color="D99795"/>
        <w:right w:val="single" w:sz="4" w:space="0" w:color="D99795"/>
        <w:insideH w:val="single" w:sz="4" w:space="0" w:color="D99795"/>
        <w:insideV w:val="single" w:sz="4" w:space="0" w:color="D99795"/>
      </w:tblBorders>
      <w:tblCellMar>
        <w:top w:w="0" w:type="dxa"/>
        <w:left w:w="0" w:type="dxa"/>
        <w:bottom w:w="0" w:type="dxa"/>
        <w:right w:w="0" w:type="dxa"/>
      </w:tblCellMar>
    </w:tblPr>
  </w:style>
  <w:style w:type="table" w:customStyle="1" w:styleId="GridTable7Colorful-Accent3">
    <w:name w:val="Grid Table 7 Colorful - Accent 3"/>
    <w:uiPriority w:val="99"/>
    <w:tblPr>
      <w:tblBorders>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style>
  <w:style w:type="table" w:customStyle="1" w:styleId="GridTable7Colorful-Accent4">
    <w:name w:val="Grid Table 7 Colorful - Accent 4"/>
    <w:uiPriority w:val="99"/>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113">
    <w:name w:val="清单表 1 浅色1"/>
    <w:uiPriority w:val="99"/>
    <w:tblPr>
      <w:tblCellMar>
        <w:top w:w="0" w:type="dxa"/>
        <w:left w:w="0" w:type="dxa"/>
        <w:bottom w:w="0" w:type="dxa"/>
        <w:right w:w="0" w:type="dxa"/>
      </w:tblCellMar>
    </w:tblPr>
  </w:style>
  <w:style w:type="table" w:customStyle="1" w:styleId="ListTable1Light-Accent1">
    <w:name w:val="List Table 1 Light - Accent 1"/>
    <w:uiPriority w:val="99"/>
    <w:tblPr>
      <w:tblCellMar>
        <w:top w:w="0" w:type="dxa"/>
        <w:left w:w="0" w:type="dxa"/>
        <w:bottom w:w="0" w:type="dxa"/>
        <w:right w:w="0" w:type="dxa"/>
      </w:tblCellMar>
    </w:tblPr>
  </w:style>
  <w:style w:type="table" w:customStyle="1" w:styleId="Lined-Accent5">
    <w:name w:val="Lined - Accent 5"/>
    <w:uiPriority w:val="99"/>
    <w:rPr>
      <w:color w:val="404040"/>
    </w:rPr>
    <w:tblPr>
      <w:tblCellMar>
        <w:top w:w="0" w:type="dxa"/>
        <w:left w:w="0" w:type="dxa"/>
        <w:bottom w:w="0" w:type="dxa"/>
        <w:right w:w="0" w:type="dxa"/>
      </w:tblCellMar>
    </w:tblPr>
  </w:style>
  <w:style w:type="table" w:customStyle="1" w:styleId="ListTable4-Accent5">
    <w:name w:val="List Table 4 - Accent 5"/>
    <w:uiPriority w:val="99"/>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ned-Accent6">
    <w:name w:val="Lined - Accent 6"/>
    <w:uiPriority w:val="99"/>
    <w:rPr>
      <w:color w:val="404040"/>
    </w:rPr>
    <w:tblPr>
      <w:tblCellMar>
        <w:top w:w="0" w:type="dxa"/>
        <w:left w:w="0" w:type="dxa"/>
        <w:bottom w:w="0" w:type="dxa"/>
        <w:right w:w="0" w:type="dxa"/>
      </w:tblCellMar>
    </w:tblPr>
  </w:style>
  <w:style w:type="table" w:customStyle="1" w:styleId="ListTable4-Accent6">
    <w:name w:val="List Table 4 - Accent 6"/>
    <w:uiPriority w:val="99"/>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7Colorful-Accent5">
    <w:name w:val="List Table 7 Colorful - Accent 5"/>
    <w:uiPriority w:val="99"/>
    <w:tblPr>
      <w:tblBorders>
        <w:right w:val="single" w:sz="4" w:space="0" w:color="92CCDC"/>
      </w:tblBorders>
      <w:tblCellMar>
        <w:top w:w="0" w:type="dxa"/>
        <w:left w:w="0" w:type="dxa"/>
        <w:bottom w:w="0" w:type="dxa"/>
        <w:right w:w="0" w:type="dxa"/>
      </w:tblCellMar>
    </w:tblPr>
  </w:style>
  <w:style w:type="table" w:customStyle="1" w:styleId="512">
    <w:name w:val="清单表 5 深色1"/>
    <w:uiPriority w:val="99"/>
    <w:tblPr>
      <w:tblBorders>
        <w:top w:val="single" w:sz="32" w:space="0" w:color="7E7E7E"/>
        <w:left w:val="single" w:sz="32" w:space="0" w:color="7E7E7E"/>
        <w:bottom w:val="single" w:sz="32" w:space="0" w:color="7E7E7E"/>
        <w:right w:val="single" w:sz="32" w:space="0" w:color="7E7E7E"/>
      </w:tblBorders>
      <w:tblCellMar>
        <w:top w:w="0" w:type="dxa"/>
        <w:left w:w="0" w:type="dxa"/>
        <w:bottom w:w="0" w:type="dxa"/>
        <w:right w:w="0" w:type="dxa"/>
      </w:tblCellMar>
    </w:tblPr>
    <w:tcPr>
      <w:shd w:val="clear" w:color="auto" w:fill="7E7E7E"/>
    </w:tcPr>
  </w:style>
  <w:style w:type="table" w:customStyle="1" w:styleId="ListTable7Colorful-Accent6">
    <w:name w:val="List Table 7 Colorful - Accent 6"/>
    <w:uiPriority w:val="99"/>
    <w:tblPr>
      <w:tblBorders>
        <w:right w:val="single" w:sz="4" w:space="0" w:color="FAC090"/>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Borders>
        <w:top w:val="single" w:sz="4" w:space="0" w:color="2A4B71"/>
        <w:left w:val="single" w:sz="4" w:space="0" w:color="2A4B71"/>
        <w:bottom w:val="single" w:sz="4" w:space="0" w:color="2A4B71"/>
        <w:right w:val="single" w:sz="4" w:space="0" w:color="2A4B71"/>
        <w:insideH w:val="single" w:sz="4" w:space="0" w:color="2A4B71"/>
        <w:insideV w:val="single" w:sz="4" w:space="0" w:color="2A4B71"/>
      </w:tblBorders>
      <w:tblCellMar>
        <w:top w:w="0" w:type="dxa"/>
        <w:left w:w="0" w:type="dxa"/>
        <w:bottom w:w="0" w:type="dxa"/>
        <w:right w:w="0" w:type="dxa"/>
      </w:tblCellMar>
    </w:tblPr>
  </w:style>
  <w:style w:type="table" w:customStyle="1" w:styleId="Lined-Accent">
    <w:name w:val="Lined - Accent"/>
    <w:uiPriority w:val="99"/>
    <w:rPr>
      <w:color w:val="404040"/>
    </w:rPr>
    <w:tblPr>
      <w:tblCellMar>
        <w:top w:w="0" w:type="dxa"/>
        <w:left w:w="0" w:type="dxa"/>
        <w:bottom w:w="0" w:type="dxa"/>
        <w:right w:w="0" w:type="dxa"/>
      </w:tblCellMar>
    </w:tblPr>
  </w:style>
  <w:style w:type="paragraph" w:styleId="aff3">
    <w:name w:val="Revision"/>
    <w:uiPriority w:val="99"/>
    <w:unhideWhenUsed/>
    <w:rPr>
      <w:szCs w:val="22"/>
      <w:lang w:eastAsia="en-US" w:bidi="en-US"/>
    </w:rPr>
  </w:style>
  <w:style w:type="character" w:styleId="aff4">
    <w:name w:val="Unresolved Mention"/>
    <w:uiPriority w:val="99"/>
    <w:unhideWhenUsed/>
    <w:rPr>
      <w:color w:val="605E5C"/>
      <w:shd w:val="clear" w:color="auto" w:fill="E1DFDD"/>
    </w:rPr>
  </w:style>
  <w:style w:type="character" w:customStyle="1" w:styleId="aff5">
    <w:name w:val="批注文字 字符"/>
    <w:rsid w:val="005C214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114</Pages>
  <Words>11097</Words>
  <Characters>63259</Characters>
  <Application>Microsoft Office Word</Application>
  <DocSecurity>0</DocSecurity>
  <Lines>527</Lines>
  <Paragraphs>148</Paragraphs>
  <ScaleCrop>false</ScaleCrop>
  <Company/>
  <LinksUpToDate>false</LinksUpToDate>
  <CharactersWithSpaces>74208</CharactersWithSpaces>
  <SharedDoc>false</SharedDoc>
  <HLinks>
    <vt:vector size="144" baseType="variant">
      <vt:variant>
        <vt:i4>1179706</vt:i4>
      </vt:variant>
      <vt:variant>
        <vt:i4>140</vt:i4>
      </vt:variant>
      <vt:variant>
        <vt:i4>0</vt:i4>
      </vt:variant>
      <vt:variant>
        <vt:i4>5</vt:i4>
      </vt:variant>
      <vt:variant>
        <vt:lpwstr/>
      </vt:variant>
      <vt:variant>
        <vt:lpwstr>_Toc132016804</vt:lpwstr>
      </vt:variant>
      <vt:variant>
        <vt:i4>1179706</vt:i4>
      </vt:variant>
      <vt:variant>
        <vt:i4>134</vt:i4>
      </vt:variant>
      <vt:variant>
        <vt:i4>0</vt:i4>
      </vt:variant>
      <vt:variant>
        <vt:i4>5</vt:i4>
      </vt:variant>
      <vt:variant>
        <vt:lpwstr/>
      </vt:variant>
      <vt:variant>
        <vt:lpwstr>_Toc132016803</vt:lpwstr>
      </vt:variant>
      <vt:variant>
        <vt:i4>1179706</vt:i4>
      </vt:variant>
      <vt:variant>
        <vt:i4>128</vt:i4>
      </vt:variant>
      <vt:variant>
        <vt:i4>0</vt:i4>
      </vt:variant>
      <vt:variant>
        <vt:i4>5</vt:i4>
      </vt:variant>
      <vt:variant>
        <vt:lpwstr/>
      </vt:variant>
      <vt:variant>
        <vt:lpwstr>_Toc132016802</vt:lpwstr>
      </vt:variant>
      <vt:variant>
        <vt:i4>1179706</vt:i4>
      </vt:variant>
      <vt:variant>
        <vt:i4>122</vt:i4>
      </vt:variant>
      <vt:variant>
        <vt:i4>0</vt:i4>
      </vt:variant>
      <vt:variant>
        <vt:i4>5</vt:i4>
      </vt:variant>
      <vt:variant>
        <vt:lpwstr/>
      </vt:variant>
      <vt:variant>
        <vt:lpwstr>_Toc132016801</vt:lpwstr>
      </vt:variant>
      <vt:variant>
        <vt:i4>1179706</vt:i4>
      </vt:variant>
      <vt:variant>
        <vt:i4>116</vt:i4>
      </vt:variant>
      <vt:variant>
        <vt:i4>0</vt:i4>
      </vt:variant>
      <vt:variant>
        <vt:i4>5</vt:i4>
      </vt:variant>
      <vt:variant>
        <vt:lpwstr/>
      </vt:variant>
      <vt:variant>
        <vt:lpwstr>_Toc132016800</vt:lpwstr>
      </vt:variant>
      <vt:variant>
        <vt:i4>1769525</vt:i4>
      </vt:variant>
      <vt:variant>
        <vt:i4>110</vt:i4>
      </vt:variant>
      <vt:variant>
        <vt:i4>0</vt:i4>
      </vt:variant>
      <vt:variant>
        <vt:i4>5</vt:i4>
      </vt:variant>
      <vt:variant>
        <vt:lpwstr/>
      </vt:variant>
      <vt:variant>
        <vt:lpwstr>_Toc132016799</vt:lpwstr>
      </vt:variant>
      <vt:variant>
        <vt:i4>1769525</vt:i4>
      </vt:variant>
      <vt:variant>
        <vt:i4>104</vt:i4>
      </vt:variant>
      <vt:variant>
        <vt:i4>0</vt:i4>
      </vt:variant>
      <vt:variant>
        <vt:i4>5</vt:i4>
      </vt:variant>
      <vt:variant>
        <vt:lpwstr/>
      </vt:variant>
      <vt:variant>
        <vt:lpwstr>_Toc132016798</vt:lpwstr>
      </vt:variant>
      <vt:variant>
        <vt:i4>1769525</vt:i4>
      </vt:variant>
      <vt:variant>
        <vt:i4>98</vt:i4>
      </vt:variant>
      <vt:variant>
        <vt:i4>0</vt:i4>
      </vt:variant>
      <vt:variant>
        <vt:i4>5</vt:i4>
      </vt:variant>
      <vt:variant>
        <vt:lpwstr/>
      </vt:variant>
      <vt:variant>
        <vt:lpwstr>_Toc132016797</vt:lpwstr>
      </vt:variant>
      <vt:variant>
        <vt:i4>1769525</vt:i4>
      </vt:variant>
      <vt:variant>
        <vt:i4>92</vt:i4>
      </vt:variant>
      <vt:variant>
        <vt:i4>0</vt:i4>
      </vt:variant>
      <vt:variant>
        <vt:i4>5</vt:i4>
      </vt:variant>
      <vt:variant>
        <vt:lpwstr/>
      </vt:variant>
      <vt:variant>
        <vt:lpwstr>_Toc132016796</vt:lpwstr>
      </vt:variant>
      <vt:variant>
        <vt:i4>1769525</vt:i4>
      </vt:variant>
      <vt:variant>
        <vt:i4>86</vt:i4>
      </vt:variant>
      <vt:variant>
        <vt:i4>0</vt:i4>
      </vt:variant>
      <vt:variant>
        <vt:i4>5</vt:i4>
      </vt:variant>
      <vt:variant>
        <vt:lpwstr/>
      </vt:variant>
      <vt:variant>
        <vt:lpwstr>_Toc132016795</vt:lpwstr>
      </vt:variant>
      <vt:variant>
        <vt:i4>1769525</vt:i4>
      </vt:variant>
      <vt:variant>
        <vt:i4>80</vt:i4>
      </vt:variant>
      <vt:variant>
        <vt:i4>0</vt:i4>
      </vt:variant>
      <vt:variant>
        <vt:i4>5</vt:i4>
      </vt:variant>
      <vt:variant>
        <vt:lpwstr/>
      </vt:variant>
      <vt:variant>
        <vt:lpwstr>_Toc132016794</vt:lpwstr>
      </vt:variant>
      <vt:variant>
        <vt:i4>1769525</vt:i4>
      </vt:variant>
      <vt:variant>
        <vt:i4>74</vt:i4>
      </vt:variant>
      <vt:variant>
        <vt:i4>0</vt:i4>
      </vt:variant>
      <vt:variant>
        <vt:i4>5</vt:i4>
      </vt:variant>
      <vt:variant>
        <vt:lpwstr/>
      </vt:variant>
      <vt:variant>
        <vt:lpwstr>_Toc132016793</vt:lpwstr>
      </vt:variant>
      <vt:variant>
        <vt:i4>1769525</vt:i4>
      </vt:variant>
      <vt:variant>
        <vt:i4>68</vt:i4>
      </vt:variant>
      <vt:variant>
        <vt:i4>0</vt:i4>
      </vt:variant>
      <vt:variant>
        <vt:i4>5</vt:i4>
      </vt:variant>
      <vt:variant>
        <vt:lpwstr/>
      </vt:variant>
      <vt:variant>
        <vt:lpwstr>_Toc132016792</vt:lpwstr>
      </vt:variant>
      <vt:variant>
        <vt:i4>1769525</vt:i4>
      </vt:variant>
      <vt:variant>
        <vt:i4>62</vt:i4>
      </vt:variant>
      <vt:variant>
        <vt:i4>0</vt:i4>
      </vt:variant>
      <vt:variant>
        <vt:i4>5</vt:i4>
      </vt:variant>
      <vt:variant>
        <vt:lpwstr/>
      </vt:variant>
      <vt:variant>
        <vt:lpwstr>_Toc132016791</vt:lpwstr>
      </vt:variant>
      <vt:variant>
        <vt:i4>1769525</vt:i4>
      </vt:variant>
      <vt:variant>
        <vt:i4>56</vt:i4>
      </vt:variant>
      <vt:variant>
        <vt:i4>0</vt:i4>
      </vt:variant>
      <vt:variant>
        <vt:i4>5</vt:i4>
      </vt:variant>
      <vt:variant>
        <vt:lpwstr/>
      </vt:variant>
      <vt:variant>
        <vt:lpwstr>_Toc132016790</vt:lpwstr>
      </vt:variant>
      <vt:variant>
        <vt:i4>1703989</vt:i4>
      </vt:variant>
      <vt:variant>
        <vt:i4>50</vt:i4>
      </vt:variant>
      <vt:variant>
        <vt:i4>0</vt:i4>
      </vt:variant>
      <vt:variant>
        <vt:i4>5</vt:i4>
      </vt:variant>
      <vt:variant>
        <vt:lpwstr/>
      </vt:variant>
      <vt:variant>
        <vt:lpwstr>_Toc132016789</vt:lpwstr>
      </vt:variant>
      <vt:variant>
        <vt:i4>1703989</vt:i4>
      </vt:variant>
      <vt:variant>
        <vt:i4>44</vt:i4>
      </vt:variant>
      <vt:variant>
        <vt:i4>0</vt:i4>
      </vt:variant>
      <vt:variant>
        <vt:i4>5</vt:i4>
      </vt:variant>
      <vt:variant>
        <vt:lpwstr/>
      </vt:variant>
      <vt:variant>
        <vt:lpwstr>_Toc132016788</vt:lpwstr>
      </vt:variant>
      <vt:variant>
        <vt:i4>1703989</vt:i4>
      </vt:variant>
      <vt:variant>
        <vt:i4>38</vt:i4>
      </vt:variant>
      <vt:variant>
        <vt:i4>0</vt:i4>
      </vt:variant>
      <vt:variant>
        <vt:i4>5</vt:i4>
      </vt:variant>
      <vt:variant>
        <vt:lpwstr/>
      </vt:variant>
      <vt:variant>
        <vt:lpwstr>_Toc132016787</vt:lpwstr>
      </vt:variant>
      <vt:variant>
        <vt:i4>1703989</vt:i4>
      </vt:variant>
      <vt:variant>
        <vt:i4>32</vt:i4>
      </vt:variant>
      <vt:variant>
        <vt:i4>0</vt:i4>
      </vt:variant>
      <vt:variant>
        <vt:i4>5</vt:i4>
      </vt:variant>
      <vt:variant>
        <vt:lpwstr/>
      </vt:variant>
      <vt:variant>
        <vt:lpwstr>_Toc132016786</vt:lpwstr>
      </vt:variant>
      <vt:variant>
        <vt:i4>1703989</vt:i4>
      </vt:variant>
      <vt:variant>
        <vt:i4>26</vt:i4>
      </vt:variant>
      <vt:variant>
        <vt:i4>0</vt:i4>
      </vt:variant>
      <vt:variant>
        <vt:i4>5</vt:i4>
      </vt:variant>
      <vt:variant>
        <vt:lpwstr/>
      </vt:variant>
      <vt:variant>
        <vt:lpwstr>_Toc132016785</vt:lpwstr>
      </vt:variant>
      <vt:variant>
        <vt:i4>1703989</vt:i4>
      </vt:variant>
      <vt:variant>
        <vt:i4>20</vt:i4>
      </vt:variant>
      <vt:variant>
        <vt:i4>0</vt:i4>
      </vt:variant>
      <vt:variant>
        <vt:i4>5</vt:i4>
      </vt:variant>
      <vt:variant>
        <vt:lpwstr/>
      </vt:variant>
      <vt:variant>
        <vt:lpwstr>_Toc132016784</vt:lpwstr>
      </vt:variant>
      <vt:variant>
        <vt:i4>1703989</vt:i4>
      </vt:variant>
      <vt:variant>
        <vt:i4>14</vt:i4>
      </vt:variant>
      <vt:variant>
        <vt:i4>0</vt:i4>
      </vt:variant>
      <vt:variant>
        <vt:i4>5</vt:i4>
      </vt:variant>
      <vt:variant>
        <vt:lpwstr/>
      </vt:variant>
      <vt:variant>
        <vt:lpwstr>_Toc132016783</vt:lpwstr>
      </vt:variant>
      <vt:variant>
        <vt:i4>1703989</vt:i4>
      </vt:variant>
      <vt:variant>
        <vt:i4>8</vt:i4>
      </vt:variant>
      <vt:variant>
        <vt:i4>0</vt:i4>
      </vt:variant>
      <vt:variant>
        <vt:i4>5</vt:i4>
      </vt:variant>
      <vt:variant>
        <vt:lpwstr/>
      </vt:variant>
      <vt:variant>
        <vt:lpwstr>_Toc132016782</vt:lpwstr>
      </vt:variant>
      <vt:variant>
        <vt:i4>1703989</vt:i4>
      </vt:variant>
      <vt:variant>
        <vt:i4>2</vt:i4>
      </vt:variant>
      <vt:variant>
        <vt:i4>0</vt:i4>
      </vt:variant>
      <vt:variant>
        <vt:i4>5</vt:i4>
      </vt:variant>
      <vt:variant>
        <vt:lpwstr/>
      </vt:variant>
      <vt:variant>
        <vt:lpwstr>_Toc132016781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中信建投均衡成长混合型证券投资基金基金合同</dc:title>
  <dc:subject/>
  <dc:creator>李 鹏飞</dc:creator>
  <cp:keywords/>
  <cp:lastModifiedBy>邹 溢思</cp:lastModifiedBy>
  <cp:revision>10</cp:revision>
  <cp:lastPrinted>2023-07-13T07:50:00Z</cp:lastPrinted>
  <dcterms:created xsi:type="dcterms:W3CDTF">2023-06-20T04:33:00Z</dcterms:created>
  <dcterms:modified xsi:type="dcterms:W3CDTF">2023-07-24T06:00:00Z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2512462AD6A24BCBB2215EEAEFA576E7</vt:lpwstr>
  </property>
</Properties>
</file>