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00" w:themeColor="text1"/>
          <w:sz w:val="24"/>
          <w14:textFill>
            <w14:solidFill>
              <w14:schemeClr w14:val="tx1"/>
            </w14:solidFill>
          </w14:textFill>
        </w:rPr>
      </w:pPr>
    </w:p>
    <w:p>
      <w:pPr>
        <w:ind w:right="-17" w:rightChars="-8"/>
        <w:rPr>
          <w:rFonts w:eastAsia="黑体"/>
          <w:color w:val="000000" w:themeColor="text1"/>
          <w:sz w:val="32"/>
          <w:szCs w:val="32"/>
          <w14:textFill>
            <w14:solidFill>
              <w14:schemeClr w14:val="tx1"/>
            </w14:solidFill>
          </w14:textFill>
        </w:rPr>
      </w:pPr>
      <w:r>
        <w:rPr>
          <w:rFonts w:hint="eastAsia"/>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2691765</wp:posOffset>
                </wp:positionH>
                <wp:positionV relativeFrom="paragraph">
                  <wp:posOffset>198120</wp:posOffset>
                </wp:positionV>
                <wp:extent cx="1256665" cy="494665"/>
                <wp:effectExtent l="0" t="0" r="0" b="63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256665" cy="494665"/>
                        </a:xfrm>
                        <a:prstGeom prst="rect">
                          <a:avLst/>
                        </a:prstGeom>
                        <a:noFill/>
                        <a:ln>
                          <a:noFill/>
                        </a:ln>
                      </wps:spPr>
                      <wps:txbx>
                        <w:txbxContent>
                          <w:p>
                            <w:pPr>
                              <w:rPr>
                                <w:b/>
                                <w:sz w:val="28"/>
                                <w:szCs w:val="28"/>
                              </w:rPr>
                            </w:pPr>
                            <w:r>
                              <w:rPr>
                                <w:rFonts w:hint="eastAsia"/>
                                <w:b/>
                                <w:sz w:val="28"/>
                                <w:szCs w:val="28"/>
                              </w:rPr>
                              <w:t>编号：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95pt;margin-top:15.6pt;height:38.95pt;width:98.95pt;z-index:251659264;mso-width-relative:page;mso-height-relative:page;" filled="f" stroked="f" coordsize="21600,21600" o:gfxdata="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IfPR1gAAAAoBAAAPAAAAAAAA&#10;AAEAIAAAACIAAABkcnMvZG93bnJldi54bWxQSwECFAAUAAAACACHTuJATFTsGBQCAAAVBAAADgAA&#10;AAAAAAABACAAAAAlAQAAZHJzL2Uyb0RvYy54bWxQSwUGAAAAAAYABgBZAQAAqwUAAAAA&#10;">
                <v:fill on="f" focussize="0,0"/>
                <v:stroke on="f"/>
                <v:imagedata o:title=""/>
                <o:lock v:ext="edit" aspectratio="f"/>
                <v:textbox>
                  <w:txbxContent>
                    <w:p>
                      <w:pPr>
                        <w:rPr>
                          <w:b/>
                          <w:sz w:val="28"/>
                          <w:szCs w:val="28"/>
                        </w:rPr>
                      </w:pPr>
                      <w:r>
                        <w:rPr>
                          <w:rFonts w:hint="eastAsia"/>
                          <w:b/>
                          <w:sz w:val="28"/>
                          <w:szCs w:val="28"/>
                        </w:rPr>
                        <w:t>编号：</w:t>
                      </w:r>
                    </w:p>
                  </w:txbxContent>
                </v:textbox>
              </v:shape>
            </w:pict>
          </mc:Fallback>
        </mc:AlternateContent>
      </w:r>
    </w:p>
    <w:p>
      <w:pPr>
        <w:rPr>
          <w:rFonts w:eastAsia="黑体"/>
          <w:color w:val="000000" w:themeColor="text1"/>
          <w:sz w:val="52"/>
          <w:szCs w:val="52"/>
          <w14:textFill>
            <w14:solidFill>
              <w14:schemeClr w14:val="tx1"/>
            </w14:solidFill>
          </w14:textFill>
        </w:rPr>
      </w:pPr>
    </w:p>
    <w:p>
      <w:pPr>
        <w:tabs>
          <w:tab w:val="left" w:pos="3495"/>
        </w:tabs>
        <w:rPr>
          <w:rFonts w:eastAsia="黑体"/>
          <w:color w:val="000000" w:themeColor="text1"/>
          <w:sz w:val="52"/>
          <w:szCs w:val="52"/>
          <w14:textFill>
            <w14:solidFill>
              <w14:schemeClr w14:val="tx1"/>
            </w14:solidFill>
          </w14:textFill>
        </w:rPr>
      </w:pPr>
    </w:p>
    <w:p>
      <w:pPr>
        <w:tabs>
          <w:tab w:val="center" w:pos="4164"/>
          <w:tab w:val="left" w:pos="5455"/>
        </w:tabs>
        <w:ind w:right="-17" w:rightChars="-8"/>
        <w:jc w:val="center"/>
        <w:rPr>
          <w:rFonts w:eastAsia="黑体"/>
          <w:color w:val="000000" w:themeColor="text1"/>
          <w:sz w:val="52"/>
          <w:szCs w:val="52"/>
          <w14:textFill>
            <w14:solidFill>
              <w14:schemeClr w14:val="tx1"/>
            </w14:solidFill>
          </w14:textFill>
        </w:rPr>
      </w:pPr>
    </w:p>
    <w:p>
      <w:pPr>
        <w:tabs>
          <w:tab w:val="center" w:pos="4164"/>
          <w:tab w:val="left" w:pos="5455"/>
        </w:tabs>
        <w:ind w:right="-17" w:rightChars="-8"/>
        <w:jc w:val="center"/>
        <w:rPr>
          <w:rFonts w:eastAsia="黑体"/>
          <w:color w:val="000000" w:themeColor="text1"/>
          <w:sz w:val="52"/>
          <w:szCs w:val="52"/>
          <w14:textFill>
            <w14:solidFill>
              <w14:schemeClr w14:val="tx1"/>
            </w14:solidFill>
          </w14:textFill>
        </w:rPr>
      </w:pPr>
    </w:p>
    <w:p>
      <w:pPr>
        <w:jc w:val="center"/>
        <w:rPr>
          <w:b/>
          <w:color w:val="000000" w:themeColor="text1"/>
          <w:sz w:val="52"/>
          <w:szCs w:val="52"/>
          <w14:textFill>
            <w14:solidFill>
              <w14:schemeClr w14:val="tx1"/>
            </w14:solidFill>
          </w14:textFill>
        </w:rPr>
      </w:pPr>
    </w:p>
    <w:p>
      <w:pPr>
        <w:jc w:val="center"/>
        <w:rPr>
          <w:rFonts w:ascii="仿宋_GB2312" w:eastAsia="仿宋_GB2312"/>
          <w:b/>
          <w:color w:val="000000" w:themeColor="text1"/>
          <w:sz w:val="32"/>
          <w:szCs w:val="32"/>
          <w14:textFill>
            <w14:solidFill>
              <w14:schemeClr w14:val="tx1"/>
            </w14:solidFill>
          </w14:textFill>
        </w:rPr>
      </w:pPr>
    </w:p>
    <w:p>
      <w:pPr>
        <w:jc w:val="center"/>
        <w:rPr>
          <w:rFonts w:asciiTheme="majorEastAsia" w:hAnsiTheme="majorEastAsia" w:eastAsiaTheme="majorEastAsia"/>
          <w:b/>
          <w:color w:val="000000" w:themeColor="text1"/>
          <w:sz w:val="44"/>
          <w:szCs w:val="44"/>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平安惠旭纯债债券型证券投资基</w:t>
      </w:r>
      <w:bookmarkStart w:id="71" w:name="_GoBack"/>
      <w:bookmarkEnd w:id="71"/>
      <w:r>
        <w:rPr>
          <w:rFonts w:hint="eastAsia" w:asciiTheme="majorEastAsia" w:hAnsiTheme="majorEastAsia" w:eastAsiaTheme="majorEastAsia"/>
          <w:b/>
          <w:color w:val="000000" w:themeColor="text1"/>
          <w:sz w:val="44"/>
          <w:szCs w:val="44"/>
          <w14:textFill>
            <w14:solidFill>
              <w14:schemeClr w14:val="tx1"/>
            </w14:solidFill>
          </w14:textFill>
        </w:rPr>
        <w:t>金</w:t>
      </w:r>
    </w:p>
    <w:p>
      <w:pPr>
        <w:jc w:val="center"/>
        <w:rPr>
          <w:rFonts w:asciiTheme="majorEastAsia" w:hAnsiTheme="majorEastAsia" w:eastAsiaTheme="majorEastAsia"/>
          <w:b/>
          <w:color w:val="000000" w:themeColor="text1"/>
          <w:sz w:val="44"/>
          <w:szCs w:val="44"/>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托管协议</w:t>
      </w:r>
    </w:p>
    <w:p>
      <w:pPr>
        <w:jc w:val="center"/>
        <w:rPr>
          <w:rFonts w:ascii="宋体" w:hAnsi="宋体"/>
          <w:color w:val="000000" w:themeColor="text1"/>
          <w:sz w:val="44"/>
          <w:szCs w:val="44"/>
          <w14:textFill>
            <w14:solidFill>
              <w14:schemeClr w14:val="tx1"/>
            </w14:solidFill>
          </w14:textFill>
        </w:rPr>
      </w:pPr>
    </w:p>
    <w:p>
      <w:pPr>
        <w:jc w:val="center"/>
        <w:rPr>
          <w:rFonts w:ascii="宋体" w:hAnsi="宋体"/>
          <w:color w:val="000000" w:themeColor="text1"/>
          <w:sz w:val="44"/>
          <w:szCs w:val="44"/>
          <w14:textFill>
            <w14:solidFill>
              <w14:schemeClr w14:val="tx1"/>
            </w14:solidFill>
          </w14:textFill>
        </w:rPr>
      </w:pPr>
    </w:p>
    <w:p>
      <w:pPr>
        <w:jc w:val="center"/>
        <w:rPr>
          <w:rFonts w:ascii="宋体" w:hAnsi="宋体"/>
          <w:color w:val="000000" w:themeColor="text1"/>
          <w:sz w:val="44"/>
          <w:szCs w:val="44"/>
          <w14:textFill>
            <w14:solidFill>
              <w14:schemeClr w14:val="tx1"/>
            </w14:solidFill>
          </w14:textFill>
        </w:rPr>
      </w:pPr>
    </w:p>
    <w:p>
      <w:pPr>
        <w:rPr>
          <w:rFonts w:ascii="宋体"/>
          <w:color w:val="000000" w:themeColor="text1"/>
          <w:sz w:val="30"/>
          <w14:textFill>
            <w14:solidFill>
              <w14:schemeClr w14:val="tx1"/>
            </w14:solidFill>
          </w14:textFill>
        </w:rPr>
      </w:pPr>
    </w:p>
    <w:p>
      <w:pPr>
        <w:spacing w:line="360" w:lineRule="auto"/>
        <w:ind w:right="26" w:firstLine="1280" w:firstLineChars="400"/>
        <w:outlineLvl w:val="0"/>
        <w:rPr>
          <w:rFonts w:ascii="宋体" w:hAnsi="宋体"/>
          <w:color w:val="000000" w:themeColor="text1"/>
          <w:sz w:val="32"/>
          <w:szCs w:val="32"/>
          <w:u w:val="single"/>
          <w14:textFill>
            <w14:solidFill>
              <w14:schemeClr w14:val="tx1"/>
            </w14:solidFill>
          </w14:textFill>
        </w:rPr>
      </w:pPr>
      <w:bookmarkStart w:id="0" w:name="_Toc382818591"/>
      <w:bookmarkStart w:id="1" w:name="_Toc382819065"/>
      <w:r>
        <w:rPr>
          <w:rFonts w:hint="eastAsia" w:ascii="宋体" w:hAnsi="宋体"/>
          <w:color w:val="000000" w:themeColor="text1"/>
          <w:sz w:val="32"/>
          <w:szCs w:val="32"/>
          <w14:textFill>
            <w14:solidFill>
              <w14:schemeClr w14:val="tx1"/>
            </w14:solidFill>
          </w14:textFill>
        </w:rPr>
        <w:t>基金管理人：</w:t>
      </w:r>
      <w:bookmarkEnd w:id="0"/>
      <w:bookmarkEnd w:id="1"/>
      <w:r>
        <w:rPr>
          <w:rFonts w:hint="eastAsia" w:ascii="宋体" w:hAnsi="宋体"/>
          <w:color w:val="000000" w:themeColor="text1"/>
          <w:sz w:val="32"/>
          <w:szCs w:val="32"/>
          <w14:textFill>
            <w14:solidFill>
              <w14:schemeClr w14:val="tx1"/>
            </w14:solidFill>
          </w14:textFill>
        </w:rPr>
        <w:t>平安基金管理有限公司</w:t>
      </w:r>
    </w:p>
    <w:p>
      <w:pPr>
        <w:spacing w:line="360" w:lineRule="auto"/>
        <w:ind w:right="26" w:firstLine="1280" w:firstLineChars="400"/>
        <w:outlineLvl w:val="0"/>
        <w:rPr>
          <w:rFonts w:ascii="宋体" w:hAnsi="宋体"/>
          <w:color w:val="000000" w:themeColor="text1"/>
          <w:sz w:val="32"/>
          <w:szCs w:val="32"/>
          <w14:textFill>
            <w14:solidFill>
              <w14:schemeClr w14:val="tx1"/>
            </w14:solidFill>
          </w14:textFill>
        </w:rPr>
      </w:pPr>
      <w:bookmarkStart w:id="2" w:name="_Toc382818592"/>
      <w:bookmarkStart w:id="3" w:name="_Toc382819066"/>
      <w:r>
        <w:rPr>
          <w:rFonts w:hint="eastAsia" w:ascii="宋体" w:hAnsi="宋体"/>
          <w:color w:val="000000" w:themeColor="text1"/>
          <w:sz w:val="32"/>
          <w:szCs w:val="32"/>
          <w14:textFill>
            <w14:solidFill>
              <w14:schemeClr w14:val="tx1"/>
            </w14:solidFill>
          </w14:textFill>
        </w:rPr>
        <w:t>基金托管人：上海浦东发展银行股份有限公司</w:t>
      </w:r>
      <w:bookmarkEnd w:id="2"/>
      <w:bookmarkEnd w:id="3"/>
    </w:p>
    <w:p>
      <w:pPr>
        <w:spacing w:line="500" w:lineRule="atLeast"/>
        <w:ind w:left="2698" w:hanging="2699" w:hangingChars="896"/>
        <w:jc w:val="center"/>
        <w:outlineLvl w:val="0"/>
        <w:rPr>
          <w:rFonts w:ascii="宋体" w:hAnsi="宋体"/>
          <w:b/>
          <w:color w:val="000000" w:themeColor="text1"/>
          <w:sz w:val="30"/>
          <w:szCs w:val="30"/>
          <w14:textFill>
            <w14:solidFill>
              <w14:schemeClr w14:val="tx1"/>
            </w14:solidFill>
          </w14:textFill>
        </w:rPr>
      </w:pPr>
    </w:p>
    <w:p>
      <w:pPr>
        <w:spacing w:line="500" w:lineRule="atLeast"/>
        <w:jc w:val="center"/>
        <w:outlineLvl w:val="0"/>
        <w:rPr>
          <w:rFonts w:ascii="黑体" w:hAnsi="宋体" w:eastAsia="黑体"/>
          <w:b/>
          <w:color w:val="000000" w:themeColor="text1"/>
          <w:sz w:val="28"/>
          <w:szCs w:val="28"/>
          <w14:textFill>
            <w14:solidFill>
              <w14:schemeClr w14:val="tx1"/>
            </w14:solidFill>
          </w14:textFill>
        </w:rPr>
      </w:pPr>
      <w:bookmarkStart w:id="4" w:name="_Toc382818593"/>
      <w:bookmarkStart w:id="5" w:name="_Toc382819067"/>
    </w:p>
    <w:p>
      <w:pPr>
        <w:spacing w:line="500" w:lineRule="atLeast"/>
        <w:jc w:val="center"/>
        <w:outlineLvl w:val="0"/>
        <w:rPr>
          <w:rFonts w:ascii="黑体" w:hAnsi="宋体" w:eastAsia="黑体"/>
          <w:b/>
          <w:color w:val="000000" w:themeColor="text1"/>
          <w:sz w:val="28"/>
          <w:szCs w:val="28"/>
          <w14:textFill>
            <w14:solidFill>
              <w14:schemeClr w14:val="tx1"/>
            </w14:solidFill>
          </w14:textFill>
        </w:rPr>
      </w:pPr>
    </w:p>
    <w:p>
      <w:pPr>
        <w:spacing w:line="500" w:lineRule="atLeast"/>
        <w:jc w:val="center"/>
        <w:outlineLvl w:val="0"/>
        <w:rPr>
          <w:rFonts w:ascii="黑体" w:hAnsi="宋体" w:eastAsia="黑体"/>
          <w:b/>
          <w:color w:val="000000" w:themeColor="text1"/>
          <w:sz w:val="28"/>
          <w:szCs w:val="28"/>
          <w14:textFill>
            <w14:solidFill>
              <w14:schemeClr w14:val="tx1"/>
            </w14:solidFill>
          </w14:textFill>
        </w:rPr>
      </w:pPr>
    </w:p>
    <w:p>
      <w:pPr>
        <w:spacing w:line="500" w:lineRule="atLeast"/>
        <w:jc w:val="center"/>
        <w:outlineLvl w:val="0"/>
        <w:rPr>
          <w:rFonts w:ascii="黑体" w:hAnsi="宋体" w:eastAsia="黑体"/>
          <w:b/>
          <w:color w:val="000000" w:themeColor="text1"/>
          <w:sz w:val="28"/>
          <w:szCs w:val="28"/>
          <w14:textFill>
            <w14:solidFill>
              <w14:schemeClr w14:val="tx1"/>
            </w14:solidFill>
          </w14:textFill>
        </w:rPr>
      </w:pPr>
    </w:p>
    <w:p>
      <w:pPr>
        <w:spacing w:line="500" w:lineRule="atLeast"/>
        <w:jc w:val="center"/>
        <w:outlineLvl w:val="0"/>
        <w:rPr>
          <w:rFonts w:ascii="黑体" w:hAnsi="宋体" w:eastAsia="黑体"/>
          <w:b/>
          <w:color w:val="000000" w:themeColor="text1"/>
          <w:sz w:val="28"/>
          <w:szCs w:val="28"/>
          <w14:textFill>
            <w14:solidFill>
              <w14:schemeClr w14:val="tx1"/>
            </w14:solidFill>
          </w14:textFill>
        </w:rPr>
      </w:pPr>
    </w:p>
    <w:p>
      <w:pPr>
        <w:spacing w:line="500" w:lineRule="atLeast"/>
        <w:jc w:val="center"/>
        <w:outlineLvl w:val="0"/>
        <w:rPr>
          <w:rFonts w:ascii="黑体" w:hAnsi="宋体" w:eastAsia="黑体"/>
          <w:b/>
          <w:color w:val="000000" w:themeColor="text1"/>
          <w:sz w:val="28"/>
          <w:szCs w:val="28"/>
          <w14:textFill>
            <w14:solidFill>
              <w14:schemeClr w14:val="tx1"/>
            </w14:solidFill>
          </w14:textFill>
        </w:rPr>
      </w:pPr>
    </w:p>
    <w:p>
      <w:pPr>
        <w:spacing w:line="500" w:lineRule="atLeast"/>
        <w:jc w:val="center"/>
        <w:outlineLvl w:val="0"/>
        <w:rPr>
          <w:rFonts w:ascii="宋体" w:hAnsi="宋体"/>
          <w:b/>
          <w:color w:val="000000" w:themeColor="text1"/>
          <w:sz w:val="36"/>
          <w:szCs w:val="28"/>
          <w14:textFill>
            <w14:solidFill>
              <w14:schemeClr w14:val="tx1"/>
            </w14:solidFill>
          </w14:textFill>
        </w:rPr>
      </w:pPr>
      <w:r>
        <w:rPr>
          <w:rFonts w:hint="eastAsia" w:ascii="宋体" w:hAnsi="宋体"/>
          <w:b/>
          <w:color w:val="000000" w:themeColor="text1"/>
          <w:sz w:val="32"/>
          <w:szCs w:val="28"/>
          <w14:textFill>
            <w14:solidFill>
              <w14:schemeClr w14:val="tx1"/>
            </w14:solidFill>
          </w14:textFill>
        </w:rPr>
        <w:t>目 录</w:t>
      </w:r>
      <w:bookmarkEnd w:id="4"/>
      <w:bookmarkEnd w:id="5"/>
    </w:p>
    <w:p>
      <w:pPr>
        <w:pStyle w:val="16"/>
        <w:tabs>
          <w:tab w:val="left" w:pos="440"/>
          <w:tab w:val="right" w:leader="dot" w:pos="8296"/>
        </w:tabs>
        <w:spacing w:line="360" w:lineRule="auto"/>
        <w:rPr>
          <w:rFonts w:ascii="Calibri" w:hAnsi="Calibri"/>
          <w:color w:val="000000" w:themeColor="text1"/>
          <w:sz w:val="20"/>
          <w:szCs w:val="22"/>
          <w14:textFill>
            <w14:solidFill>
              <w14:schemeClr w14:val="tx1"/>
            </w14:solidFill>
          </w14:textFill>
        </w:rPr>
      </w:pPr>
      <w:r>
        <w:rPr>
          <w:rFonts w:ascii="宋体" w:hAnsi="宋体"/>
          <w:color w:val="000000" w:themeColor="text1"/>
          <w:sz w:val="20"/>
          <w:szCs w:val="21"/>
          <w14:textFill>
            <w14:solidFill>
              <w14:schemeClr w14:val="tx1"/>
            </w14:solidFill>
          </w14:textFill>
        </w:rPr>
        <w:fldChar w:fldCharType="begin"/>
      </w:r>
      <w:r>
        <w:rPr>
          <w:rFonts w:ascii="宋体" w:hAnsi="宋体"/>
          <w:color w:val="000000" w:themeColor="text1"/>
          <w:sz w:val="20"/>
          <w:szCs w:val="21"/>
          <w14:textFill>
            <w14:solidFill>
              <w14:schemeClr w14:val="tx1"/>
            </w14:solidFill>
          </w14:textFill>
        </w:rPr>
        <w:instrText xml:space="preserve"> </w:instrText>
      </w:r>
      <w:r>
        <w:rPr>
          <w:rFonts w:hint="eastAsia" w:ascii="宋体" w:hAnsi="宋体"/>
          <w:color w:val="000000" w:themeColor="text1"/>
          <w:sz w:val="20"/>
          <w:szCs w:val="21"/>
          <w14:textFill>
            <w14:solidFill>
              <w14:schemeClr w14:val="tx1"/>
            </w14:solidFill>
          </w14:textFill>
        </w:rPr>
        <w:instrText xml:space="preserve">TOC \o "1-3" \h \z \u</w:instrText>
      </w:r>
      <w:r>
        <w:rPr>
          <w:rFonts w:ascii="宋体" w:hAnsi="宋体"/>
          <w:color w:val="000000" w:themeColor="text1"/>
          <w:sz w:val="20"/>
          <w:szCs w:val="21"/>
          <w14:textFill>
            <w14:solidFill>
              <w14:schemeClr w14:val="tx1"/>
            </w14:solidFill>
          </w14:textFill>
        </w:rPr>
        <w:instrText xml:space="preserve"> </w:instrText>
      </w:r>
      <w:r>
        <w:rPr>
          <w:rFonts w:ascii="宋体" w:hAnsi="宋体"/>
          <w:color w:val="000000" w:themeColor="text1"/>
          <w:sz w:val="20"/>
          <w:szCs w:val="21"/>
          <w14:textFill>
            <w14:solidFill>
              <w14:schemeClr w14:val="tx1"/>
            </w14:solidFill>
          </w14:textFill>
        </w:rPr>
        <w:fldChar w:fldCharType="separate"/>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fldChar w:fldCharType="begin"/>
      </w:r>
      <w:r>
        <w:instrText xml:space="preserve"> HYPERLINK \l "_Toc382819071" </w:instrText>
      </w:r>
      <w:r>
        <w:fldChar w:fldCharType="separate"/>
      </w:r>
      <w:r>
        <w:rPr>
          <w:rStyle w:val="22"/>
          <w:rFonts w:hint="eastAsia" w:ascii="宋体" w:hAnsi="宋体" w:cs="Arial"/>
          <w:color w:val="000000" w:themeColor="text1"/>
          <w:sz w:val="24"/>
          <w14:textFill>
            <w14:solidFill>
              <w14:schemeClr w14:val="tx1"/>
            </w14:solidFill>
          </w14:textFill>
        </w:rPr>
        <w:t>一、 基金托管协议的依据、目的、原则和解释</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_Toc382819071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1</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fldChar w:fldCharType="begin"/>
      </w:r>
      <w:r>
        <w:instrText xml:space="preserve"> HYPERLINK \l "_Toc382819072" </w:instrText>
      </w:r>
      <w:r>
        <w:fldChar w:fldCharType="separate"/>
      </w:r>
      <w:r>
        <w:rPr>
          <w:rStyle w:val="22"/>
          <w:rFonts w:hint="eastAsia" w:ascii="宋体" w:hAnsi="宋体" w:cs="Arial"/>
          <w:color w:val="000000" w:themeColor="text1"/>
          <w:sz w:val="24"/>
          <w14:textFill>
            <w14:solidFill>
              <w14:schemeClr w14:val="tx1"/>
            </w14:solidFill>
          </w14:textFill>
        </w:rPr>
        <w:t>二、 基金托管人对基金管理人的业务监督和核查</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_Toc382819072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2</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fldChar w:fldCharType="begin"/>
      </w:r>
      <w:r>
        <w:instrText xml:space="preserve"> HYPERLINK \l "_Toc382819076" </w:instrText>
      </w:r>
      <w:r>
        <w:fldChar w:fldCharType="separate"/>
      </w:r>
      <w:r>
        <w:rPr>
          <w:rStyle w:val="22"/>
          <w:rFonts w:hint="eastAsia" w:ascii="宋体" w:hAnsi="宋体" w:cs="Arial"/>
          <w:color w:val="000000" w:themeColor="text1"/>
          <w:sz w:val="24"/>
          <w14:textFill>
            <w14:solidFill>
              <w14:schemeClr w14:val="tx1"/>
            </w14:solidFill>
          </w14:textFill>
        </w:rPr>
        <w:t>三、 基金管理人对基金托管人的业务核查</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_Toc382819076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7</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fldChar w:fldCharType="begin"/>
      </w:r>
      <w:r>
        <w:instrText xml:space="preserve"> HYPERLINK \l "_Toc382819078" </w:instrText>
      </w:r>
      <w:r>
        <w:fldChar w:fldCharType="separate"/>
      </w:r>
      <w:r>
        <w:rPr>
          <w:rStyle w:val="22"/>
          <w:rFonts w:hint="eastAsia" w:ascii="宋体" w:hAnsi="宋体" w:cs="Arial"/>
          <w:color w:val="000000" w:themeColor="text1"/>
          <w:sz w:val="24"/>
          <w14:textFill>
            <w14:solidFill>
              <w14:schemeClr w14:val="tx1"/>
            </w14:solidFill>
          </w14:textFill>
        </w:rPr>
        <w:t>四、 基金财产保管</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_Toc382819078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7</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fldChar w:fldCharType="begin"/>
      </w:r>
      <w:r>
        <w:instrText xml:space="preserve"> HYPERLINK \l "_Toc382819088" </w:instrText>
      </w:r>
      <w:r>
        <w:fldChar w:fldCharType="separate"/>
      </w:r>
      <w:r>
        <w:rPr>
          <w:rStyle w:val="22"/>
          <w:rFonts w:hint="eastAsia" w:ascii="宋体" w:hAnsi="宋体" w:cs="Arial"/>
          <w:color w:val="000000" w:themeColor="text1"/>
          <w:sz w:val="24"/>
          <w14:textFill>
            <w14:solidFill>
              <w14:schemeClr w14:val="tx1"/>
            </w14:solidFill>
          </w14:textFill>
        </w:rPr>
        <w:t>五、 指令的发送、确认和执行</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_Toc382819088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11</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fldChar w:fldCharType="begin"/>
      </w:r>
      <w:r>
        <w:instrText xml:space="preserve"> HYPERLINK \l "_Toc382819097" </w:instrText>
      </w:r>
      <w:r>
        <w:fldChar w:fldCharType="separate"/>
      </w:r>
      <w:r>
        <w:rPr>
          <w:rStyle w:val="22"/>
          <w:rFonts w:hint="eastAsia" w:ascii="宋体" w:hAnsi="宋体" w:cs="Arial"/>
          <w:color w:val="000000" w:themeColor="text1"/>
          <w:sz w:val="24"/>
          <w14:textFill>
            <w14:solidFill>
              <w14:schemeClr w14:val="tx1"/>
            </w14:solidFill>
          </w14:textFill>
        </w:rPr>
        <w:t>六、 交易及清算交收安排</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_Toc382819097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13</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fldChar w:fldCharType="begin"/>
      </w:r>
      <w:r>
        <w:instrText xml:space="preserve"> HYPERLINK \l "_Toc382819103" </w:instrText>
      </w:r>
      <w:r>
        <w:fldChar w:fldCharType="separate"/>
      </w:r>
      <w:r>
        <w:rPr>
          <w:rStyle w:val="22"/>
          <w:rFonts w:hint="eastAsia" w:ascii="宋体" w:hAnsi="宋体" w:cs="Arial"/>
          <w:color w:val="000000" w:themeColor="text1"/>
          <w:sz w:val="24"/>
          <w14:textFill>
            <w14:solidFill>
              <w14:schemeClr w14:val="tx1"/>
            </w14:solidFill>
          </w14:textFill>
        </w:rPr>
        <w:t>七、 基金资产净值计算和会计核算</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_Toc382819103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18</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fldChar w:fldCharType="begin"/>
      </w:r>
      <w:r>
        <w:instrText xml:space="preserve"> HYPERLINK \l "_Toc382819118" </w:instrText>
      </w:r>
      <w:r>
        <w:fldChar w:fldCharType="separate"/>
      </w:r>
      <w:r>
        <w:rPr>
          <w:rStyle w:val="22"/>
          <w:rFonts w:hint="eastAsia" w:ascii="宋体" w:hAnsi="宋体" w:cs="Arial"/>
          <w:color w:val="000000" w:themeColor="text1"/>
          <w:sz w:val="24"/>
          <w14:textFill>
            <w14:solidFill>
              <w14:schemeClr w14:val="tx1"/>
            </w14:solidFill>
          </w14:textFill>
        </w:rPr>
        <w:t>八、 基金收益分配</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_Toc382819118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24</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fldChar w:fldCharType="begin"/>
      </w:r>
      <w:r>
        <w:instrText xml:space="preserve"> HYPERLINK \l "_Toc382819121" </w:instrText>
      </w:r>
      <w:r>
        <w:fldChar w:fldCharType="separate"/>
      </w:r>
      <w:r>
        <w:rPr>
          <w:rStyle w:val="22"/>
          <w:rFonts w:hint="eastAsia" w:ascii="宋体" w:hAnsi="宋体" w:cs="Arial"/>
          <w:color w:val="000000" w:themeColor="text1"/>
          <w:sz w:val="24"/>
          <w14:textFill>
            <w14:solidFill>
              <w14:schemeClr w14:val="tx1"/>
            </w14:solidFill>
          </w14:textFill>
        </w:rPr>
        <w:t>九、 信息披露</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_Toc382819121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25</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fldChar w:fldCharType="begin"/>
      </w:r>
      <w:r>
        <w:instrText xml:space="preserve"> HYPERLINK \l "_Toc382819125" </w:instrText>
      </w:r>
      <w:r>
        <w:fldChar w:fldCharType="separate"/>
      </w:r>
      <w:r>
        <w:rPr>
          <w:rStyle w:val="22"/>
          <w:rFonts w:hint="eastAsia" w:ascii="宋体" w:hAnsi="宋体" w:cs="Arial"/>
          <w:color w:val="000000" w:themeColor="text1"/>
          <w:sz w:val="24"/>
          <w14:textFill>
            <w14:solidFill>
              <w14:schemeClr w14:val="tx1"/>
            </w14:solidFill>
          </w14:textFill>
        </w:rPr>
        <w:t>十、 托管费用</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_Toc382819125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26</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fldChar w:fldCharType="begin"/>
      </w:r>
      <w:r>
        <w:instrText xml:space="preserve"> HYPERLINK \l "_Toc382819126" </w:instrText>
      </w:r>
      <w:r>
        <w:fldChar w:fldCharType="separate"/>
      </w:r>
      <w:r>
        <w:rPr>
          <w:rStyle w:val="22"/>
          <w:rFonts w:hint="eastAsia" w:ascii="宋体" w:hAnsi="宋体" w:cs="Arial"/>
          <w:color w:val="000000" w:themeColor="text1"/>
          <w:sz w:val="24"/>
          <w14:textFill>
            <w14:solidFill>
              <w14:schemeClr w14:val="tx1"/>
            </w14:solidFill>
          </w14:textFill>
        </w:rPr>
        <w:t>十一、 基金份额持有人名册的保管</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_Toc382819126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29</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fldChar w:fldCharType="begin"/>
      </w:r>
      <w:r>
        <w:instrText xml:space="preserve"> HYPERLINK \l "_Toc382819127" </w:instrText>
      </w:r>
      <w:r>
        <w:fldChar w:fldCharType="separate"/>
      </w:r>
      <w:r>
        <w:rPr>
          <w:rStyle w:val="22"/>
          <w:rFonts w:hint="eastAsia" w:ascii="宋体" w:hAnsi="宋体" w:cs="Arial"/>
          <w:color w:val="000000" w:themeColor="text1"/>
          <w:sz w:val="24"/>
          <w14:textFill>
            <w14:solidFill>
              <w14:schemeClr w14:val="tx1"/>
            </w14:solidFill>
          </w14:textFill>
        </w:rPr>
        <w:t>十二、 基金有关文件和档案的保存</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_Toc382819127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29</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fldChar w:fldCharType="begin"/>
      </w:r>
      <w:r>
        <w:instrText xml:space="preserve"> HYPERLINK \l "_Toc382819128" </w:instrText>
      </w:r>
      <w:r>
        <w:fldChar w:fldCharType="separate"/>
      </w:r>
      <w:r>
        <w:rPr>
          <w:rStyle w:val="22"/>
          <w:rFonts w:hint="eastAsia" w:ascii="宋体" w:hAnsi="宋体" w:cs="Arial"/>
          <w:color w:val="000000" w:themeColor="text1"/>
          <w:sz w:val="24"/>
          <w14:textFill>
            <w14:solidFill>
              <w14:schemeClr w14:val="tx1"/>
            </w14:solidFill>
          </w14:textFill>
        </w:rPr>
        <w:t>十三、 基金管理人和基金托管人的更换</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_Toc382819128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29</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fldChar w:fldCharType="begin"/>
      </w:r>
      <w:r>
        <w:instrText xml:space="preserve"> HYPERLINK \l "_Toc382819131" </w:instrText>
      </w:r>
      <w:r>
        <w:fldChar w:fldCharType="separate"/>
      </w:r>
      <w:r>
        <w:rPr>
          <w:rStyle w:val="22"/>
          <w:rFonts w:hint="eastAsia" w:ascii="宋体" w:hAnsi="宋体" w:cs="Arial"/>
          <w:color w:val="000000" w:themeColor="text1"/>
          <w:sz w:val="24"/>
          <w14:textFill>
            <w14:solidFill>
              <w14:schemeClr w14:val="tx1"/>
            </w14:solidFill>
          </w14:textFill>
        </w:rPr>
        <w:t>十四、 禁止行为</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_Toc382819131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32</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fldChar w:fldCharType="begin"/>
      </w:r>
      <w:r>
        <w:instrText xml:space="preserve"> HYPERLINK \l "_Toc382819132" </w:instrText>
      </w:r>
      <w:r>
        <w:fldChar w:fldCharType="separate"/>
      </w:r>
      <w:r>
        <w:rPr>
          <w:rStyle w:val="22"/>
          <w:rFonts w:hint="eastAsia" w:ascii="宋体" w:hAnsi="宋体" w:cs="Arial"/>
          <w:color w:val="000000" w:themeColor="text1"/>
          <w:sz w:val="24"/>
          <w14:textFill>
            <w14:solidFill>
              <w14:schemeClr w14:val="tx1"/>
            </w14:solidFill>
          </w14:textFill>
        </w:rPr>
        <w:t>十五、 基金托管协议的变更、终止与基金财产的清算</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_Toc382819132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33</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fldChar w:fldCharType="begin"/>
      </w:r>
      <w:r>
        <w:instrText xml:space="preserve"> HYPERLINK \l "_Toc382819133" </w:instrText>
      </w:r>
      <w:r>
        <w:fldChar w:fldCharType="separate"/>
      </w:r>
      <w:r>
        <w:rPr>
          <w:rStyle w:val="22"/>
          <w:rFonts w:hint="eastAsia" w:ascii="宋体" w:hAnsi="宋体" w:cs="Arial"/>
          <w:color w:val="000000" w:themeColor="text1"/>
          <w:sz w:val="24"/>
          <w14:textFill>
            <w14:solidFill>
              <w14:schemeClr w14:val="tx1"/>
            </w14:solidFill>
          </w14:textFill>
        </w:rPr>
        <w:t>十六、 违约责任</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_Toc382819133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34</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fldChar w:fldCharType="begin"/>
      </w:r>
      <w:r>
        <w:instrText xml:space="preserve"> HYPERLINK \l "_Toc382819134" </w:instrText>
      </w:r>
      <w:r>
        <w:fldChar w:fldCharType="separate"/>
      </w:r>
      <w:r>
        <w:rPr>
          <w:rStyle w:val="22"/>
          <w:rFonts w:hint="eastAsia" w:ascii="宋体" w:hAnsi="宋体" w:cs="Arial"/>
          <w:color w:val="000000" w:themeColor="text1"/>
          <w:sz w:val="24"/>
          <w14:textFill>
            <w14:solidFill>
              <w14:schemeClr w14:val="tx1"/>
            </w14:solidFill>
          </w14:textFill>
        </w:rPr>
        <w:t>十七、 适用法律及争议解决方式</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_Toc382819134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35</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fldChar w:fldCharType="begin"/>
      </w:r>
      <w:r>
        <w:instrText xml:space="preserve"> HYPERLINK \l "_Toc382819135" </w:instrText>
      </w:r>
      <w:r>
        <w:fldChar w:fldCharType="separate"/>
      </w:r>
      <w:r>
        <w:rPr>
          <w:rStyle w:val="22"/>
          <w:rFonts w:hint="eastAsia" w:ascii="宋体" w:hAnsi="宋体" w:cs="Arial"/>
          <w:color w:val="000000" w:themeColor="text1"/>
          <w:sz w:val="24"/>
          <w14:textFill>
            <w14:solidFill>
              <w14:schemeClr w14:val="tx1"/>
            </w14:solidFill>
          </w14:textFill>
        </w:rPr>
        <w:t>十八、 基金托管协议的效力和文本</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_Toc382819135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35</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fldChar w:fldCharType="begin"/>
      </w:r>
      <w:r>
        <w:instrText xml:space="preserve"> HYPERLINK \l "_Toc382819136" </w:instrText>
      </w:r>
      <w:r>
        <w:fldChar w:fldCharType="separate"/>
      </w:r>
      <w:r>
        <w:rPr>
          <w:rStyle w:val="22"/>
          <w:rFonts w:hint="eastAsia" w:ascii="宋体" w:hAnsi="宋体"/>
          <w:color w:val="000000" w:themeColor="text1"/>
          <w:sz w:val="24"/>
          <w14:textFill>
            <w14:solidFill>
              <w14:schemeClr w14:val="tx1"/>
            </w14:solidFill>
          </w14:textFill>
        </w:rPr>
        <w:t>十九、</w:t>
      </w:r>
      <w:r>
        <w:rPr>
          <w:rStyle w:val="22"/>
          <w:rFonts w:hint="eastAsia" w:ascii="宋体" w:hAnsi="宋体" w:cs="Arial"/>
          <w:color w:val="000000" w:themeColor="text1"/>
          <w:sz w:val="24"/>
          <w14:textFill>
            <w14:solidFill>
              <w14:schemeClr w14:val="tx1"/>
            </w14:solidFill>
          </w14:textFill>
        </w:rPr>
        <w:t xml:space="preserve"> 其他事项</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_Toc382819136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36</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spacing w:line="360" w:lineRule="auto"/>
        <w:rPr>
          <w:rFonts w:ascii="仿宋_GB2312" w:eastAsia="仿宋_GB2312"/>
          <w:color w:val="000000" w:themeColor="text1"/>
          <w:sz w:val="24"/>
          <w14:textFill>
            <w14:solidFill>
              <w14:schemeClr w14:val="tx1"/>
            </w14:solidFill>
          </w14:textFill>
        </w:rPr>
      </w:pPr>
      <w:r>
        <w:rPr>
          <w:rFonts w:ascii="宋体" w:hAnsi="宋体"/>
          <w:color w:val="000000" w:themeColor="text1"/>
          <w:sz w:val="20"/>
          <w:szCs w:val="21"/>
          <w14:textFill>
            <w14:solidFill>
              <w14:schemeClr w14:val="tx1"/>
            </w14:solidFill>
          </w14:textFill>
        </w:rPr>
        <w:fldChar w:fldCharType="end"/>
      </w:r>
    </w:p>
    <w:p>
      <w:pPr>
        <w:widowControl/>
        <w:jc w:val="left"/>
        <w:rPr>
          <w:rFonts w:ascii="仿宋_GB2312" w:eastAsia="仿宋_GB2312"/>
          <w:color w:val="000000" w:themeColor="text1"/>
          <w:sz w:val="24"/>
          <w14:textFill>
            <w14:solidFill>
              <w14:schemeClr w14:val="tx1"/>
            </w14:solidFill>
          </w14:textFill>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pStyle w:val="2"/>
        <w:keepNext w:val="0"/>
        <w:keepLines w:val="0"/>
        <w:numPr>
          <w:ilvl w:val="0"/>
          <w:numId w:val="0"/>
        </w:numPr>
        <w:tabs>
          <w:tab w:val="left" w:pos="420"/>
        </w:tabs>
        <w:autoSpaceDE w:val="0"/>
        <w:autoSpaceDN w:val="0"/>
        <w:adjustRightInd w:val="0"/>
        <w:spacing w:before="360" w:after="360"/>
        <w:textAlignment w:val="baseline"/>
        <w:rPr>
          <w:rFonts w:hAnsi="黑体"/>
          <w:b w:val="0"/>
          <w:color w:val="000000" w:themeColor="text1"/>
          <w:szCs w:val="32"/>
          <w14:textFill>
            <w14:solidFill>
              <w14:schemeClr w14:val="tx1"/>
            </w14:solidFill>
          </w14:textFill>
        </w:rPr>
      </w:pPr>
      <w:bookmarkStart w:id="6" w:name="_Toc382819068"/>
      <w:bookmarkStart w:id="7" w:name="_Toc382818594"/>
      <w:r>
        <w:rPr>
          <w:rFonts w:hint="eastAsia" w:hAnsi="黑体"/>
          <w:b w:val="0"/>
          <w:color w:val="000000" w:themeColor="text1"/>
          <w:szCs w:val="32"/>
          <w14:textFill>
            <w14:solidFill>
              <w14:schemeClr w14:val="tx1"/>
            </w14:solidFill>
          </w14:textFill>
        </w:rPr>
        <w:t>公开募集证券投资基金托管协议</w:t>
      </w:r>
      <w:bookmarkEnd w:id="6"/>
      <w:bookmarkEnd w:id="7"/>
    </w:p>
    <w:p>
      <w:pPr>
        <w:rPr>
          <w:color w:val="000000" w:themeColor="text1"/>
          <w:lang w:val="zh-CN"/>
          <w14:textFill>
            <w14:solidFill>
              <w14:schemeClr w14:val="tx1"/>
            </w14:solidFill>
          </w14:textFill>
        </w:rPr>
      </w:pPr>
    </w:p>
    <w:p>
      <w:pPr>
        <w:rPr>
          <w:color w:val="000000" w:themeColor="text1"/>
          <w:lang w:val="zh-CN"/>
          <w14:textFill>
            <w14:solidFill>
              <w14:schemeClr w14:val="tx1"/>
            </w14:solidFill>
          </w14:textFill>
        </w:rPr>
      </w:pPr>
    </w:p>
    <w:p>
      <w:pPr>
        <w:pStyle w:val="3"/>
        <w:keepNext w:val="0"/>
        <w:keepLines w:val="0"/>
        <w:autoSpaceDE w:val="0"/>
        <w:autoSpaceDN w:val="0"/>
        <w:adjustRightInd w:val="0"/>
        <w:spacing w:before="0" w:after="0" w:line="360" w:lineRule="auto"/>
        <w:ind w:firstLine="472" w:firstLineChars="196"/>
        <w:textAlignment w:val="baseline"/>
        <w:rPr>
          <w:rFonts w:ascii="宋体" w:hAnsi="宋体" w:eastAsia="宋体"/>
          <w:color w:val="000000" w:themeColor="text1"/>
          <w:sz w:val="24"/>
          <w14:textFill>
            <w14:solidFill>
              <w14:schemeClr w14:val="tx1"/>
            </w14:solidFill>
          </w14:textFill>
        </w:rPr>
      </w:pPr>
      <w:bookmarkStart w:id="8" w:name="_Toc382819069"/>
      <w:r>
        <w:rPr>
          <w:rFonts w:hint="eastAsia" w:ascii="宋体" w:hAnsi="宋体" w:eastAsia="宋体" w:cs="Arial"/>
          <w:color w:val="000000" w:themeColor="text1"/>
          <w:kern w:val="0"/>
          <w:sz w:val="24"/>
          <w:szCs w:val="24"/>
          <w14:textFill>
            <w14:solidFill>
              <w14:schemeClr w14:val="tx1"/>
            </w14:solidFill>
          </w14:textFill>
        </w:rPr>
        <w:t>基金管理人：</w:t>
      </w:r>
      <w:bookmarkEnd w:id="8"/>
      <w:r>
        <w:rPr>
          <w:rFonts w:hint="eastAsia" w:ascii="宋体" w:hAnsi="宋体" w:eastAsia="宋体" w:cs="Arial"/>
          <w:color w:val="000000" w:themeColor="text1"/>
          <w:kern w:val="0"/>
          <w:sz w:val="24"/>
          <w:szCs w:val="24"/>
          <w14:textFill>
            <w14:solidFill>
              <w14:schemeClr w14:val="tx1"/>
            </w14:solidFill>
          </w14:textFill>
        </w:rPr>
        <w:t>平安</w:t>
      </w:r>
      <w:r>
        <w:rPr>
          <w:rFonts w:hint="eastAsia" w:ascii="宋体" w:hAnsi="宋体" w:eastAsia="宋体"/>
          <w:color w:val="000000" w:themeColor="text1"/>
          <w:sz w:val="24"/>
          <w14:textFill>
            <w14:solidFill>
              <w14:schemeClr w14:val="tx1"/>
            </w14:solidFill>
          </w14:textFill>
        </w:rPr>
        <w:t>基金管理有限公司</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住所：深圳市福田区福田街道益田路</w:t>
      </w:r>
      <w:r>
        <w:rPr>
          <w:rFonts w:ascii="宋体" w:hAnsi="宋体"/>
          <w:color w:val="000000" w:themeColor="text1"/>
          <w:sz w:val="24"/>
          <w14:textFill>
            <w14:solidFill>
              <w14:schemeClr w14:val="tx1"/>
            </w14:solidFill>
          </w14:textFill>
        </w:rPr>
        <w:t>5033</w:t>
      </w:r>
      <w:r>
        <w:rPr>
          <w:rFonts w:hint="eastAsia" w:ascii="宋体" w:hAnsi="宋体"/>
          <w:color w:val="000000" w:themeColor="text1"/>
          <w:sz w:val="24"/>
          <w14:textFill>
            <w14:solidFill>
              <w14:schemeClr w14:val="tx1"/>
            </w14:solidFill>
          </w14:textFill>
        </w:rPr>
        <w:t>号平安金融中心</w:t>
      </w:r>
      <w:r>
        <w:rPr>
          <w:rFonts w:ascii="宋体" w:hAnsi="宋体"/>
          <w:color w:val="000000" w:themeColor="text1"/>
          <w:sz w:val="24"/>
          <w14:textFill>
            <w14:solidFill>
              <w14:schemeClr w14:val="tx1"/>
            </w14:solidFill>
          </w14:textFill>
        </w:rPr>
        <w:t>34</w:t>
      </w:r>
      <w:r>
        <w:rPr>
          <w:rFonts w:hint="eastAsia" w:ascii="宋体" w:hAnsi="宋体"/>
          <w:color w:val="000000" w:themeColor="text1"/>
          <w:sz w:val="24"/>
          <w14:textFill>
            <w14:solidFill>
              <w14:schemeClr w14:val="tx1"/>
            </w14:solidFill>
          </w14:textFill>
        </w:rPr>
        <w:t>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法定代表人：罗春风</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设立日期：</w:t>
      </w:r>
      <w:r>
        <w:rPr>
          <w:rFonts w:ascii="宋体" w:hAnsi="宋体"/>
          <w:color w:val="000000" w:themeColor="text1"/>
          <w:sz w:val="24"/>
          <w14:textFill>
            <w14:solidFill>
              <w14:schemeClr w14:val="tx1"/>
            </w14:solidFill>
          </w14:textFill>
        </w:rPr>
        <w:t>2011</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日</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批准设立机关及批准设立文号：中国证监会证监许可【</w:t>
      </w:r>
      <w:r>
        <w:rPr>
          <w:rFonts w:ascii="宋体" w:hAnsi="宋体"/>
          <w:color w:val="000000" w:themeColor="text1"/>
          <w:sz w:val="24"/>
          <w14:textFill>
            <w14:solidFill>
              <w14:schemeClr w14:val="tx1"/>
            </w14:solidFill>
          </w14:textFill>
        </w:rPr>
        <w:t>2010</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1917</w:t>
      </w:r>
      <w:r>
        <w:rPr>
          <w:rFonts w:hint="eastAsia" w:ascii="宋体" w:hAnsi="宋体"/>
          <w:color w:val="000000" w:themeColor="text1"/>
          <w:sz w:val="24"/>
          <w14:textFill>
            <w14:solidFill>
              <w14:schemeClr w14:val="tx1"/>
            </w14:solidFill>
          </w14:textFill>
        </w:rPr>
        <w:t>号</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组织形式：有限责任公司（中外合资）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注册资本：人民币</w:t>
      </w:r>
      <w:r>
        <w:rPr>
          <w:rFonts w:ascii="宋体" w:hAnsi="宋体"/>
          <w:color w:val="000000" w:themeColor="text1"/>
          <w:sz w:val="24"/>
          <w14:textFill>
            <w14:solidFill>
              <w14:schemeClr w14:val="tx1"/>
            </w14:solidFill>
          </w14:textFill>
        </w:rPr>
        <w:t>130,000</w:t>
      </w:r>
      <w:r>
        <w:rPr>
          <w:rFonts w:hint="eastAsia" w:ascii="宋体" w:hAnsi="宋体"/>
          <w:color w:val="000000" w:themeColor="text1"/>
          <w:sz w:val="24"/>
          <w14:textFill>
            <w14:solidFill>
              <w14:schemeClr w14:val="tx1"/>
            </w14:solidFill>
          </w14:textFill>
        </w:rPr>
        <w:t>万元</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存续期限：持续经营</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r>
        <w:rPr>
          <w:rFonts w:ascii="宋体" w:hAnsi="宋体"/>
          <w:color w:val="000000" w:themeColor="text1"/>
          <w:sz w:val="24"/>
          <w14:textFill>
            <w14:solidFill>
              <w14:schemeClr w14:val="tx1"/>
            </w14:solidFill>
          </w14:textFill>
        </w:rPr>
        <w:t>0755-22623179</w:t>
      </w:r>
    </w:p>
    <w:p>
      <w:pPr>
        <w:ind w:firstLine="630"/>
        <w:rPr>
          <w:rFonts w:ascii="宋体" w:hAnsi="宋体" w:cs="宋体"/>
          <w:bCs/>
          <w:color w:val="000000" w:themeColor="text1"/>
          <w:sz w:val="24"/>
          <w14:textFill>
            <w14:solidFill>
              <w14:schemeClr w14:val="tx1"/>
            </w14:solidFill>
          </w14:textFill>
        </w:rPr>
      </w:pPr>
    </w:p>
    <w:p>
      <w:pPr>
        <w:pStyle w:val="3"/>
        <w:keepNext w:val="0"/>
        <w:keepLines w:val="0"/>
        <w:autoSpaceDE w:val="0"/>
        <w:autoSpaceDN w:val="0"/>
        <w:adjustRightInd w:val="0"/>
        <w:spacing w:before="0" w:after="0" w:line="360" w:lineRule="auto"/>
        <w:ind w:firstLine="472" w:firstLineChars="196"/>
        <w:textAlignment w:val="baseline"/>
        <w:rPr>
          <w:rFonts w:ascii="宋体" w:hAnsi="宋体" w:eastAsia="宋体"/>
          <w:bCs w:val="0"/>
          <w:color w:val="000000" w:themeColor="text1"/>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基金托管人：</w:t>
      </w:r>
      <w:r>
        <w:rPr>
          <w:rFonts w:hint="eastAsia" w:ascii="宋体" w:hAnsi="宋体" w:eastAsia="宋体"/>
          <w:bCs w:val="0"/>
          <w:color w:val="000000" w:themeColor="text1"/>
          <w:sz w:val="24"/>
          <w:szCs w:val="24"/>
          <w14:textFill>
            <w14:solidFill>
              <w14:schemeClr w14:val="tx1"/>
            </w14:solidFill>
          </w14:textFill>
        </w:rPr>
        <w:t>上海浦东发展银行股份有限公司</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办公地址：上海市中山东一路12号</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法定代表人：郑杨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成立日期：1992年10月19日</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基金托管业务资格批准机关：中国证监会</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基金托管业务资格文号：证监基金字[2003]105号</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组织形式：股份有限公司（上市）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注册资本：人民币2935208.0397万元</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经营期限：永久存续</w:t>
      </w:r>
    </w:p>
    <w:p>
      <w:pPr>
        <w:ind w:firstLine="630"/>
        <w:rPr>
          <w:rFonts w:ascii="宋体" w:hAnsi="宋体" w:cs="宋体"/>
          <w:bCs/>
          <w:color w:val="000000" w:themeColor="text1"/>
          <w:sz w:val="24"/>
          <w14:textFill>
            <w14:solidFill>
              <w14:schemeClr w14:val="tx1"/>
            </w14:solidFill>
          </w14:textFill>
        </w:rPr>
      </w:pPr>
    </w:p>
    <w:p>
      <w:pPr>
        <w:ind w:firstLine="630"/>
        <w:rPr>
          <w:rFonts w:ascii="宋体" w:hAnsi="宋体" w:cs="宋体"/>
          <w:bCs/>
          <w:color w:val="000000" w:themeColor="text1"/>
          <w:sz w:val="24"/>
          <w14:textFill>
            <w14:solidFill>
              <w14:schemeClr w14:val="tx1"/>
            </w14:solidFill>
          </w14:textFill>
        </w:rPr>
      </w:pP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21"/>
          <w:szCs w:val="21"/>
          <w14:textFill>
            <w14:solidFill>
              <w14:schemeClr w14:val="tx1"/>
            </w14:solidFill>
          </w14:textFill>
        </w:rPr>
      </w:pPr>
      <w:bookmarkStart w:id="9" w:name="_Toc382819071"/>
      <w:r>
        <w:rPr>
          <w:rFonts w:hint="eastAsia" w:ascii="宋体" w:hAnsi="宋体" w:eastAsia="宋体" w:cs="Arial"/>
          <w:color w:val="000000" w:themeColor="text1"/>
          <w:sz w:val="21"/>
          <w:szCs w:val="21"/>
          <w14:textFill>
            <w14:solidFill>
              <w14:schemeClr w14:val="tx1"/>
            </w14:solidFill>
          </w14:textFill>
        </w:rPr>
        <w:t>基金托管协议的依据、目的、原则和解释</w:t>
      </w:r>
      <w:bookmarkEnd w:id="9"/>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（一）依据</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协议依据《中华人民共和国证券投资基金法》（以下简称《基金法》）、《公开募集证券投资基金运作管理办法》（以下简称《运作办法》）、《公开募集证券投资基金销售机构监督管理办法》、《公开募集证券投资基金信息披露管理办法》（以下简称《信息披露办法》）、《证券投资基金托管业务管理办法》、《证券投资基金信息披露内容与格式准则第7号〈托管协议的内容与格式〉》、《平安惠旭纯债债券型证券投资基金基金合同》（以下简称《基金合同》）及其他有关法律、法规制定。</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（二）目的</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（三）原则</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基金管理人和基金托管人本着平等自愿、诚实信用、充分保护基金份额持有人合法权益的原则，经协商一致，签订本协议。</w:t>
      </w:r>
    </w:p>
    <w:p>
      <w:pPr>
        <w:spacing w:after="12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（四）解释</w:t>
      </w:r>
    </w:p>
    <w:p>
      <w:pPr>
        <w:spacing w:after="12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除非本协议另有约定，本协议所有术语与《基金合同》的相应术语具有相同含义。若有抵触，应以基金合同为准，并依其条款解释。</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21"/>
          <w:szCs w:val="21"/>
          <w14:textFill>
            <w14:solidFill>
              <w14:schemeClr w14:val="tx1"/>
            </w14:solidFill>
          </w14:textFill>
        </w:rPr>
      </w:pPr>
      <w:bookmarkStart w:id="10" w:name="_Toc382819072"/>
      <w:r>
        <w:rPr>
          <w:rFonts w:hint="eastAsia" w:ascii="宋体" w:hAnsi="宋体" w:eastAsia="宋体" w:cs="Arial"/>
          <w:color w:val="000000" w:themeColor="text1"/>
          <w:sz w:val="21"/>
          <w:szCs w:val="21"/>
          <w14:textFill>
            <w14:solidFill>
              <w14:schemeClr w14:val="tx1"/>
            </w14:solidFill>
          </w14:textFill>
        </w:rPr>
        <w:t>基金托管人对基金管理人的业务监督和核查</w:t>
      </w:r>
      <w:bookmarkEnd w:id="10"/>
    </w:p>
    <w:p>
      <w:pPr>
        <w:pStyle w:val="3"/>
        <w:keepNext w:val="0"/>
        <w:keepLines w:val="0"/>
        <w:autoSpaceDE w:val="0"/>
        <w:autoSpaceDN w:val="0"/>
        <w:adjustRightInd w:val="0"/>
        <w:spacing w:before="156" w:beforeLines="50" w:after="156" w:afterLines="50"/>
        <w:ind w:firstLine="315" w:firstLineChars="150"/>
        <w:textAlignment w:val="baseline"/>
        <w:rPr>
          <w:rFonts w:ascii="宋体" w:hAnsi="宋体" w:eastAsia="宋体"/>
          <w:b w:val="0"/>
          <w:color w:val="000000" w:themeColor="text1"/>
          <w:sz w:val="21"/>
          <w:szCs w:val="21"/>
          <w14:textFill>
            <w14:solidFill>
              <w14:schemeClr w14:val="tx1"/>
            </w14:solidFill>
          </w14:textFill>
        </w:rPr>
      </w:pPr>
      <w:bookmarkStart w:id="11" w:name="_Toc382819073"/>
      <w:r>
        <w:rPr>
          <w:rFonts w:hint="eastAsia" w:ascii="宋体" w:hAnsi="宋体" w:eastAsia="宋体"/>
          <w:b w:val="0"/>
          <w:color w:val="000000" w:themeColor="text1"/>
          <w:sz w:val="21"/>
          <w:szCs w:val="21"/>
          <w14:textFill>
            <w14:solidFill>
              <w14:schemeClr w14:val="tx1"/>
            </w14:solidFill>
          </w14:textFill>
        </w:rPr>
        <w:t>（一）基金托管人对基金管理人的投资行为行使监督权</w:t>
      </w:r>
      <w:bookmarkEnd w:id="11"/>
    </w:p>
    <w:p>
      <w:pPr>
        <w:widowControl/>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1.基金托管人根据有关法律法规的规定和《基金合同》的约定，对下述基金投资范围、投资对象进行监督。</w:t>
      </w:r>
    </w:p>
    <w:p>
      <w:pPr>
        <w:widowControl/>
        <w:spacing w:line="324"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w:t>
      </w:r>
      <w:r>
        <w:rPr>
          <w:rFonts w:hint="eastAsia" w:ascii="宋体" w:hAnsi="宋体" w:cs="宋体"/>
          <w:color w:val="000000" w:themeColor="text1"/>
          <w:kern w:val="0"/>
          <w:szCs w:val="21"/>
          <w14:textFill>
            <w14:solidFill>
              <w14:schemeClr w14:val="tx1"/>
            </w14:solidFill>
          </w14:textFill>
        </w:rPr>
        <w:t>基金将投资于以下金融工具：</w:t>
      </w:r>
    </w:p>
    <w:p>
      <w:pPr>
        <w:widowControl/>
        <w:spacing w:line="324" w:lineRule="auto"/>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本基金的投资范围包括国内依法发行上市交易的债券（包括国债、地方政府债、</w:t>
      </w:r>
      <w:r>
        <w:rPr>
          <w:rFonts w:ascii="宋体" w:hAnsi="宋体"/>
          <w:bCs/>
          <w:color w:val="000000" w:themeColor="text1"/>
          <w:szCs w:val="21"/>
          <w14:textFill>
            <w14:solidFill>
              <w14:schemeClr w14:val="tx1"/>
            </w14:solidFill>
          </w14:textFill>
        </w:rPr>
        <w:t>政府支持机构债</w:t>
      </w: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政府支持债券</w:t>
      </w:r>
      <w:r>
        <w:rPr>
          <w:rFonts w:hint="eastAsia" w:ascii="宋体" w:hAnsi="宋体"/>
          <w:bCs/>
          <w:color w:val="000000" w:themeColor="text1"/>
          <w:szCs w:val="21"/>
          <w14:textFill>
            <w14:solidFill>
              <w14:schemeClr w14:val="tx1"/>
            </w14:solidFill>
          </w14:textFill>
        </w:rPr>
        <w:t>、金融债、企业债、公司债、央行票据、中期票据、短期融资券、超短期融资券、次级债、可分离交易可转债的纯债部分）、资产支持证券、债券回购、银行存款（包括协议存款、通知存款以及定期存款等）、同业存单、国债期货、现金以及法律法规或中国证监会允许基金投资的其他金融工具（但须符合中国证监会的相关规定）。</w:t>
      </w:r>
    </w:p>
    <w:p>
      <w:pPr>
        <w:widowControl/>
        <w:spacing w:line="324" w:lineRule="auto"/>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本基金不投资于股票，也不投资于可转换债券（可分离交易可转债的纯债部分除外）、可交换债券。</w:t>
      </w:r>
    </w:p>
    <w:p>
      <w:pPr>
        <w:widowControl/>
        <w:spacing w:line="324" w:lineRule="auto"/>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如法律法规或监管机构以后允许基金投资其他品种，基金管理人在履行适当程序后，可以将其纳入投资范围。</w:t>
      </w:r>
    </w:p>
    <w:p>
      <w:pPr>
        <w:widowControl/>
        <w:spacing w:line="324" w:lineRule="auto"/>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pPr>
        <w:widowControl/>
        <w:spacing w:line="324" w:lineRule="auto"/>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本基金不得投资于相关法律、法规、部门规章及《基金合同》禁止投资的投资工具。</w:t>
      </w:r>
    </w:p>
    <w:p>
      <w:pPr>
        <w:spacing w:after="120" w:line="324"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2.基金托管人根据有关法律法规的规定及《基金合同》的约定对下述基金投融资比例进行监督：</w:t>
      </w:r>
    </w:p>
    <w:p>
      <w:pPr>
        <w:spacing w:line="324" w:lineRule="auto"/>
        <w:ind w:firstLine="48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（1）按法律法规的规定及《基金合同》的约定，本基金的投资资产配置比例为：</w:t>
      </w:r>
    </w:p>
    <w:p>
      <w:pPr>
        <w:spacing w:line="360" w:lineRule="auto"/>
        <w:ind w:firstLine="42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本基金对债券的投资比例不低于基金资产的80%；每个交易日日终在扣除国债期货需缴纳的交易保证金后，本基金持有现金或者到期日在一年以内的政府债券投资比例合计不低于基金资产净值的5%。现金不包括结算备付金、存出保证金、应收申购款等。</w:t>
      </w:r>
    </w:p>
    <w:p>
      <w:pPr>
        <w:spacing w:line="324" w:lineRule="auto"/>
        <w:ind w:firstLine="48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如果法律法规或中国证监会允许基金变更投资品种的投资比例限制，基金管理人在履行适当程序后，可以调整上述投资品种的投资比例。</w:t>
      </w:r>
    </w:p>
    <w:p>
      <w:pPr>
        <w:spacing w:line="324" w:lineRule="auto"/>
        <w:ind w:firstLine="48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（2）根据法律法规的规定及《基金合同》的约定，本基金投资组合遵循以下投资限制： </w:t>
      </w:r>
    </w:p>
    <w:p>
      <w:pPr>
        <w:spacing w:line="360" w:lineRule="auto"/>
        <w:ind w:firstLine="630" w:firstLineChars="3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1）本基金对债券的投资比例不低于基金资产的80%；</w:t>
      </w:r>
    </w:p>
    <w:p>
      <w:pPr>
        <w:spacing w:line="360" w:lineRule="auto"/>
        <w:ind w:firstLine="630" w:firstLineChars="3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2）每个交易日日终在扣除国债期货需缴纳的交易保证金后，本基金持有现金或者到期日在一年以内的政府债券投资比例合计不低于基金资产净值的5%，前述现金不包括结算备付金、存出保证金、应收申购款等；</w:t>
      </w:r>
    </w:p>
    <w:p>
      <w:pPr>
        <w:spacing w:line="360" w:lineRule="auto"/>
        <w:ind w:firstLine="630" w:firstLineChars="3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3）本基金持有一家公司发行的证券，其市值不超过基金资产净值的10%；</w:t>
      </w:r>
    </w:p>
    <w:p>
      <w:pPr>
        <w:spacing w:line="360" w:lineRule="auto"/>
        <w:ind w:firstLine="630" w:firstLineChars="3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4）本基金管理人管理的全部基金持有一家公司发行的证券，不超过该证券的10%；</w:t>
      </w:r>
    </w:p>
    <w:p>
      <w:pPr>
        <w:spacing w:line="360" w:lineRule="auto"/>
        <w:ind w:firstLine="630" w:firstLineChars="3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5）本基金进入全国银行间同业市场进行债券回购的最长期限为1年，债券回购到期后不得展期；</w:t>
      </w:r>
    </w:p>
    <w:p>
      <w:pPr>
        <w:spacing w:line="360" w:lineRule="auto"/>
        <w:ind w:firstLine="630" w:firstLineChars="3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6）本基金投资于同一原始权益人的各类资产支持证券的比例，不得超过基金资产净值的10%；</w:t>
      </w:r>
    </w:p>
    <w:p>
      <w:pPr>
        <w:spacing w:line="360" w:lineRule="auto"/>
        <w:ind w:firstLine="630" w:firstLineChars="3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7）本基金持有的全部资产支持证券，其市值不得超过基金资产净值的20%；</w:t>
      </w:r>
    </w:p>
    <w:p>
      <w:pPr>
        <w:spacing w:line="360" w:lineRule="auto"/>
        <w:ind w:firstLine="630" w:firstLineChars="3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8）本基金持有的同一（指同一信用级别）资产支持证券的比例，不得超过该资产支持证券规模的10%；</w:t>
      </w:r>
    </w:p>
    <w:p>
      <w:pPr>
        <w:spacing w:line="360" w:lineRule="auto"/>
        <w:ind w:firstLine="630" w:firstLineChars="3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9）本基金管理人管理的全部基金投资于同一原始权益人的各类资产支持证券，不得超过其各类资产支持证券合计规模的10%；</w:t>
      </w:r>
    </w:p>
    <w:p>
      <w:pPr>
        <w:spacing w:line="360" w:lineRule="auto"/>
        <w:ind w:firstLine="630" w:firstLineChars="3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10）基金资产总值不得超过基金资产净值的140%；</w:t>
      </w:r>
    </w:p>
    <w:p>
      <w:pPr>
        <w:spacing w:line="360" w:lineRule="auto"/>
        <w:ind w:firstLine="630" w:firstLineChars="3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11）本基金与私募类证券资管产品及中国证监会认定的其他主体为交易对手开展逆回购交易的，可接受质押品的资质要求应当与基金合同约定的投资范围保持一致；</w:t>
      </w:r>
    </w:p>
    <w:p>
      <w:pPr>
        <w:spacing w:line="360" w:lineRule="auto"/>
        <w:ind w:firstLine="630" w:firstLineChars="3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12）本基金参与国债期货交易，需遵守下列投资比例限制：</w:t>
      </w:r>
    </w:p>
    <w:p>
      <w:pPr>
        <w:spacing w:line="360" w:lineRule="auto"/>
        <w:ind w:firstLine="630" w:firstLineChars="3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①本基金在任何交易日日终，持有的买入国债期货合约价值，不得超过基金资产净值的15%；</w:t>
      </w:r>
    </w:p>
    <w:p>
      <w:pPr>
        <w:spacing w:line="360" w:lineRule="auto"/>
        <w:ind w:firstLine="630" w:firstLineChars="3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②本基金在任何交易日日终，持有的卖出国债期货合约价值不得超过基金持有的债券总市值的30%；</w:t>
      </w:r>
    </w:p>
    <w:p>
      <w:pPr>
        <w:spacing w:line="360" w:lineRule="auto"/>
        <w:ind w:firstLine="630" w:firstLineChars="3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③本基金在任何交易日内交易（不包括平仓）的国债期货合约的成交金额不得超过上一交易日基金资产净值的30%；</w:t>
      </w:r>
    </w:p>
    <w:p>
      <w:pPr>
        <w:spacing w:line="360" w:lineRule="auto"/>
        <w:ind w:firstLine="630" w:firstLineChars="3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④本基金所持有的债券（不含到期日在一年以内的政府债券）市值和买入、卖出国债期货合约价值，合计（轧差计算）应当符合基金合同关于债券投资比例的有关约定；</w:t>
      </w:r>
    </w:p>
    <w:p>
      <w:pPr>
        <w:spacing w:line="360" w:lineRule="auto"/>
        <w:ind w:firstLine="630" w:firstLineChars="3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13）本基金主动投资于流动性受限资产的市值合计不得超过本基金资产净值的15%。因证券市场波动、基金规模变动等基金管理人之外的因素致使基金不符合该比例限制的，基金管理人不得主动新增流动性受限资产的投资；</w:t>
      </w:r>
    </w:p>
    <w:p>
      <w:pPr>
        <w:spacing w:line="360" w:lineRule="auto"/>
        <w:ind w:firstLine="630" w:firstLineChars="3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14）法律法规及中国证监会规定的和《基金合同》约定的其他投资限制。</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基金托管人对上述指标的监督义务，仅限于监督由基金管理人管理且由托管人托管的全部公募基金是否符合上述比例限制。《基金法》及其他有关法律法规或监管部门取消上述限制的，履行适当程序后，基金不受上述限制。</w:t>
      </w:r>
    </w:p>
    <w:p>
      <w:pPr>
        <w:spacing w:line="440" w:lineRule="atLeas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（3）法律法规允许的基金投资比例调整期限</w:t>
      </w:r>
    </w:p>
    <w:p>
      <w:pPr>
        <w:spacing w:line="440" w:lineRule="atLeas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除上述2）、</w:t>
      </w:r>
      <w:r>
        <w:rPr>
          <w:rFonts w:ascii="宋体" w:hAnsi="宋体"/>
          <w:bCs/>
          <w:color w:val="000000" w:themeColor="text1"/>
          <w:szCs w:val="21"/>
          <w14:textFill>
            <w14:solidFill>
              <w14:schemeClr w14:val="tx1"/>
            </w14:solidFill>
          </w14:textFill>
        </w:rPr>
        <w:t>11</w:t>
      </w: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13</w:t>
      </w:r>
      <w:r>
        <w:rPr>
          <w:rFonts w:hint="eastAsia"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情形之外，因证券/期货市场波动、证券发行人合并、基金规模变动等基金管理人之外的因素致使基金投资比例不符合上述规定投资比例的，基金管理人应当在10个交易日内进行调整，但中国证监会规定的特殊情形除外。</w:t>
      </w:r>
    </w:p>
    <w:p>
      <w:pPr>
        <w:spacing w:line="440" w:lineRule="atLeast"/>
        <w:ind w:right="28"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widowControl/>
        <w:spacing w:line="440" w:lineRule="atLeas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）相关法律、法规或部门规章规定的其他比例限制。</w:t>
      </w:r>
    </w:p>
    <w:p>
      <w:pPr>
        <w:spacing w:after="120" w:line="440" w:lineRule="atLeast"/>
        <w:ind w:firstLine="39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基金托管人对基金投资的监督和检查自</w:t>
      </w:r>
      <w:r>
        <w:rPr>
          <w:rFonts w:hint="eastAsia" w:ascii="宋体" w:hAnsi="宋体" w:cs="宋体"/>
          <w:color w:val="000000" w:themeColor="text1"/>
          <w:kern w:val="0"/>
          <w:szCs w:val="21"/>
          <w14:textFill>
            <w14:solidFill>
              <w14:schemeClr w14:val="tx1"/>
            </w14:solidFill>
          </w14:textFill>
        </w:rPr>
        <w:t>本托管协议生效</w:t>
      </w:r>
      <w:r>
        <w:rPr>
          <w:rFonts w:hint="eastAsia" w:ascii="宋体" w:hAnsi="宋体"/>
          <w:color w:val="000000" w:themeColor="text1"/>
          <w:szCs w:val="21"/>
          <w14:textFill>
            <w14:solidFill>
              <w14:schemeClr w14:val="tx1"/>
            </w14:solidFill>
          </w14:textFill>
        </w:rPr>
        <w:t>之日起开始。</w:t>
      </w:r>
    </w:p>
    <w:p>
      <w:pPr>
        <w:spacing w:after="120"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3.基金托管人根据有关法律法规的规定及《基金合同》的约定对下述基金投资禁止行为进行监督： </w:t>
      </w:r>
    </w:p>
    <w:p>
      <w:pPr>
        <w:spacing w:line="360" w:lineRule="auto"/>
        <w:ind w:left="1"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根据法律法规的规定及《基金合同》的约定，本基金禁止从事下列行为：</w:t>
      </w:r>
    </w:p>
    <w:p>
      <w:pPr>
        <w:spacing w:line="360" w:lineRule="auto"/>
        <w:ind w:left="1" w:firstLine="472" w:firstLineChars="225"/>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1）承销证券；</w:t>
      </w:r>
    </w:p>
    <w:p>
      <w:pPr>
        <w:spacing w:line="360" w:lineRule="auto"/>
        <w:ind w:left="1" w:firstLine="472" w:firstLineChars="225"/>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2）违反规定向他人贷款或者提供担保；</w:t>
      </w:r>
    </w:p>
    <w:p>
      <w:pPr>
        <w:spacing w:line="360" w:lineRule="auto"/>
        <w:ind w:left="1" w:firstLine="472" w:firstLineChars="225"/>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3）从事承担无限责任的投资；</w:t>
      </w:r>
    </w:p>
    <w:p>
      <w:pPr>
        <w:spacing w:line="360" w:lineRule="auto"/>
        <w:ind w:left="1" w:firstLine="472" w:firstLineChars="225"/>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4）买卖其他基金份额，但是法律法规或中国证监会另有规定的除外；</w:t>
      </w:r>
    </w:p>
    <w:p>
      <w:pPr>
        <w:spacing w:line="360" w:lineRule="auto"/>
        <w:ind w:left="1" w:firstLine="472" w:firstLineChars="225"/>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向其基金管理人、基金托管人出资；</w:t>
      </w:r>
    </w:p>
    <w:p>
      <w:pPr>
        <w:spacing w:line="360" w:lineRule="auto"/>
        <w:ind w:left="1" w:firstLine="472" w:firstLineChars="225"/>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6）从事内幕交易、操纵证券交易价格及其他不正当的证券交易活动；</w:t>
      </w:r>
    </w:p>
    <w:p>
      <w:pPr>
        <w:spacing w:line="360" w:lineRule="auto"/>
        <w:ind w:left="1" w:firstLine="472" w:firstLineChars="225"/>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法律、行政法规和中国证监会规定禁止的其他活动。</w:t>
      </w:r>
    </w:p>
    <w:p>
      <w:pPr>
        <w:spacing w:line="360" w:lineRule="auto"/>
        <w:ind w:left="1" w:firstLine="472" w:firstLineChars="225"/>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法律、行政法规或监管部门取消或变更上述禁止性规定，如适用于本基金，基金管理人在履行适当程序后，则本基金投资不再受相关限制或按变更后的规定执行。</w:t>
      </w:r>
    </w:p>
    <w:p>
      <w:pPr>
        <w:spacing w:line="360" w:lineRule="auto"/>
        <w:ind w:left="1" w:firstLine="472" w:firstLineChars="225"/>
        <w:rPr>
          <w:rFonts w:ascii="宋体" w:hAnsi="宋体"/>
          <w:color w:val="000000" w:themeColor="text1"/>
          <w:szCs w:val="21"/>
          <w14:textFill>
            <w14:solidFill>
              <w14:schemeClr w14:val="tx1"/>
            </w14:solidFill>
          </w14:textFill>
        </w:rPr>
      </w:pPr>
    </w:p>
    <w:p>
      <w:pPr>
        <w:spacing w:line="440" w:lineRule="exact"/>
        <w:ind w:firstLine="397"/>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4.基金托管人依据有关法律法规的规定和《基金合同》的约定对于基金关联投资限制进行监督。</w:t>
      </w:r>
    </w:p>
    <w:p>
      <w:pPr>
        <w:spacing w:after="120"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after="120"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如法律、法规或《基金合同》有关于基金从事关联交易的规定，基金管理人和基金托管人事先相互提供与本机构有控股关系的股东、与本机构有其他重大利害关系的公司名单及有关关联方发行的证券清单,</w:t>
      </w:r>
      <w:r>
        <w:rPr>
          <w:rFonts w:hint="eastAsia"/>
          <w:color w:val="000000" w:themeColor="text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加盖公章并书面提交。双方有责任确保关联交易名单的真实性、准确性、完整性，并及时发送更新后的名单。名单变更后双方应及时发送对方，经对方确认后，新的关联交易名单开始生效。基金托管人仅按基金管理人提供的基金关联方名单为限,进行监督。基金管理人或基金托管人隐瞒其关联方及关联方发行的证券，导致基金违规进行关联交易，并造成基金资产损失的，由隐瞒方承担责任。</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5.基金托管人</w:t>
      </w:r>
      <w:r>
        <w:rPr>
          <w:rFonts w:hint="eastAsia" w:ascii="宋体" w:hAnsi="宋体" w:cs="宋体"/>
          <w:color w:val="000000" w:themeColor="text1"/>
          <w:kern w:val="0"/>
          <w:szCs w:val="21"/>
          <w14:textFill>
            <w14:solidFill>
              <w14:schemeClr w14:val="tx1"/>
            </w14:solidFill>
          </w14:textFill>
        </w:rPr>
        <w:t>依据有关法律法规的规定和《基金合同》的约定</w:t>
      </w:r>
      <w:r>
        <w:rPr>
          <w:rFonts w:hint="eastAsia" w:ascii="宋体" w:hAnsi="宋体"/>
          <w:color w:val="000000" w:themeColor="text1"/>
          <w:szCs w:val="21"/>
          <w14:textFill>
            <w14:solidFill>
              <w14:schemeClr w14:val="tx1"/>
            </w14:solidFill>
          </w14:textFill>
        </w:rPr>
        <w:t>对基金管理人参与银行间债券市场进行监督。</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基金托管人根据基金管理人提供的银行间债券市场交易对手名单进行监督。基金管理人有责任控制交易对手的资信风险，由于交易对手的资信风险引起的损失，基金管理人应当负责向相关责任人追偿。</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 基金托管人依据有关法律法规的规定和《基金合同》的约定，对基金银行存款业务进行监督。</w:t>
      </w:r>
    </w:p>
    <w:p>
      <w:pPr>
        <w:spacing w:line="440" w:lineRule="exact"/>
        <w:ind w:firstLine="451" w:firstLineChars="215"/>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基金管理人应当加强对基金投资银行存款风险的评估与研究，严格测算与控制投资银行存款的风险敞口，针对不同类型存款银行建立相关投资限制制度。</w:t>
      </w:r>
      <w:r>
        <w:rPr>
          <w:rFonts w:hint="eastAsia" w:ascii="宋体" w:hAnsi="宋体"/>
          <w:color w:val="000000" w:themeColor="text1"/>
          <w:kern w:val="0"/>
          <w:szCs w:val="21"/>
          <w14:textFill>
            <w14:solidFill>
              <w14:schemeClr w14:val="tx1"/>
            </w14:solidFill>
          </w14:textFill>
        </w:rPr>
        <w:t>如果基金托管人在运作过程中遵循</w:t>
      </w:r>
      <w:r>
        <w:rPr>
          <w:rFonts w:hint="eastAsia" w:ascii="宋体" w:hAnsi="宋体" w:cs="宋体"/>
          <w:color w:val="000000" w:themeColor="text1"/>
          <w:kern w:val="0"/>
          <w:szCs w:val="21"/>
          <w14:textFill>
            <w14:solidFill>
              <w14:schemeClr w14:val="tx1"/>
            </w14:solidFill>
          </w14:textFill>
        </w:rPr>
        <w:t>有关法律法规的规定和《基金合同》的约定</w:t>
      </w:r>
      <w:r>
        <w:rPr>
          <w:rFonts w:hint="eastAsia" w:ascii="宋体" w:hAnsi="宋体"/>
          <w:color w:val="000000" w:themeColor="text1"/>
          <w:kern w:val="0"/>
          <w:szCs w:val="21"/>
          <w14:textFill>
            <w14:solidFill>
              <w14:schemeClr w14:val="tx1"/>
            </w14:solidFill>
          </w14:textFill>
        </w:rPr>
        <w:t>监督流程，则对于由于存款银行信用风险引起的损失，不承担赔偿责任。</w:t>
      </w:r>
    </w:p>
    <w:p>
      <w:pPr>
        <w:pStyle w:val="3"/>
        <w:keepNext w:val="0"/>
        <w:keepLines w:val="0"/>
        <w:autoSpaceDE w:val="0"/>
        <w:autoSpaceDN w:val="0"/>
        <w:adjustRightInd w:val="0"/>
        <w:spacing w:before="0" w:after="0" w:line="360" w:lineRule="auto"/>
        <w:ind w:firstLine="315" w:firstLineChars="150"/>
        <w:textAlignment w:val="baseline"/>
        <w:rPr>
          <w:rFonts w:ascii="宋体" w:hAnsi="宋体" w:eastAsia="宋体"/>
          <w:b w:val="0"/>
          <w:color w:val="000000" w:themeColor="text1"/>
          <w:sz w:val="21"/>
          <w:szCs w:val="21"/>
          <w14:textFill>
            <w14:solidFill>
              <w14:schemeClr w14:val="tx1"/>
            </w14:solidFill>
          </w14:textFill>
        </w:rPr>
      </w:pPr>
      <w:bookmarkStart w:id="12" w:name="_Toc382819074"/>
      <w:r>
        <w:rPr>
          <w:rFonts w:hint="eastAsia" w:ascii="宋体" w:hAnsi="宋体" w:eastAsia="宋体"/>
          <w:b w:val="0"/>
          <w:color w:val="000000" w:themeColor="text1"/>
          <w:sz w:val="21"/>
          <w:szCs w:val="21"/>
          <w14:textFill>
            <w14:solidFill>
              <w14:schemeClr w14:val="tx1"/>
            </w14:solidFill>
          </w14:textFill>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bookmarkEnd w:id="12"/>
    </w:p>
    <w:p>
      <w:pPr>
        <w:pStyle w:val="3"/>
        <w:keepNext w:val="0"/>
        <w:keepLines w:val="0"/>
        <w:autoSpaceDE w:val="0"/>
        <w:autoSpaceDN w:val="0"/>
        <w:adjustRightInd w:val="0"/>
        <w:spacing w:before="0" w:after="0" w:line="360" w:lineRule="auto"/>
        <w:ind w:firstLine="315" w:firstLineChars="150"/>
        <w:textAlignment w:val="baseline"/>
        <w:rPr>
          <w:rFonts w:ascii="宋体" w:hAnsi="宋体" w:eastAsia="宋体"/>
          <w:b w:val="0"/>
          <w:color w:val="000000" w:themeColor="text1"/>
          <w:sz w:val="21"/>
          <w:szCs w:val="21"/>
          <w14:textFill>
            <w14:solidFill>
              <w14:schemeClr w14:val="tx1"/>
            </w14:solidFill>
          </w14:textFill>
        </w:rPr>
      </w:pPr>
      <w:bookmarkStart w:id="13" w:name="_Toc382819075"/>
      <w:r>
        <w:rPr>
          <w:rFonts w:hint="eastAsia" w:ascii="宋体" w:hAnsi="宋体" w:eastAsia="宋体"/>
          <w:b w:val="0"/>
          <w:color w:val="000000" w:themeColor="text1"/>
          <w:sz w:val="21"/>
          <w:szCs w:val="21"/>
          <w14:textFill>
            <w14:solidFill>
              <w14:schemeClr w14:val="tx1"/>
            </w14:solidFill>
          </w14:textFill>
        </w:rPr>
        <w:t>（三）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13"/>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在限期内，基金托管人有权随时对通知事项进行复查，督促基金管理人改正。基金管理人对基金托管人通知的违规事项未能在限期内纠正的，基金托管人应报告中国证监会。</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管理人应积极配合和协助基金托管人依照法律法规、《基金合同》和本托管协议对基金业务进行监督和核查，对基金托管人发出的书面提示，必须在规定时间内答复基金托管人并改正，或就基金托管人的合理疑义进行解释或举证，对基金托管人按照法律法规、《基金合同》和本托管协议的要求需向中国证监会报送基金监督报告的，基金管理人应积极配合提供相关数据资料和制度等。</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若基金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对于必须于估值完成后方可获知的监控指标或依据交易程序已经成交的投资指令，基金托管人发现该投资指令违反法律法规或者违反《基金合同》约定的，应当立即通知基金管理人，并报告中国证监会。</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基金托管人发现基金管理人有重大违规行为，应立即报告中国证监会，同时通知基金管理人限期纠正。</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（四）</w:t>
      </w:r>
      <w:r>
        <w:rPr>
          <w:rFonts w:hint="eastAsia" w:ascii="宋体" w:hAnsi="宋体"/>
          <w:color w:val="000000" w:themeColor="text1"/>
          <w:szCs w:val="21"/>
          <w14:textFill>
            <w14:solidFill>
              <w14:schemeClr w14:val="tx1"/>
            </w14:solidFill>
          </w14:textFill>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侧袋机制实施期间，本部分约定的投资组合比例、组合限制等约定仅适用于主袋账户。</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侧袋机制的具体规则依照相关法律法规的规定和基金合同的约定执行。</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21"/>
          <w:szCs w:val="21"/>
          <w14:textFill>
            <w14:solidFill>
              <w14:schemeClr w14:val="tx1"/>
            </w14:solidFill>
          </w14:textFill>
        </w:rPr>
      </w:pPr>
      <w:bookmarkStart w:id="14" w:name="_Toc382819076"/>
      <w:r>
        <w:rPr>
          <w:rFonts w:hint="eastAsia" w:ascii="宋体" w:hAnsi="宋体" w:eastAsia="宋体" w:cs="Arial"/>
          <w:color w:val="000000" w:themeColor="text1"/>
          <w:sz w:val="21"/>
          <w:szCs w:val="21"/>
          <w14:textFill>
            <w14:solidFill>
              <w14:schemeClr w14:val="tx1"/>
            </w14:solidFill>
          </w14:textFill>
        </w:rPr>
        <w:t>基金管理人对基金托管人的业务核查</w:t>
      </w:r>
      <w:bookmarkEnd w:id="14"/>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管理人对基金托管人履行托管职责情况进行核查，核查事项包括但不限于基金托管人是否安全保管基金财产、是否分别开设基金财产的资金账户和证券账户及投资所需其他账户、是否复核基金管理人计算的基金资产净值和基金份额净值、是否根据基金管理人指令办理清算交收、进行相关信息披露和监督基金投资运作等行为。</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基金托管人应积极配合基金管理人的核查行为，包括但不限于：提交相关资料以供基金管理人核查托管财产的完整性和真实性，在规定时间内答复基金管理人并改正。</w:t>
      </w:r>
    </w:p>
    <w:p>
      <w:pPr>
        <w:spacing w:line="360" w:lineRule="auto"/>
        <w:ind w:firstLine="420" w:firstLineChars="200"/>
        <w:rPr>
          <w:rFonts w:ascii="宋体" w:hAnsi="宋体"/>
          <w:color w:val="000000" w:themeColor="text1"/>
          <w:szCs w:val="21"/>
          <w14:textFill>
            <w14:solidFill>
              <w14:schemeClr w14:val="tx1"/>
            </w14:solidFill>
          </w14:textFill>
        </w:rPr>
      </w:pPr>
      <w:bookmarkStart w:id="15" w:name="_Toc382818598"/>
      <w:bookmarkStart w:id="16" w:name="_Toc382819077"/>
      <w:r>
        <w:rPr>
          <w:rFonts w:hint="eastAsia" w:ascii="宋体" w:hAnsi="宋体"/>
          <w:color w:val="000000" w:themeColor="text1"/>
          <w:szCs w:val="21"/>
          <w14:textFill>
            <w14:solidFill>
              <w14:schemeClr w14:val="tx1"/>
            </w14:solidFill>
          </w14:textFill>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5"/>
      <w:bookmarkEnd w:id="16"/>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21"/>
          <w:szCs w:val="21"/>
          <w14:textFill>
            <w14:solidFill>
              <w14:schemeClr w14:val="tx1"/>
            </w14:solidFill>
          </w14:textFill>
        </w:rPr>
      </w:pPr>
      <w:bookmarkStart w:id="17" w:name="_Toc382819078"/>
      <w:r>
        <w:rPr>
          <w:rFonts w:hint="eastAsia" w:ascii="宋体" w:hAnsi="宋体" w:eastAsia="宋体" w:cs="Arial"/>
          <w:color w:val="000000" w:themeColor="text1"/>
          <w:sz w:val="21"/>
          <w:szCs w:val="21"/>
          <w14:textFill>
            <w14:solidFill>
              <w14:schemeClr w14:val="tx1"/>
            </w14:solidFill>
          </w14:textFill>
        </w:rPr>
        <w:t>基金财产保管</w:t>
      </w:r>
      <w:bookmarkEnd w:id="17"/>
    </w:p>
    <w:p>
      <w:pPr>
        <w:pStyle w:val="3"/>
        <w:keepNext w:val="0"/>
        <w:keepLines w:val="0"/>
        <w:autoSpaceDE w:val="0"/>
        <w:autoSpaceDN w:val="0"/>
        <w:adjustRightInd w:val="0"/>
        <w:spacing w:before="0" w:after="0" w:line="360" w:lineRule="auto"/>
        <w:ind w:firstLine="315" w:firstLineChars="150"/>
        <w:textAlignment w:val="baseline"/>
        <w:rPr>
          <w:rFonts w:ascii="宋体" w:hAnsi="宋体" w:eastAsia="宋体"/>
          <w:b w:val="0"/>
          <w:bCs w:val="0"/>
          <w:color w:val="000000" w:themeColor="text1"/>
          <w:sz w:val="21"/>
          <w:szCs w:val="21"/>
          <w14:textFill>
            <w14:solidFill>
              <w14:schemeClr w14:val="tx1"/>
            </w14:solidFill>
          </w14:textFill>
        </w:rPr>
      </w:pPr>
      <w:bookmarkStart w:id="18" w:name="_Toc382819079"/>
      <w:r>
        <w:rPr>
          <w:rFonts w:hint="eastAsia" w:ascii="宋体" w:hAnsi="宋体" w:eastAsia="宋体"/>
          <w:b w:val="0"/>
          <w:bCs w:val="0"/>
          <w:color w:val="000000" w:themeColor="text1"/>
          <w:sz w:val="21"/>
          <w:szCs w:val="21"/>
          <w14:textFill>
            <w14:solidFill>
              <w14:schemeClr w14:val="tx1"/>
            </w14:solidFill>
          </w14:textFill>
        </w:rPr>
        <w:t>（一）基金财产保管的原则</w:t>
      </w:r>
      <w:bookmarkEnd w:id="18"/>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1.基金财产应独立于基金管理人、基金托管人的固有财产。</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基金托管人应按本协议规定安全保管托管财产。未经基金管理人的指令，不得自行运用、处分、分配基金的任何财产（基金托管人主动扣收的汇划费除外）。基金托管人不对处于自身实际控制之外的账户及财产承担责任。</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3.基金托管人按照规定为托管的基金财产开设资金账户和证券账户及投资所需其他账户。</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4.基金托管人对所托管的不同基金财产分别设置账户，与基金托管人的其他业务和其他基金的托管业务实行严格的分账管理，确保基金财产的完整与独立。</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color w:val="000000" w:themeColor="text1"/>
          <w:sz w:val="21"/>
          <w:szCs w:val="21"/>
          <w14:textFill>
            <w14:solidFill>
              <w14:schemeClr w14:val="tx1"/>
            </w14:solidFill>
          </w14:textFill>
        </w:rPr>
      </w:pPr>
      <w:bookmarkStart w:id="19" w:name="_Toc382819080"/>
      <w:r>
        <w:rPr>
          <w:rFonts w:hint="eastAsia" w:ascii="宋体" w:hAnsi="宋体" w:eastAsia="宋体"/>
          <w:b w:val="0"/>
          <w:bCs w:val="0"/>
          <w:color w:val="000000" w:themeColor="text1"/>
          <w:sz w:val="21"/>
          <w:szCs w:val="21"/>
          <w14:textFill>
            <w14:solidFill>
              <w14:schemeClr w14:val="tx1"/>
            </w14:solidFill>
          </w14:textFill>
        </w:rPr>
        <w:t>（二）募集资金的验证</w:t>
      </w:r>
      <w:bookmarkEnd w:id="19"/>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募集期内销售机构按销售服务协议的约定，将认购资金划入基金管理人在具有托管资格的商业银行开设的“平安基金管理有限公司基金认购专户”。该账户由基金管理人开立并管理。基金募集期满，募集的基金份额总额、基金募集金额、基金份额持有人人数符合《基金法》、《运作办法》等有关规定后，由基金管理人聘请符合《中华人民共和国证券法》规定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pPr>
        <w:spacing w:line="360" w:lineRule="auto"/>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若基金募集期限届满或基金停止募集时，未能达到《基金合同》备案的条件，由基金管理人按规定办理退款事宜。</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color w:val="000000" w:themeColor="text1"/>
          <w:sz w:val="21"/>
          <w:szCs w:val="21"/>
          <w14:textFill>
            <w14:solidFill>
              <w14:schemeClr w14:val="tx1"/>
            </w14:solidFill>
          </w14:textFill>
        </w:rPr>
      </w:pPr>
      <w:bookmarkStart w:id="20" w:name="_Toc382819081"/>
      <w:r>
        <w:rPr>
          <w:rFonts w:hint="eastAsia" w:ascii="宋体" w:hAnsi="宋体" w:eastAsia="宋体"/>
          <w:b w:val="0"/>
          <w:bCs w:val="0"/>
          <w:color w:val="000000" w:themeColor="text1"/>
          <w:sz w:val="21"/>
          <w:szCs w:val="21"/>
          <w14:textFill>
            <w14:solidFill>
              <w14:schemeClr w14:val="tx1"/>
            </w14:solidFill>
          </w14:textFill>
        </w:rPr>
        <w:t>（三）基金资产托管专户的开立和管理</w:t>
      </w:r>
      <w:bookmarkEnd w:id="20"/>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托管人以基金的名义在其营业机构开设资产托管专户，并根据基金管理人合法合规的有效指令办理资金收付。基金管理人应根据法律法规及托管人的相关要求，提供开户所需的资料并提供其他必要协助。本基金的资产托管专户的预留印鉴的印章由基金托管人刻制、保管和使用。</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基金的一切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资产托管专户的管理应符合《人民币银行结算账户管理办法》、《现金管理暂行条例》、《人民币利率管理规定》、《利率管理暂行规定》、《支付结算办法》以及银行业监督管理机构的其他有关规定。</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color w:val="000000" w:themeColor="text1"/>
          <w:sz w:val="21"/>
          <w:szCs w:val="21"/>
          <w14:textFill>
            <w14:solidFill>
              <w14:schemeClr w14:val="tx1"/>
            </w14:solidFill>
          </w14:textFill>
        </w:rPr>
      </w:pPr>
      <w:bookmarkStart w:id="21" w:name="_Toc382819082"/>
      <w:r>
        <w:rPr>
          <w:rFonts w:hint="eastAsia" w:ascii="宋体" w:hAnsi="宋体" w:eastAsia="宋体"/>
          <w:b w:val="0"/>
          <w:bCs w:val="0"/>
          <w:color w:val="000000" w:themeColor="text1"/>
          <w:sz w:val="21"/>
          <w:szCs w:val="21"/>
          <w14:textFill>
            <w14:solidFill>
              <w14:schemeClr w14:val="tx1"/>
            </w14:solidFill>
          </w14:textFill>
        </w:rPr>
        <w:t>（四）基金证券账户与结算备付金账户的开设和管理</w:t>
      </w:r>
      <w:bookmarkEnd w:id="21"/>
    </w:p>
    <w:p>
      <w:pPr>
        <w:tabs>
          <w:tab w:val="left" w:pos="468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基金托管人以基金托管人和本基金联名的方式在中国证券登记结算有限公司上海分公司/深圳分公司开立专门的证券账户。</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证券账户的开立和原始开户材料的保管由基金托管人负责，账户资产的管理和运用由基金管理人负责。基金托管人以基金托管人的名义在中国证券登记结算有限责任公司上海分公司/深圳分公司开立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color w:val="000000" w:themeColor="text1"/>
          <w:sz w:val="21"/>
          <w:szCs w:val="21"/>
          <w14:textFill>
            <w14:solidFill>
              <w14:schemeClr w14:val="tx1"/>
            </w14:solidFill>
          </w14:textFill>
        </w:rPr>
      </w:pPr>
      <w:bookmarkStart w:id="22" w:name="_Toc382819083"/>
      <w:r>
        <w:rPr>
          <w:rFonts w:hint="eastAsia" w:ascii="宋体" w:hAnsi="宋体" w:eastAsia="宋体"/>
          <w:b w:val="0"/>
          <w:bCs w:val="0"/>
          <w:color w:val="000000" w:themeColor="text1"/>
          <w:sz w:val="21"/>
          <w:szCs w:val="21"/>
          <w14:textFill>
            <w14:solidFill>
              <w14:schemeClr w14:val="tx1"/>
            </w14:solidFill>
          </w14:textFill>
        </w:rPr>
        <w:t>（五）银行间市场债券托管和资金结算专户的开立和管理及市场准入备案</w:t>
      </w:r>
      <w:bookmarkEnd w:id="22"/>
    </w:p>
    <w:p>
      <w:pPr>
        <w:spacing w:line="360" w:lineRule="auto"/>
        <w:ind w:firstLine="420" w:firstLineChars="200"/>
        <w:rPr>
          <w:rFonts w:ascii="宋体" w:hAnsi="宋体"/>
          <w:color w:val="000000" w:themeColor="text1"/>
          <w:szCs w:val="21"/>
          <w14:textFill>
            <w14:solidFill>
              <w14:schemeClr w14:val="tx1"/>
            </w14:solidFill>
          </w14:textFill>
        </w:rPr>
      </w:pPr>
      <w:bookmarkStart w:id="23" w:name="_Toc382819084"/>
      <w:r>
        <w:rPr>
          <w:rFonts w:hint="eastAsia" w:ascii="宋体" w:hAnsi="宋体"/>
          <w:color w:val="000000" w:themeColor="text1"/>
          <w:szCs w:val="21"/>
          <w14:textFill>
            <w14:solidFill>
              <w14:schemeClr w14:val="tx1"/>
            </w14:solidFill>
          </w14:textFill>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23"/>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（六）其他账户的开设和管理</w:t>
      </w:r>
    </w:p>
    <w:p>
      <w:pPr>
        <w:tabs>
          <w:tab w:val="left" w:pos="468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1、因业务发展而需要开立的其它账户，可以根据《基金合同》或有关法律法规的规定，经基金管理人和基金托管人协商一致后，由基金托管人负责为基金开立。新账户按有关规则使用并管理。</w:t>
      </w:r>
    </w:p>
    <w:p>
      <w:pPr>
        <w:tabs>
          <w:tab w:val="left" w:pos="468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2、法律、法规等有关规定对相关账户的开立和管理另有规定的，从其规定办理。</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color w:val="000000" w:themeColor="text1"/>
          <w:sz w:val="21"/>
          <w:szCs w:val="21"/>
          <w14:textFill>
            <w14:solidFill>
              <w14:schemeClr w14:val="tx1"/>
            </w14:solidFill>
          </w14:textFill>
        </w:rPr>
      </w:pPr>
      <w:bookmarkStart w:id="24" w:name="_Toc382819085"/>
      <w:r>
        <w:rPr>
          <w:rFonts w:hint="eastAsia" w:ascii="宋体" w:hAnsi="宋体" w:eastAsia="宋体"/>
          <w:b w:val="0"/>
          <w:bCs w:val="0"/>
          <w:color w:val="000000" w:themeColor="text1"/>
          <w:sz w:val="21"/>
          <w:szCs w:val="21"/>
          <w14:textFill>
            <w14:solidFill>
              <w14:schemeClr w14:val="tx1"/>
            </w14:solidFill>
          </w14:textFill>
        </w:rPr>
        <w:t>（七）基金投资银行存款账户的开立和管理</w:t>
      </w:r>
      <w:bookmarkEnd w:id="24"/>
    </w:p>
    <w:p>
      <w:pPr>
        <w:tabs>
          <w:tab w:val="left" w:pos="468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基金投资银行定期存款，基金管理人与基金托管人应比照相关规定，就本基金投资银行存款业务签订书面协议。</w:t>
      </w:r>
    </w:p>
    <w:p>
      <w:pPr>
        <w:tabs>
          <w:tab w:val="left" w:pos="468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基金投资银行定期存款应由基金管理人与存款银行总行或其授权分行签订总体合作协议，并将资金存放于存款银行总行或其授权分行指定的分支机构。</w:t>
      </w:r>
    </w:p>
    <w:p>
      <w:pPr>
        <w:tabs>
          <w:tab w:val="left" w:pos="468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存款账户必须以基金名义开立，账户名称为基金名称，存款账户开户文件上加盖预留印鉴及基金管理人公章。</w:t>
      </w:r>
    </w:p>
    <w:p>
      <w:pPr>
        <w:tabs>
          <w:tab w:val="left" w:pos="468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本基金投资银行存款时，基金管理人应当与存款银行签订具体存款协议，明确存款的类型、期限、利率、金额、账号、对账方式、支取方式、账户管理等细则。</w:t>
      </w:r>
    </w:p>
    <w:p>
      <w:pPr>
        <w:tabs>
          <w:tab w:val="left" w:pos="468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为防范特殊情况下的流动性风险，定期存款协议中应当约定提前支取条款。</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color w:val="000000" w:themeColor="text1"/>
          <w:sz w:val="21"/>
          <w:szCs w:val="21"/>
          <w14:textFill>
            <w14:solidFill>
              <w14:schemeClr w14:val="tx1"/>
            </w14:solidFill>
          </w14:textFill>
        </w:rPr>
      </w:pPr>
      <w:bookmarkStart w:id="25" w:name="_Toc382819086"/>
      <w:r>
        <w:rPr>
          <w:rFonts w:hint="eastAsia" w:ascii="宋体" w:hAnsi="宋体" w:eastAsia="宋体"/>
          <w:b w:val="0"/>
          <w:bCs w:val="0"/>
          <w:color w:val="000000" w:themeColor="text1"/>
          <w:sz w:val="21"/>
          <w:szCs w:val="21"/>
          <w14:textFill>
            <w14:solidFill>
              <w14:schemeClr w14:val="tx1"/>
            </w14:solidFill>
          </w14:textFill>
        </w:rPr>
        <w:t>基金所投资定期存款存续期间，基金管理人、基金托管人应当与存款银行建立定期对账机制，确保基金银行存款业务账目及核对的真实、准确。</w:t>
      </w:r>
      <w:bookmarkEnd w:id="25"/>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color w:val="000000" w:themeColor="text1"/>
          <w:sz w:val="21"/>
          <w:szCs w:val="21"/>
          <w14:textFill>
            <w14:solidFill>
              <w14:schemeClr w14:val="tx1"/>
            </w14:solidFill>
          </w14:textFill>
        </w:rPr>
      </w:pPr>
      <w:bookmarkStart w:id="26" w:name="_Toc382819087"/>
      <w:r>
        <w:rPr>
          <w:rFonts w:hint="eastAsia" w:ascii="宋体" w:hAnsi="宋体" w:eastAsia="宋体"/>
          <w:b w:val="0"/>
          <w:bCs w:val="0"/>
          <w:color w:val="000000" w:themeColor="text1"/>
          <w:sz w:val="21"/>
          <w:szCs w:val="21"/>
          <w14:textFill>
            <w14:solidFill>
              <w14:schemeClr w14:val="tx1"/>
            </w14:solidFill>
          </w14:textFill>
        </w:rPr>
        <w:t>（八）基金财产投资的有关实物证券、银行定期存款存单等有价凭证的保管</w:t>
      </w:r>
      <w:bookmarkEnd w:id="26"/>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财产投资的有关实物证券、银行定期存款存单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pPr>
        <w:pStyle w:val="3"/>
        <w:keepNext w:val="0"/>
        <w:keepLines w:val="0"/>
        <w:autoSpaceDE w:val="0"/>
        <w:autoSpaceDN w:val="0"/>
        <w:adjustRightInd w:val="0"/>
        <w:spacing w:before="0" w:after="0" w:line="360" w:lineRule="auto"/>
        <w:ind w:firstLine="420" w:firstLineChars="200"/>
        <w:textAlignment w:val="baseline"/>
        <w:rPr>
          <w:rFonts w:ascii="宋体" w:hAnsi="宋体"/>
          <w:b w:val="0"/>
          <w:bCs w:val="0"/>
          <w:color w:val="000000" w:themeColor="text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（九）与基金财产有关的重大合同的保管</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保存期限不低于法律法规规定的最低期限。</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对于无法取得二份以上的正本的，基金管理人应向基金托管人提供与合同原件核对一致的并加盖基金管理人公章的合同传真件或复印件，未经双方协商一致，合同原件不得转移。</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21"/>
          <w:szCs w:val="21"/>
          <w14:textFill>
            <w14:solidFill>
              <w14:schemeClr w14:val="tx1"/>
            </w14:solidFill>
          </w14:textFill>
        </w:rPr>
      </w:pPr>
      <w:bookmarkStart w:id="27" w:name="_Toc382819088"/>
      <w:r>
        <w:rPr>
          <w:rFonts w:hint="eastAsia" w:ascii="宋体" w:hAnsi="宋体" w:eastAsia="宋体" w:cs="Arial"/>
          <w:color w:val="000000" w:themeColor="text1"/>
          <w:sz w:val="21"/>
          <w:szCs w:val="21"/>
          <w14:textFill>
            <w14:solidFill>
              <w14:schemeClr w14:val="tx1"/>
            </w14:solidFill>
          </w14:textFill>
        </w:rPr>
        <w:t>指令的发送、确认和执行</w:t>
      </w:r>
      <w:bookmarkEnd w:id="27"/>
    </w:p>
    <w:p>
      <w:pPr>
        <w:autoSpaceDE w:val="0"/>
        <w:autoSpaceDN w:val="0"/>
        <w:adjustRightInd w:val="0"/>
        <w:spacing w:line="360" w:lineRule="auto"/>
        <w:ind w:firstLine="420" w:firstLineChars="200"/>
        <w:textAlignment w:val="baseline"/>
        <w:rPr>
          <w:rFonts w:ascii="宋体" w:hAnsi="宋体"/>
          <w:color w:val="000000" w:themeColor="text1"/>
          <w:szCs w:val="21"/>
          <w14:textFill>
            <w14:solidFill>
              <w14:schemeClr w14:val="tx1"/>
            </w14:solidFill>
          </w14:textFill>
        </w:rPr>
      </w:pPr>
      <w:bookmarkStart w:id="28" w:name="_Toc382819089"/>
      <w:r>
        <w:rPr>
          <w:rFonts w:hint="eastAsia" w:ascii="宋体" w:hAnsi="宋体"/>
          <w:color w:val="000000" w:themeColor="text1"/>
          <w:szCs w:val="21"/>
          <w14:textFill>
            <w14:solidFill>
              <w14:schemeClr w14:val="tx1"/>
            </w14:solidFill>
          </w14:textFill>
        </w:rPr>
        <w:t>基金管理人在运用基金财产时向基金托管人发送资金划拨及其他款项付款指令，基金托管人执行基金管理人合法合规且符合本协议相关约定的指令、办理基金名下的资金往来等有关事项。</w:t>
      </w:r>
      <w:bookmarkEnd w:id="28"/>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color w:val="000000" w:themeColor="text1"/>
          <w:sz w:val="21"/>
          <w:szCs w:val="21"/>
          <w14:textFill>
            <w14:solidFill>
              <w14:schemeClr w14:val="tx1"/>
            </w14:solidFill>
          </w14:textFill>
        </w:rPr>
      </w:pPr>
      <w:bookmarkStart w:id="29" w:name="_Toc382819090"/>
      <w:r>
        <w:rPr>
          <w:rFonts w:hint="eastAsia" w:ascii="宋体" w:hAnsi="宋体" w:eastAsia="宋体"/>
          <w:b w:val="0"/>
          <w:bCs w:val="0"/>
          <w:color w:val="000000" w:themeColor="text1"/>
          <w:sz w:val="21"/>
          <w:szCs w:val="21"/>
          <w14:textFill>
            <w14:solidFill>
              <w14:schemeClr w14:val="tx1"/>
            </w14:solidFill>
          </w14:textFill>
        </w:rPr>
        <w:t>（一）基金管理人对发送指令人员的书面授权</w:t>
      </w:r>
      <w:bookmarkEnd w:id="29"/>
    </w:p>
    <w:p>
      <w:pPr>
        <w:spacing w:line="360" w:lineRule="auto"/>
        <w:ind w:firstLine="420" w:firstLineChars="200"/>
        <w:rPr>
          <w:rFonts w:ascii="宋体" w:hAnsi="宋体"/>
          <w:color w:val="000000" w:themeColor="text1"/>
          <w:szCs w:val="21"/>
          <w14:textFill>
            <w14:solidFill>
              <w14:schemeClr w14:val="tx1"/>
            </w14:solidFill>
          </w14:textFill>
        </w:rPr>
      </w:pPr>
      <w:bookmarkStart w:id="30" w:name="_Toc382818601"/>
      <w:bookmarkStart w:id="31" w:name="_Toc382819091"/>
      <w:r>
        <w:rPr>
          <w:rFonts w:hint="eastAsia" w:ascii="宋体" w:hAnsi="宋体"/>
          <w:color w:val="000000" w:themeColor="text1"/>
          <w:szCs w:val="21"/>
          <w14:textFill>
            <w14:solidFill>
              <w14:schemeClr w14:val="tx1"/>
            </w14:solidFill>
          </w14:textFill>
        </w:rPr>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基金管理人的划款指令授权通知书由基金管理人的法定代表人或其授权代理人签署并加盖公章，若由授权代理人签署的，还应附上授权文件。基金托管人在收到授权通知当日回函或回电向基金管理人确认。划款指令授权书无论产品成立时或后续更新，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通过电话向基金管理人确认。授权变更于变更通知载明的生效时间起生效。若变更通知载明的生效时间早于基金托管人收到变更通知时间，则授权变更于基金托管人收到变更通知时生效。基金管理人在此后三日内将划款指令授权书变更通知的正本送交基金托管人划款指令。授权书原件未按时送达托管人的，托管人有权拒绝执行该授权书对应的划款指令，托管人不承担由此造成的损失。基金管理人和基金托管人对授权文件负有保密义务，其内容不得向授权人及相关操作人员以外的任何人泄露</w:t>
      </w:r>
      <w:bookmarkEnd w:id="30"/>
      <w:bookmarkEnd w:id="31"/>
      <w:r>
        <w:rPr>
          <w:rFonts w:hint="eastAsia" w:ascii="宋体" w:hAnsi="宋体"/>
          <w:color w:val="000000" w:themeColor="text1"/>
          <w:szCs w:val="21"/>
          <w14:textFill>
            <w14:solidFill>
              <w14:schemeClr w14:val="tx1"/>
            </w14:solidFill>
          </w14:textFill>
        </w:rPr>
        <w:t>，但法律法规或有权机关另有要求的除外。</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color w:val="000000" w:themeColor="text1"/>
          <w:sz w:val="21"/>
          <w:szCs w:val="21"/>
          <w14:textFill>
            <w14:solidFill>
              <w14:schemeClr w14:val="tx1"/>
            </w14:solidFill>
          </w14:textFill>
        </w:rPr>
      </w:pPr>
      <w:bookmarkStart w:id="32" w:name="_Toc382819092"/>
      <w:r>
        <w:rPr>
          <w:rFonts w:hint="eastAsia" w:ascii="宋体" w:hAnsi="宋体" w:eastAsia="宋体"/>
          <w:b w:val="0"/>
          <w:bCs w:val="0"/>
          <w:color w:val="000000" w:themeColor="text1"/>
          <w:sz w:val="21"/>
          <w:szCs w:val="21"/>
          <w14:textFill>
            <w14:solidFill>
              <w14:schemeClr w14:val="tx1"/>
            </w14:solidFill>
          </w14:textFill>
        </w:rPr>
        <w:t>（二）指令的内容</w:t>
      </w:r>
      <w:bookmarkEnd w:id="32"/>
    </w:p>
    <w:p>
      <w:pPr>
        <w:tabs>
          <w:tab w:val="left" w:pos="468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pPr>
        <w:tabs>
          <w:tab w:val="left" w:pos="468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2、基金管理人发给基金托管人的指令应写明付款账号、付款户名、开户行、收款账号、收款户名、开户行、款项事由、支付时间、到账时间、金额、账户等，加盖预留印鉴并有被授权人签字。</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color w:val="000000" w:themeColor="text1"/>
          <w:sz w:val="21"/>
          <w:szCs w:val="21"/>
          <w14:textFill>
            <w14:solidFill>
              <w14:schemeClr w14:val="tx1"/>
            </w14:solidFill>
          </w14:textFill>
        </w:rPr>
      </w:pPr>
      <w:bookmarkStart w:id="33" w:name="_Toc382819093"/>
      <w:r>
        <w:rPr>
          <w:rFonts w:hint="eastAsia" w:ascii="宋体" w:hAnsi="宋体" w:eastAsia="宋体"/>
          <w:b w:val="0"/>
          <w:bCs w:val="0"/>
          <w:color w:val="000000" w:themeColor="text1"/>
          <w:sz w:val="21"/>
          <w:szCs w:val="21"/>
          <w14:textFill>
            <w14:solidFill>
              <w14:schemeClr w14:val="tx1"/>
            </w14:solidFill>
          </w14:textFill>
        </w:rPr>
        <w:t>（三）指令的发送、确认和执行的时间和程序</w:t>
      </w:r>
      <w:bookmarkEnd w:id="33"/>
    </w:p>
    <w:p>
      <w:pPr>
        <w:spacing w:after="12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指令由“授权通知”确定的有权发送人（下称“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致使资金未能及时到账所造成的损失，基金托管人不承担任何责任。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由一般划款指令（不含非担保交收指令、新债等申购指令）应在15点（指令截至时间）前提交托管人，如基金管理人要求当天某一时点到账，则指令需提前2个工作小时(工作时间9点至11点30分,13点至17点)提交托管人。</w:t>
      </w:r>
    </w:p>
    <w:p>
      <w:pPr>
        <w:spacing w:after="12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新债等申购指令，基金管理人须在申购前1个工作日向基金托管人发送指令，如需在申购当日下达指令，基金管理人应为基金托管人留出执行指令所必需的时间，指令最迟不得晚于上午11：00点（指令截至时间）提交基金托管人。</w:t>
      </w:r>
    </w:p>
    <w:p>
      <w:pPr>
        <w:spacing w:after="12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如划款指令中给予基金托管人的划拨时间小于2个工作小时或晚于前述指令截至时间的，基金托管人应尽力在指定时间内完成资金划拨,但不承担因时间不足导致执行失败的责任。</w:t>
      </w:r>
    </w:p>
    <w:p>
      <w:pPr>
        <w:spacing w:after="12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基金管理人原因造成的指令传输不及时、未能留出足够划款所需时间，致使资金未能及时到账所造成的损失由基金管理人承担。</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任何责任。</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color w:val="000000" w:themeColor="text1"/>
          <w:sz w:val="21"/>
          <w:szCs w:val="21"/>
          <w14:textFill>
            <w14:solidFill>
              <w14:schemeClr w14:val="tx1"/>
            </w14:solidFill>
          </w14:textFill>
        </w:rPr>
      </w:pPr>
      <w:bookmarkStart w:id="34" w:name="_Toc382819094"/>
      <w:r>
        <w:rPr>
          <w:rFonts w:hint="eastAsia" w:ascii="宋体" w:hAnsi="宋体" w:eastAsia="宋体"/>
          <w:b w:val="0"/>
          <w:bCs w:val="0"/>
          <w:color w:val="000000" w:themeColor="text1"/>
          <w:sz w:val="21"/>
          <w:szCs w:val="21"/>
          <w14:textFill>
            <w14:solidFill>
              <w14:schemeClr w14:val="tx1"/>
            </w14:solidFill>
          </w14:textFill>
        </w:rPr>
        <w:t>（四）基金管理人发送错误指令的情形和处理程序</w:t>
      </w:r>
      <w:bookmarkEnd w:id="34"/>
    </w:p>
    <w:p>
      <w:pPr>
        <w:spacing w:after="12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基金管理人发送错误指令的情形包括但不限于指令发送人员无权或超越权限发送指令及交割信息错误，指令中重要信息模糊不清或不全,指令违反法律法规和《基金合同》及本协议约定等。</w:t>
      </w:r>
    </w:p>
    <w:p>
      <w:pPr>
        <w:spacing w:line="360" w:lineRule="auto"/>
        <w:ind w:firstLine="420" w:firstLineChars="200"/>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基金托管人在履行监督职能时，如发现基金管理人的指令错误，有权视情况暂缓或拒绝执行，并及时以书面形式通知基金管理人改正，基金管理人收到通知后应及时核对，并以书面形式对基金托管人发出回函确认。如需撤销指令，基金管理人应出具书面说明，并加盖预留印鉴。</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color w:val="000000" w:themeColor="text1"/>
          <w:sz w:val="21"/>
          <w:szCs w:val="21"/>
          <w14:textFill>
            <w14:solidFill>
              <w14:schemeClr w14:val="tx1"/>
            </w14:solidFill>
          </w14:textFill>
        </w:rPr>
      </w:pPr>
      <w:bookmarkStart w:id="35" w:name="_Toc382819095"/>
      <w:r>
        <w:rPr>
          <w:rFonts w:hint="eastAsia" w:ascii="宋体" w:hAnsi="宋体" w:eastAsia="宋体"/>
          <w:b w:val="0"/>
          <w:bCs w:val="0"/>
          <w:color w:val="000000" w:themeColor="text1"/>
          <w:sz w:val="21"/>
          <w:szCs w:val="21"/>
          <w14:textFill>
            <w14:solidFill>
              <w14:schemeClr w14:val="tx1"/>
            </w14:solidFill>
          </w14:textFill>
        </w:rPr>
        <w:t>（五）基金托管人未按照基金管理人指令执行的处理方法</w:t>
      </w:r>
      <w:bookmarkEnd w:id="35"/>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本协议另有约定外，基金托管人由于自身原因造成未按照或者未及时按照基金管理人发送的符合本协议约定的、按照正常交易程序已经生效的指令执行，给基金份额持有人造成损失的，应负责赔偿相应的直接损失。</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color w:val="000000" w:themeColor="text1"/>
          <w:sz w:val="21"/>
          <w:szCs w:val="21"/>
          <w14:textFill>
            <w14:solidFill>
              <w14:schemeClr w14:val="tx1"/>
            </w14:solidFill>
          </w14:textFill>
        </w:rPr>
      </w:pPr>
      <w:bookmarkStart w:id="36" w:name="_Toc382819096"/>
      <w:r>
        <w:rPr>
          <w:rFonts w:hint="eastAsia" w:ascii="宋体" w:hAnsi="宋体" w:eastAsia="宋体"/>
          <w:b w:val="0"/>
          <w:bCs w:val="0"/>
          <w:color w:val="000000" w:themeColor="text1"/>
          <w:sz w:val="21"/>
          <w:szCs w:val="21"/>
          <w14:textFill>
            <w14:solidFill>
              <w14:schemeClr w14:val="tx1"/>
            </w14:solidFill>
          </w14:textFill>
        </w:rPr>
        <w:t>（六）更换被授权人的程序</w:t>
      </w:r>
      <w:bookmarkEnd w:id="36"/>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管理人更换被授权人、更改或终止对被授权人的授权范围的，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字样本而导致基金份额持有人受损的，基金托管人不承担任何形式的责任。基金托管人更换接受基金管理人指令的人员，应提前通过邮件、传真或录音电话等方式通知基金管理人。</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（七）其它事项</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管理人承担下达违法、违规或违反《基金合同》和本协议约定的指令所导致的责任。除基金托管人存在过错外，基金托管人对执行基金管理人的按照正常交易程序已经生效的指令对基金财产造成的损失不承担赔偿责任。</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21"/>
          <w:szCs w:val="21"/>
          <w14:textFill>
            <w14:solidFill>
              <w14:schemeClr w14:val="tx1"/>
            </w14:solidFill>
          </w14:textFill>
        </w:rPr>
      </w:pPr>
      <w:bookmarkStart w:id="37" w:name="_Toc382819097"/>
      <w:r>
        <w:rPr>
          <w:rFonts w:hint="eastAsia" w:ascii="宋体" w:hAnsi="宋体" w:eastAsia="宋体" w:cs="Arial"/>
          <w:color w:val="000000" w:themeColor="text1"/>
          <w:sz w:val="21"/>
          <w:szCs w:val="21"/>
          <w14:textFill>
            <w14:solidFill>
              <w14:schemeClr w14:val="tx1"/>
            </w14:solidFill>
          </w14:textFill>
        </w:rPr>
        <w:t>交易及清算交收安排</w:t>
      </w:r>
      <w:bookmarkEnd w:id="37"/>
    </w:p>
    <w:p>
      <w:pPr>
        <w:pStyle w:val="3"/>
        <w:keepNext w:val="0"/>
        <w:keepLines w:val="0"/>
        <w:spacing w:before="0" w:after="0"/>
        <w:ind w:firstLine="420" w:firstLineChars="200"/>
        <w:jc w:val="left"/>
        <w:rPr>
          <w:rFonts w:ascii="宋体" w:hAnsi="宋体" w:eastAsia="宋体"/>
          <w:b w:val="0"/>
          <w:color w:val="000000" w:themeColor="text1"/>
          <w:sz w:val="21"/>
          <w:szCs w:val="21"/>
          <w14:textFill>
            <w14:solidFill>
              <w14:schemeClr w14:val="tx1"/>
            </w14:solidFill>
          </w14:textFill>
        </w:rPr>
      </w:pPr>
      <w:bookmarkStart w:id="38" w:name="_Toc382819098"/>
      <w:r>
        <w:rPr>
          <w:rFonts w:hint="eastAsia" w:ascii="宋体" w:hAnsi="宋体" w:eastAsia="宋体"/>
          <w:b w:val="0"/>
          <w:color w:val="000000" w:themeColor="text1"/>
          <w:sz w:val="21"/>
          <w:szCs w:val="21"/>
          <w14:textFill>
            <w14:solidFill>
              <w14:schemeClr w14:val="tx1"/>
            </w14:solidFill>
          </w14:textFill>
        </w:rPr>
        <w:t>（一）选择代理证券、期货买卖的证券、期货经营机构的标准和程序</w:t>
      </w:r>
      <w:bookmarkEnd w:id="38"/>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基金管理人负责选择代理本基金证券买卖的证券经营机构。</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管理人负责根据相关标准以及内部管理制度对有关证券经营机构进行考察后确定代理本基金证券、期货买卖证券经营机构，并承担相应责任。基金管理人和被选择的证券经营机构签订交易单元使用协议，由基金管理人通知基金托管人，并在法定信息披露公告中披露有关内容。</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管理人应在基金起始运作前将基金专用交易单元号、佣金费率等基本信息以及变更情况及时以书面形式通知基金托管人,并将被选中证券经营机构提供的《交易单元租用协议》及时送达基金托管人，确保基金托管人申请接收结算数据。</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管理人负责选择代理本基金期货交易的期货经纪机构，并与其签订期货经纪合同，其他事宜根据法律法规、《基金合同》的相关规定执行，若无明确规定的，可参照有关证券买卖、证券经纪机构选择的规则执行。</w:t>
      </w:r>
    </w:p>
    <w:p>
      <w:pPr>
        <w:pStyle w:val="3"/>
        <w:keepNext w:val="0"/>
        <w:keepLines w:val="0"/>
        <w:spacing w:before="0" w:after="0"/>
        <w:ind w:firstLine="420" w:firstLineChars="200"/>
        <w:jc w:val="left"/>
        <w:rPr>
          <w:rFonts w:ascii="宋体" w:hAnsi="宋体" w:eastAsia="宋体"/>
          <w:b w:val="0"/>
          <w:color w:val="000000" w:themeColor="text1"/>
          <w:sz w:val="21"/>
          <w:szCs w:val="21"/>
          <w14:textFill>
            <w14:solidFill>
              <w14:schemeClr w14:val="tx1"/>
            </w14:solidFill>
          </w14:textFill>
        </w:rPr>
      </w:pPr>
      <w:bookmarkStart w:id="39" w:name="_Toc382819099"/>
      <w:r>
        <w:rPr>
          <w:rFonts w:hint="eastAsia" w:ascii="宋体" w:hAnsi="宋体" w:eastAsia="宋体"/>
          <w:b w:val="0"/>
          <w:color w:val="000000" w:themeColor="text1"/>
          <w:sz w:val="21"/>
          <w:szCs w:val="21"/>
          <w14:textFill>
            <w14:solidFill>
              <w14:schemeClr w14:val="tx1"/>
            </w14:solidFill>
          </w14:textFill>
        </w:rPr>
        <w:t>（二）基金投资证券、</w:t>
      </w:r>
      <w:r>
        <w:rPr>
          <w:rFonts w:ascii="宋体" w:hAnsi="宋体" w:eastAsia="宋体"/>
          <w:b w:val="0"/>
          <w:color w:val="000000" w:themeColor="text1"/>
          <w:sz w:val="21"/>
          <w:szCs w:val="21"/>
          <w14:textFill>
            <w14:solidFill>
              <w14:schemeClr w14:val="tx1"/>
            </w14:solidFill>
          </w14:textFill>
        </w:rPr>
        <w:t>期货</w:t>
      </w:r>
      <w:r>
        <w:rPr>
          <w:rFonts w:hint="eastAsia" w:ascii="宋体" w:hAnsi="宋体" w:eastAsia="宋体"/>
          <w:b w:val="0"/>
          <w:color w:val="000000" w:themeColor="text1"/>
          <w:sz w:val="21"/>
          <w:szCs w:val="21"/>
          <w14:textFill>
            <w14:solidFill>
              <w14:schemeClr w14:val="tx1"/>
            </w14:solidFill>
          </w14:textFill>
        </w:rPr>
        <w:t>后的清算交收安排</w:t>
      </w:r>
      <w:bookmarkEnd w:id="39"/>
      <w:bookmarkStart w:id="40" w:name="_Toc382819100"/>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1、本基金投资于证券、</w:t>
      </w:r>
      <w:r>
        <w:rPr>
          <w:rFonts w:ascii="宋体" w:hAnsi="宋体" w:eastAsia="宋体"/>
          <w:b w:val="0"/>
          <w:bCs w:val="0"/>
          <w:color w:val="000000" w:themeColor="text1"/>
          <w:sz w:val="21"/>
          <w:szCs w:val="21"/>
          <w14:textFill>
            <w14:solidFill>
              <w14:schemeClr w14:val="tx1"/>
            </w14:solidFill>
          </w14:textFill>
        </w:rPr>
        <w:t>期货</w:t>
      </w:r>
      <w:r>
        <w:rPr>
          <w:rFonts w:hint="eastAsia" w:ascii="宋体" w:hAnsi="宋体" w:eastAsia="宋体"/>
          <w:b w:val="0"/>
          <w:bCs w:val="0"/>
          <w:color w:val="000000" w:themeColor="text1"/>
          <w:sz w:val="21"/>
          <w:szCs w:val="21"/>
          <w14:textFill>
            <w14:solidFill>
              <w14:schemeClr w14:val="tx1"/>
            </w14:solidFill>
          </w14:textFill>
        </w:rPr>
        <w:t>发生的所有场内、场外交易的资金清算交割，全部由基金托管人负责办理。</w:t>
      </w:r>
      <w:bookmarkEnd w:id="40"/>
      <w:bookmarkStart w:id="41" w:name="_Toc382819101"/>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2、本基金投资于场内交易的投资品种前，基金管理人和基金托管人应当另行签署托管银行证券资金结算协议。</w:t>
      </w:r>
      <w:bookmarkEnd w:id="41"/>
    </w:p>
    <w:p>
      <w:pPr>
        <w:pStyle w:val="9"/>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3、本基金投资于非担保交收的投资品种时，基金管理人应遵守基金托管人提前以告客户书形式提供的书面通知。</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4、银行间债券券款对付结算</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基金管理人应及时将银行间市场清算所股份有限公司、中央国债登记结算有限责任公司划款指令按相关规定提交基金托管人，基金管理人应为基金托管人留出执行指令所必需的时间。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管理人应根据银行间市场清算所股份有限公司、中央国债登记结算有限责任公司提供的查询功能，实时跟踪交易结算情况、证券与资金到账与余额变动情况，便于监控结算过程，做好资金与交易匹配的前端控制。</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5、定期投资基金管理人与存款行签订的存款协议条款格式应在定期存款起息日及</w:t>
      </w:r>
      <w:r>
        <w:rPr>
          <w:rFonts w:ascii="宋体" w:hAnsi="宋体"/>
          <w:color w:val="000000" w:themeColor="text1"/>
          <w:szCs w:val="21"/>
          <w14:textFill>
            <w14:solidFill>
              <w14:schemeClr w14:val="tx1"/>
            </w14:solidFill>
          </w14:textFill>
        </w:rPr>
        <w:t>之</w:t>
      </w:r>
      <w:r>
        <w:rPr>
          <w:rFonts w:hint="eastAsia" w:ascii="宋体" w:hAnsi="宋体"/>
          <w:color w:val="000000" w:themeColor="text1"/>
          <w:szCs w:val="21"/>
          <w14:textFill>
            <w14:solidFill>
              <w14:schemeClr w14:val="tx1"/>
            </w14:solidFill>
          </w14:textFill>
        </w:rPr>
        <w:t>前发送给托管人，</w:t>
      </w:r>
      <w:r>
        <w:rPr>
          <w:rFonts w:hint="eastAsia" w:ascii="宋体" w:hAnsi="宋体" w:cs="Arial"/>
          <w:color w:val="000000" w:themeColor="text1"/>
          <w:szCs w:val="21"/>
          <w14:textFill>
            <w14:solidFill>
              <w14:schemeClr w14:val="tx1"/>
            </w14:solidFill>
          </w14:textFill>
        </w:rPr>
        <w:t>基金管理人应将</w:t>
      </w:r>
      <w:r>
        <w:rPr>
          <w:rFonts w:hint="eastAsia" w:ascii="宋体" w:hAnsi="宋体"/>
          <w:color w:val="000000" w:themeColor="text1"/>
          <w:szCs w:val="21"/>
          <w14:textFill>
            <w14:solidFill>
              <w14:schemeClr w14:val="tx1"/>
            </w14:solidFill>
          </w14:textFill>
        </w:rPr>
        <w:t>定期存款的划款指令及存款协议盖章版（传真件或扫描件）按法律法规、基金合同及托管协议的规定提交基金托管人，指令发出后，基金管理人应及时向基金托管人确认。对于基金管理人依约定程序发出的指令，基金管理人不得否认其效力。</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管理人在发送投资指令时，应为基金托管人执行投资指令留出执行指令所必需的时间。因基金管理人原因导致投资指令传输不及时、未能留出足够的划款时间，导致资金未能及时到账所造成的损失由基金管理人承担。</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存款银行无法在存入当日17点前向基金托管人送达存款证实书的，基金管理人应敦促存款银行将存款证实扫描件发送至基金托管人。存款证实书送达基金托管人后，基金托管人负责保管存款证实书原件。基金托管人仅对存款证实书进行形式审核，形式审核内容为账户名称、起息日、到期日、金额、利率。基金托管人不对存款证实书真实性承担审核职责。</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6、本基金拟投资于期货交易市场前，基金管理人、期货经纪机构及基金托管人应当另行签署国债期货投资托管协议。</w:t>
      </w:r>
    </w:p>
    <w:p>
      <w:pPr>
        <w:pStyle w:val="3"/>
        <w:keepNext w:val="0"/>
        <w:keepLines w:val="0"/>
        <w:spacing w:before="0" w:after="0"/>
        <w:ind w:firstLine="420" w:firstLineChars="200"/>
        <w:jc w:val="left"/>
        <w:rPr>
          <w:rFonts w:ascii="宋体" w:hAnsi="宋体" w:eastAsia="宋体"/>
          <w:b w:val="0"/>
          <w:color w:val="000000" w:themeColor="text1"/>
          <w:sz w:val="21"/>
          <w:szCs w:val="21"/>
          <w14:textFill>
            <w14:solidFill>
              <w14:schemeClr w14:val="tx1"/>
            </w14:solidFill>
          </w14:textFill>
        </w:rPr>
      </w:pPr>
      <w:bookmarkStart w:id="42" w:name="_Toc382819102"/>
      <w:r>
        <w:rPr>
          <w:rFonts w:hint="eastAsia" w:ascii="宋体" w:hAnsi="宋体" w:eastAsia="宋体"/>
          <w:b w:val="0"/>
          <w:color w:val="000000" w:themeColor="text1"/>
          <w:sz w:val="21"/>
          <w:szCs w:val="21"/>
          <w14:textFill>
            <w14:solidFill>
              <w14:schemeClr w14:val="tx1"/>
            </w14:solidFill>
          </w14:textFill>
        </w:rPr>
        <w:t>（三）可用资金余额的确认</w:t>
      </w:r>
      <w:bookmarkEnd w:id="42"/>
    </w:p>
    <w:p>
      <w:pPr>
        <w:spacing w:line="360" w:lineRule="auto"/>
        <w:ind w:firstLine="420" w:firstLineChars="20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基金托管人应于每个工作日上午9：30 前将托管账户的可用资金余额以双方认可的方式提供给基金管理人。</w:t>
      </w:r>
    </w:p>
    <w:p>
      <w:pPr>
        <w:tabs>
          <w:tab w:val="left" w:pos="4680"/>
        </w:tabs>
        <w:spacing w:line="360" w:lineRule="auto"/>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（四）交易记录、资金、证券账目的核对</w:t>
      </w:r>
    </w:p>
    <w:p>
      <w:pPr>
        <w:tabs>
          <w:tab w:val="left" w:pos="4680"/>
        </w:tabs>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1、交易记录的核对</w:t>
      </w:r>
    </w:p>
    <w:p>
      <w:pPr>
        <w:tabs>
          <w:tab w:val="left" w:pos="4680"/>
        </w:tabs>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基金管理人和基金托管人按日进行交易记录的核对。对外披露净值之前，必须保证当天所有实际交易记录与基金会计账簿上的交易记录一致。</w:t>
      </w:r>
    </w:p>
    <w:p>
      <w:pPr>
        <w:tabs>
          <w:tab w:val="left" w:pos="4680"/>
        </w:tabs>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2、资金账目的核对</w:t>
      </w:r>
    </w:p>
    <w:p>
      <w:pPr>
        <w:tabs>
          <w:tab w:val="left" w:pos="4680"/>
        </w:tabs>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资金账目包括基金的银行存款等会计资料。资金账目由基金托管人每日进行账实核对，基金管理人复核托管人提供的可用头寸表核对资金余额。银行存款账户每日核对，做到账账相符、账实相符。</w:t>
      </w:r>
    </w:p>
    <w:p>
      <w:pPr>
        <w:tabs>
          <w:tab w:val="left" w:pos="4680"/>
        </w:tabs>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3、证券账目的核对</w:t>
      </w:r>
    </w:p>
    <w:p>
      <w:pPr>
        <w:tabs>
          <w:tab w:val="left" w:pos="4680"/>
        </w:tabs>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pPr>
        <w:tabs>
          <w:tab w:val="left" w:pos="4680"/>
        </w:tabs>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（五）基金申购、赎回、转换业务处理的基本规定</w:t>
      </w:r>
    </w:p>
    <w:p>
      <w:pPr>
        <w:tabs>
          <w:tab w:val="left" w:pos="4680"/>
        </w:tabs>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基金管理人可根据实际情况依法决定本基金开始办理申购的具体日期，具体业务办理时间在申购开始公告中规定。基金管理人自基金合同生效之日起不超过3个月开始办理赎回，具体业务办理时间在赎回开始公告中规定。基金份额申购、赎回的确认、清算由基金管理人或其委托的注册登记机构负责。</w:t>
      </w:r>
    </w:p>
    <w:p>
      <w:pPr>
        <w:tabs>
          <w:tab w:val="left" w:pos="4680"/>
        </w:tabs>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基金管理人应在每个交易日按本协议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注册登记机构每个工作日15:00 前向基金托管人发送前一开放日的上述有关数据，并保证相关数据的准确、完整。</w:t>
      </w:r>
    </w:p>
    <w:p>
      <w:pPr>
        <w:tabs>
          <w:tab w:val="left" w:pos="4680"/>
        </w:tabs>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pPr>
        <w:tabs>
          <w:tab w:val="left" w:pos="4680"/>
        </w:tabs>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4、基金管理人应保证其发送的注册登记数据的接口规范与基金托管人的接口规范保持一致。</w:t>
      </w:r>
    </w:p>
    <w:p>
      <w:pPr>
        <w:tabs>
          <w:tab w:val="left" w:pos="4680"/>
        </w:tabs>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5、基金注册登记清算专用账户的开立和管理</w:t>
      </w:r>
    </w:p>
    <w:p>
      <w:pPr>
        <w:tabs>
          <w:tab w:val="left" w:pos="4680"/>
        </w:tabs>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为满足申购、赎回等资金汇划的需要，基金管理人应开立用于基金申购、赎回等资金清算的基金注册登记清算专用账户。</w:t>
      </w:r>
    </w:p>
    <w:p>
      <w:pPr>
        <w:tabs>
          <w:tab w:val="left" w:pos="4680"/>
        </w:tabs>
        <w:spacing w:line="360" w:lineRule="auto"/>
        <w:ind w:firstLine="420" w:firstLineChars="200"/>
        <w:jc w:val="left"/>
        <w:rPr>
          <w:rFonts w:ascii="宋体" w:hAnsi="宋体"/>
          <w:color w:val="000000" w:themeColor="text1"/>
          <w:kern w:val="2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hint="eastAsia" w:ascii="宋体" w:hAnsi="宋体"/>
          <w:color w:val="000000" w:themeColor="text1"/>
          <w:kern w:val="21"/>
          <w:szCs w:val="21"/>
          <w14:textFill>
            <w14:solidFill>
              <w14:schemeClr w14:val="tx1"/>
            </w14:solidFill>
          </w14:textFill>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基金管理人应负责向有关当事人追偿基金的损失，</w:t>
      </w:r>
      <w:r>
        <w:rPr>
          <w:rFonts w:hint="eastAsia" w:ascii="宋体" w:hAnsi="宋体"/>
          <w:color w:val="000000" w:themeColor="text1"/>
          <w:szCs w:val="21"/>
          <w14:textFill>
            <w14:solidFill>
              <w14:schemeClr w14:val="tx1"/>
            </w14:solidFill>
          </w14:textFill>
        </w:rPr>
        <w:t>基金托管人不承担任何责任</w:t>
      </w:r>
      <w:r>
        <w:rPr>
          <w:rFonts w:hint="eastAsia" w:ascii="宋体" w:hAnsi="宋体"/>
          <w:color w:val="000000" w:themeColor="text1"/>
          <w:kern w:val="21"/>
          <w:szCs w:val="21"/>
          <w14:textFill>
            <w14:solidFill>
              <w14:schemeClr w14:val="tx1"/>
            </w14:solidFill>
          </w14:textFill>
        </w:rPr>
        <w:t>。</w:t>
      </w:r>
    </w:p>
    <w:p>
      <w:pPr>
        <w:tabs>
          <w:tab w:val="left" w:pos="4680"/>
        </w:tabs>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7、赎回资金的支付</w:t>
      </w:r>
    </w:p>
    <w:p>
      <w:pPr>
        <w:tabs>
          <w:tab w:val="left" w:pos="4680"/>
        </w:tabs>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托管人在根据基金管理人指令支付赎回款时，如托管专户中本基金有足够的资金，基金托管人应按《基金合同》和本协议的规定支付；如托管专户中本基金有足额的资金且基金托管人有足够合理的时间进行划款，而基金托管人未及时执行合法合规的指令的，责任由基金托管人承担，但不可抗力导致的情形除外。因托管专户中本基金没有足够的资金，导致基金托管人不能按时支付，如是基金管理人的原因造成，责任由基金管理人承担，基金托管人不承担垫款义务；如是除基金管理人、基金托管人外的第三方原因造成的，责任由第三方承担，基金托管人不承担垫款义务，若给基金份额持有人造成损失的，基金托管人负有配合基金管理人向第三方追偿的义务。</w:t>
      </w:r>
    </w:p>
    <w:p>
      <w:pPr>
        <w:tabs>
          <w:tab w:val="left" w:pos="4680"/>
        </w:tabs>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8、资金支付执行和责任界定</w:t>
      </w:r>
    </w:p>
    <w:p>
      <w:pPr>
        <w:tabs>
          <w:tab w:val="left" w:pos="4680"/>
        </w:tabs>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除申购款项到达基金托管人处的基金账户需双方按约定方式对账外，净额划出、赎回资金支付时，应按照本协议相关规定执行。若本协议没有规定的按双方协商一致内容执行。</w:t>
      </w:r>
    </w:p>
    <w:p>
      <w:pPr>
        <w:tabs>
          <w:tab w:val="left" w:pos="4680"/>
        </w:tabs>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管理人和基金托管人应采取所有必要措施确保申购和赎回等资金在本协议相关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pPr>
        <w:tabs>
          <w:tab w:val="left" w:pos="4680"/>
        </w:tabs>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9、暂停赎回和巨额赎回处理</w:t>
      </w:r>
    </w:p>
    <w:p>
      <w:pPr>
        <w:tabs>
          <w:tab w:val="left" w:pos="4680"/>
        </w:tabs>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pPr>
        <w:tabs>
          <w:tab w:val="left" w:pos="4680"/>
        </w:tabs>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（六）申购赎回资金结算</w:t>
      </w:r>
    </w:p>
    <w:p>
      <w:pPr>
        <w:tabs>
          <w:tab w:val="left" w:pos="4680"/>
        </w:tabs>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托管账户与“基金清算账户”间的资金清算遵循“全额清算、净额交收”的原则，即每日（T日：资金交收日，下同）按照托管账户当日应收资金与托管账户应付额的差额来确定托管账户净应收额或净应付额，以此确定资金交收额。当存在托管账户净应收额时，基金管理人负责将托管账户净应收额在T日16:00前从“基金清算账户”划到基金托管账户；当存在托管账户净应付额时，基金管理人应在T日10点前将划款指令发送给基金托管人，基金托管人按管理人的划款指令将托管账户净应付额在T日12:00前划到“基金清算账户”</w:t>
      </w:r>
    </w:p>
    <w:p>
      <w:pPr>
        <w:tabs>
          <w:tab w:val="left" w:pos="4680"/>
        </w:tabs>
        <w:spacing w:line="360" w:lineRule="auto"/>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（七）基金转换</w:t>
      </w:r>
    </w:p>
    <w:p>
      <w:pPr>
        <w:tabs>
          <w:tab w:val="left" w:pos="4680"/>
        </w:tabs>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基金管理人与基金托管人按照相关法律法规、《基金合同》、以及本协议的规定办理基金转换。</w:t>
      </w:r>
    </w:p>
    <w:p>
      <w:pPr>
        <w:tabs>
          <w:tab w:val="left" w:pos="4680"/>
        </w:tabs>
        <w:spacing w:line="360" w:lineRule="auto"/>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(八)基金出现超买或超卖的责任认定及处理程序</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托管人在履行监督职能时，如果发现基金投资证券过程中出现超买或超卖现象，应立即提醒基金管理人，由基金管理人负责解决，如因基金管理人过错给基金及基金托管人造成的损失由基金管理人承担。如果非因基金托管人原因发生超买行为，基金管理人必须于T+1日上午12时之前划拨资金，用以完成清算交收。</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（九）关于交易及清算交收安排应当按照本部分的规定或其他基金管理人和基金托管人双方书面共同确认的方式执行。</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21"/>
          <w:szCs w:val="21"/>
          <w14:textFill>
            <w14:solidFill>
              <w14:schemeClr w14:val="tx1"/>
            </w14:solidFill>
          </w14:textFill>
        </w:rPr>
      </w:pPr>
      <w:bookmarkStart w:id="43" w:name="_Toc382819103"/>
      <w:r>
        <w:rPr>
          <w:rFonts w:hint="eastAsia" w:ascii="宋体" w:hAnsi="宋体" w:eastAsia="宋体" w:cs="Arial"/>
          <w:color w:val="000000" w:themeColor="text1"/>
          <w:sz w:val="21"/>
          <w:szCs w:val="21"/>
          <w14:textFill>
            <w14:solidFill>
              <w14:schemeClr w14:val="tx1"/>
            </w14:solidFill>
          </w14:textFill>
        </w:rPr>
        <w:t>基金资产净值计算和会计核算</w:t>
      </w:r>
      <w:bookmarkEnd w:id="43"/>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color w:val="000000" w:themeColor="text1"/>
          <w:sz w:val="21"/>
          <w:szCs w:val="21"/>
          <w14:textFill>
            <w14:solidFill>
              <w14:schemeClr w14:val="tx1"/>
            </w14:solidFill>
          </w14:textFill>
        </w:rPr>
      </w:pPr>
      <w:bookmarkStart w:id="44" w:name="_Toc382819104"/>
      <w:r>
        <w:rPr>
          <w:rFonts w:hint="eastAsia" w:ascii="宋体" w:hAnsi="宋体" w:eastAsia="宋体"/>
          <w:b w:val="0"/>
          <w:bCs w:val="0"/>
          <w:color w:val="000000" w:themeColor="text1"/>
          <w:sz w:val="21"/>
          <w:szCs w:val="21"/>
          <w14:textFill>
            <w14:solidFill>
              <w14:schemeClr w14:val="tx1"/>
            </w14:solidFill>
          </w14:textFill>
        </w:rPr>
        <w:t>（一）基金资产净值的计算</w:t>
      </w: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b w:val="0"/>
          <w:bCs w:val="0"/>
          <w:color w:val="000000" w:themeColor="text1"/>
          <w:sz w:val="21"/>
          <w:szCs w:val="21"/>
          <w14:textFill>
            <w14:solidFill>
              <w14:schemeClr w14:val="tx1"/>
            </w14:solidFill>
          </w14:textFill>
        </w:rPr>
        <w:t>复核的时间和程序</w:t>
      </w:r>
      <w:bookmarkEnd w:id="44"/>
    </w:p>
    <w:p>
      <w:pPr>
        <w:spacing w:line="440" w:lineRule="atLeast"/>
        <w:ind w:right="28"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资产净值是指基金资产总值减去负债后的价值。各类基金份额净值是指计算日该类基金资产净值除以该计算日该类基金份额总份额后的数值。各类基金份额净值的计算均保留到小数点后4位，小数点后第5位四舍五入。基金管理人可以设立大额赎回情形下的净值精度应急调整机制。国家另有规定的，从其规定。</w:t>
      </w:r>
    </w:p>
    <w:p>
      <w:pPr>
        <w:spacing w:line="440" w:lineRule="atLeast"/>
        <w:ind w:right="28"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每个工作日，基金管理人应对基金资产估值。但基金管理人根据法律法规或基金合同的规定暂停估值时除外。估值原则应符合《基金合同》、《证券投资基金会计核算业务指引》及其他法律、法规的规定。</w:t>
      </w:r>
      <w:r>
        <w:rPr>
          <w:rFonts w:hint="eastAsia" w:ascii="宋体" w:hAnsi="宋体" w:cs="宋体"/>
          <w:color w:val="000000" w:themeColor="text1"/>
          <w:kern w:val="0"/>
          <w:szCs w:val="21"/>
          <w14:textFill>
            <w14:solidFill>
              <w14:schemeClr w14:val="tx1"/>
            </w14:solidFill>
          </w14:textFill>
        </w:rPr>
        <w:t>基金管理人应于每个工作日交易结束后计算当日的各类基金份额净值和基金资产净值并以双方认可的方式发送给基金托管人。基金托管人对净值计算结果复核后以双方认可的方式发送给基金管理人，由基金管理人按约定对外公布。</w:t>
      </w:r>
    </w:p>
    <w:p>
      <w:pPr>
        <w:tabs>
          <w:tab w:val="left" w:pos="900"/>
        </w:tabs>
        <w:spacing w:line="360" w:lineRule="auto"/>
        <w:ind w:right="28"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法律法规以及监管部门有强制规定的，从其规定。如有新增事项，按国家最新规定估值。</w:t>
      </w:r>
    </w:p>
    <w:p>
      <w:pPr>
        <w:pStyle w:val="3"/>
        <w:keepNext w:val="0"/>
        <w:keepLines w:val="0"/>
        <w:autoSpaceDE w:val="0"/>
        <w:autoSpaceDN w:val="0"/>
        <w:adjustRightInd w:val="0"/>
        <w:spacing w:before="0" w:after="0" w:line="440" w:lineRule="atLeast"/>
        <w:ind w:firstLine="420" w:firstLineChars="200"/>
        <w:textAlignment w:val="baseline"/>
        <w:rPr>
          <w:rFonts w:ascii="宋体" w:hAnsi="宋体" w:eastAsia="宋体"/>
          <w:b w:val="0"/>
          <w:bCs w:val="0"/>
          <w:color w:val="000000" w:themeColor="text1"/>
          <w:sz w:val="21"/>
          <w:szCs w:val="21"/>
          <w14:textFill>
            <w14:solidFill>
              <w14:schemeClr w14:val="tx1"/>
            </w14:solidFill>
          </w14:textFill>
        </w:rPr>
      </w:pPr>
      <w:bookmarkStart w:id="45" w:name="_Toc382819105"/>
      <w:r>
        <w:rPr>
          <w:rFonts w:hint="eastAsia" w:ascii="宋体" w:hAnsi="宋体" w:eastAsia="宋体"/>
          <w:b w:val="0"/>
          <w:bCs w:val="0"/>
          <w:color w:val="000000" w:themeColor="text1"/>
          <w:sz w:val="21"/>
          <w:szCs w:val="21"/>
          <w14:textFill>
            <w14:solidFill>
              <w14:schemeClr w14:val="tx1"/>
            </w14:solidFill>
          </w14:textFill>
        </w:rPr>
        <w:t>（二）基金资产估值</w:t>
      </w:r>
      <w:bookmarkEnd w:id="45"/>
    </w:p>
    <w:p>
      <w:pPr>
        <w:spacing w:line="440" w:lineRule="atLeast"/>
        <w:ind w:right="28"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估值原则应符合《基金合同》、《证券投资基金会计核算业务指引》及其他法律法规的规定的约定。</w:t>
      </w:r>
    </w:p>
    <w:p>
      <w:pPr>
        <w:spacing w:line="440" w:lineRule="atLeast"/>
        <w:ind w:right="28"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当相关法律法规或《基金合同》规定的估值方法不能客观反映基金财产公允价值时，基金管理人可根据具体情况，并与基金托管人商定后，按最能反映公允价值的价格估值。</w:t>
      </w:r>
    </w:p>
    <w:p>
      <w:pPr>
        <w:spacing w:line="440" w:lineRule="atLeast"/>
        <w:ind w:right="28" w:firstLine="420" w:firstLineChars="20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1、估值日</w:t>
      </w:r>
    </w:p>
    <w:p>
      <w:pPr>
        <w:spacing w:line="440" w:lineRule="atLeast"/>
        <w:ind w:right="28" w:firstLine="420" w:firstLineChars="20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本基金的估值日为本基金相关的证券</w:t>
      </w:r>
      <w:r>
        <w:rPr>
          <w:rFonts w:hint="eastAsia" w:ascii="宋体" w:hAnsi="宋体"/>
          <w:bCs/>
          <w:color w:val="000000" w:themeColor="text1"/>
          <w:szCs w:val="21"/>
          <w14:textFill>
            <w14:solidFill>
              <w14:schemeClr w14:val="tx1"/>
            </w14:solidFill>
          </w14:textFill>
        </w:rPr>
        <w:t>/期货</w:t>
      </w:r>
      <w:r>
        <w:rPr>
          <w:rFonts w:ascii="宋体" w:hAnsi="宋体"/>
          <w:bCs/>
          <w:color w:val="000000" w:themeColor="text1"/>
          <w:szCs w:val="21"/>
          <w14:textFill>
            <w14:solidFill>
              <w14:schemeClr w14:val="tx1"/>
            </w14:solidFill>
          </w14:textFill>
        </w:rPr>
        <w:t>交易场所的交易日以及国家法律法规规定需要对外披露基金净值的非交易日。</w:t>
      </w:r>
    </w:p>
    <w:p>
      <w:pPr>
        <w:spacing w:line="440" w:lineRule="atLeast"/>
        <w:ind w:right="28"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w:t>
      </w:r>
      <w:r>
        <w:rPr>
          <w:rFonts w:ascii="宋体" w:hAnsi="宋体"/>
          <w:bCs/>
          <w:color w:val="000000" w:themeColor="text1"/>
          <w:szCs w:val="21"/>
          <w14:textFill>
            <w14:solidFill>
              <w14:schemeClr w14:val="tx1"/>
            </w14:solidFill>
          </w14:textFill>
        </w:rPr>
        <w:t>、估值对象</w:t>
      </w:r>
    </w:p>
    <w:p>
      <w:pPr>
        <w:spacing w:line="440" w:lineRule="atLeast"/>
        <w:ind w:right="28" w:firstLine="420" w:firstLineChars="20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基金所拥有的债券</w:t>
      </w:r>
      <w:r>
        <w:rPr>
          <w:rFonts w:hint="eastAsia" w:ascii="宋体" w:hAnsi="宋体"/>
          <w:bCs/>
          <w:color w:val="000000" w:themeColor="text1"/>
          <w:szCs w:val="21"/>
          <w14:textFill>
            <w14:solidFill>
              <w14:schemeClr w14:val="tx1"/>
            </w14:solidFill>
          </w14:textFill>
        </w:rPr>
        <w:t>、资产支持证券、国债期货、</w:t>
      </w:r>
      <w:r>
        <w:rPr>
          <w:rFonts w:ascii="宋体" w:hAnsi="宋体"/>
          <w:bCs/>
          <w:color w:val="000000" w:themeColor="text1"/>
          <w:szCs w:val="21"/>
          <w14:textFill>
            <w14:solidFill>
              <w14:schemeClr w14:val="tx1"/>
            </w14:solidFill>
          </w14:textFill>
        </w:rPr>
        <w:t>银行存款本息、应收款项</w:t>
      </w:r>
      <w:r>
        <w:rPr>
          <w:rFonts w:hint="eastAsia" w:ascii="宋体" w:hAnsi="宋体"/>
          <w:bCs/>
          <w:color w:val="000000" w:themeColor="text1"/>
          <w:szCs w:val="21"/>
          <w14:textFill>
            <w14:solidFill>
              <w14:schemeClr w14:val="tx1"/>
            </w14:solidFill>
          </w14:textFill>
        </w:rPr>
        <w:t>和</w:t>
      </w:r>
      <w:r>
        <w:rPr>
          <w:rFonts w:ascii="宋体" w:hAnsi="宋体"/>
          <w:bCs/>
          <w:color w:val="000000" w:themeColor="text1"/>
          <w:szCs w:val="21"/>
          <w14:textFill>
            <w14:solidFill>
              <w14:schemeClr w14:val="tx1"/>
            </w14:solidFill>
          </w14:textFill>
        </w:rPr>
        <w:t>其它投资等资产及负债。</w:t>
      </w:r>
    </w:p>
    <w:p>
      <w:pPr>
        <w:spacing w:line="440" w:lineRule="atLeast"/>
        <w:ind w:right="28"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3、估值原则</w:t>
      </w:r>
    </w:p>
    <w:p>
      <w:pPr>
        <w:spacing w:line="440" w:lineRule="atLeast"/>
        <w:ind w:right="28"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基金管理人在确定相关金融资产和金融负债的公允价值时，应符合《企业会计准则》、监管部门有关规定。</w:t>
      </w:r>
    </w:p>
    <w:p>
      <w:pPr>
        <w:spacing w:line="440" w:lineRule="atLeast"/>
        <w:ind w:right="28"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spacing w:line="440" w:lineRule="atLeast"/>
        <w:ind w:right="28"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spacing w:line="440" w:lineRule="atLeast"/>
        <w:ind w:right="28"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spacing w:line="440" w:lineRule="atLeast"/>
        <w:ind w:right="28"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（3）如经济环境发生重大变化或证券发行人发生影响证券价格的重大事件，使潜在估值调整对前一估值日的基金资产净值的影响在0.25%以上的，应对估值进行调整并确定公允价值。</w:t>
      </w:r>
    </w:p>
    <w:p>
      <w:pPr>
        <w:spacing w:line="440" w:lineRule="atLeast"/>
        <w:ind w:right="28"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w:t>
      </w:r>
      <w:r>
        <w:rPr>
          <w:rFonts w:ascii="宋体" w:hAnsi="宋体"/>
          <w:bCs/>
          <w:color w:val="000000" w:themeColor="text1"/>
          <w:szCs w:val="21"/>
          <w14:textFill>
            <w14:solidFill>
              <w14:schemeClr w14:val="tx1"/>
            </w14:solidFill>
          </w14:textFill>
        </w:rPr>
        <w:t>、估值方法</w:t>
      </w:r>
    </w:p>
    <w:p>
      <w:pPr>
        <w:spacing w:line="440" w:lineRule="atLeast"/>
        <w:ind w:right="28"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1</w:t>
      </w: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证券交易所上市的有价证券的估值</w:t>
      </w:r>
    </w:p>
    <w:p>
      <w:pPr>
        <w:spacing w:line="440" w:lineRule="atLeast"/>
        <w:ind w:right="28" w:firstLine="420" w:firstLineChars="20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1）交易所上市的有价证券，以其估值日在证券交易所挂牌的市价（收盘价）估值；估值日无交易的，且最近交易日后经济环境未发生重大变化</w:t>
      </w:r>
      <w:r>
        <w:rPr>
          <w:rFonts w:hint="eastAsia" w:ascii="宋体" w:hAnsi="宋体"/>
          <w:bCs/>
          <w:color w:val="000000" w:themeColor="text1"/>
          <w:szCs w:val="21"/>
          <w14:textFill>
            <w14:solidFill>
              <w14:schemeClr w14:val="tx1"/>
            </w14:solidFill>
          </w14:textFill>
        </w:rPr>
        <w:t>或</w:t>
      </w:r>
      <w:r>
        <w:rPr>
          <w:rFonts w:ascii="宋体" w:hAnsi="宋体"/>
          <w:bCs/>
          <w:color w:val="000000" w:themeColor="text1"/>
          <w:szCs w:val="21"/>
          <w14:textFill>
            <w14:solidFill>
              <w14:schemeClr w14:val="tx1"/>
            </w14:solidFill>
          </w14:textFill>
        </w:rPr>
        <w:t>证券发行机构未发生影响证券价格的重大事件的，以最近交易日的市价（收盘价）估值；如最近交易日后经济环境发生了重大变化</w:t>
      </w:r>
      <w:r>
        <w:rPr>
          <w:rFonts w:hint="eastAsia" w:ascii="宋体" w:hAnsi="宋体"/>
          <w:bCs/>
          <w:color w:val="000000" w:themeColor="text1"/>
          <w:szCs w:val="21"/>
          <w14:textFill>
            <w14:solidFill>
              <w14:schemeClr w14:val="tx1"/>
            </w14:solidFill>
          </w14:textFill>
        </w:rPr>
        <w:t>或</w:t>
      </w:r>
      <w:r>
        <w:rPr>
          <w:rFonts w:ascii="宋体" w:hAnsi="宋体"/>
          <w:bCs/>
          <w:color w:val="000000" w:themeColor="text1"/>
          <w:szCs w:val="21"/>
          <w14:textFill>
            <w14:solidFill>
              <w14:schemeClr w14:val="tx1"/>
            </w14:solidFill>
          </w14:textFill>
        </w:rPr>
        <w:t>证券发行机构发生影响证券价格的重大事件的，可参考类似投资品种的现行市价及重大变化因素，调整最近交易市价，确定公允价格</w:t>
      </w:r>
      <w:r>
        <w:rPr>
          <w:rFonts w:hint="eastAsia" w:ascii="宋体" w:hAnsi="宋体"/>
          <w:bCs/>
          <w:color w:val="000000" w:themeColor="text1"/>
          <w:szCs w:val="21"/>
          <w14:textFill>
            <w14:solidFill>
              <w14:schemeClr w14:val="tx1"/>
            </w14:solidFill>
          </w14:textFill>
        </w:rPr>
        <w:t>；</w:t>
      </w:r>
    </w:p>
    <w:p>
      <w:pPr>
        <w:spacing w:line="440" w:lineRule="atLeast"/>
        <w:ind w:right="28" w:firstLine="420" w:firstLineChars="20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2）交易所上市交易或挂牌转让的不含权固定收益品种，选取估值日第三方估值机构提供的相应品种当日的估值净价进行估值；</w:t>
      </w:r>
    </w:p>
    <w:p>
      <w:pPr>
        <w:spacing w:line="440" w:lineRule="atLeast"/>
        <w:ind w:right="28" w:firstLine="420" w:firstLineChars="20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3）交易所上市交易或挂牌转让的含权固定收益品种，选取估值日第三方估值机构提供的相应品种当日的唯一估值净价或推荐估值净价进行估值；</w:t>
      </w:r>
    </w:p>
    <w:p>
      <w:pPr>
        <w:spacing w:line="440" w:lineRule="atLeast"/>
        <w:ind w:right="28" w:firstLine="420" w:firstLineChars="20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4）</w:t>
      </w:r>
      <w:r>
        <w:rPr>
          <w:rFonts w:hint="eastAsia" w:ascii="宋体" w:hAnsi="宋体"/>
          <w:bCs/>
          <w:color w:val="000000" w:themeColor="text1"/>
          <w:szCs w:val="21"/>
          <w14:textFill>
            <w14:solidFill>
              <w14:schemeClr w14:val="tx1"/>
            </w14:solidFill>
          </w14:textFill>
        </w:rPr>
        <w:t>交易所上市交易的可转换债券以每日收盘价作为估值全价；</w:t>
      </w:r>
    </w:p>
    <w:p>
      <w:pPr>
        <w:spacing w:line="440" w:lineRule="atLeast"/>
        <w:ind w:right="28"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w:t>
      </w:r>
      <w:r>
        <w:rPr>
          <w:rFonts w:ascii="宋体" w:hAnsi="宋体"/>
          <w:bCs/>
          <w:color w:val="000000" w:themeColor="text1"/>
          <w:szCs w:val="21"/>
          <w14:textFill>
            <w14:solidFill>
              <w14:schemeClr w14:val="tx1"/>
            </w14:solidFill>
          </w14:textFill>
        </w:rPr>
        <w:t>）交易所上市不存在活跃市场的有价证券，采用估值技术确定公允价值。</w:t>
      </w:r>
      <w:r>
        <w:rPr>
          <w:rFonts w:hint="eastAsia" w:ascii="宋体" w:hAnsi="宋体"/>
          <w:bCs/>
          <w:color w:val="000000" w:themeColor="text1"/>
          <w:szCs w:val="21"/>
          <w14:textFill>
            <w14:solidFill>
              <w14:schemeClr w14:val="tx1"/>
            </w14:solidFill>
          </w14:textFill>
        </w:rPr>
        <w:t>交易所市场挂牌转让</w:t>
      </w:r>
      <w:r>
        <w:rPr>
          <w:rFonts w:ascii="宋体" w:hAnsi="宋体"/>
          <w:bCs/>
          <w:color w:val="000000" w:themeColor="text1"/>
          <w:szCs w:val="21"/>
          <w14:textFill>
            <w14:solidFill>
              <w14:schemeClr w14:val="tx1"/>
            </w14:solidFill>
          </w14:textFill>
        </w:rPr>
        <w:t>的资产支持证券，采用估值技术确定公允价值</w:t>
      </w:r>
      <w:r>
        <w:rPr>
          <w:rFonts w:hint="eastAsia" w:ascii="宋体" w:hAnsi="宋体"/>
          <w:bCs/>
          <w:color w:val="000000" w:themeColor="text1"/>
          <w:szCs w:val="21"/>
          <w14:textFill>
            <w14:solidFill>
              <w14:schemeClr w14:val="tx1"/>
            </w14:solidFill>
          </w14:textFill>
        </w:rPr>
        <w:t>；</w:t>
      </w:r>
    </w:p>
    <w:p>
      <w:pPr>
        <w:spacing w:line="440" w:lineRule="atLeast"/>
        <w:ind w:right="28" w:firstLine="420" w:firstLineChars="20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ascii="宋体" w:hAnsi="宋体"/>
          <w:bCs/>
          <w:color w:val="000000" w:themeColor="text1"/>
          <w:szCs w:val="21"/>
          <w14:textFill>
            <w14:solidFill>
              <w14:schemeClr w14:val="tx1"/>
            </w14:solidFill>
          </w14:textFill>
        </w:rPr>
        <w:t>市场活动</w:t>
      </w:r>
      <w:r>
        <w:rPr>
          <w:rFonts w:ascii="宋体" w:hAnsi="宋体"/>
          <w:bCs/>
          <w:color w:val="000000" w:themeColor="text1"/>
          <w:szCs w:val="21"/>
          <w14:textFill>
            <w14:solidFill>
              <w14:schemeClr w14:val="tx1"/>
            </w14:solidFill>
          </w14:textFill>
        </w:rPr>
        <w:t>或市场活动很少的情况下，应采用估值技术确定其公允价值。</w:t>
      </w:r>
    </w:p>
    <w:p>
      <w:pPr>
        <w:spacing w:line="440" w:lineRule="atLeast"/>
        <w:ind w:right="28"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2</w:t>
      </w: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首次公开发行未上市的债券，采用估值技术确定公允价值，在估值技术难以可靠计量公允价值的情况下，按成本估值</w:t>
      </w:r>
      <w:r>
        <w:rPr>
          <w:rFonts w:hint="eastAsia" w:ascii="宋体" w:hAnsi="宋体"/>
          <w:bCs/>
          <w:color w:val="000000" w:themeColor="text1"/>
          <w:szCs w:val="21"/>
          <w14:textFill>
            <w14:solidFill>
              <w14:schemeClr w14:val="tx1"/>
            </w14:solidFill>
          </w14:textFill>
        </w:rPr>
        <w:t>；</w:t>
      </w:r>
    </w:p>
    <w:p>
      <w:pPr>
        <w:spacing w:line="440" w:lineRule="atLeast"/>
        <w:ind w:right="28"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w:t>
      </w:r>
      <w:r>
        <w:rPr>
          <w:rFonts w:ascii="宋体" w:hAnsi="宋体"/>
          <w:bCs/>
          <w:color w:val="000000" w:themeColor="text1"/>
          <w:szCs w:val="21"/>
          <w14:textFill>
            <w14:solidFill>
              <w14:schemeClr w14:val="tx1"/>
            </w14:solidFill>
          </w14:textFill>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ascii="宋体" w:hAnsi="宋体"/>
          <w:bCs/>
          <w:color w:val="000000" w:themeColor="text1"/>
          <w:szCs w:val="21"/>
          <w14:textFill>
            <w14:solidFill>
              <w14:schemeClr w14:val="tx1"/>
            </w14:solidFill>
          </w14:textFill>
        </w:rPr>
        <w:t>期</w:t>
      </w:r>
      <w:r>
        <w:rPr>
          <w:rFonts w:ascii="宋体" w:hAnsi="宋体"/>
          <w:bCs/>
          <w:color w:val="000000" w:themeColor="text1"/>
          <w:szCs w:val="21"/>
          <w14:textFill>
            <w14:solidFill>
              <w14:schemeClr w14:val="tx1"/>
            </w14:solidFill>
          </w14:textFill>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spacing w:line="440" w:lineRule="atLeast"/>
        <w:ind w:right="28"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（4）同一债券同时在两个或两个以上市场交易的，按债券所处的市场分别估值。</w:t>
      </w:r>
    </w:p>
    <w:p>
      <w:pPr>
        <w:spacing w:line="440" w:lineRule="atLeast"/>
        <w:ind w:right="28"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（5）本基金投资同业存单，按估值日第三方估值机构提供的估值净价估值；选定的第三方估值机构未提供估值价格的，按成本估值。</w:t>
      </w:r>
    </w:p>
    <w:p>
      <w:pPr>
        <w:spacing w:line="440" w:lineRule="atLeast"/>
        <w:ind w:right="28"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（6）本基金投资国债期货合约，一般以估值当日结算价进行估值，估值当日无结算价的，且最近交易日后经济环境未发生重大变化的，采用最近交易日结算价估值。</w:t>
      </w:r>
    </w:p>
    <w:p>
      <w:pPr>
        <w:spacing w:line="440" w:lineRule="atLeast"/>
        <w:ind w:right="28"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（7）</w:t>
      </w:r>
      <w:r>
        <w:rPr>
          <w:rFonts w:ascii="宋体" w:hAnsi="宋体"/>
          <w:bCs/>
          <w:color w:val="000000" w:themeColor="text1"/>
          <w:szCs w:val="21"/>
          <w14:textFill>
            <w14:solidFill>
              <w14:schemeClr w14:val="tx1"/>
            </w14:solidFill>
          </w14:textFill>
        </w:rPr>
        <w:t>如有确凿证据表明按上述方法进行估值不能客观反映其公允价值的，基金管理人可根据具体情况与基金托管人商定后，按最能反映公允价值的价格估值。</w:t>
      </w:r>
    </w:p>
    <w:p>
      <w:pPr>
        <w:spacing w:line="440" w:lineRule="atLeast"/>
        <w:ind w:right="28"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8</w:t>
      </w:r>
      <w:r>
        <w:rPr>
          <w:rFonts w:hint="eastAsia" w:ascii="宋体" w:hAnsi="宋体"/>
          <w:bCs/>
          <w:color w:val="000000" w:themeColor="text1"/>
          <w:szCs w:val="21"/>
          <w14:textFill>
            <w14:solidFill>
              <w14:schemeClr w14:val="tx1"/>
            </w14:solidFill>
          </w14:textFill>
        </w:rPr>
        <w:t>）当发生大额申购或赎回情形时，基金管理人可以采用摆动定价机制，以确保基金估值的公平性。</w:t>
      </w:r>
    </w:p>
    <w:p>
      <w:pPr>
        <w:spacing w:line="440" w:lineRule="atLeast"/>
        <w:ind w:right="28"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9</w:t>
      </w: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相关法律法规以及监管部门有强制规定的，从其规定。如有新增事项，按国家最新规定估值。</w:t>
      </w:r>
    </w:p>
    <w:p>
      <w:pPr>
        <w:spacing w:line="440" w:lineRule="atLeast"/>
        <w:ind w:right="28" w:firstLine="420" w:firstLineChars="20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如基金管理人或基金托管人发现基金估值违反基金合同订明的估值方法、程序及相关法律法规的规定或者未能充分维护基金份额持有人利益时，应立即通知对方，共同查明原因，双方协商解决。</w:t>
      </w:r>
    </w:p>
    <w:p>
      <w:pPr>
        <w:spacing w:line="440" w:lineRule="atLeast"/>
        <w:ind w:right="28" w:firstLine="420" w:firstLineChars="20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hint="eastAsia" w:ascii="宋体" w:hAnsi="宋体"/>
          <w:bCs/>
          <w:color w:val="000000" w:themeColor="text1"/>
          <w:szCs w:val="21"/>
          <w14:textFill>
            <w14:solidFill>
              <w14:schemeClr w14:val="tx1"/>
            </w14:solidFill>
          </w14:textFill>
        </w:rPr>
        <w:t>信息</w:t>
      </w:r>
      <w:r>
        <w:rPr>
          <w:rFonts w:ascii="宋体" w:hAnsi="宋体"/>
          <w:bCs/>
          <w:color w:val="000000" w:themeColor="text1"/>
          <w:szCs w:val="21"/>
          <w14:textFill>
            <w14:solidFill>
              <w14:schemeClr w14:val="tx1"/>
            </w14:solidFill>
          </w14:textFill>
        </w:rPr>
        <w:t>的计算结果对外予以公布。</w:t>
      </w:r>
    </w:p>
    <w:p>
      <w:pPr>
        <w:spacing w:line="440" w:lineRule="atLeast"/>
        <w:ind w:right="28" w:firstLine="420" w:firstLineChars="200"/>
        <w:rPr>
          <w:rFonts w:ascii="宋体" w:hAnsi="宋体"/>
          <w:color w:val="000000" w:themeColor="text1"/>
          <w:szCs w:val="21"/>
          <w14:textFill>
            <w14:solidFill>
              <w14:schemeClr w14:val="tx1"/>
            </w14:solidFill>
          </w14:textFill>
        </w:rPr>
      </w:pP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color w:val="000000" w:themeColor="text1"/>
          <w:sz w:val="21"/>
          <w:szCs w:val="21"/>
          <w14:textFill>
            <w14:solidFill>
              <w14:schemeClr w14:val="tx1"/>
            </w14:solidFill>
          </w14:textFill>
        </w:rPr>
      </w:pPr>
      <w:bookmarkStart w:id="46" w:name="_Toc382819106"/>
      <w:r>
        <w:rPr>
          <w:rFonts w:hint="eastAsia" w:ascii="宋体" w:hAnsi="宋体" w:eastAsia="宋体"/>
          <w:b w:val="0"/>
          <w:bCs w:val="0"/>
          <w:color w:val="000000" w:themeColor="text1"/>
          <w:sz w:val="21"/>
          <w:szCs w:val="21"/>
          <w14:textFill>
            <w14:solidFill>
              <w14:schemeClr w14:val="tx1"/>
            </w14:solidFill>
          </w14:textFill>
        </w:rPr>
        <w:t>（三）估值错误处理</w:t>
      </w:r>
      <w:bookmarkEnd w:id="46"/>
    </w:p>
    <w:p>
      <w:pPr>
        <w:autoSpaceDE w:val="0"/>
        <w:autoSpaceDN w:val="0"/>
        <w:adjustRightInd w:val="0"/>
        <w:spacing w:line="440" w:lineRule="atLeast"/>
        <w:ind w:right="28" w:firstLine="420" w:firstLineChars="200"/>
        <w:textAlignment w:val="baseline"/>
        <w:rPr>
          <w:rFonts w:ascii="宋体" w:hAnsi="宋体"/>
          <w:color w:val="000000" w:themeColor="text1"/>
          <w:szCs w:val="21"/>
          <w14:textFill>
            <w14:solidFill>
              <w14:schemeClr w14:val="tx1"/>
            </w14:solidFill>
          </w14:textFill>
        </w:rPr>
      </w:pPr>
      <w:bookmarkStart w:id="47" w:name="_Toc382819107"/>
      <w:r>
        <w:rPr>
          <w:rFonts w:hint="eastAsia" w:ascii="宋体" w:hAnsi="宋体"/>
          <w:color w:val="000000" w:themeColor="text1"/>
          <w:szCs w:val="21"/>
          <w14:textFill>
            <w14:solidFill>
              <w14:schemeClr w14:val="tx1"/>
            </w14:solidFill>
          </w14:textFill>
        </w:rPr>
        <w:t>基金合同的当事人应按照以下约定处理：</w:t>
      </w:r>
    </w:p>
    <w:p>
      <w:pPr>
        <w:autoSpaceDE w:val="0"/>
        <w:autoSpaceDN w:val="0"/>
        <w:adjustRightInd w:val="0"/>
        <w:spacing w:line="440" w:lineRule="atLeast"/>
        <w:ind w:right="28" w:firstLine="420" w:firstLineChars="200"/>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1、估值错误类型</w:t>
      </w:r>
    </w:p>
    <w:p>
      <w:pPr>
        <w:autoSpaceDE w:val="0"/>
        <w:autoSpaceDN w:val="0"/>
        <w:adjustRightInd w:val="0"/>
        <w:spacing w:line="440" w:lineRule="atLeast"/>
        <w:ind w:right="28" w:firstLine="420" w:firstLineChars="200"/>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autoSpaceDE w:val="0"/>
        <w:autoSpaceDN w:val="0"/>
        <w:adjustRightInd w:val="0"/>
        <w:spacing w:line="440" w:lineRule="atLeast"/>
        <w:ind w:right="28" w:firstLine="420" w:firstLineChars="200"/>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上述估值错误的主要类型包括但不限于：资料申报差错、数据传输差错、数据计算差错、系统故障差错、下达指令差错等。</w:t>
      </w:r>
    </w:p>
    <w:p>
      <w:pPr>
        <w:autoSpaceDE w:val="0"/>
        <w:autoSpaceDN w:val="0"/>
        <w:adjustRightInd w:val="0"/>
        <w:spacing w:line="440" w:lineRule="atLeast"/>
        <w:ind w:right="28" w:firstLine="420" w:firstLineChars="200"/>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2、估值错误处理原则</w:t>
      </w:r>
    </w:p>
    <w:p>
      <w:pPr>
        <w:autoSpaceDE w:val="0"/>
        <w:autoSpaceDN w:val="0"/>
        <w:adjustRightInd w:val="0"/>
        <w:spacing w:line="440" w:lineRule="atLeast"/>
        <w:ind w:right="28" w:firstLine="420" w:firstLineChars="200"/>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autoSpaceDE w:val="0"/>
        <w:autoSpaceDN w:val="0"/>
        <w:adjustRightInd w:val="0"/>
        <w:spacing w:line="440" w:lineRule="atLeast"/>
        <w:ind w:right="28" w:firstLine="420" w:firstLineChars="200"/>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（2）估值错误的责任方对有关当事人的直接损失负责，不对间接损失负责，并且仅对估值错误的有关直接当事人负责，不对第三方负责。</w:t>
      </w:r>
    </w:p>
    <w:p>
      <w:pPr>
        <w:autoSpaceDE w:val="0"/>
        <w:autoSpaceDN w:val="0"/>
        <w:adjustRightInd w:val="0"/>
        <w:spacing w:line="440" w:lineRule="atLeast"/>
        <w:ind w:right="28" w:firstLine="420" w:firstLineChars="200"/>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autoSpaceDE w:val="0"/>
        <w:autoSpaceDN w:val="0"/>
        <w:adjustRightInd w:val="0"/>
        <w:spacing w:line="440" w:lineRule="atLeast"/>
        <w:ind w:right="28" w:firstLine="420" w:firstLineChars="200"/>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（4）估值错误调整采用尽量恢复至假设未发生估值错误的正确情形的方式。</w:t>
      </w:r>
    </w:p>
    <w:p>
      <w:pPr>
        <w:autoSpaceDE w:val="0"/>
        <w:autoSpaceDN w:val="0"/>
        <w:adjustRightInd w:val="0"/>
        <w:spacing w:line="440" w:lineRule="atLeast"/>
        <w:ind w:right="28" w:firstLine="420" w:firstLineChars="200"/>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3、估值错误处理程序</w:t>
      </w:r>
    </w:p>
    <w:p>
      <w:pPr>
        <w:autoSpaceDE w:val="0"/>
        <w:autoSpaceDN w:val="0"/>
        <w:adjustRightInd w:val="0"/>
        <w:spacing w:line="440" w:lineRule="atLeast"/>
        <w:ind w:right="28" w:firstLine="420" w:firstLineChars="200"/>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估值错误被发现后，有关的当事人应当及时进行处理，处理的程序如下：</w:t>
      </w:r>
    </w:p>
    <w:p>
      <w:pPr>
        <w:autoSpaceDE w:val="0"/>
        <w:autoSpaceDN w:val="0"/>
        <w:adjustRightInd w:val="0"/>
        <w:spacing w:line="440" w:lineRule="atLeast"/>
        <w:ind w:right="28" w:firstLine="420" w:firstLineChars="200"/>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（1）查明估值错误发生的原因，列明所有的当事人，并根据估值错误发生的原因确定估值错误的责任方；</w:t>
      </w:r>
    </w:p>
    <w:p>
      <w:pPr>
        <w:autoSpaceDE w:val="0"/>
        <w:autoSpaceDN w:val="0"/>
        <w:adjustRightInd w:val="0"/>
        <w:spacing w:line="440" w:lineRule="atLeast"/>
        <w:ind w:right="28" w:firstLine="420" w:firstLineChars="200"/>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（2）根据估值错误处理原则或当事人协商的方法对因估值错误造成的损失进行评估；</w:t>
      </w:r>
    </w:p>
    <w:p>
      <w:pPr>
        <w:autoSpaceDE w:val="0"/>
        <w:autoSpaceDN w:val="0"/>
        <w:adjustRightInd w:val="0"/>
        <w:spacing w:line="440" w:lineRule="atLeast"/>
        <w:ind w:right="28" w:firstLine="420" w:firstLineChars="200"/>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（3）根据估值错误处理原则或当事人协商的方法由估值错误的责任方进行更正和赔偿损失；</w:t>
      </w:r>
    </w:p>
    <w:p>
      <w:pPr>
        <w:autoSpaceDE w:val="0"/>
        <w:autoSpaceDN w:val="0"/>
        <w:adjustRightInd w:val="0"/>
        <w:spacing w:line="440" w:lineRule="atLeast"/>
        <w:ind w:right="28" w:firstLine="420" w:firstLineChars="200"/>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（4）根据估值错误处理的方法，需要修改基金登记机构交易数据的，由基金登记机构进行更正，并就估值错误的更正向有关当事人进行确认。</w:t>
      </w:r>
    </w:p>
    <w:p>
      <w:pPr>
        <w:autoSpaceDE w:val="0"/>
        <w:autoSpaceDN w:val="0"/>
        <w:adjustRightInd w:val="0"/>
        <w:spacing w:line="440" w:lineRule="atLeast"/>
        <w:ind w:right="28" w:firstLine="420" w:firstLineChars="200"/>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4、基金估值错误处理的方法如下：</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）基金份额净值计算出现错误时，基金管理人应当立即予以纠正，通报基金托管人，并采取合理的措施防止损失进一步扩大。</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）各类基金份额的基金份额净值计算错误偏差达到该类基金份额净值的</w:t>
      </w:r>
      <w:r>
        <w:rPr>
          <w:rFonts w:ascii="宋体" w:hAnsi="宋体"/>
          <w:color w:val="000000" w:themeColor="text1"/>
          <w:szCs w:val="21"/>
          <w14:textFill>
            <w14:solidFill>
              <w14:schemeClr w14:val="tx1"/>
            </w14:solidFill>
          </w14:textFill>
        </w:rPr>
        <w:t>0.25%</w:t>
      </w:r>
      <w:r>
        <w:rPr>
          <w:rFonts w:hint="eastAsia" w:ascii="宋体" w:hAnsi="宋体"/>
          <w:color w:val="000000" w:themeColor="text1"/>
          <w:szCs w:val="21"/>
          <w14:textFill>
            <w14:solidFill>
              <w14:schemeClr w14:val="tx1"/>
            </w14:solidFill>
          </w14:textFill>
        </w:rPr>
        <w:t>时，基金管理人应当通报基金托管人并报中国证监会备案；错误偏差达到该类基金份额净值的</w:t>
      </w:r>
      <w:r>
        <w:rPr>
          <w:rFonts w:ascii="宋体" w:hAnsi="宋体"/>
          <w:color w:val="000000" w:themeColor="text1"/>
          <w:szCs w:val="21"/>
          <w14:textFill>
            <w14:solidFill>
              <w14:schemeClr w14:val="tx1"/>
            </w14:solidFill>
          </w14:textFill>
        </w:rPr>
        <w:t>0.5%</w:t>
      </w:r>
      <w:r>
        <w:rPr>
          <w:rFonts w:hint="eastAsia" w:ascii="宋体" w:hAnsi="宋体"/>
          <w:color w:val="000000" w:themeColor="text1"/>
          <w:szCs w:val="21"/>
          <w14:textFill>
            <w14:solidFill>
              <w14:schemeClr w14:val="tx1"/>
            </w14:solidFill>
          </w14:textFill>
        </w:rPr>
        <w:t>时，基金管理人应当公告，并报中国证监会备案。</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）当基金份额净值计算差错给基金和基金份额持有人造成损失需要进行赔偿时，基金管理人和基金托管人应根据实际情况界定双方承担的责任，经确认后按以下条款进行赔偿：</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②若基金管理人计算的基金份额净值已由基金托管人复核确认后披露，而且基金托管人未对计算过程提出疑义或要求基金管理人书面说明，基金份额净值出错且给基金份额持有人造成损失的，应根据法律法规的规定对投资者或基金支付赔偿金，就实际向投资者或基金支付的赔偿金额，基金管理人与基金托管人按照过错程度各自承担相应的责任，基金管理人和基金托管人有权向获得不当得利之主体主张返还不当得利。</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④由于基金管理人提供的信息错误（包括但不限于基金申购或赎回金额等），基金托管人在履行正常复核程序后仍不能发现该错误，进而导致基金份额净值计算错误而引起的基金份额持有人和基金财产的损失，由基金管理人负责赔付。</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）基金管理人和基金托管人由于各自技术系统设置而产生的净值计算尾差，以基金管理人计算结果为准。</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）前述内容如法律法规或监管机关另有规定的，从其规定处理。如果行业另有通行做法，基金管理人和基金托管人应本着平等和保护基金份额持有人利益的原则进行协商。</w:t>
      </w:r>
    </w:p>
    <w:bookmarkEnd w:id="47"/>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color w:val="000000" w:themeColor="text1"/>
          <w:sz w:val="21"/>
          <w:szCs w:val="21"/>
          <w14:textFill>
            <w14:solidFill>
              <w14:schemeClr w14:val="tx1"/>
            </w14:solidFill>
          </w14:textFill>
        </w:rPr>
      </w:pPr>
      <w:bookmarkStart w:id="48" w:name="_Toc382819116"/>
      <w:r>
        <w:rPr>
          <w:rFonts w:hint="eastAsia" w:ascii="宋体" w:hAnsi="宋体" w:eastAsia="宋体"/>
          <w:b w:val="0"/>
          <w:bCs w:val="0"/>
          <w:color w:val="000000" w:themeColor="text1"/>
          <w:sz w:val="21"/>
          <w:szCs w:val="21"/>
          <w14:textFill>
            <w14:solidFill>
              <w14:schemeClr w14:val="tx1"/>
            </w14:solidFill>
          </w14:textFill>
        </w:rPr>
        <w:t>（四）基金账册的建立</w:t>
      </w:r>
      <w:bookmarkEnd w:id="48"/>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color w:val="000000" w:themeColor="text1"/>
          <w:sz w:val="21"/>
          <w:szCs w:val="21"/>
          <w14:textFill>
            <w14:solidFill>
              <w14:schemeClr w14:val="tx1"/>
            </w14:solidFill>
          </w14:textFill>
        </w:rPr>
      </w:pPr>
      <w:bookmarkStart w:id="49" w:name="_Toc382819117"/>
      <w:r>
        <w:rPr>
          <w:rFonts w:hint="eastAsia" w:ascii="宋体" w:hAnsi="宋体" w:eastAsia="宋体"/>
          <w:b w:val="0"/>
          <w:bCs w:val="0"/>
          <w:color w:val="000000" w:themeColor="text1"/>
          <w:sz w:val="21"/>
          <w:szCs w:val="21"/>
          <w14:textFill>
            <w14:solidFill>
              <w14:schemeClr w14:val="tx1"/>
            </w14:solidFill>
          </w14:textFill>
        </w:rPr>
        <w:t>（五）基金定期报告的编制和复核</w:t>
      </w:r>
      <w:bookmarkEnd w:id="49"/>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基金财务报表由基金管理人和基金托管人每月分别独立编制。月度报表的编制，应于每月终了后5个工作日内完成。</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合同生效后，基金招募说明书的信息发生重大变更的，基金管理人应当在3个工作日内，更新基金招募说明书并登载在规定网站上；基金招募说明书其他信息发生变更的，基金管理人至少每年更新一次。基金终止运作的，基金管理人不再更新基金招募说明书。基金管理人应在每个季度结束之日起1</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个工作日内，编制完成基金季度报告并公告；在上半年结束之日起两个月内，编制完成基金中期报告并公告；在每年结束之日起三个月内，编制完成基金年度报告并公告。</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管理人在月度报告完成当日，将有关报告提供基金托管人复核；基金托管人应及时复核，并将复核结果及时书面通知基金管理人。基金管理人在季度报告完成当日，将有关报告提供基金托管人复核，基金托管人应及时复核，并将复核结果书面通知基金管理人。基金管理人在中期报告完成当日，将有关报告提供基金托管人复核，基金托管人在收到后应及时复核，并将复核结果书面通知基金管理人。基金管理人在年度报告完成当日，将有关报告提供基金托管人复核，基金托管人应及时复核，并将复核结果书面通知基金管理人。</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w:t>
      </w:r>
      <w:r>
        <w:rPr>
          <w:rFonts w:hint="eastAsia"/>
          <w:color w:val="000000" w:themeColor="text1"/>
          <w14:textFill>
            <w14:solidFill>
              <w14:schemeClr w14:val="tx1"/>
            </w14:solidFill>
          </w14:textFill>
        </w:rPr>
        <w:t>或进行电子确认</w:t>
      </w:r>
      <w:r>
        <w:rPr>
          <w:rFonts w:hint="eastAsia" w:ascii="宋体" w:hAnsi="宋体"/>
          <w:color w:val="000000" w:themeColor="text1"/>
          <w:szCs w:val="21"/>
          <w14:textFill>
            <w14:solidFill>
              <w14:schemeClr w14:val="tx1"/>
            </w14:solidFill>
          </w14:textFill>
        </w:rPr>
        <w:t>，相关各方各自留存一份。</w:t>
      </w:r>
      <w:r>
        <w:rPr>
          <w:rFonts w:hint="eastAsia" w:ascii="宋体" w:hAnsi="宋体"/>
          <w:color w:val="000000" w:themeColor="text1"/>
          <w:kern w:val="44"/>
          <w:szCs w:val="21"/>
          <w14:textFill>
            <w14:solidFill>
              <w14:schemeClr w14:val="tx1"/>
            </w14:solidFill>
          </w14:textFill>
        </w:rPr>
        <w:t>如果基金管理人与基金托管人不能于应当发布公告之日之前就相关报表达成一致，基金管理人有权按照其编制的报表对外发布公告，基金托管人有权就相关情况报证监会备案。</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基金托管人在对财务会计报告、季度报告</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中期报告或年度报告复核完毕后，需盖章确认或出具相应的复核确认书</w:t>
      </w:r>
      <w:r>
        <w:rPr>
          <w:rFonts w:hint="eastAsia"/>
          <w:color w:val="000000" w:themeColor="text1"/>
          <w14:textFill>
            <w14:solidFill>
              <w14:schemeClr w14:val="tx1"/>
            </w14:solidFill>
          </w14:textFill>
        </w:rPr>
        <w:t>或进行电子确认</w:t>
      </w:r>
      <w:r>
        <w:rPr>
          <w:rFonts w:hint="eastAsia" w:ascii="宋体" w:hAnsi="宋体"/>
          <w:color w:val="000000" w:themeColor="text1"/>
          <w:szCs w:val="21"/>
          <w14:textFill>
            <w14:solidFill>
              <w14:schemeClr w14:val="tx1"/>
            </w14:solidFill>
          </w14:textFill>
        </w:rPr>
        <w:t>，以备有权机构对相关文件审核时提示。</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21"/>
          <w:szCs w:val="21"/>
          <w14:textFill>
            <w14:solidFill>
              <w14:schemeClr w14:val="tx1"/>
            </w14:solidFill>
          </w14:textFill>
        </w:rPr>
      </w:pPr>
      <w:bookmarkStart w:id="50" w:name="_Toc382819118"/>
      <w:r>
        <w:rPr>
          <w:rFonts w:hint="eastAsia" w:ascii="宋体" w:hAnsi="宋体" w:eastAsia="宋体" w:cs="Arial"/>
          <w:color w:val="000000" w:themeColor="text1"/>
          <w:sz w:val="21"/>
          <w:szCs w:val="21"/>
          <w14:textFill>
            <w14:solidFill>
              <w14:schemeClr w14:val="tx1"/>
            </w14:solidFill>
          </w14:textFill>
        </w:rPr>
        <w:t>基金收益分配</w:t>
      </w:r>
      <w:bookmarkEnd w:id="50"/>
    </w:p>
    <w:p>
      <w:pPr>
        <w:spacing w:line="360" w:lineRule="auto"/>
        <w:ind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（一）基金利润的构成</w:t>
      </w:r>
    </w:p>
    <w:p>
      <w:pPr>
        <w:spacing w:line="360" w:lineRule="auto"/>
        <w:ind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基金利润指基金利息收入、投资收益、公允价值变动收益和其他收入扣除相关费用后的余额，基金已实现收益指基金利润减去公允价值变动损益后的余额。</w:t>
      </w:r>
    </w:p>
    <w:p>
      <w:pPr>
        <w:spacing w:line="360" w:lineRule="auto"/>
        <w:ind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（二）基金可供分配利润</w:t>
      </w:r>
    </w:p>
    <w:p>
      <w:pPr>
        <w:spacing w:line="360" w:lineRule="auto"/>
        <w:ind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基金可供分配利润指截至收益分配基准日基金未分配利润与未分配利润中已实现收益的孰低数。</w:t>
      </w:r>
    </w:p>
    <w:p>
      <w:pPr>
        <w:spacing w:line="360" w:lineRule="auto"/>
        <w:ind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（三）基金收益分配原则</w:t>
      </w:r>
    </w:p>
    <w:p>
      <w:pPr>
        <w:spacing w:line="360" w:lineRule="auto"/>
        <w:ind w:firstLine="472" w:firstLineChars="22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Pr>
          <w:rFonts w:ascii="宋体" w:hAnsi="宋体"/>
          <w:color w:val="000000" w:themeColor="text1"/>
          <w:szCs w:val="21"/>
          <w14:textFill>
            <w14:solidFill>
              <w14:schemeClr w14:val="tx1"/>
            </w14:solidFill>
          </w14:textFill>
        </w:rPr>
        <w:t>A</w:t>
      </w:r>
      <w:r>
        <w:rPr>
          <w:rFonts w:hint="eastAsia" w:ascii="宋体" w:hAnsi="宋体"/>
          <w:color w:val="000000" w:themeColor="text1"/>
          <w:szCs w:val="21"/>
          <w14:textFill>
            <w14:solidFill>
              <w14:schemeClr w14:val="tx1"/>
            </w14:solidFill>
          </w14:textFill>
        </w:rPr>
        <w:t>类、</w:t>
      </w:r>
      <w:r>
        <w:rPr>
          <w:rFonts w:ascii="宋体" w:hAnsi="宋体"/>
          <w:color w:val="000000" w:themeColor="text1"/>
          <w:szCs w:val="21"/>
          <w14:textFill>
            <w14:solidFill>
              <w14:schemeClr w14:val="tx1"/>
            </w14:solidFill>
          </w14:textFill>
        </w:rPr>
        <w:t>C</w:t>
      </w:r>
      <w:r>
        <w:rPr>
          <w:rFonts w:hint="eastAsia" w:ascii="宋体" w:hAnsi="宋体"/>
          <w:color w:val="000000" w:themeColor="text1"/>
          <w:szCs w:val="21"/>
          <w14:textFill>
            <w14:solidFill>
              <w14:schemeClr w14:val="tx1"/>
            </w14:solidFill>
          </w14:textFill>
        </w:rPr>
        <w:t>类基金份额分别选择不同的收益分配方式；同一投资人持有的同一类别的基金份额只能选择一种分红方式，如投资人在不同销售机构选择的分红方式不同，则基金登记机构将以投资人最后一次选择的分红方式为准；</w:t>
      </w:r>
    </w:p>
    <w:p>
      <w:pPr>
        <w:spacing w:line="360" w:lineRule="auto"/>
        <w:ind w:firstLine="472" w:firstLineChars="22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、基金收益分配后各类基金份额净值不能低于面值，即基金收益分配基准日的任一类基金份额净值减去每单位该类基金份额收益分配金额后不能低于面值；</w:t>
      </w:r>
    </w:p>
    <w:p>
      <w:pPr>
        <w:spacing w:line="360" w:lineRule="auto"/>
        <w:ind w:firstLine="472" w:firstLineChars="22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、由于本基金</w:t>
      </w:r>
      <w:r>
        <w:rPr>
          <w:rFonts w:ascii="宋体" w:hAnsi="宋体"/>
          <w:color w:val="000000" w:themeColor="text1"/>
          <w:szCs w:val="21"/>
          <w14:textFill>
            <w14:solidFill>
              <w14:schemeClr w14:val="tx1"/>
            </w14:solidFill>
          </w14:textFill>
        </w:rPr>
        <w:t>A</w:t>
      </w:r>
      <w:r>
        <w:rPr>
          <w:rFonts w:hint="eastAsia" w:ascii="宋体" w:hAnsi="宋体"/>
          <w:color w:val="000000" w:themeColor="text1"/>
          <w:szCs w:val="21"/>
          <w14:textFill>
            <w14:solidFill>
              <w14:schemeClr w14:val="tx1"/>
            </w14:solidFill>
          </w14:textFill>
        </w:rPr>
        <w:t>类基金份额不收取销售服务费，而</w:t>
      </w:r>
      <w:r>
        <w:rPr>
          <w:rFonts w:ascii="宋体" w:hAnsi="宋体"/>
          <w:color w:val="000000" w:themeColor="text1"/>
          <w:szCs w:val="21"/>
          <w14:textFill>
            <w14:solidFill>
              <w14:schemeClr w14:val="tx1"/>
            </w14:solidFill>
          </w14:textFill>
        </w:rPr>
        <w:t>C</w:t>
      </w:r>
      <w:r>
        <w:rPr>
          <w:rFonts w:hint="eastAsia" w:ascii="宋体" w:hAnsi="宋体"/>
          <w:color w:val="000000" w:themeColor="text1"/>
          <w:szCs w:val="21"/>
          <w14:textFill>
            <w14:solidFill>
              <w14:schemeClr w14:val="tx1"/>
            </w14:solidFill>
          </w14:textFill>
        </w:rPr>
        <w:t>类基金份额收取销售服务费，各基金份额类别对应的可供分配利润将有所不同。本基金同一类别的每一基金份额享有同等分配权；</w:t>
      </w:r>
    </w:p>
    <w:p>
      <w:pPr>
        <w:spacing w:line="360" w:lineRule="auto"/>
        <w:ind w:firstLine="472" w:firstLineChars="22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、法律法规或监管机关另有规定的，从其规定。</w:t>
      </w:r>
    </w:p>
    <w:p>
      <w:pPr>
        <w:spacing w:line="360" w:lineRule="auto"/>
        <w:ind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在不违反法律法规规定及基金合同约定，并对基金份额持有人利益无实质性不利影响的前提下，基金管理人可对基金收益分配原则和支付方式进行调整，不需召开基金份额持有人大会。</w:t>
      </w:r>
    </w:p>
    <w:p>
      <w:pPr>
        <w:spacing w:line="360" w:lineRule="auto"/>
        <w:ind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（四）收益分配方案</w:t>
      </w:r>
    </w:p>
    <w:p>
      <w:pPr>
        <w:spacing w:line="360" w:lineRule="auto"/>
        <w:ind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基金收益分配方案中应载明截止收益分配基准日的可供分配利润、基金收益分配对象、分配时间、分配数额及比例、分配方式等内容。</w:t>
      </w:r>
    </w:p>
    <w:p>
      <w:pPr>
        <w:spacing w:line="360" w:lineRule="auto"/>
        <w:ind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（五）收益分配方案的确定、公告与实施</w:t>
      </w:r>
    </w:p>
    <w:p>
      <w:pPr>
        <w:spacing w:line="360" w:lineRule="auto"/>
        <w:ind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本基金收益分配方案由基金管理人拟定，并由基金托管人复核，依据相关规定在规定媒介公告。</w:t>
      </w:r>
    </w:p>
    <w:p>
      <w:pPr>
        <w:spacing w:line="360" w:lineRule="auto"/>
        <w:ind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（六）基金收益分配中发生的费用</w:t>
      </w:r>
    </w:p>
    <w:p>
      <w:pPr>
        <w:spacing w:line="360" w:lineRule="auto"/>
        <w:ind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收益分配时所发生的银行转账或其他手续费用由投资者自行承担。当投资者的现金红利小于一定金额，不足以支付银行转账或其他手续费用时，基金登记机构可将基金份额持有人的现金红利自动转为对应类别的基金份额。红利再投资的计算方法，依照《业务规则》执行。</w:t>
      </w:r>
    </w:p>
    <w:p>
      <w:pPr>
        <w:spacing w:line="360" w:lineRule="auto"/>
        <w:ind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（七）实施侧袋机制期间的收益分配</w:t>
      </w:r>
      <w:r>
        <w:rPr>
          <w:rFonts w:ascii="宋体" w:hAnsi="宋体"/>
          <w:color w:val="000000" w:themeColor="text1"/>
          <w:szCs w:val="21"/>
          <w14:textFill>
            <w14:solidFill>
              <w14:schemeClr w14:val="tx1"/>
            </w14:solidFill>
          </w14:textFill>
        </w:rPr>
        <w:t xml:space="preserve"> </w:t>
      </w:r>
    </w:p>
    <w:p>
      <w:pPr>
        <w:spacing w:line="360" w:lineRule="auto"/>
        <w:ind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本基金实施侧袋机制的，侧袋账户不进行收益分配，详见招募说明书的规定。</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21"/>
          <w:szCs w:val="21"/>
          <w14:textFill>
            <w14:solidFill>
              <w14:schemeClr w14:val="tx1"/>
            </w14:solidFill>
          </w14:textFill>
        </w:rPr>
      </w:pPr>
      <w:bookmarkStart w:id="51" w:name="_Toc382819121"/>
      <w:r>
        <w:rPr>
          <w:rFonts w:hint="eastAsia" w:ascii="宋体" w:hAnsi="宋体" w:eastAsia="宋体" w:cs="Arial"/>
          <w:color w:val="000000" w:themeColor="text1"/>
          <w:sz w:val="21"/>
          <w:szCs w:val="21"/>
          <w14:textFill>
            <w14:solidFill>
              <w14:schemeClr w14:val="tx1"/>
            </w14:solidFill>
          </w14:textFill>
        </w:rPr>
        <w:t>信息披露</w:t>
      </w:r>
      <w:bookmarkEnd w:id="51"/>
    </w:p>
    <w:p>
      <w:pPr>
        <w:pStyle w:val="3"/>
        <w:keepNext w:val="0"/>
        <w:keepLines w:val="0"/>
        <w:tabs>
          <w:tab w:val="left" w:pos="1080"/>
        </w:tabs>
        <w:autoSpaceDE w:val="0"/>
        <w:autoSpaceDN w:val="0"/>
        <w:adjustRightInd w:val="0"/>
        <w:spacing w:before="0" w:after="0" w:line="360" w:lineRule="auto"/>
        <w:ind w:firstLine="411" w:firstLineChars="196"/>
        <w:textAlignment w:val="baseline"/>
        <w:rPr>
          <w:rFonts w:ascii="宋体" w:hAnsi="宋体" w:eastAsia="宋体" w:cs="Arial"/>
          <w:b w:val="0"/>
          <w:color w:val="000000" w:themeColor="text1"/>
          <w:kern w:val="0"/>
          <w:sz w:val="21"/>
          <w:szCs w:val="21"/>
          <w14:textFill>
            <w14:solidFill>
              <w14:schemeClr w14:val="tx1"/>
            </w14:solidFill>
          </w14:textFill>
        </w:rPr>
      </w:pPr>
      <w:bookmarkStart w:id="52" w:name="_Toc382819122"/>
      <w:r>
        <w:rPr>
          <w:rFonts w:hint="eastAsia" w:ascii="宋体" w:hAnsi="宋体" w:eastAsia="宋体"/>
          <w:b w:val="0"/>
          <w:color w:val="000000" w:themeColor="text1"/>
          <w:sz w:val="21"/>
          <w:szCs w:val="21"/>
          <w14:textFill>
            <w14:solidFill>
              <w14:schemeClr w14:val="tx1"/>
            </w14:solidFill>
          </w14:textFill>
        </w:rPr>
        <w:t>（一）</w:t>
      </w:r>
      <w:r>
        <w:rPr>
          <w:rFonts w:hint="eastAsia" w:ascii="宋体" w:hAnsi="宋体" w:eastAsia="宋体" w:cs="Arial"/>
          <w:b w:val="0"/>
          <w:color w:val="000000" w:themeColor="text1"/>
          <w:kern w:val="0"/>
          <w:sz w:val="21"/>
          <w:szCs w:val="21"/>
          <w14:textFill>
            <w14:solidFill>
              <w14:schemeClr w14:val="tx1"/>
            </w14:solidFill>
          </w14:textFill>
        </w:rPr>
        <w:t>保密义务</w:t>
      </w:r>
      <w:bookmarkEnd w:id="52"/>
    </w:p>
    <w:p>
      <w:pPr>
        <w:spacing w:line="360" w:lineRule="auto"/>
        <w:ind w:right="28"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pPr>
        <w:pStyle w:val="11"/>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1.非因基金管理人和基金托管人的原因导致保密信息被披露、泄露或公开；</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2.基金管理人和基金托管人为遵守和服从法院判决、仲裁裁决或中国证监会等监管机构的命令、决定所做出的信息披露或公开。</w:t>
      </w:r>
    </w:p>
    <w:p>
      <w:pPr>
        <w:tabs>
          <w:tab w:val="left" w:pos="4680"/>
        </w:tabs>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w:t>
      </w:r>
      <w:r>
        <w:rPr>
          <w:rFonts w:hint="eastAsia" w:ascii="宋体" w:hAnsi="宋体"/>
          <w:color w:val="000000" w:themeColor="text1"/>
          <w:szCs w:val="21"/>
          <w14:textFill>
            <w14:solidFill>
              <w14:schemeClr w14:val="tx1"/>
            </w14:solidFill>
          </w14:textFill>
        </w:rPr>
        <w:t>信息披露的内容</w:t>
      </w:r>
    </w:p>
    <w:p>
      <w:pPr>
        <w:tabs>
          <w:tab w:val="left" w:pos="468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基金管理人和基金托管人应根据相关法律法规、《基金合同》的规定各自承担相应的信息披露职责。基金管理人和基金托管人负有积极配合、互相督促、彼此监督、保证其履行按照法定方式和时限披露的义务。</w:t>
      </w:r>
    </w:p>
    <w:p>
      <w:pPr>
        <w:tabs>
          <w:tab w:val="left" w:pos="468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基金的信息披露主要包括基金招募说明书、《基金合同》、基金托管协议、基金产品资料概要、基金份额发售公告、《基金合同》生效公告、定期报告、临时报告、基金净值信息等其他必要的公告文件，由基金管理人拟定并负责公布。</w:t>
      </w:r>
    </w:p>
    <w:p>
      <w:pPr>
        <w:tabs>
          <w:tab w:val="left" w:pos="468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管理人与基金托管人应严格遵守《基金合同》所规定的信息披露要求。基金资产净值、各类基金份额净值、基金业绩表现数据、基金定期报告、更新的招募说明书、基金产品资料概要、基金清算报告等公开披露的相关基金信息按有关规定需经基金托管人复核的，须由基金托管人进行复核、审查，并向基金管理人进行书面或电子确认。相关信息经基金托管人复核无误后方可公布。其他不需经基金托管人复核的信息披露内容，应及时告知基金托管人。</w:t>
      </w:r>
    </w:p>
    <w:p>
      <w:pPr>
        <w:tabs>
          <w:tab w:val="left" w:pos="468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年度报告中的财务报告部分，需经符合《中华人民共和国证券法》规定的会计师事务所审计后，方可披露。</w:t>
      </w:r>
    </w:p>
    <w:p>
      <w:pPr>
        <w:pStyle w:val="3"/>
        <w:keepNext w:val="0"/>
        <w:keepLines w:val="0"/>
        <w:tabs>
          <w:tab w:val="left" w:pos="1080"/>
        </w:tabs>
        <w:autoSpaceDE w:val="0"/>
        <w:autoSpaceDN w:val="0"/>
        <w:adjustRightInd w:val="0"/>
        <w:spacing w:before="0" w:after="0" w:line="360" w:lineRule="auto"/>
        <w:ind w:firstLine="420" w:firstLineChars="200"/>
        <w:textAlignment w:val="baseline"/>
        <w:rPr>
          <w:rFonts w:ascii="宋体" w:hAnsi="宋体" w:eastAsia="宋体"/>
          <w:b w:val="0"/>
          <w:bCs w:val="0"/>
          <w:color w:val="000000" w:themeColor="text1"/>
          <w:sz w:val="21"/>
          <w:szCs w:val="21"/>
          <w14:textFill>
            <w14:solidFill>
              <w14:schemeClr w14:val="tx1"/>
            </w14:solidFill>
          </w14:textFill>
        </w:rPr>
      </w:pPr>
      <w:bookmarkStart w:id="53" w:name="_Toc382819123"/>
      <w:r>
        <w:rPr>
          <w:rFonts w:hint="eastAsia" w:ascii="宋体" w:hAnsi="宋体" w:eastAsia="宋体"/>
          <w:b w:val="0"/>
          <w:bCs w:val="0"/>
          <w:color w:val="000000" w:themeColor="text1"/>
          <w:sz w:val="21"/>
          <w:szCs w:val="21"/>
          <w14:textFill>
            <w14:solidFill>
              <w14:schemeClr w14:val="tx1"/>
            </w14:solidFill>
          </w14:textFill>
        </w:rPr>
        <w:t>基金管理人应当在中国证监会规定的时间内，将应予披露的基金信息通过中国证监会规定媒介披露。根据法律法规应由基金托管人公开披露的信息，基金托管人将通过规定媒介公开披露。</w:t>
      </w:r>
      <w:bookmarkEnd w:id="53"/>
    </w:p>
    <w:p>
      <w:pPr>
        <w:pStyle w:val="3"/>
        <w:keepNext w:val="0"/>
        <w:keepLines w:val="0"/>
        <w:tabs>
          <w:tab w:val="left" w:pos="1080"/>
        </w:tabs>
        <w:autoSpaceDE w:val="0"/>
        <w:autoSpaceDN w:val="0"/>
        <w:adjustRightInd w:val="0"/>
        <w:spacing w:before="0" w:after="0" w:line="360" w:lineRule="auto"/>
        <w:ind w:firstLine="420" w:firstLineChars="200"/>
        <w:textAlignment w:val="baseline"/>
        <w:rPr>
          <w:rFonts w:ascii="宋体" w:hAnsi="宋体" w:eastAsia="宋体"/>
          <w:b w:val="0"/>
          <w:bCs w:val="0"/>
          <w:color w:val="000000" w:themeColor="text1"/>
          <w:sz w:val="21"/>
          <w:szCs w:val="21"/>
          <w14:textFill>
            <w14:solidFill>
              <w14:schemeClr w14:val="tx1"/>
            </w14:solidFill>
          </w14:textFill>
        </w:rPr>
      </w:pPr>
      <w:bookmarkStart w:id="54" w:name="_Toc382819124"/>
      <w:r>
        <w:rPr>
          <w:rFonts w:hint="eastAsia" w:ascii="宋体" w:hAnsi="宋体" w:eastAsia="宋体"/>
          <w:b w:val="0"/>
          <w:bCs w:val="0"/>
          <w:color w:val="000000" w:themeColor="text1"/>
          <w:sz w:val="21"/>
          <w:szCs w:val="21"/>
          <w14:textFill>
            <w14:solidFill>
              <w14:schemeClr w14:val="tx1"/>
            </w14:solidFill>
          </w14:textFill>
        </w:rPr>
        <w:t>（三）基金管理人和基金托管人在信息披露中的职责和信息披露程序</w:t>
      </w:r>
      <w:bookmarkEnd w:id="54"/>
    </w:p>
    <w:p>
      <w:pPr>
        <w:tabs>
          <w:tab w:val="left" w:pos="468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1、职责</w:t>
      </w:r>
    </w:p>
    <w:p>
      <w:pPr>
        <w:tabs>
          <w:tab w:val="left" w:pos="468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pPr>
        <w:tabs>
          <w:tab w:val="left" w:pos="468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2、程序</w:t>
      </w:r>
    </w:p>
    <w:p>
      <w:pPr>
        <w:tabs>
          <w:tab w:val="left" w:pos="468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按有关规定须经基金托管人复核的信息披露文件，由基金管理人起草，并经基金托管人复核后由基金管理人公告。</w:t>
      </w:r>
    </w:p>
    <w:p>
      <w:pPr>
        <w:tabs>
          <w:tab w:val="left" w:pos="468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发生《基金合同》中规定需要披露的事项时，按《基金合同》规定公告。</w:t>
      </w:r>
    </w:p>
    <w:p>
      <w:pPr>
        <w:tabs>
          <w:tab w:val="left" w:pos="468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3、信息文本的存放</w:t>
      </w:r>
    </w:p>
    <w:p>
      <w:pPr>
        <w:autoSpaceDE w:val="0"/>
        <w:autoSpaceDN w:val="0"/>
        <w:adjustRightIn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依法必须披露的信息发布后，基金管理人、基金托管人应当按照相关法律法规规定将信息置备于各自住所，供社会公众查阅、复制。在支付工本费后可以获得上述文件的复制件或复印件。</w:t>
      </w:r>
    </w:p>
    <w:p>
      <w:pPr>
        <w:autoSpaceDE w:val="0"/>
        <w:autoSpaceDN w:val="0"/>
        <w:adjustRightIn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基金管理人和基金托管人应保证文本的内容与所公告的内容完全一致。</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4、暂停</w:t>
      </w:r>
      <w:r>
        <w:rPr>
          <w:rFonts w:hint="eastAsia" w:ascii="宋体" w:hAnsi="宋体" w:cs="Arial"/>
          <w:color w:val="000000" w:themeColor="text1"/>
          <w:szCs w:val="21"/>
          <w14:textFill>
            <w14:solidFill>
              <w14:schemeClr w14:val="tx1"/>
            </w14:solidFill>
          </w14:textFill>
        </w:rPr>
        <w:t>或延迟披露基金相关信息</w:t>
      </w:r>
      <w:r>
        <w:rPr>
          <w:rFonts w:hint="eastAsia" w:ascii="宋体" w:hAnsi="宋体"/>
          <w:color w:val="000000" w:themeColor="text1"/>
          <w:szCs w:val="21"/>
          <w14:textFill>
            <w14:solidFill>
              <w14:schemeClr w14:val="tx1"/>
            </w14:solidFill>
          </w14:textFill>
        </w:rPr>
        <w:t>的情形</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）不可抗力；</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）基金投资所涉及的证券、期货交易市场遇法定节假日或因其他原因暂停营业时；</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（3）基金合同约定的暂停估值的情形；</w:t>
      </w:r>
    </w:p>
    <w:p>
      <w:pPr>
        <w:spacing w:line="360" w:lineRule="auto"/>
        <w:ind w:right="28"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（4）法律法规规定、基金合同或中国证监会规定的其他情形。</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21"/>
          <w:szCs w:val="21"/>
          <w14:textFill>
            <w14:solidFill>
              <w14:schemeClr w14:val="tx1"/>
            </w14:solidFill>
          </w14:textFill>
        </w:rPr>
      </w:pPr>
      <w:bookmarkStart w:id="55" w:name="_Toc382819125"/>
      <w:r>
        <w:rPr>
          <w:rFonts w:hint="eastAsia" w:ascii="宋体" w:hAnsi="宋体" w:eastAsia="宋体" w:cs="Arial"/>
          <w:color w:val="000000" w:themeColor="text1"/>
          <w:sz w:val="21"/>
          <w:szCs w:val="21"/>
          <w14:textFill>
            <w14:solidFill>
              <w14:schemeClr w14:val="tx1"/>
            </w14:solidFill>
          </w14:textFill>
        </w:rPr>
        <w:t>基金费用</w:t>
      </w:r>
      <w:bookmarkEnd w:id="55"/>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一</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基金费用的种类</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1、基金管理人的管理费；</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2、基金托管人的托管费；</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、本基金C类基金份额计提的销售服务费；</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、《基金合同》生效后与基金相关的信息披露费用；</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、《基金合同》生效后与基金相关的会计师费、律师费</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诉讼费</w:t>
      </w:r>
      <w:r>
        <w:rPr>
          <w:rFonts w:hint="eastAsia" w:ascii="宋体" w:hAnsi="宋体"/>
          <w:color w:val="000000" w:themeColor="text1"/>
          <w:szCs w:val="21"/>
          <w14:textFill>
            <w14:solidFill>
              <w14:schemeClr w14:val="tx1"/>
            </w14:solidFill>
          </w14:textFill>
        </w:rPr>
        <w:t>和仲裁费</w:t>
      </w:r>
      <w:r>
        <w:rPr>
          <w:rFonts w:ascii="宋体" w:hAnsi="宋体"/>
          <w:color w:val="000000" w:themeColor="text1"/>
          <w:szCs w:val="21"/>
          <w14:textFill>
            <w14:solidFill>
              <w14:schemeClr w14:val="tx1"/>
            </w14:solidFill>
          </w14:textFill>
        </w:rPr>
        <w:t>；</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ascii="宋体" w:hAnsi="宋体"/>
          <w:color w:val="000000" w:themeColor="text1"/>
          <w:szCs w:val="21"/>
          <w14:textFill>
            <w14:solidFill>
              <w14:schemeClr w14:val="tx1"/>
            </w14:solidFill>
          </w14:textFill>
        </w:rPr>
        <w:t>、基金份额持有人大会费用</w:t>
      </w:r>
      <w:r>
        <w:rPr>
          <w:rFonts w:hint="eastAsia" w:ascii="宋体" w:hAnsi="宋体"/>
          <w:color w:val="000000" w:themeColor="text1"/>
          <w:szCs w:val="21"/>
          <w14:textFill>
            <w14:solidFill>
              <w14:schemeClr w14:val="tx1"/>
            </w14:solidFill>
          </w14:textFill>
        </w:rPr>
        <w:t>（包括但不限于场地费、会计师费、律师费和公证费）</w:t>
      </w:r>
      <w:r>
        <w:rPr>
          <w:rFonts w:ascii="宋体" w:hAnsi="宋体"/>
          <w:color w:val="000000" w:themeColor="text1"/>
          <w:szCs w:val="21"/>
          <w14:textFill>
            <w14:solidFill>
              <w14:schemeClr w14:val="tx1"/>
            </w14:solidFill>
          </w14:textFill>
        </w:rPr>
        <w:t>；</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r>
        <w:rPr>
          <w:rFonts w:ascii="宋体" w:hAnsi="宋体"/>
          <w:color w:val="000000" w:themeColor="text1"/>
          <w:szCs w:val="21"/>
          <w14:textFill>
            <w14:solidFill>
              <w14:schemeClr w14:val="tx1"/>
            </w14:solidFill>
          </w14:textFill>
        </w:rPr>
        <w:t>、基金的证券</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期货的交易费用；</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r>
        <w:rPr>
          <w:rFonts w:ascii="宋体" w:hAnsi="宋体"/>
          <w:color w:val="000000" w:themeColor="text1"/>
          <w:szCs w:val="21"/>
          <w14:textFill>
            <w14:solidFill>
              <w14:schemeClr w14:val="tx1"/>
            </w14:solidFill>
          </w14:textFill>
        </w:rPr>
        <w:t>、基金的银行汇划费用；</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基金的账户开户费用、账户维护费用；</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按照国家有关规定和《基金合同》约定，可以在基金财产中列支的其他费用。</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二</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基金费用计提方法、计提标准和支付方式</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1、基金管理人的管理费</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本基金的管理费按前一日基金资产净值的</w:t>
      </w:r>
      <w:r>
        <w:rPr>
          <w:rFonts w:hint="eastAsia" w:ascii="宋体" w:hAnsi="宋体"/>
          <w:color w:val="000000" w:themeColor="text1"/>
          <w:szCs w:val="21"/>
          <w14:textFill>
            <w14:solidFill>
              <w14:schemeClr w14:val="tx1"/>
            </w14:solidFill>
          </w14:textFill>
        </w:rPr>
        <w:t>0.</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0%</w:t>
      </w:r>
      <w:r>
        <w:rPr>
          <w:rFonts w:ascii="宋体" w:hAnsi="宋体"/>
          <w:color w:val="000000" w:themeColor="text1"/>
          <w:szCs w:val="21"/>
          <w14:textFill>
            <w14:solidFill>
              <w14:schemeClr w14:val="tx1"/>
            </w14:solidFill>
          </w14:textFill>
        </w:rPr>
        <w:t>年费率计提。管理费的计算方法如下：</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H＝E×</w:t>
      </w:r>
      <w:r>
        <w:rPr>
          <w:rFonts w:hint="eastAsia" w:ascii="宋体" w:hAnsi="宋体"/>
          <w:color w:val="000000" w:themeColor="text1"/>
          <w:szCs w:val="21"/>
          <w14:textFill>
            <w14:solidFill>
              <w14:schemeClr w14:val="tx1"/>
            </w14:solidFill>
          </w14:textFill>
        </w:rPr>
        <w:t>0.</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0%</w:t>
      </w:r>
      <w:r>
        <w:rPr>
          <w:rFonts w:ascii="宋体" w:hAnsi="宋体"/>
          <w:color w:val="000000" w:themeColor="text1"/>
          <w:szCs w:val="21"/>
          <w14:textFill>
            <w14:solidFill>
              <w14:schemeClr w14:val="tx1"/>
            </w14:solidFill>
          </w14:textFill>
        </w:rPr>
        <w:t>÷当年天数</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H为每日应计提的基金管理费</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E为前一日的基金资产净值</w:t>
      </w:r>
    </w:p>
    <w:p>
      <w:pPr>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基金管理费每日计提，逐日累计至每月月末，按月支付，由基金管理人于次月首日起5个工作日内向基金托管人发送基金管理费划付指令，经基金托管人复核后从基金财产中一次性支付给基金管理人。若遇法定节假日、公休假或不可抗力等，支付日期顺延。</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2、基金托管人的托管费</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本基金的托管费按前一日基金资产净值的</w:t>
      </w:r>
      <w:r>
        <w:rPr>
          <w:rFonts w:hint="eastAsia" w:ascii="宋体" w:hAnsi="宋体"/>
          <w:color w:val="000000" w:themeColor="text1"/>
          <w:szCs w:val="21"/>
          <w14:textFill>
            <w14:solidFill>
              <w14:schemeClr w14:val="tx1"/>
            </w14:solidFill>
          </w14:textFill>
        </w:rPr>
        <w:t>0.</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 xml:space="preserve">0% </w:t>
      </w:r>
      <w:r>
        <w:rPr>
          <w:rFonts w:ascii="宋体" w:hAnsi="宋体"/>
          <w:color w:val="000000" w:themeColor="text1"/>
          <w:szCs w:val="21"/>
          <w14:textFill>
            <w14:solidFill>
              <w14:schemeClr w14:val="tx1"/>
            </w14:solidFill>
          </w14:textFill>
        </w:rPr>
        <w:t>的年费率计提。托管费的计算方法如下：</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H＝E×</w:t>
      </w:r>
      <w:r>
        <w:rPr>
          <w:rFonts w:hint="eastAsia" w:ascii="宋体" w:hAnsi="宋体"/>
          <w:color w:val="000000" w:themeColor="text1"/>
          <w:szCs w:val="21"/>
          <w14:textFill>
            <w14:solidFill>
              <w14:schemeClr w14:val="tx1"/>
            </w14:solidFill>
          </w14:textFill>
        </w:rPr>
        <w:t>0.</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0%</w:t>
      </w:r>
      <w:r>
        <w:rPr>
          <w:rFonts w:ascii="宋体" w:hAnsi="宋体"/>
          <w:color w:val="000000" w:themeColor="text1"/>
          <w:szCs w:val="21"/>
          <w14:textFill>
            <w14:solidFill>
              <w14:schemeClr w14:val="tx1"/>
            </w14:solidFill>
          </w14:textFill>
        </w:rPr>
        <w:t>÷当年天数</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H为每日应计提的基金托管费</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E为前一日的基金资产净值</w:t>
      </w:r>
    </w:p>
    <w:p>
      <w:pPr>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基金托管费每日计提，逐日累计至每月月末，按月支付，由基金管理人于次月首日起</w:t>
      </w:r>
      <w:r>
        <w:rPr>
          <w:rFonts w:ascii="宋体" w:hAnsi="宋体"/>
          <w:bCs/>
          <w:color w:val="000000" w:themeColor="text1"/>
          <w:szCs w:val="21"/>
          <w14:textFill>
            <w14:solidFill>
              <w14:schemeClr w14:val="tx1"/>
            </w14:solidFill>
          </w14:textFill>
        </w:rPr>
        <w:t>5</w:t>
      </w:r>
      <w:r>
        <w:rPr>
          <w:rFonts w:hint="eastAsia" w:ascii="宋体" w:hAnsi="宋体"/>
          <w:bCs/>
          <w:color w:val="000000" w:themeColor="text1"/>
          <w:szCs w:val="21"/>
          <w14:textFill>
            <w14:solidFill>
              <w14:schemeClr w14:val="tx1"/>
            </w14:solidFill>
          </w14:textFill>
        </w:rPr>
        <w:t>个工作日内向基金托管人发送基金托管费划付指令，经基金托管人复核后从基金财产中一次性支取。若遇法定节假日、公休假或不可抗力等，支付日期顺延。</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3、基金销售服务费</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本基金A类基金份额不收取销售服务费，C类基金份额的销售服务年费为0.</w:t>
      </w:r>
      <w:r>
        <w:rPr>
          <w:rFonts w:ascii="宋体" w:hAnsi="宋体"/>
          <w:color w:val="000000" w:themeColor="text1"/>
          <w:szCs w:val="21"/>
          <w14:textFill>
            <w14:solidFill>
              <w14:schemeClr w14:val="tx1"/>
            </w14:solidFill>
          </w14:textFill>
        </w:rPr>
        <w:t>30</w:t>
      </w:r>
      <w:r>
        <w:rPr>
          <w:rFonts w:hint="eastAsia" w:ascii="宋体" w:hAnsi="宋体"/>
          <w:color w:val="000000" w:themeColor="text1"/>
          <w:szCs w:val="21"/>
          <w14:textFill>
            <w14:solidFill>
              <w14:schemeClr w14:val="tx1"/>
            </w14:solidFill>
          </w14:textFill>
        </w:rPr>
        <w:t>%。计算方法如下：</w:t>
      </w:r>
      <w:r>
        <w:rPr>
          <w:rFonts w:ascii="宋体" w:hAnsi="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H</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E</w:t>
      </w:r>
      <w:r>
        <w:rPr>
          <w:rFonts w:hint="eastAsia" w:ascii="宋体" w:hAnsi="宋体"/>
          <w:color w:val="000000" w:themeColor="text1"/>
          <w:szCs w:val="21"/>
          <w14:textFill>
            <w14:solidFill>
              <w14:schemeClr w14:val="tx1"/>
            </w14:solidFill>
          </w14:textFill>
        </w:rPr>
        <w:t>×C类基金份额</w:t>
      </w:r>
      <w:r>
        <w:rPr>
          <w:rFonts w:ascii="宋体" w:hAnsi="宋体"/>
          <w:color w:val="000000" w:themeColor="text1"/>
          <w:szCs w:val="21"/>
          <w14:textFill>
            <w14:solidFill>
              <w14:schemeClr w14:val="tx1"/>
            </w14:solidFill>
          </w14:textFill>
        </w:rPr>
        <w:t>对应的</w:t>
      </w:r>
      <w:r>
        <w:rPr>
          <w:rFonts w:hint="eastAsia" w:ascii="宋体" w:hAnsi="宋体"/>
          <w:color w:val="000000" w:themeColor="text1"/>
          <w:szCs w:val="21"/>
          <w14:textFill>
            <w14:solidFill>
              <w14:schemeClr w14:val="tx1"/>
            </w14:solidFill>
          </w14:textFill>
        </w:rPr>
        <w:t>销售服务年费率÷当年天数</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H </w:t>
      </w:r>
      <w:r>
        <w:rPr>
          <w:rFonts w:hint="eastAsia" w:ascii="宋体" w:hAnsi="宋体"/>
          <w:color w:val="000000" w:themeColor="text1"/>
          <w:szCs w:val="21"/>
          <w14:textFill>
            <w14:solidFill>
              <w14:schemeClr w14:val="tx1"/>
            </w14:solidFill>
          </w14:textFill>
        </w:rPr>
        <w:t>为C类基金份额每日应计提的销售服务费</w:t>
      </w:r>
      <w:r>
        <w:rPr>
          <w:rFonts w:ascii="宋体" w:hAnsi="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E </w:t>
      </w:r>
      <w:r>
        <w:rPr>
          <w:rFonts w:hint="eastAsia" w:ascii="宋体" w:hAnsi="宋体"/>
          <w:color w:val="000000" w:themeColor="text1"/>
          <w:szCs w:val="21"/>
          <w14:textFill>
            <w14:solidFill>
              <w14:schemeClr w14:val="tx1"/>
            </w14:solidFill>
          </w14:textFill>
        </w:rPr>
        <w:t>为C类基金份额前一日基金资产净值</w:t>
      </w:r>
      <w:r>
        <w:rPr>
          <w:rFonts w:ascii="宋体" w:hAnsi="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销售服务费每日计算，逐日累计至每月月末，按月支付。经基金管理人与基金托管人核对一致后，由基金托管人于次月首日起 5 个工作日内从基金财产中一次性支付给基金管理人，由基金管理人代付给销售机构。若遇法定节假日、公休日或不可抗力等，支付日期顺延。</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4、证券账户开户费用：证券账户开户费经基金管理人与基金托管人核对无误后，自本</w:t>
      </w:r>
      <w:r>
        <w:rPr>
          <w:rFonts w:ascii="宋体" w:hAnsi="宋体"/>
          <w:color w:val="000000" w:themeColor="text1"/>
          <w:szCs w:val="21"/>
          <w14:textFill>
            <w14:solidFill>
              <w14:schemeClr w14:val="tx1"/>
            </w14:solidFill>
          </w14:textFill>
        </w:rPr>
        <w:t>基金</w:t>
      </w:r>
      <w:r>
        <w:rPr>
          <w:rFonts w:hint="eastAsia" w:ascii="宋体" w:hAnsi="宋体"/>
          <w:color w:val="000000" w:themeColor="text1"/>
          <w:szCs w:val="21"/>
          <w14:textFill>
            <w14:solidFill>
              <w14:schemeClr w14:val="tx1"/>
            </w14:solidFill>
          </w14:textFill>
        </w:rPr>
        <w:t>成立一个月内由基金托管人从基金财产中划付，如基金财产余额不足支付该开户费用，由基金管理人于本</w:t>
      </w:r>
      <w:r>
        <w:rPr>
          <w:rFonts w:ascii="宋体" w:hAnsi="宋体"/>
          <w:color w:val="000000" w:themeColor="text1"/>
          <w:szCs w:val="21"/>
          <w14:textFill>
            <w14:solidFill>
              <w14:schemeClr w14:val="tx1"/>
            </w14:solidFill>
          </w14:textFill>
        </w:rPr>
        <w:t>基金</w:t>
      </w:r>
      <w:r>
        <w:rPr>
          <w:rFonts w:hint="eastAsia" w:ascii="宋体" w:hAnsi="宋体"/>
          <w:color w:val="000000" w:themeColor="text1"/>
          <w:szCs w:val="21"/>
          <w14:textFill>
            <w14:solidFill>
              <w14:schemeClr w14:val="tx1"/>
            </w14:solidFill>
          </w14:textFill>
        </w:rPr>
        <w:t>成立一个月后的5个工作日内进行垫付，基金托管人不承担垫付开户费用义务。</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上述</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一</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基金费用的种类</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中第</w:t>
      </w: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0项费用，根据有关法规及相应协议规定，按费用实际支出金额列入当期费用，由基金托管人从基金财产中支付。</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三</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不列入基金费用的项目</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下列费用不列入基金费用：</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1、基金管理人和基金托管人因未履行或未完全履行义务导致的费用支出或基金财产的损失；</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2、基金管理人和基金托管人处理与基金运作无关的事项发生的费用；</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3、《基金合同》生效前的相关费用；</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4、其他根据相关法律法规及中国证监会的有关规定不得列入基金费用的项目。</w:t>
      </w:r>
      <w:bookmarkStart w:id="56" w:name="_Hlt88827255"/>
      <w:bookmarkEnd w:id="56"/>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（四）实施侧袋机制期间的基金费用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本基金实施侧袋机制的，与侧袋账户有关的费用可以从侧袋账户中列支，但应待侧袋账户资产变现后方可列支，有关费用可酌情收取或减免，但不得收取管理费，详见招募说明书的规定或相关公告。</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w:t>
      </w:r>
      <w:r>
        <w:rPr>
          <w:rFonts w:ascii="宋体" w:hAnsi="宋体"/>
          <w:color w:val="000000" w:themeColor="text1"/>
          <w:szCs w:val="21"/>
          <w14:textFill>
            <w14:solidFill>
              <w14:schemeClr w14:val="tx1"/>
            </w14:solidFill>
          </w14:textFill>
        </w:rPr>
        <w:t>基金税收</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本基金运作过程中涉及的各纳税主体，其纳税义务按国家税收法律、法规执行。基金财产投资的相关税收，由基金份额持有人承担，基金管理人或者其他扣缴义务人按照国家有关税收征收的规定代扣代缴。</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21"/>
          <w:szCs w:val="21"/>
          <w14:textFill>
            <w14:solidFill>
              <w14:schemeClr w14:val="tx1"/>
            </w14:solidFill>
          </w14:textFill>
        </w:rPr>
      </w:pPr>
      <w:bookmarkStart w:id="57" w:name="_Toc382819126"/>
      <w:r>
        <w:rPr>
          <w:rFonts w:hint="eastAsia" w:ascii="宋体" w:hAnsi="宋体" w:eastAsia="宋体" w:cs="Arial"/>
          <w:color w:val="000000" w:themeColor="text1"/>
          <w:sz w:val="21"/>
          <w:szCs w:val="21"/>
          <w14:textFill>
            <w14:solidFill>
              <w14:schemeClr w14:val="tx1"/>
            </w14:solidFill>
          </w14:textFill>
        </w:rPr>
        <w:t>基金份额持有人名册的保管</w:t>
      </w:r>
      <w:bookmarkEnd w:id="57"/>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基金管理人妥善保管的基金份额持有人名册，基金份额持有人名册的内容必须包括基金份额持有人的名称和持有的基金份额。</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基金份额持有人名册由基金的</w:t>
      </w:r>
      <w:r>
        <w:rPr>
          <w:rFonts w:hint="eastAsia" w:ascii="宋体" w:hAnsi="宋体" w:cs="Arial"/>
          <w:color w:val="000000" w:themeColor="text1"/>
          <w:szCs w:val="21"/>
          <w14:textFill>
            <w14:solidFill>
              <w14:schemeClr w14:val="tx1"/>
            </w14:solidFill>
          </w14:textFill>
        </w:rPr>
        <w:t>基金注册登记机构根据基金管理人的指令编制和保管</w:t>
      </w:r>
      <w:r>
        <w:rPr>
          <w:rFonts w:hint="eastAsia" w:ascii="宋体" w:hAnsi="宋体"/>
          <w:color w:val="000000" w:themeColor="text1"/>
          <w:szCs w:val="21"/>
          <w14:textFill>
            <w14:solidFill>
              <w14:schemeClr w14:val="tx1"/>
            </w14:solidFill>
          </w14:textFill>
        </w:rPr>
        <w:t>，基金管理人应按照目前相关规则保管基金份额持有人名册。保管方式可以采用电子或文档的形式。保管期限不低于法律法规规定的最低期限。</w:t>
      </w:r>
    </w:p>
    <w:p>
      <w:pPr>
        <w:spacing w:line="360" w:lineRule="auto"/>
        <w:ind w:firstLine="420" w:firstLineChars="200"/>
        <w:rPr>
          <w:rFonts w:ascii="宋体" w:hAnsi="宋体" w:cs="Arial"/>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基金托管人需要时，基金管理人应将基金份额持有人名册送交基金托管人，文件方式可以采用电子或文档的形式并且保证其的真实、准确、完整。基金托管人应妥善保管，不得将持有人名册用于基金托管业务以外的其他用途。</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21"/>
          <w:szCs w:val="21"/>
          <w14:textFill>
            <w14:solidFill>
              <w14:schemeClr w14:val="tx1"/>
            </w14:solidFill>
          </w14:textFill>
        </w:rPr>
      </w:pPr>
      <w:bookmarkStart w:id="58" w:name="_Toc382819127"/>
      <w:r>
        <w:rPr>
          <w:rFonts w:hint="eastAsia" w:ascii="宋体" w:hAnsi="宋体" w:eastAsia="宋体" w:cs="Arial"/>
          <w:color w:val="000000" w:themeColor="text1"/>
          <w:sz w:val="21"/>
          <w:szCs w:val="21"/>
          <w14:textFill>
            <w14:solidFill>
              <w14:schemeClr w14:val="tx1"/>
            </w14:solidFill>
          </w14:textFill>
        </w:rPr>
        <w:t>基金有关文件和档案的保存</w:t>
      </w:r>
      <w:bookmarkEnd w:id="58"/>
    </w:p>
    <w:p>
      <w:pPr>
        <w:spacing w:line="360" w:lineRule="auto"/>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（一）档案保存</w:t>
      </w:r>
    </w:p>
    <w:p>
      <w:pPr>
        <w:spacing w:line="360" w:lineRule="auto"/>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存期限不低于法律法规规定的最低期限。</w:t>
      </w:r>
    </w:p>
    <w:p>
      <w:pPr>
        <w:spacing w:line="360" w:lineRule="auto"/>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（二）合同档案的建立</w:t>
      </w:r>
    </w:p>
    <w:p>
      <w:pPr>
        <w:spacing w:line="360" w:lineRule="auto"/>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1、基金管理人或基金托管人在签署与本基金有关的合同文本后，应及时按相关法律法规及本协议的规定将合同正本或副本提交对方。</w:t>
      </w:r>
    </w:p>
    <w:p>
      <w:pPr>
        <w:spacing w:line="360" w:lineRule="auto"/>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2、基金管理人和基金托管人应按各自职责保管就基金资产对外签署的全部合同的正本。</w:t>
      </w:r>
    </w:p>
    <w:p>
      <w:pPr>
        <w:spacing w:line="360" w:lineRule="auto"/>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（三）变更与协助</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若基金管理人和基金托管人发生变更，未变更的一方有义务协助变更后的接任人接收相应文件。</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21"/>
          <w:szCs w:val="21"/>
          <w14:textFill>
            <w14:solidFill>
              <w14:schemeClr w14:val="tx1"/>
            </w14:solidFill>
          </w14:textFill>
        </w:rPr>
      </w:pPr>
      <w:bookmarkStart w:id="59" w:name="_Toc382819128"/>
      <w:r>
        <w:rPr>
          <w:rFonts w:hint="eastAsia" w:ascii="宋体" w:hAnsi="宋体" w:eastAsia="宋体" w:cs="Arial"/>
          <w:color w:val="000000" w:themeColor="text1"/>
          <w:sz w:val="21"/>
          <w:szCs w:val="21"/>
          <w14:textFill>
            <w14:solidFill>
              <w14:schemeClr w14:val="tx1"/>
            </w14:solidFill>
          </w14:textFill>
        </w:rPr>
        <w:t>基金管理人和基金托管人的更换</w:t>
      </w:r>
      <w:bookmarkEnd w:id="59"/>
    </w:p>
    <w:p>
      <w:pPr>
        <w:pStyle w:val="3"/>
        <w:keepNext w:val="0"/>
        <w:keepLines w:val="0"/>
        <w:autoSpaceDE w:val="0"/>
        <w:autoSpaceDN w:val="0"/>
        <w:adjustRightInd w:val="0"/>
        <w:spacing w:before="0" w:after="0" w:line="360" w:lineRule="auto"/>
        <w:ind w:firstLine="308" w:firstLineChars="147"/>
        <w:textAlignment w:val="baseline"/>
        <w:rPr>
          <w:rFonts w:ascii="宋体" w:hAnsi="宋体" w:eastAsia="宋体" w:cs="Arial"/>
          <w:b w:val="0"/>
          <w:bCs w:val="0"/>
          <w:color w:val="000000" w:themeColor="text1"/>
          <w:kern w:val="0"/>
          <w:sz w:val="21"/>
          <w:szCs w:val="21"/>
          <w14:textFill>
            <w14:solidFill>
              <w14:schemeClr w14:val="tx1"/>
            </w14:solidFill>
          </w14:textFill>
        </w:rPr>
      </w:pPr>
      <w:bookmarkStart w:id="60" w:name="_Toc382819129"/>
      <w:r>
        <w:rPr>
          <w:rFonts w:hint="eastAsia" w:ascii="宋体" w:hAnsi="宋体" w:eastAsia="宋体" w:cs="Arial"/>
          <w:b w:val="0"/>
          <w:bCs w:val="0"/>
          <w:color w:val="000000" w:themeColor="text1"/>
          <w:kern w:val="0"/>
          <w:sz w:val="21"/>
          <w:szCs w:val="21"/>
          <w14:textFill>
            <w14:solidFill>
              <w14:schemeClr w14:val="tx1"/>
            </w14:solidFill>
          </w14:textFill>
        </w:rPr>
        <w:t>（一）基金管理人的更换</w:t>
      </w:r>
      <w:bookmarkEnd w:id="60"/>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1.基金管理人的更换条件</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有下列情形之一的，基金管理人职责终止：</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被依法取消基金管理资格；</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被基金份额持有人大会解任；</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依法解散、被依法撤销或被依法宣告破产；</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 法律法规及中国证监会规定的和《基金合同》约定的其它情形。</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2.更换基金管理人的程序</w:t>
      </w:r>
    </w:p>
    <w:p>
      <w:pPr>
        <w:pStyle w:val="40"/>
        <w:numPr>
          <w:ilvl w:val="1"/>
          <w:numId w:val="3"/>
        </w:numPr>
        <w:tabs>
          <w:tab w:val="left" w:pos="993"/>
        </w:tabs>
        <w:spacing w:line="360" w:lineRule="auto"/>
        <w:ind w:left="0"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提名：新任基金管理人由基金托管人或由单独或合计持有10%以上（含10%）基金份额的基金份额持有人提名；</w:t>
      </w:r>
    </w:p>
    <w:p>
      <w:pPr>
        <w:pStyle w:val="40"/>
        <w:numPr>
          <w:ilvl w:val="1"/>
          <w:numId w:val="3"/>
        </w:numPr>
        <w:tabs>
          <w:tab w:val="left" w:pos="993"/>
        </w:tabs>
        <w:spacing w:line="360" w:lineRule="auto"/>
        <w:ind w:left="0"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pPr>
        <w:pStyle w:val="40"/>
        <w:numPr>
          <w:ilvl w:val="1"/>
          <w:numId w:val="3"/>
        </w:numPr>
        <w:tabs>
          <w:tab w:val="left" w:pos="993"/>
        </w:tabs>
        <w:spacing w:line="360" w:lineRule="auto"/>
        <w:ind w:left="0"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临时基金管理人：新任基金管理人产生之前，由中国证监会指定临时基金管理人；</w:t>
      </w:r>
    </w:p>
    <w:p>
      <w:pPr>
        <w:pStyle w:val="40"/>
        <w:numPr>
          <w:ilvl w:val="1"/>
          <w:numId w:val="3"/>
        </w:numPr>
        <w:tabs>
          <w:tab w:val="left" w:pos="993"/>
        </w:tabs>
        <w:spacing w:line="360" w:lineRule="auto"/>
        <w:ind w:left="0"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备案：基金份额持有人大会更换基金管理人的决议须报中国证监会备案；</w:t>
      </w:r>
    </w:p>
    <w:p>
      <w:pPr>
        <w:pStyle w:val="40"/>
        <w:numPr>
          <w:ilvl w:val="1"/>
          <w:numId w:val="3"/>
        </w:numPr>
        <w:tabs>
          <w:tab w:val="left" w:pos="993"/>
        </w:tabs>
        <w:spacing w:line="360" w:lineRule="auto"/>
        <w:ind w:left="0"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公告：基金管理人更换后，由基金托管人在更换基金管理人的基金份额持有人大会决议生效后按照《信息披露办法》的有关规定在规定媒介公告；</w:t>
      </w:r>
    </w:p>
    <w:p>
      <w:pPr>
        <w:pStyle w:val="40"/>
        <w:numPr>
          <w:ilvl w:val="1"/>
          <w:numId w:val="3"/>
        </w:numPr>
        <w:tabs>
          <w:tab w:val="left" w:pos="993"/>
        </w:tabs>
        <w:spacing w:line="360" w:lineRule="auto"/>
        <w:ind w:left="0"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pPr>
        <w:pStyle w:val="40"/>
        <w:numPr>
          <w:ilvl w:val="1"/>
          <w:numId w:val="3"/>
        </w:numPr>
        <w:tabs>
          <w:tab w:val="left" w:pos="993"/>
        </w:tabs>
        <w:spacing w:line="360" w:lineRule="auto"/>
        <w:ind w:left="0"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审计：基金管理人职责终止的，应当按照法律法规规定聘请符合《中华人民共和国证券法》规定的会计师事务所对基金财产进行审计，并将审计结果予以公告，同时报中国证监会备案，审计费用从基金财产中列支；</w:t>
      </w:r>
    </w:p>
    <w:p>
      <w:pPr>
        <w:pStyle w:val="40"/>
        <w:numPr>
          <w:ilvl w:val="1"/>
          <w:numId w:val="3"/>
        </w:numPr>
        <w:tabs>
          <w:tab w:val="left" w:pos="993"/>
        </w:tabs>
        <w:spacing w:line="360" w:lineRule="auto"/>
        <w:ind w:left="0"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基金名称变更：基金管理人更换后，如果原任或新任基金管理人要求，应按其要求替换或删除基金名称中与原任基金管理人有关的名称字样。</w:t>
      </w:r>
    </w:p>
    <w:p>
      <w:pPr>
        <w:pStyle w:val="3"/>
        <w:keepNext w:val="0"/>
        <w:keepLines w:val="0"/>
        <w:autoSpaceDE w:val="0"/>
        <w:autoSpaceDN w:val="0"/>
        <w:adjustRightInd w:val="0"/>
        <w:spacing w:before="0" w:after="0" w:line="360" w:lineRule="auto"/>
        <w:ind w:firstLine="308" w:firstLineChars="147"/>
        <w:textAlignment w:val="baseline"/>
        <w:rPr>
          <w:rFonts w:ascii="宋体" w:hAnsi="宋体" w:eastAsia="宋体" w:cs="Arial"/>
          <w:b w:val="0"/>
          <w:bCs w:val="0"/>
          <w:color w:val="000000" w:themeColor="text1"/>
          <w:kern w:val="0"/>
          <w:sz w:val="21"/>
          <w:szCs w:val="21"/>
          <w14:textFill>
            <w14:solidFill>
              <w14:schemeClr w14:val="tx1"/>
            </w14:solidFill>
          </w14:textFill>
        </w:rPr>
      </w:pPr>
      <w:bookmarkStart w:id="61" w:name="_Toc382819130"/>
      <w:r>
        <w:rPr>
          <w:rFonts w:hint="eastAsia" w:ascii="宋体" w:hAnsi="宋体" w:eastAsia="宋体" w:cs="Arial"/>
          <w:b w:val="0"/>
          <w:bCs w:val="0"/>
          <w:color w:val="000000" w:themeColor="text1"/>
          <w:kern w:val="0"/>
          <w:sz w:val="21"/>
          <w:szCs w:val="21"/>
          <w14:textFill>
            <w14:solidFill>
              <w14:schemeClr w14:val="tx1"/>
            </w14:solidFill>
          </w14:textFill>
        </w:rPr>
        <w:t>（二）基金托管人的更换</w:t>
      </w:r>
      <w:bookmarkEnd w:id="61"/>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1.基金托管人的更换条件</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有下列情形之一的，基金托管人职责终止：</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被依法取消基金托管人资格；</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被基金份额持有人大会解任；</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依法解散、被依法撤销或被依法宣告破产；</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 法律法规及中国证监会规定的和《基金合同》约定的其它情形。</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2.更换基金托管人的程序</w:t>
      </w:r>
    </w:p>
    <w:p>
      <w:pPr>
        <w:pStyle w:val="40"/>
        <w:numPr>
          <w:ilvl w:val="0"/>
          <w:numId w:val="4"/>
        </w:numPr>
        <w:tabs>
          <w:tab w:val="left" w:pos="993"/>
        </w:tabs>
        <w:spacing w:line="360" w:lineRule="auto"/>
        <w:ind w:left="0"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提名：新任基金托管人由基金管理人或由单独或合计持有10%以上（含10%）基金份额的基金份额持有人提名；</w:t>
      </w:r>
    </w:p>
    <w:p>
      <w:pPr>
        <w:pStyle w:val="40"/>
        <w:numPr>
          <w:ilvl w:val="0"/>
          <w:numId w:val="4"/>
        </w:numPr>
        <w:tabs>
          <w:tab w:val="left" w:pos="993"/>
        </w:tabs>
        <w:spacing w:line="360" w:lineRule="auto"/>
        <w:ind w:left="0"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pPr>
        <w:pStyle w:val="40"/>
        <w:numPr>
          <w:ilvl w:val="0"/>
          <w:numId w:val="4"/>
        </w:numPr>
        <w:tabs>
          <w:tab w:val="left" w:pos="993"/>
        </w:tabs>
        <w:spacing w:line="360" w:lineRule="auto"/>
        <w:ind w:left="0"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临时基金托管人：新任基金托管人产生之前，由中国证监会指定临时基金托管人；</w:t>
      </w:r>
    </w:p>
    <w:p>
      <w:pPr>
        <w:pStyle w:val="40"/>
        <w:numPr>
          <w:ilvl w:val="0"/>
          <w:numId w:val="4"/>
        </w:numPr>
        <w:tabs>
          <w:tab w:val="left" w:pos="993"/>
        </w:tabs>
        <w:spacing w:line="360" w:lineRule="auto"/>
        <w:ind w:left="0"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备案：基金份额持有人大会更换基金托管人的决议须报中国证监会备案；</w:t>
      </w:r>
    </w:p>
    <w:p>
      <w:pPr>
        <w:pStyle w:val="40"/>
        <w:numPr>
          <w:ilvl w:val="0"/>
          <w:numId w:val="4"/>
        </w:numPr>
        <w:tabs>
          <w:tab w:val="left" w:pos="993"/>
        </w:tabs>
        <w:spacing w:line="360" w:lineRule="auto"/>
        <w:ind w:left="0"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公告：基金托管人更换后，由基金管理人在更换基金托管人的基金份额持有人大会决议生效后按照《信息披露办法》的有关规定在规定媒介公告；</w:t>
      </w:r>
    </w:p>
    <w:p>
      <w:pPr>
        <w:pStyle w:val="40"/>
        <w:numPr>
          <w:ilvl w:val="0"/>
          <w:numId w:val="4"/>
        </w:numPr>
        <w:tabs>
          <w:tab w:val="left" w:pos="993"/>
        </w:tabs>
        <w:spacing w:line="360" w:lineRule="auto"/>
        <w:ind w:left="0"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接：基金托管人职责终止的，基金托管人应当妥善保管基金财产和基金托管业务资料，及时向临时基金托管人或新任基金托管人办理基金财产和基金托管业务的移交手续，新任基金托管人或者临时基金托管人应当及时接收。新任基金托管人或者临时基金托管人应与基金管理人核对基金资产总值和净值；</w:t>
      </w:r>
    </w:p>
    <w:p>
      <w:pPr>
        <w:pStyle w:val="40"/>
        <w:numPr>
          <w:ilvl w:val="0"/>
          <w:numId w:val="4"/>
        </w:numPr>
        <w:tabs>
          <w:tab w:val="left" w:pos="993"/>
        </w:tabs>
        <w:spacing w:line="360" w:lineRule="auto"/>
        <w:ind w:left="0"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审计：基金托管人职责终止的，应当按照法律法规规定聘请符合《中华人民共和国证券法》规定的会计师事务所对基金财产进行审计，并将审计结果予以公告，同时报中国证监会备案，审计费用从基金财产中列支。</w:t>
      </w:r>
    </w:p>
    <w:p>
      <w:pPr>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（三）</w:t>
      </w:r>
      <w:r>
        <w:rPr>
          <w:rFonts w:hint="eastAsia" w:ascii="宋体" w:hAnsi="宋体"/>
          <w:bCs/>
          <w:color w:val="000000" w:themeColor="text1"/>
          <w:szCs w:val="21"/>
          <w14:textFill>
            <w14:solidFill>
              <w14:schemeClr w14:val="tx1"/>
            </w14:solidFill>
          </w14:textFill>
        </w:rPr>
        <w:tab/>
      </w:r>
      <w:r>
        <w:rPr>
          <w:rFonts w:hint="eastAsia" w:ascii="宋体" w:hAnsi="宋体"/>
          <w:bCs/>
          <w:color w:val="000000" w:themeColor="text1"/>
          <w:szCs w:val="21"/>
          <w14:textFill>
            <w14:solidFill>
              <w14:schemeClr w14:val="tx1"/>
            </w14:solidFill>
          </w14:textFill>
        </w:rPr>
        <w:t>基金管理人和基金托管人的同时更换程序</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1、提名：如果基金管理人和基金托管人同时更换，由单独或合计持有基金总份额10%以上（含10%）的基金份额持有人提名新的基金管理人和基金托管人；</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2、基金管理人和基金托管人的更换分别按上述程序进行；</w:t>
      </w:r>
    </w:p>
    <w:p>
      <w:pPr>
        <w:spacing w:line="360" w:lineRule="auto"/>
        <w:ind w:firstLine="472" w:firstLineChars="225"/>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3、公告：新任基金管理人和新任基金托管人应在更换基金管理人和基金托管人的基金份额持有人大会决议生效后2日内在规定媒介上联合公告。</w:t>
      </w:r>
    </w:p>
    <w:p>
      <w:pPr>
        <w:spacing w:line="360" w:lineRule="auto"/>
        <w:ind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基金合同的规定收取基金管理费或基金托管费。</w:t>
      </w:r>
    </w:p>
    <w:p>
      <w:pPr>
        <w:spacing w:line="360" w:lineRule="auto"/>
        <w:ind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21"/>
          <w:szCs w:val="21"/>
          <w14:textFill>
            <w14:solidFill>
              <w14:schemeClr w14:val="tx1"/>
            </w14:solidFill>
          </w14:textFill>
        </w:rPr>
      </w:pPr>
      <w:bookmarkStart w:id="62" w:name="_Toc382819131"/>
      <w:r>
        <w:rPr>
          <w:rFonts w:hint="eastAsia" w:ascii="宋体" w:hAnsi="宋体" w:eastAsia="宋体" w:cs="Arial"/>
          <w:color w:val="000000" w:themeColor="text1"/>
          <w:sz w:val="21"/>
          <w:szCs w:val="21"/>
          <w14:textFill>
            <w14:solidFill>
              <w14:schemeClr w14:val="tx1"/>
            </w14:solidFill>
          </w14:textFill>
        </w:rPr>
        <w:t>禁止行为</w:t>
      </w:r>
      <w:bookmarkEnd w:id="62"/>
    </w:p>
    <w:p>
      <w:pPr>
        <w:spacing w:line="360" w:lineRule="auto"/>
        <w:ind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托管协议当事人禁止从事的行为，包括但不限于：</w:t>
      </w:r>
    </w:p>
    <w:p>
      <w:pPr>
        <w:spacing w:line="360" w:lineRule="auto"/>
        <w:ind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（一）基金管理人、基金托管人将其固有财产或者他人财产混同于基金财产从事证券投资。</w:t>
      </w:r>
    </w:p>
    <w:p>
      <w:pPr>
        <w:spacing w:line="360" w:lineRule="auto"/>
        <w:ind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（二）基金管理人、基金托管人不公平地对待其管理或托管的不同基金财产。</w:t>
      </w:r>
    </w:p>
    <w:p>
      <w:pPr>
        <w:spacing w:line="360" w:lineRule="auto"/>
        <w:ind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（三）基金管理人、基金托管人利用基金财产或职务之便为基金份额持有人以外的第三人牟取利益。</w:t>
      </w:r>
    </w:p>
    <w:p>
      <w:pPr>
        <w:spacing w:line="360" w:lineRule="auto"/>
        <w:ind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（四）基金管理人、基金托管人向基金份额持有人违规承诺收益或者承担损失。</w:t>
      </w:r>
    </w:p>
    <w:p>
      <w:pPr>
        <w:spacing w:line="360" w:lineRule="auto"/>
        <w:ind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（五）基金管理人、基金托管人对他人泄露基金经营过程中任何尚未按法律法规规定的方式公开披露的信息。</w:t>
      </w:r>
    </w:p>
    <w:p>
      <w:pPr>
        <w:spacing w:line="360" w:lineRule="auto"/>
        <w:ind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（六）基金管理人在没有充足资金的情况下向基金托管人发出投资指令和赎回、分红资金的划拨指令，或违规向基金托管人发出指令。</w:t>
      </w:r>
    </w:p>
    <w:p>
      <w:pPr>
        <w:spacing w:line="360" w:lineRule="auto"/>
        <w:ind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（七）基金托管人对基金管理人的符合本协议约定的有效指令拖延或拒绝执行。</w:t>
      </w:r>
    </w:p>
    <w:p>
      <w:pPr>
        <w:spacing w:line="360" w:lineRule="auto"/>
        <w:ind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（八）基金管理人、基金托管人在行政上、财务上不独立，其高级基金管理人员和</w:t>
      </w:r>
      <w:r>
        <w:rPr>
          <w:rFonts w:ascii="宋体" w:hAnsi="宋体"/>
          <w:color w:val="000000" w:themeColor="text1"/>
          <w:szCs w:val="21"/>
          <w14:textFill>
            <w14:solidFill>
              <w14:schemeClr w14:val="tx1"/>
            </w14:solidFill>
          </w14:textFill>
        </w:rPr>
        <w:t>其他从业人员</w:t>
      </w:r>
      <w:r>
        <w:rPr>
          <w:rFonts w:hint="eastAsia" w:ascii="宋体" w:hAnsi="宋体"/>
          <w:color w:val="000000" w:themeColor="text1"/>
          <w:szCs w:val="21"/>
          <w14:textFill>
            <w14:solidFill>
              <w14:schemeClr w14:val="tx1"/>
            </w14:solidFill>
          </w14:textFill>
        </w:rPr>
        <w:t xml:space="preserve">相互兼职。 </w:t>
      </w:r>
    </w:p>
    <w:p>
      <w:pPr>
        <w:spacing w:line="360" w:lineRule="auto"/>
        <w:ind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（九）基金托管人私自动用或处分基金资产，根据基金管理人的合法指令、基金合同或托管协议的规定进行处分的除外。 </w:t>
      </w:r>
    </w:p>
    <w:p>
      <w:pPr>
        <w:spacing w:line="360" w:lineRule="auto"/>
        <w:ind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十）基金管理人、基金托管人不得利用基金财产用于下列投资或者活动：（1）承销证券；（2）违反规定向他人贷款或者提供担保；（3）从事承担无限责任的投资；（4）买卖其他基金份额，但是中国证监会另有规定的除外；（5）向其基金管理人、基金托管人出资（</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）从事内幕交易、操纵证券交易价格及其他不正当的证券交易活动；（</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）法律、行政法规和中国证监会规定禁止的其他活动。</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（十一）法律法规和基金合同禁止的其他行为，以及依照法律法规有关规定，由中国证监会规定禁止基金管理人、基金托管人从事的其他行为。</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（十二）法律、行政法规或监管部门取消或变更上述禁止性规定，如适用于本基金，基金管理人在履行适当程序后，则本基金投资不再受相关限制或按变更后的规定执行。</w:t>
      </w:r>
      <w:bookmarkStart w:id="63" w:name="_Toc382819132"/>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21"/>
          <w:szCs w:val="21"/>
          <w14:textFill>
            <w14:solidFill>
              <w14:schemeClr w14:val="tx1"/>
            </w14:solidFill>
          </w14:textFill>
        </w:rPr>
      </w:pPr>
      <w:bookmarkStart w:id="64" w:name="_Hlk65854499"/>
      <w:r>
        <w:rPr>
          <w:rFonts w:hint="eastAsia" w:ascii="宋体" w:hAnsi="宋体" w:eastAsia="宋体" w:cs="Arial"/>
          <w:color w:val="000000" w:themeColor="text1"/>
          <w:sz w:val="21"/>
          <w:szCs w:val="21"/>
          <w14:textFill>
            <w14:solidFill>
              <w14:schemeClr w14:val="tx1"/>
            </w14:solidFill>
          </w14:textFill>
        </w:rPr>
        <w:t>基金托管协议的变更、终止与基金财产的清算</w:t>
      </w:r>
      <w:bookmarkEnd w:id="63"/>
    </w:p>
    <w:bookmarkEnd w:id="64"/>
    <w:p>
      <w:pPr>
        <w:spacing w:line="360" w:lineRule="auto"/>
        <w:ind w:firstLine="420" w:firstLineChars="200"/>
        <w:rPr>
          <w:rFonts w:ascii="宋体" w:hAnsi="宋体"/>
          <w:color w:val="000000" w:themeColor="text1"/>
          <w:szCs w:val="21"/>
          <w14:textFill>
            <w14:solidFill>
              <w14:schemeClr w14:val="tx1"/>
            </w14:solidFill>
          </w14:textFill>
        </w:rPr>
      </w:pPr>
      <w:bookmarkStart w:id="65" w:name="_Hlk65854517"/>
      <w:r>
        <w:rPr>
          <w:rFonts w:hint="eastAsia" w:ascii="宋体" w:hAnsi="宋体"/>
          <w:color w:val="000000" w:themeColor="text1"/>
          <w:szCs w:val="21"/>
          <w14:textFill>
            <w14:solidFill>
              <w14:schemeClr w14:val="tx1"/>
            </w14:solidFill>
          </w14:textFill>
        </w:rPr>
        <w:t>（一）托管协议的变更与终止</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1.托管协议的变更程序</w:t>
      </w:r>
    </w:p>
    <w:p>
      <w:pPr>
        <w:autoSpaceDE w:val="0"/>
        <w:autoSpaceDN w:val="0"/>
        <w:adjustRightInd w:val="0"/>
        <w:spacing w:line="360" w:lineRule="auto"/>
        <w:ind w:firstLine="444" w:firstLineChars="200"/>
        <w:jc w:val="left"/>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本协议双方当事人经协商一致，可以对协议的内容进行变更。变更后的托管协议，其内容不得与《基金合同》的规定有任何冲突，并需</w:t>
      </w:r>
      <w:r>
        <w:rPr>
          <w:rFonts w:hint="eastAsia" w:ascii="宋体" w:hAnsi="宋体"/>
          <w:color w:val="000000" w:themeColor="text1"/>
          <w:szCs w:val="21"/>
          <w14:textFill>
            <w14:solidFill>
              <w14:schemeClr w14:val="tx1"/>
            </w14:solidFill>
          </w14:textFill>
        </w:rPr>
        <w:t>经基金管理人、基金托管人加盖公章或合同专用章以及双方法定代表人或授权代理人签字（或盖章）确认</w:t>
      </w:r>
      <w:r>
        <w:rPr>
          <w:rFonts w:hint="eastAsia" w:ascii="宋体" w:hAnsi="宋体"/>
          <w:color w:val="000000" w:themeColor="text1"/>
          <w:spacing w:val="6"/>
          <w:szCs w:val="21"/>
          <w14:textFill>
            <w14:solidFill>
              <w14:schemeClr w14:val="tx1"/>
            </w14:solidFill>
          </w14:textFill>
        </w:rPr>
        <w:t>。基金托管协议的变更报中国证监会备案。</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2.基金托管协议终止的情形</w:t>
      </w:r>
    </w:p>
    <w:p>
      <w:pPr>
        <w:autoSpaceDE w:val="0"/>
        <w:autoSpaceDN w:val="0"/>
        <w:adjustRightInd w:val="0"/>
        <w:spacing w:line="360" w:lineRule="auto"/>
        <w:ind w:firstLine="444" w:firstLineChars="200"/>
        <w:jc w:val="left"/>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发生以下情况，本托管协议终止：</w:t>
      </w:r>
    </w:p>
    <w:p>
      <w:pPr>
        <w:autoSpaceDE w:val="0"/>
        <w:autoSpaceDN w:val="0"/>
        <w:adjustRightInd w:val="0"/>
        <w:spacing w:line="360" w:lineRule="auto"/>
        <w:ind w:firstLine="444" w:firstLineChars="200"/>
        <w:jc w:val="left"/>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（1）《基金合同》终止；</w:t>
      </w:r>
    </w:p>
    <w:p>
      <w:pPr>
        <w:autoSpaceDE w:val="0"/>
        <w:autoSpaceDN w:val="0"/>
        <w:adjustRightInd w:val="0"/>
        <w:spacing w:line="360" w:lineRule="auto"/>
        <w:ind w:firstLine="444" w:firstLineChars="200"/>
        <w:jc w:val="left"/>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（2）基金托管人解散、依法被撤销、破产或有其他基金托管人接管基金资产；</w:t>
      </w:r>
    </w:p>
    <w:p>
      <w:pPr>
        <w:autoSpaceDE w:val="0"/>
        <w:autoSpaceDN w:val="0"/>
        <w:adjustRightInd w:val="0"/>
        <w:spacing w:line="360" w:lineRule="auto"/>
        <w:ind w:firstLine="444" w:firstLineChars="200"/>
        <w:jc w:val="left"/>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（3）基金管理人解散、依法被撤销、破产或有其他基金管理人接管基金管理权；</w:t>
      </w:r>
    </w:p>
    <w:p>
      <w:pPr>
        <w:autoSpaceDE w:val="0"/>
        <w:autoSpaceDN w:val="0"/>
        <w:adjustRightInd w:val="0"/>
        <w:spacing w:line="360" w:lineRule="auto"/>
        <w:ind w:firstLine="444" w:firstLineChars="200"/>
        <w:jc w:val="left"/>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（4）发生法律法规或《基金合同》规定的终止事项。</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（二）基金财产的清算</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1、基金财产清算小组：自出现《基金合同》终止事由之日起30个工作日内成立基金财产清算小组，基金管理人组织基金财产清算小组并在中国证监会的监督下进行基金清算。</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3、基金财产清算小组职责：基金财产清算小组负责基金财产的保管、清理、估价、变现和分配。基金财产清算小组可以依法进行必要的民事活动。</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4、基金财产清算程序：</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（1）《基金合同》终止情形出现时，由基金财产清算小组统一接管基金；</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（2）对基金财产和债权债务进行清理和确认；</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（3）对基金财产进行估值和变现；</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（4）制作清算报告；</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（5）聘请会计师事务所对清算报告进行外部审计，聘请律师事务所对清算报告出具法律意见书；</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（6）将清算报告报中国证监会备案并公告；</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（7）对基金剩余财产进行分配。</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5、基金财产清算的期限为6个月，但因本基金所持证券的流动性受到限制而不能及时变现的，清算期限相应顺延。</w:t>
      </w:r>
    </w:p>
    <w:p>
      <w:pPr>
        <w:adjustRightInd w:val="0"/>
        <w:snapToGrid w:val="0"/>
        <w:spacing w:line="360" w:lineRule="auto"/>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（三）清算费用</w:t>
      </w:r>
    </w:p>
    <w:p>
      <w:pPr>
        <w:adjustRightInd w:val="0"/>
        <w:snapToGrid w:val="0"/>
        <w:spacing w:line="360" w:lineRule="auto"/>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清算费用是指基金财产清算小组在进行基金清算过程中发生的所有合理费用，清算费用由基金财产清算小组优先从基金剩余财产中支付。</w:t>
      </w:r>
    </w:p>
    <w:p>
      <w:pPr>
        <w:adjustRightInd w:val="0"/>
        <w:snapToGrid w:val="0"/>
        <w:spacing w:line="360" w:lineRule="auto"/>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（四）基金财产清算剩余资产的分配</w:t>
      </w:r>
    </w:p>
    <w:p>
      <w:pPr>
        <w:adjustRightInd w:val="0"/>
        <w:snapToGrid w:val="0"/>
        <w:spacing w:line="360" w:lineRule="auto"/>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（五）基金财产清算的公告</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（六）基金财产清算账册及文件的保存</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基金财产清算账册及有关文件由基金托管人保存，保存期限不低于法律法规的最低期限。</w:t>
      </w:r>
    </w:p>
    <w:bookmarkEnd w:id="65"/>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21"/>
          <w:szCs w:val="21"/>
          <w14:textFill>
            <w14:solidFill>
              <w14:schemeClr w14:val="tx1"/>
            </w14:solidFill>
          </w14:textFill>
        </w:rPr>
      </w:pPr>
      <w:bookmarkStart w:id="66" w:name="_Toc382819133"/>
      <w:r>
        <w:rPr>
          <w:rFonts w:hint="eastAsia" w:ascii="宋体" w:hAnsi="宋体" w:eastAsia="宋体" w:cs="Arial"/>
          <w:color w:val="000000" w:themeColor="text1"/>
          <w:sz w:val="21"/>
          <w:szCs w:val="21"/>
          <w14:textFill>
            <w14:solidFill>
              <w14:schemeClr w14:val="tx1"/>
            </w14:solidFill>
          </w14:textFill>
        </w:rPr>
        <w:t>违约责任</w:t>
      </w:r>
      <w:bookmarkEnd w:id="66"/>
    </w:p>
    <w:p>
      <w:pPr>
        <w:spacing w:line="360" w:lineRule="auto"/>
        <w:ind w:firstLine="420" w:firstLineChars="200"/>
        <w:rPr>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Pr>
          <w:rFonts w:hint="eastAsia"/>
          <w:bCs/>
          <w:color w:val="000000" w:themeColor="text1"/>
          <w:szCs w:val="21"/>
          <w14:textFill>
            <w14:solidFill>
              <w14:schemeClr w14:val="tx1"/>
            </w14:solidFill>
          </w14:textFill>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ascii="宋体" w:hAnsi="宋体"/>
          <w:color w:val="000000" w:themeColor="text1"/>
          <w:szCs w:val="21"/>
          <w14:textFill>
            <w14:solidFill>
              <w14:schemeClr w14:val="tx1"/>
            </w14:solidFill>
          </w14:textFill>
        </w:rPr>
        <w:t>但是发生下列情况，当事人免责：</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1、不可抗力；</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2、基金管理人和/或基金托管人按照届时有效的法律法规或中国证监会的规定作为或不作为而造成的损失等；</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3、基金管理人由于按照基金合同规定的投资原则行使或不行使其投资权而造成的损失等；</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4、非因基金管理人、基金托管人的故意或重大过失造成的计算机系统故障、网络故障、通讯故障、电力故障、计算机病毒攻击及其它意外事故，所导致的损失等。</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pPr>
        <w:spacing w:line="360" w:lineRule="auto"/>
        <w:ind w:firstLine="420" w:firstLineChars="200"/>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（三）由于基金管理人、基金托管人不可控制的因素导致业务出现差错，基金管理人和基金托管人虽然已经采取必要、适当、合理的措施进行检查，但是未能发现错误或</w:t>
      </w:r>
      <w:r>
        <w:rPr>
          <w:rFonts w:hint="eastAsia" w:ascii="宋体" w:hAnsi="宋体"/>
          <w:bCs/>
          <w:color w:val="000000" w:themeColor="text1"/>
          <w:szCs w:val="21"/>
          <w14:textFill>
            <w14:solidFill>
              <w14:schemeClr w14:val="tx1"/>
            </w14:solidFill>
          </w14:textFill>
        </w:rPr>
        <w:t>虽发现错误但是因为前述原因无法更正</w:t>
      </w:r>
      <w:r>
        <w:rPr>
          <w:rFonts w:hint="eastAsia" w:ascii="宋体" w:hAnsi="宋体"/>
          <w:color w:val="000000" w:themeColor="text1"/>
          <w:szCs w:val="21"/>
          <w14:textFill>
            <w14:solidFill>
              <w14:schemeClr w14:val="tx1"/>
            </w14:solidFill>
          </w14:textFill>
        </w:rPr>
        <w:t>的，由此造成基金财产或投资人损失，基金管理人和基金托管人免除赔偿责任。但是基金管理人和基金托管人应积极采取必要的措施减轻或消除由此造成的影响。</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21"/>
          <w:szCs w:val="21"/>
          <w14:textFill>
            <w14:solidFill>
              <w14:schemeClr w14:val="tx1"/>
            </w14:solidFill>
          </w14:textFill>
        </w:rPr>
      </w:pPr>
      <w:bookmarkStart w:id="67" w:name="_Toc382819134"/>
      <w:r>
        <w:rPr>
          <w:rFonts w:hint="eastAsia" w:ascii="宋体" w:hAnsi="宋体" w:eastAsia="宋体" w:cs="Arial"/>
          <w:color w:val="000000" w:themeColor="text1"/>
          <w:sz w:val="21"/>
          <w:szCs w:val="21"/>
          <w14:textFill>
            <w14:solidFill>
              <w14:schemeClr w14:val="tx1"/>
            </w14:solidFill>
          </w14:textFill>
        </w:rPr>
        <w:t>适用法律及争议解决方式</w:t>
      </w:r>
      <w:bookmarkEnd w:id="67"/>
    </w:p>
    <w:p>
      <w:pPr>
        <w:spacing w:line="360" w:lineRule="auto"/>
        <w:ind w:firstLine="420" w:firstLineChars="200"/>
        <w:rPr>
          <w:rFonts w:ascii="宋体" w:hAnsi="宋体"/>
          <w:color w:val="000000" w:themeColor="text1"/>
          <w:szCs w:val="21"/>
          <w:lang w:val="zh-CN"/>
          <w14:textFill>
            <w14:solidFill>
              <w14:schemeClr w14:val="tx1"/>
            </w14:solidFill>
          </w14:textFill>
        </w:rPr>
      </w:pPr>
      <w:bookmarkStart w:id="68" w:name="_Hlk65854473"/>
      <w:r>
        <w:rPr>
          <w:rFonts w:hint="eastAsia" w:ascii="宋体" w:hAnsi="宋体"/>
          <w:color w:val="000000" w:themeColor="text1"/>
          <w:szCs w:val="21"/>
          <w:lang w:val="zh-CN"/>
          <w14:textFill>
            <w14:solidFill>
              <w14:schemeClr w14:val="tx1"/>
            </w14:solidFill>
          </w14:textFill>
        </w:rPr>
        <w:t>（一）</w:t>
      </w:r>
      <w:r>
        <w:rPr>
          <w:rFonts w:hint="eastAsia" w:ascii="宋体" w:hAnsi="宋体"/>
          <w:color w:val="000000" w:themeColor="text1"/>
          <w:szCs w:val="21"/>
          <w14:textFill>
            <w14:solidFill>
              <w14:schemeClr w14:val="tx1"/>
            </w14:solidFill>
          </w14:textFill>
        </w:rPr>
        <w:t>本协议适用中华人民共和国法律（为本协议之目的，在此不包括香港、澳门特别行政区和台湾地区法律），并从其解释。</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双方当事人同意，因本协议而产生的或与本协议有关的一切争议，除经友好协商可以解决的，任何一方均有权将争议提交深圳国际仲裁院，根据该院届时有效的仲裁规则进行仲裁。仲裁的地点在深圳市，仲裁裁决是终局性的并对相关各方均有约束力。除非仲裁裁决另有规定，仲裁费用、律师费用由败诉方承担。</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争议处理期间，双方当事人应恪守基金管理人和基金托管人职责，继续忠实、勤勉、尽责地履行《基金合同》和本托管协议规定的义务，维护基金份额持有人的合法权益。</w:t>
      </w:r>
    </w:p>
    <w:bookmarkEnd w:id="68"/>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21"/>
          <w:szCs w:val="21"/>
          <w14:textFill>
            <w14:solidFill>
              <w14:schemeClr w14:val="tx1"/>
            </w14:solidFill>
          </w14:textFill>
        </w:rPr>
      </w:pPr>
      <w:bookmarkStart w:id="69" w:name="_Toc382819135"/>
      <w:r>
        <w:rPr>
          <w:rFonts w:hint="eastAsia" w:ascii="宋体" w:hAnsi="宋体" w:eastAsia="宋体" w:cs="Arial"/>
          <w:color w:val="000000" w:themeColor="text1"/>
          <w:sz w:val="21"/>
          <w:szCs w:val="21"/>
          <w14:textFill>
            <w14:solidFill>
              <w14:schemeClr w14:val="tx1"/>
            </w14:solidFill>
          </w14:textFill>
        </w:rPr>
        <w:t>基金托管协议的效力和文本</w:t>
      </w:r>
      <w:bookmarkEnd w:id="69"/>
    </w:p>
    <w:p>
      <w:pPr>
        <w:pStyle w:val="1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w:t>
      </w:r>
      <w:r>
        <w:rPr>
          <w:rFonts w:hint="eastAsia" w:ascii="宋体" w:hAnsi="宋体" w:cs="Arial"/>
          <w:color w:val="000000" w:themeColor="text1"/>
          <w:kern w:val="44"/>
          <w:szCs w:val="21"/>
          <w14:textFill>
            <w14:solidFill>
              <w14:schemeClr w14:val="tx1"/>
            </w14:solidFill>
          </w14:textFill>
        </w:rPr>
        <w:t>本协议经基金管理人、基金托管人双方法定代表人或授权代表签字（或盖章）并加盖公章（或合同专用章）后成立</w:t>
      </w:r>
      <w:r>
        <w:rPr>
          <w:rFonts w:hint="eastAsia" w:ascii="宋体" w:hAnsi="宋体"/>
          <w:color w:val="000000" w:themeColor="text1"/>
          <w:szCs w:val="21"/>
          <w14:textFill>
            <w14:solidFill>
              <w14:schemeClr w14:val="tx1"/>
            </w14:solidFill>
          </w14:textFill>
        </w:rPr>
        <w:t>。本协议以中国证监会注册的文本为正式文本。</w:t>
      </w:r>
    </w:p>
    <w:p>
      <w:pPr>
        <w:pStyle w:val="1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（二）本协议自《基金合同》生效之日起生效，有效期自其生效之日起至该基金财产清算结果报中国证监会备案并公告之日止。</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（三）本协议自生效之日起对双方当事人具有同等的法律约束力。</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（四）本协议一式叁份，除上报有关监管机构壹份外，基金管理人和基金托管人分别持壹份，每份具有同等的法律效力。</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21"/>
          <w:szCs w:val="21"/>
          <w14:textFill>
            <w14:solidFill>
              <w14:schemeClr w14:val="tx1"/>
            </w14:solidFill>
          </w14:textFill>
        </w:rPr>
      </w:pPr>
      <w:r>
        <w:rPr>
          <w:rFonts w:hint="eastAsia" w:ascii="宋体" w:hAnsi="宋体" w:eastAsia="宋体" w:cs="Arial"/>
          <w:color w:val="000000" w:themeColor="text1"/>
          <w:sz w:val="21"/>
          <w:szCs w:val="21"/>
          <w14:textFill>
            <w14:solidFill>
              <w14:schemeClr w14:val="tx1"/>
            </w14:solidFill>
          </w14:textFill>
        </w:rPr>
        <w:t xml:space="preserve"> </w:t>
      </w:r>
      <w:bookmarkStart w:id="70" w:name="_Toc382819136"/>
      <w:r>
        <w:rPr>
          <w:rFonts w:hint="eastAsia" w:ascii="宋体" w:hAnsi="宋体" w:eastAsia="宋体" w:cs="Arial"/>
          <w:color w:val="000000" w:themeColor="text1"/>
          <w:sz w:val="21"/>
          <w:szCs w:val="21"/>
          <w14:textFill>
            <w14:solidFill>
              <w14:schemeClr w14:val="tx1"/>
            </w14:solidFill>
          </w14:textFill>
        </w:rPr>
        <w:t>其他事项</w:t>
      </w:r>
      <w:bookmarkEnd w:id="70"/>
    </w:p>
    <w:p>
      <w:pPr>
        <w:pStyle w:val="1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双方在此确认，双方均已充分了解和知悉各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pPr>
        <w:pStyle w:val="11"/>
        <w:ind w:firstLine="0"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二）本协议存续期内，基金管理人应依据法律法规履行相应反洗钱义务，并主动配合托管账户开立结算银行根据监管部门有关反洗钱要求开展客户身份识别工作，提供真实、准确、完整的客户资料，遵守各方反洗钱与反恐怖融资相关管理规定。对具备合理理由怀疑涉嫌洗钱、恐怖融资的客户，任何一方有权按照中国人民银行反洗钱监管规定采取必要管控措施。</w:t>
      </w:r>
    </w:p>
    <w:p>
      <w:pPr>
        <w:pStyle w:val="1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（三）本协议未尽事宜，当事人依据《基金合同》以及有关法律、法规和规定协商办理。</w:t>
      </w:r>
    </w:p>
    <w:p>
      <w:pPr>
        <w:pStyle w:val="11"/>
        <w:ind w:firstLine="0"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（以下无正文）</w:t>
      </w:r>
    </w:p>
    <w:p>
      <w:pPr>
        <w:widowControl/>
        <w:spacing w:beforeAutospacing="1" w:line="360" w:lineRule="auto"/>
        <w:jc w:val="left"/>
        <w:rPr>
          <w:rFonts w:ascii="宋体" w:hAnsi="宋体"/>
          <w:color w:val="000000" w:themeColor="text1"/>
          <w:szCs w:val="21"/>
          <w:lang w:val="zh-CN"/>
          <w14:textFill>
            <w14:solidFill>
              <w14:schemeClr w14:val="tx1"/>
            </w14:solidFill>
          </w14:textFill>
        </w:rPr>
        <w:sectPr>
          <w:footerReference r:id="rId5" w:type="default"/>
          <w:pgSz w:w="11906" w:h="16838"/>
          <w:pgMar w:top="1440" w:right="1800" w:bottom="1440" w:left="1800" w:header="851" w:footer="992" w:gutter="0"/>
          <w:pgNumType w:start="1"/>
          <w:cols w:space="720" w:num="1"/>
          <w:docGrid w:type="lines" w:linePitch="312" w:charSpace="0"/>
        </w:sectPr>
      </w:pPr>
    </w:p>
    <w:p>
      <w:pPr>
        <w:spacing w:after="12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（本页为平安惠旭纯债债券型证券投资基金托管协议签署页，无正文）</w:t>
      </w:r>
    </w:p>
    <w:p>
      <w:pPr>
        <w:spacing w:line="360" w:lineRule="auto"/>
        <w:ind w:right="26"/>
        <w:rPr>
          <w:rFonts w:ascii="宋体" w:hAnsi="宋体"/>
          <w:b/>
          <w:bCs/>
          <w:color w:val="000000" w:themeColor="text1"/>
          <w:szCs w:val="21"/>
          <w14:textFill>
            <w14:solidFill>
              <w14:schemeClr w14:val="tx1"/>
            </w14:solidFill>
          </w14:textFill>
        </w:rPr>
      </w:pPr>
    </w:p>
    <w:p>
      <w:pPr>
        <w:spacing w:line="360" w:lineRule="auto"/>
        <w:ind w:right="26"/>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pPr>
        <w:spacing w:line="360" w:lineRule="auto"/>
        <w:ind w:right="26"/>
        <w:rPr>
          <w:rFonts w:ascii="宋体" w:hAnsi="宋体"/>
          <w:color w:val="000000" w:themeColor="text1"/>
          <w:szCs w:val="21"/>
          <w14:textFill>
            <w14:solidFill>
              <w14:schemeClr w14:val="tx1"/>
            </w14:solidFill>
          </w14:textFill>
        </w:rPr>
      </w:pPr>
    </w:p>
    <w:p>
      <w:pPr>
        <w:spacing w:line="360" w:lineRule="auto"/>
        <w:ind w:right="26"/>
        <w:rPr>
          <w:rFonts w:ascii="宋体" w:hAnsi="宋体"/>
          <w:color w:val="000000" w:themeColor="text1"/>
          <w:szCs w:val="21"/>
          <w14:textFill>
            <w14:solidFill>
              <w14:schemeClr w14:val="tx1"/>
            </w14:solidFill>
          </w14:textFill>
        </w:rPr>
      </w:pPr>
    </w:p>
    <w:p>
      <w:pPr>
        <w:spacing w:line="360" w:lineRule="auto"/>
        <w:ind w:right="26"/>
        <w:rPr>
          <w:rFonts w:ascii="宋体" w:hAnsi="宋体"/>
          <w:color w:val="000000" w:themeColor="text1"/>
          <w:szCs w:val="21"/>
          <w14:textFill>
            <w14:solidFill>
              <w14:schemeClr w14:val="tx1"/>
            </w14:solidFill>
          </w14:textFill>
        </w:rPr>
      </w:pPr>
    </w:p>
    <w:p>
      <w:pPr>
        <w:spacing w:line="360" w:lineRule="auto"/>
        <w:ind w:right="26"/>
        <w:rPr>
          <w:rFonts w:ascii="宋体" w:hAnsi="宋体"/>
          <w:color w:val="000000" w:themeColor="text1"/>
          <w:szCs w:val="21"/>
          <w14:textFill>
            <w14:solidFill>
              <w14:schemeClr w14:val="tx1"/>
            </w14:solidFill>
          </w14:textFill>
        </w:rPr>
      </w:pPr>
    </w:p>
    <w:p>
      <w:pPr>
        <w:spacing w:line="360" w:lineRule="auto"/>
        <w:ind w:right="26"/>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基金管理人（公章或合同专用章）             基金托管人（公章或合同专用章）</w:t>
      </w:r>
    </w:p>
    <w:p>
      <w:pPr>
        <w:spacing w:line="360" w:lineRule="auto"/>
        <w:ind w:right="26"/>
        <w:rPr>
          <w:rFonts w:ascii="宋体" w:hAnsi="宋体"/>
          <w:color w:val="000000" w:themeColor="text1"/>
          <w:szCs w:val="21"/>
          <w14:textFill>
            <w14:solidFill>
              <w14:schemeClr w14:val="tx1"/>
            </w14:solidFill>
          </w14:textFill>
        </w:rPr>
      </w:pPr>
    </w:p>
    <w:p>
      <w:pPr>
        <w:spacing w:line="360" w:lineRule="auto"/>
        <w:ind w:right="-17" w:rightChars="-8"/>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法定代表人或授权代表                     法定代表人或授权代表</w:t>
      </w:r>
    </w:p>
    <w:p>
      <w:pPr>
        <w:spacing w:line="360" w:lineRule="auto"/>
        <w:ind w:right="-17" w:rightChars="-8"/>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（签字或盖章）                           （签字或盖章）</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19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E7DC5"/>
    <w:multiLevelType w:val="multilevel"/>
    <w:tmpl w:val="03DE7DC5"/>
    <w:lvl w:ilvl="0" w:tentative="0">
      <w:start w:val="1"/>
      <w:numFmt w:val="decimal"/>
      <w:lvlText w:val="（%1）"/>
      <w:lvlJc w:val="left"/>
      <w:pPr>
        <w:ind w:left="840" w:hanging="420"/>
      </w:pPr>
      <w:rPr>
        <w:rFonts w:hint="default"/>
        <w:lang w:val="en-US"/>
      </w:rPr>
    </w:lvl>
    <w:lvl w:ilvl="1" w:tentative="0">
      <w:start w:val="1"/>
      <w:numFmt w:val="decimal"/>
      <w:lvlText w:val="（%2）"/>
      <w:lvlJc w:val="left"/>
      <w:pPr>
        <w:ind w:left="1260" w:hanging="420"/>
      </w:pPr>
      <w:rPr>
        <w:rFonts w:hint="default" w:ascii="Times New Roman" w:hAnsi="Times New Roman" w:eastAsia="宋体" w:cs="Times New Roman"/>
        <w:b w:val="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66538E2"/>
    <w:multiLevelType w:val="multilevel"/>
    <w:tmpl w:val="266538E2"/>
    <w:lvl w:ilvl="0" w:tentative="0">
      <w:start w:val="1"/>
      <w:numFmt w:val="chineseCountingThousand"/>
      <w:pStyle w:val="2"/>
      <w:lvlText w:val="第%1章  "/>
      <w:lvlJc w:val="left"/>
      <w:pPr>
        <w:tabs>
          <w:tab w:val="left" w:pos="1922"/>
        </w:tabs>
        <w:ind w:left="0" w:firstLine="482"/>
      </w:pPr>
      <w:rPr>
        <w:rFonts w:hint="eastAsia"/>
      </w:rPr>
    </w:lvl>
    <w:lvl w:ilvl="1" w:tentative="0">
      <w:start w:val="1"/>
      <w:numFmt w:val="chineseCountingThousand"/>
      <w:lvlText w:val="第%2节  "/>
      <w:lvlJc w:val="left"/>
      <w:pPr>
        <w:tabs>
          <w:tab w:val="left" w:pos="1922"/>
        </w:tabs>
        <w:ind w:left="0" w:firstLine="482"/>
      </w:pPr>
      <w:rPr>
        <w:rFonts w:hint="eastAsia"/>
      </w:rPr>
    </w:lvl>
    <w:lvl w:ilvl="2" w:tentative="0">
      <w:start w:val="1"/>
      <w:numFmt w:val="chineseCountingThousand"/>
      <w:pStyle w:val="4"/>
      <w:suff w:val="nothing"/>
      <w:lvlText w:val="%3、"/>
      <w:lvlJc w:val="left"/>
      <w:pPr>
        <w:ind w:left="0" w:firstLine="482"/>
      </w:pPr>
      <w:rPr>
        <w:rFonts w:hint="eastAsia" w:ascii="黑体" w:eastAsia="黑体"/>
        <w:b/>
        <w:i w:val="0"/>
        <w:sz w:val="24"/>
      </w:rPr>
    </w:lvl>
    <w:lvl w:ilvl="3" w:tentative="0">
      <w:start w:val="1"/>
      <w:numFmt w:val="chineseCountingThousand"/>
      <w:pStyle w:val="5"/>
      <w:suff w:val="nothing"/>
      <w:lvlText w:val="(%4)"/>
      <w:lvlJc w:val="left"/>
      <w:pPr>
        <w:ind w:left="0" w:firstLine="482"/>
      </w:pPr>
      <w:rPr>
        <w:rFonts w:hint="eastAsia" w:ascii="仿宋_GB2312" w:eastAsia="仿宋_GB2312"/>
        <w:b w:val="0"/>
        <w:i w:val="0"/>
        <w:sz w:val="24"/>
      </w:rPr>
    </w:lvl>
    <w:lvl w:ilvl="4" w:tentative="0">
      <w:start w:val="1"/>
      <w:numFmt w:val="decimal"/>
      <w:pStyle w:val="6"/>
      <w:suff w:val="nothing"/>
      <w:lvlText w:val="%5."/>
      <w:lvlJc w:val="left"/>
      <w:pPr>
        <w:ind w:left="0" w:firstLine="527"/>
      </w:pPr>
      <w:rPr>
        <w:rFonts w:hint="eastAsia" w:ascii="仿宋_GB2312" w:eastAsia="仿宋_GB2312"/>
        <w:b w:val="0"/>
        <w:i w:val="0"/>
        <w:sz w:val="24"/>
      </w:rPr>
    </w:lvl>
    <w:lvl w:ilvl="5" w:tentative="0">
      <w:start w:val="1"/>
      <w:numFmt w:val="decimal"/>
      <w:pStyle w:val="7"/>
      <w:suff w:val="nothing"/>
      <w:lvlText w:val="(%6)"/>
      <w:lvlJc w:val="left"/>
      <w:pPr>
        <w:ind w:left="0" w:firstLine="482"/>
      </w:pPr>
      <w:rPr>
        <w:rFonts w:hint="eastAsia" w:ascii="仿宋_GB2312" w:eastAsia="仿宋_GB2312"/>
        <w:b w:val="0"/>
        <w:i w:val="0"/>
        <w:sz w:val="24"/>
      </w:rPr>
    </w:lvl>
    <w:lvl w:ilvl="6" w:tentative="0">
      <w:start w:val="1"/>
      <w:numFmt w:val="bullet"/>
      <w:pStyle w:val="8"/>
      <w:lvlText w:val="①"/>
      <w:lvlJc w:val="left"/>
      <w:pPr>
        <w:tabs>
          <w:tab w:val="left" w:pos="2835"/>
        </w:tabs>
        <w:ind w:left="2835" w:hanging="426"/>
      </w:pPr>
      <w:rPr>
        <w:rFonts w:hint="eastAsia" w:ascii="宋体" w:eastAsia="宋体"/>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2">
    <w:nsid w:val="5F952C2D"/>
    <w:multiLevelType w:val="multilevel"/>
    <w:tmpl w:val="5F952C2D"/>
    <w:lvl w:ilvl="0" w:tentative="0">
      <w:start w:val="1"/>
      <w:numFmt w:val="chineseCountingThousand"/>
      <w:suff w:val="nothing"/>
      <w:lvlText w:val="%1、"/>
      <w:lvlJc w:val="center"/>
      <w:pPr>
        <w:ind w:left="0" w:firstLine="288"/>
      </w:pPr>
      <w:rPr>
        <w:rFonts w:hint="eastAsia"/>
        <w:sz w:val="30"/>
        <w:szCs w:val="30"/>
        <w:lang w:val="en-US"/>
      </w:rPr>
    </w:lvl>
    <w:lvl w:ilvl="1" w:tentative="0">
      <w:start w:val="1"/>
      <w:numFmt w:val="japaneseCounting"/>
      <w:lvlText w:val="（%2）"/>
      <w:lvlJc w:val="left"/>
      <w:pPr>
        <w:tabs>
          <w:tab w:val="left" w:pos="720"/>
        </w:tabs>
        <w:ind w:left="720" w:hanging="720"/>
      </w:pPr>
      <w:rPr>
        <w:rFonts w:hint="default"/>
      </w:rPr>
    </w:lvl>
    <w:lvl w:ilvl="2" w:tentative="0">
      <w:start w:val="1"/>
      <w:numFmt w:val="decimal"/>
      <w:lvlText w:val="%3."/>
      <w:lvlJc w:val="left"/>
      <w:pPr>
        <w:tabs>
          <w:tab w:val="left" w:pos="360"/>
        </w:tabs>
        <w:ind w:left="0" w:firstLine="0"/>
      </w:pPr>
      <w:rPr>
        <w:rFonts w:hint="eastAsia"/>
      </w:rPr>
    </w:lvl>
    <w:lvl w:ilvl="3" w:tentative="0">
      <w:start w:val="1"/>
      <w:numFmt w:val="decimal"/>
      <w:lvlText w:val="（%4）"/>
      <w:lvlJc w:val="left"/>
      <w:pPr>
        <w:tabs>
          <w:tab w:val="left" w:pos="720"/>
        </w:tabs>
        <w:ind w:left="0" w:firstLine="0"/>
      </w:pPr>
      <w:rPr>
        <w:rFonts w:hint="default" w:ascii="Times New Roman" w:hAnsi="Times New Roman" w:eastAsia="宋体"/>
        <w:sz w:val="21"/>
      </w:rPr>
    </w:lvl>
    <w:lvl w:ilvl="4" w:tentative="0">
      <w:start w:val="1"/>
      <w:numFmt w:val="none"/>
      <w:lvlText w:val=""/>
      <w:lvlJc w:val="left"/>
      <w:pPr>
        <w:tabs>
          <w:tab w:val="left" w:pos="360"/>
        </w:tabs>
        <w:ind w:left="0" w:firstLine="0"/>
      </w:pPr>
      <w:rPr>
        <w:rFonts w:hint="eastAsia"/>
        <w:sz w:val="24"/>
      </w:rPr>
    </w:lvl>
    <w:lvl w:ilvl="5" w:tentative="0">
      <w:start w:val="1"/>
      <w:numFmt w:val="upperLetter"/>
      <w:lvlText w:val="%6."/>
      <w:lvlJc w:val="left"/>
      <w:pPr>
        <w:tabs>
          <w:tab w:val="left" w:pos="927"/>
        </w:tabs>
        <w:ind w:left="0" w:firstLine="567"/>
      </w:pPr>
      <w:rPr>
        <w:rFonts w:hint="eastAsia"/>
        <w:sz w:val="24"/>
      </w:rPr>
    </w:lvl>
    <w:lvl w:ilvl="6" w:tentative="0">
      <w:start w:val="1"/>
      <w:numFmt w:val="none"/>
      <w:lvlText w:val=""/>
      <w:lvlJc w:val="left"/>
      <w:pPr>
        <w:tabs>
          <w:tab w:val="left" w:pos="3827"/>
        </w:tabs>
        <w:ind w:left="3827" w:hanging="1276"/>
      </w:pPr>
      <w:rPr>
        <w:rFonts w:hint="eastAsia"/>
      </w:rPr>
    </w:lvl>
    <w:lvl w:ilvl="7" w:tentative="0">
      <w:start w:val="1"/>
      <w:numFmt w:val="none"/>
      <w:lvlText w:val=""/>
      <w:lvlJc w:val="left"/>
      <w:pPr>
        <w:tabs>
          <w:tab w:val="left" w:pos="4394"/>
        </w:tabs>
        <w:ind w:left="4394" w:hanging="1418"/>
      </w:pPr>
      <w:rPr>
        <w:rFonts w:hint="eastAsia"/>
      </w:rPr>
    </w:lvl>
    <w:lvl w:ilvl="8" w:tentative="0">
      <w:start w:val="1"/>
      <w:numFmt w:val="none"/>
      <w:lvlText w:val=""/>
      <w:lvlJc w:val="left"/>
      <w:pPr>
        <w:tabs>
          <w:tab w:val="left" w:pos="5102"/>
        </w:tabs>
        <w:ind w:left="5102" w:hanging="1700"/>
      </w:pPr>
      <w:rPr>
        <w:rFonts w:hint="eastAsia"/>
      </w:rPr>
    </w:lvl>
  </w:abstractNum>
  <w:abstractNum w:abstractNumId="3">
    <w:nsid w:val="6BF141FD"/>
    <w:multiLevelType w:val="multilevel"/>
    <w:tmpl w:val="6BF141FD"/>
    <w:lvl w:ilvl="0" w:tentative="0">
      <w:start w:val="1"/>
      <w:numFmt w:val="decimal"/>
      <w:lvlText w:val="（%1）"/>
      <w:lvlJc w:val="left"/>
      <w:pPr>
        <w:ind w:left="1260" w:hanging="420"/>
      </w:pPr>
      <w:rPr>
        <w:rFonts w:hint="default" w:ascii="Times New Roman" w:hAnsi="Times New Roman" w:eastAsia="宋体" w:cs="Times New Roman"/>
        <w:b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1"/>
  <w:displayBackgroundShape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06"/>
    <w:rsid w:val="00006A87"/>
    <w:rsid w:val="000119A5"/>
    <w:rsid w:val="0001381C"/>
    <w:rsid w:val="00014998"/>
    <w:rsid w:val="00022661"/>
    <w:rsid w:val="000246AC"/>
    <w:rsid w:val="00043FDB"/>
    <w:rsid w:val="00047D18"/>
    <w:rsid w:val="00050C79"/>
    <w:rsid w:val="00051AAB"/>
    <w:rsid w:val="00052708"/>
    <w:rsid w:val="00053197"/>
    <w:rsid w:val="00061F4D"/>
    <w:rsid w:val="0006329C"/>
    <w:rsid w:val="0006509E"/>
    <w:rsid w:val="00070C46"/>
    <w:rsid w:val="00073A27"/>
    <w:rsid w:val="00080622"/>
    <w:rsid w:val="00081B41"/>
    <w:rsid w:val="00082DBB"/>
    <w:rsid w:val="00084531"/>
    <w:rsid w:val="000958CB"/>
    <w:rsid w:val="00095A3A"/>
    <w:rsid w:val="000A0738"/>
    <w:rsid w:val="000A0AC0"/>
    <w:rsid w:val="000A3B6C"/>
    <w:rsid w:val="000B0F7C"/>
    <w:rsid w:val="000B3DE3"/>
    <w:rsid w:val="000C37C1"/>
    <w:rsid w:val="000E7AE1"/>
    <w:rsid w:val="000F09F6"/>
    <w:rsid w:val="000F1EB1"/>
    <w:rsid w:val="000F581B"/>
    <w:rsid w:val="001022DD"/>
    <w:rsid w:val="00102918"/>
    <w:rsid w:val="00107211"/>
    <w:rsid w:val="00111A47"/>
    <w:rsid w:val="00112A3C"/>
    <w:rsid w:val="001142CF"/>
    <w:rsid w:val="001166D9"/>
    <w:rsid w:val="00146297"/>
    <w:rsid w:val="00162C4A"/>
    <w:rsid w:val="0016302A"/>
    <w:rsid w:val="00170D13"/>
    <w:rsid w:val="00177C69"/>
    <w:rsid w:val="00182D37"/>
    <w:rsid w:val="00193B73"/>
    <w:rsid w:val="001A1969"/>
    <w:rsid w:val="001A6447"/>
    <w:rsid w:val="001B1B05"/>
    <w:rsid w:val="001B4BF2"/>
    <w:rsid w:val="001C483E"/>
    <w:rsid w:val="001C4B9F"/>
    <w:rsid w:val="001C5433"/>
    <w:rsid w:val="001E15BF"/>
    <w:rsid w:val="001F7E97"/>
    <w:rsid w:val="00201FD4"/>
    <w:rsid w:val="00203F42"/>
    <w:rsid w:val="002377C7"/>
    <w:rsid w:val="00241ABC"/>
    <w:rsid w:val="002455E4"/>
    <w:rsid w:val="00251693"/>
    <w:rsid w:val="002527C3"/>
    <w:rsid w:val="00257F4D"/>
    <w:rsid w:val="002614A0"/>
    <w:rsid w:val="0026285B"/>
    <w:rsid w:val="002755B8"/>
    <w:rsid w:val="00276C95"/>
    <w:rsid w:val="00283778"/>
    <w:rsid w:val="0029522D"/>
    <w:rsid w:val="002A0EDC"/>
    <w:rsid w:val="002A2F3C"/>
    <w:rsid w:val="002B1183"/>
    <w:rsid w:val="002C1EAB"/>
    <w:rsid w:val="002C7C71"/>
    <w:rsid w:val="002E6911"/>
    <w:rsid w:val="002F5114"/>
    <w:rsid w:val="00327DA9"/>
    <w:rsid w:val="00337DDA"/>
    <w:rsid w:val="00343202"/>
    <w:rsid w:val="00343C48"/>
    <w:rsid w:val="00343CE7"/>
    <w:rsid w:val="00351322"/>
    <w:rsid w:val="00361E0C"/>
    <w:rsid w:val="00366E34"/>
    <w:rsid w:val="00382975"/>
    <w:rsid w:val="003875CD"/>
    <w:rsid w:val="003A2B06"/>
    <w:rsid w:val="003A38FA"/>
    <w:rsid w:val="003B3393"/>
    <w:rsid w:val="003B351F"/>
    <w:rsid w:val="003B7EFD"/>
    <w:rsid w:val="003C3043"/>
    <w:rsid w:val="003C79A0"/>
    <w:rsid w:val="003D0D72"/>
    <w:rsid w:val="003D37BE"/>
    <w:rsid w:val="003D5780"/>
    <w:rsid w:val="003D5A54"/>
    <w:rsid w:val="003E0435"/>
    <w:rsid w:val="003E1C92"/>
    <w:rsid w:val="003E3A12"/>
    <w:rsid w:val="003F5B87"/>
    <w:rsid w:val="003F6BA4"/>
    <w:rsid w:val="00400694"/>
    <w:rsid w:val="00411554"/>
    <w:rsid w:val="00414BAE"/>
    <w:rsid w:val="00416C51"/>
    <w:rsid w:val="00426BAA"/>
    <w:rsid w:val="004315E0"/>
    <w:rsid w:val="00432BB3"/>
    <w:rsid w:val="00443B29"/>
    <w:rsid w:val="00461B6D"/>
    <w:rsid w:val="004912B8"/>
    <w:rsid w:val="00496B6E"/>
    <w:rsid w:val="004C5A42"/>
    <w:rsid w:val="004C5AC8"/>
    <w:rsid w:val="004D092D"/>
    <w:rsid w:val="004D232A"/>
    <w:rsid w:val="004D550F"/>
    <w:rsid w:val="004E241B"/>
    <w:rsid w:val="004E4CB4"/>
    <w:rsid w:val="004F25BD"/>
    <w:rsid w:val="004F426F"/>
    <w:rsid w:val="004F5FA1"/>
    <w:rsid w:val="00505AC3"/>
    <w:rsid w:val="005134AB"/>
    <w:rsid w:val="00517594"/>
    <w:rsid w:val="00542EBE"/>
    <w:rsid w:val="00543E05"/>
    <w:rsid w:val="0054433F"/>
    <w:rsid w:val="0054536D"/>
    <w:rsid w:val="00545C35"/>
    <w:rsid w:val="0056355B"/>
    <w:rsid w:val="005771B6"/>
    <w:rsid w:val="00581E75"/>
    <w:rsid w:val="00583727"/>
    <w:rsid w:val="00587F80"/>
    <w:rsid w:val="005945FA"/>
    <w:rsid w:val="005948AA"/>
    <w:rsid w:val="00595A8F"/>
    <w:rsid w:val="005A00DD"/>
    <w:rsid w:val="005A236C"/>
    <w:rsid w:val="005A24B0"/>
    <w:rsid w:val="005A4382"/>
    <w:rsid w:val="005A69F5"/>
    <w:rsid w:val="005B0D1C"/>
    <w:rsid w:val="005B5D51"/>
    <w:rsid w:val="005C1C30"/>
    <w:rsid w:val="005C385D"/>
    <w:rsid w:val="005D05AF"/>
    <w:rsid w:val="005D0A7E"/>
    <w:rsid w:val="005D5534"/>
    <w:rsid w:val="005E53C5"/>
    <w:rsid w:val="005E704D"/>
    <w:rsid w:val="005F3278"/>
    <w:rsid w:val="00606F78"/>
    <w:rsid w:val="00611F7A"/>
    <w:rsid w:val="00612C17"/>
    <w:rsid w:val="00614ADC"/>
    <w:rsid w:val="00617DF5"/>
    <w:rsid w:val="006208B9"/>
    <w:rsid w:val="0062565D"/>
    <w:rsid w:val="006256D1"/>
    <w:rsid w:val="006442DD"/>
    <w:rsid w:val="00655435"/>
    <w:rsid w:val="006657B0"/>
    <w:rsid w:val="00673D3A"/>
    <w:rsid w:val="00676B74"/>
    <w:rsid w:val="006835B2"/>
    <w:rsid w:val="0068478C"/>
    <w:rsid w:val="00685CAC"/>
    <w:rsid w:val="0069592C"/>
    <w:rsid w:val="006B1820"/>
    <w:rsid w:val="006C03FB"/>
    <w:rsid w:val="006D25E9"/>
    <w:rsid w:val="006E1A14"/>
    <w:rsid w:val="006F7844"/>
    <w:rsid w:val="00702AAC"/>
    <w:rsid w:val="0070524E"/>
    <w:rsid w:val="00711012"/>
    <w:rsid w:val="00711218"/>
    <w:rsid w:val="007134AC"/>
    <w:rsid w:val="00721E9E"/>
    <w:rsid w:val="007225F3"/>
    <w:rsid w:val="007245A1"/>
    <w:rsid w:val="00736303"/>
    <w:rsid w:val="00745186"/>
    <w:rsid w:val="007524FE"/>
    <w:rsid w:val="0075614F"/>
    <w:rsid w:val="00757CFB"/>
    <w:rsid w:val="0076745D"/>
    <w:rsid w:val="0076748F"/>
    <w:rsid w:val="007710FE"/>
    <w:rsid w:val="00784269"/>
    <w:rsid w:val="00791664"/>
    <w:rsid w:val="0079545F"/>
    <w:rsid w:val="007A43FF"/>
    <w:rsid w:val="007B3CCA"/>
    <w:rsid w:val="007C1B96"/>
    <w:rsid w:val="007C4D99"/>
    <w:rsid w:val="007D5F9E"/>
    <w:rsid w:val="007E00E5"/>
    <w:rsid w:val="007E1F5D"/>
    <w:rsid w:val="007F6FAD"/>
    <w:rsid w:val="00803789"/>
    <w:rsid w:val="008050F2"/>
    <w:rsid w:val="00821808"/>
    <w:rsid w:val="00821D60"/>
    <w:rsid w:val="00824605"/>
    <w:rsid w:val="00826455"/>
    <w:rsid w:val="00833F4A"/>
    <w:rsid w:val="008434C1"/>
    <w:rsid w:val="008437AD"/>
    <w:rsid w:val="008450D5"/>
    <w:rsid w:val="0086081F"/>
    <w:rsid w:val="00860EC8"/>
    <w:rsid w:val="008612E5"/>
    <w:rsid w:val="008639B4"/>
    <w:rsid w:val="00864C09"/>
    <w:rsid w:val="0087186C"/>
    <w:rsid w:val="008867DE"/>
    <w:rsid w:val="008923C7"/>
    <w:rsid w:val="008A0BA9"/>
    <w:rsid w:val="008B0A52"/>
    <w:rsid w:val="008B3328"/>
    <w:rsid w:val="008C1C0E"/>
    <w:rsid w:val="008D4C0E"/>
    <w:rsid w:val="008E44D1"/>
    <w:rsid w:val="008E5DC6"/>
    <w:rsid w:val="008F0CBE"/>
    <w:rsid w:val="009045BD"/>
    <w:rsid w:val="00907744"/>
    <w:rsid w:val="00914AAD"/>
    <w:rsid w:val="00917FC1"/>
    <w:rsid w:val="0092742E"/>
    <w:rsid w:val="009342DB"/>
    <w:rsid w:val="00945640"/>
    <w:rsid w:val="00951C97"/>
    <w:rsid w:val="00953949"/>
    <w:rsid w:val="0096420C"/>
    <w:rsid w:val="00966AE3"/>
    <w:rsid w:val="009751FD"/>
    <w:rsid w:val="0097795F"/>
    <w:rsid w:val="00977A77"/>
    <w:rsid w:val="00980631"/>
    <w:rsid w:val="00981B95"/>
    <w:rsid w:val="00983A9F"/>
    <w:rsid w:val="00990EC2"/>
    <w:rsid w:val="009A21F3"/>
    <w:rsid w:val="009A66D2"/>
    <w:rsid w:val="009B38AD"/>
    <w:rsid w:val="009B569A"/>
    <w:rsid w:val="009B6A63"/>
    <w:rsid w:val="009C08CC"/>
    <w:rsid w:val="009C1201"/>
    <w:rsid w:val="009C18A7"/>
    <w:rsid w:val="009C2EB3"/>
    <w:rsid w:val="009C32D4"/>
    <w:rsid w:val="009C5646"/>
    <w:rsid w:val="009D2D46"/>
    <w:rsid w:val="009F30DF"/>
    <w:rsid w:val="00A03CEC"/>
    <w:rsid w:val="00A040BD"/>
    <w:rsid w:val="00A061D3"/>
    <w:rsid w:val="00A11078"/>
    <w:rsid w:val="00A1229B"/>
    <w:rsid w:val="00A16100"/>
    <w:rsid w:val="00A16F02"/>
    <w:rsid w:val="00A1770C"/>
    <w:rsid w:val="00A238FD"/>
    <w:rsid w:val="00A265EC"/>
    <w:rsid w:val="00A30A5B"/>
    <w:rsid w:val="00A3552F"/>
    <w:rsid w:val="00A42B17"/>
    <w:rsid w:val="00A436B5"/>
    <w:rsid w:val="00A53663"/>
    <w:rsid w:val="00A5388C"/>
    <w:rsid w:val="00A661CB"/>
    <w:rsid w:val="00A717F7"/>
    <w:rsid w:val="00A76CAD"/>
    <w:rsid w:val="00A82870"/>
    <w:rsid w:val="00A90925"/>
    <w:rsid w:val="00AA13D2"/>
    <w:rsid w:val="00AB2720"/>
    <w:rsid w:val="00AC560C"/>
    <w:rsid w:val="00AC5F27"/>
    <w:rsid w:val="00AD5A3E"/>
    <w:rsid w:val="00AD6D87"/>
    <w:rsid w:val="00AD78B1"/>
    <w:rsid w:val="00AE0DC2"/>
    <w:rsid w:val="00AE6527"/>
    <w:rsid w:val="00AF0A8A"/>
    <w:rsid w:val="00AF5BE0"/>
    <w:rsid w:val="00B051B0"/>
    <w:rsid w:val="00B06F0D"/>
    <w:rsid w:val="00B10514"/>
    <w:rsid w:val="00B13B23"/>
    <w:rsid w:val="00B22C3B"/>
    <w:rsid w:val="00B22F86"/>
    <w:rsid w:val="00B243F4"/>
    <w:rsid w:val="00B33C11"/>
    <w:rsid w:val="00B44094"/>
    <w:rsid w:val="00B46A8C"/>
    <w:rsid w:val="00B47575"/>
    <w:rsid w:val="00B52313"/>
    <w:rsid w:val="00B548F0"/>
    <w:rsid w:val="00B61AFA"/>
    <w:rsid w:val="00B7359B"/>
    <w:rsid w:val="00B830CB"/>
    <w:rsid w:val="00B84B5A"/>
    <w:rsid w:val="00B935B0"/>
    <w:rsid w:val="00B972AD"/>
    <w:rsid w:val="00BA076E"/>
    <w:rsid w:val="00BB5DD0"/>
    <w:rsid w:val="00BB68FB"/>
    <w:rsid w:val="00BC221F"/>
    <w:rsid w:val="00BC4F12"/>
    <w:rsid w:val="00BC5E24"/>
    <w:rsid w:val="00BD0108"/>
    <w:rsid w:val="00BE71BD"/>
    <w:rsid w:val="00BF1E9E"/>
    <w:rsid w:val="00C017E5"/>
    <w:rsid w:val="00C064DA"/>
    <w:rsid w:val="00C07610"/>
    <w:rsid w:val="00C11464"/>
    <w:rsid w:val="00C4004F"/>
    <w:rsid w:val="00C41C25"/>
    <w:rsid w:val="00C61BA6"/>
    <w:rsid w:val="00C62ACD"/>
    <w:rsid w:val="00C6358C"/>
    <w:rsid w:val="00C66D8D"/>
    <w:rsid w:val="00C70DAB"/>
    <w:rsid w:val="00C71655"/>
    <w:rsid w:val="00C7762A"/>
    <w:rsid w:val="00C820A3"/>
    <w:rsid w:val="00C838D1"/>
    <w:rsid w:val="00C92AB5"/>
    <w:rsid w:val="00CA1DF4"/>
    <w:rsid w:val="00CC12DD"/>
    <w:rsid w:val="00CC213B"/>
    <w:rsid w:val="00CD0092"/>
    <w:rsid w:val="00CE02A0"/>
    <w:rsid w:val="00CE1D40"/>
    <w:rsid w:val="00CE1DB2"/>
    <w:rsid w:val="00CE1F4C"/>
    <w:rsid w:val="00CF6712"/>
    <w:rsid w:val="00D01D30"/>
    <w:rsid w:val="00D2332F"/>
    <w:rsid w:val="00D30E3A"/>
    <w:rsid w:val="00D32C3A"/>
    <w:rsid w:val="00D3667B"/>
    <w:rsid w:val="00D46080"/>
    <w:rsid w:val="00D51BE6"/>
    <w:rsid w:val="00D52C3B"/>
    <w:rsid w:val="00D5552D"/>
    <w:rsid w:val="00D606A2"/>
    <w:rsid w:val="00D72BCF"/>
    <w:rsid w:val="00D74EBB"/>
    <w:rsid w:val="00D85EAE"/>
    <w:rsid w:val="00D8649A"/>
    <w:rsid w:val="00D970D1"/>
    <w:rsid w:val="00DA709A"/>
    <w:rsid w:val="00DB54F1"/>
    <w:rsid w:val="00DB6B25"/>
    <w:rsid w:val="00DD1D3A"/>
    <w:rsid w:val="00DD22A4"/>
    <w:rsid w:val="00DD4D55"/>
    <w:rsid w:val="00DE4BD2"/>
    <w:rsid w:val="00DE4D07"/>
    <w:rsid w:val="00E014C4"/>
    <w:rsid w:val="00E053B8"/>
    <w:rsid w:val="00E07619"/>
    <w:rsid w:val="00E076E4"/>
    <w:rsid w:val="00E10893"/>
    <w:rsid w:val="00E11191"/>
    <w:rsid w:val="00E13468"/>
    <w:rsid w:val="00E136ED"/>
    <w:rsid w:val="00E22B0F"/>
    <w:rsid w:val="00E3001C"/>
    <w:rsid w:val="00E33EE2"/>
    <w:rsid w:val="00E34499"/>
    <w:rsid w:val="00E40352"/>
    <w:rsid w:val="00E44044"/>
    <w:rsid w:val="00E44CB0"/>
    <w:rsid w:val="00E44CE6"/>
    <w:rsid w:val="00E46518"/>
    <w:rsid w:val="00E47959"/>
    <w:rsid w:val="00E50E25"/>
    <w:rsid w:val="00E535DE"/>
    <w:rsid w:val="00E61AFA"/>
    <w:rsid w:val="00E65EC9"/>
    <w:rsid w:val="00E678EA"/>
    <w:rsid w:val="00E710CD"/>
    <w:rsid w:val="00E8467B"/>
    <w:rsid w:val="00E851A7"/>
    <w:rsid w:val="00E86DC0"/>
    <w:rsid w:val="00E969F9"/>
    <w:rsid w:val="00EA2610"/>
    <w:rsid w:val="00EB32CD"/>
    <w:rsid w:val="00EC0F00"/>
    <w:rsid w:val="00EC18E2"/>
    <w:rsid w:val="00ED0526"/>
    <w:rsid w:val="00ED47D6"/>
    <w:rsid w:val="00EF12AB"/>
    <w:rsid w:val="00EF244B"/>
    <w:rsid w:val="00F17853"/>
    <w:rsid w:val="00F20A66"/>
    <w:rsid w:val="00F22DA8"/>
    <w:rsid w:val="00F34442"/>
    <w:rsid w:val="00F40619"/>
    <w:rsid w:val="00F410BA"/>
    <w:rsid w:val="00F45EDF"/>
    <w:rsid w:val="00F65359"/>
    <w:rsid w:val="00F74BF5"/>
    <w:rsid w:val="00F857F8"/>
    <w:rsid w:val="00FA77A2"/>
    <w:rsid w:val="00FB3882"/>
    <w:rsid w:val="00FC0797"/>
    <w:rsid w:val="00FC5023"/>
    <w:rsid w:val="00FC6A0E"/>
    <w:rsid w:val="00FD0B2C"/>
    <w:rsid w:val="00FE49C1"/>
    <w:rsid w:val="00FE4F03"/>
    <w:rsid w:val="00FF49A3"/>
    <w:rsid w:val="00FF4C78"/>
    <w:rsid w:val="1164658A"/>
    <w:rsid w:val="229D7B7D"/>
    <w:rsid w:val="240E5E9B"/>
    <w:rsid w:val="2A0F17AC"/>
    <w:rsid w:val="43D2106B"/>
    <w:rsid w:val="440C5717"/>
    <w:rsid w:val="677677E6"/>
    <w:rsid w:val="6CD75CA7"/>
    <w:rsid w:val="75814E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numPr>
        <w:ilvl w:val="0"/>
        <w:numId w:val="1"/>
      </w:numPr>
      <w:spacing w:before="120" w:after="120" w:line="360" w:lineRule="auto"/>
      <w:jc w:val="center"/>
      <w:outlineLvl w:val="0"/>
    </w:pPr>
    <w:rPr>
      <w:rFonts w:ascii="黑体" w:eastAsia="黑体"/>
      <w:b/>
      <w:kern w:val="44"/>
      <w:sz w:val="32"/>
      <w:szCs w:val="20"/>
      <w:lang w:val="zh-CN"/>
    </w:rPr>
  </w:style>
  <w:style w:type="paragraph" w:styleId="3">
    <w:name w:val="heading 2"/>
    <w:basedOn w:val="1"/>
    <w:next w:val="1"/>
    <w:link w:val="2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numPr>
        <w:ilvl w:val="2"/>
        <w:numId w:val="1"/>
      </w:numPr>
      <w:spacing w:line="300" w:lineRule="auto"/>
      <w:outlineLvl w:val="2"/>
    </w:pPr>
    <w:rPr>
      <w:rFonts w:ascii="Arial" w:hAnsi="Arial" w:eastAsia="仿宋_GB2312"/>
      <w:b/>
      <w:sz w:val="24"/>
      <w:szCs w:val="20"/>
      <w:lang w:val="zh-CN"/>
    </w:rPr>
  </w:style>
  <w:style w:type="paragraph" w:styleId="5">
    <w:name w:val="heading 4"/>
    <w:basedOn w:val="1"/>
    <w:next w:val="1"/>
    <w:link w:val="29"/>
    <w:qFormat/>
    <w:uiPriority w:val="0"/>
    <w:pPr>
      <w:keepNext/>
      <w:keepLines/>
      <w:numPr>
        <w:ilvl w:val="3"/>
        <w:numId w:val="1"/>
      </w:numPr>
      <w:spacing w:line="360" w:lineRule="auto"/>
      <w:outlineLvl w:val="3"/>
    </w:pPr>
    <w:rPr>
      <w:rFonts w:ascii="Arial" w:hAnsi="Arial" w:eastAsia="仿宋_GB2312"/>
      <w:sz w:val="24"/>
      <w:szCs w:val="20"/>
      <w:lang w:val="zh-CN"/>
    </w:rPr>
  </w:style>
  <w:style w:type="paragraph" w:styleId="6">
    <w:name w:val="heading 5"/>
    <w:basedOn w:val="1"/>
    <w:next w:val="1"/>
    <w:link w:val="30"/>
    <w:qFormat/>
    <w:uiPriority w:val="0"/>
    <w:pPr>
      <w:numPr>
        <w:ilvl w:val="4"/>
        <w:numId w:val="1"/>
      </w:numPr>
      <w:spacing w:line="360" w:lineRule="auto"/>
      <w:outlineLvl w:val="4"/>
    </w:pPr>
    <w:rPr>
      <w:rFonts w:ascii="Arial" w:hAnsi="Arial" w:eastAsia="仿宋_GB2312"/>
      <w:sz w:val="24"/>
      <w:szCs w:val="20"/>
      <w:lang w:val="zh-CN"/>
    </w:rPr>
  </w:style>
  <w:style w:type="paragraph" w:styleId="7">
    <w:name w:val="heading 6"/>
    <w:basedOn w:val="1"/>
    <w:next w:val="1"/>
    <w:link w:val="31"/>
    <w:qFormat/>
    <w:uiPriority w:val="0"/>
    <w:pPr>
      <w:numPr>
        <w:ilvl w:val="5"/>
        <w:numId w:val="1"/>
      </w:numPr>
      <w:spacing w:line="300" w:lineRule="auto"/>
      <w:outlineLvl w:val="5"/>
    </w:pPr>
    <w:rPr>
      <w:rFonts w:ascii="Arial" w:hAnsi="Arial" w:eastAsia="仿宋_GB2312"/>
      <w:sz w:val="24"/>
      <w:szCs w:val="20"/>
      <w:lang w:val="zh-CN"/>
    </w:rPr>
  </w:style>
  <w:style w:type="paragraph" w:styleId="8">
    <w:name w:val="heading 7"/>
    <w:basedOn w:val="1"/>
    <w:next w:val="9"/>
    <w:link w:val="32"/>
    <w:qFormat/>
    <w:uiPriority w:val="0"/>
    <w:pPr>
      <w:keepNext/>
      <w:keepLines/>
      <w:numPr>
        <w:ilvl w:val="6"/>
        <w:numId w:val="1"/>
      </w:numPr>
      <w:spacing w:line="360" w:lineRule="auto"/>
      <w:outlineLvl w:val="6"/>
    </w:pPr>
    <w:rPr>
      <w:rFonts w:ascii="仿宋_GB2312" w:eastAsia="仿宋_GB2312"/>
      <w:sz w:val="24"/>
      <w:szCs w:val="20"/>
      <w:lang w:val="zh-CN"/>
    </w:rPr>
  </w:style>
  <w:style w:type="character" w:default="1" w:styleId="21">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9">
    <w:name w:val="Normal Indent"/>
    <w:basedOn w:val="1"/>
    <w:link w:val="35"/>
    <w:qFormat/>
    <w:uiPriority w:val="99"/>
    <w:pPr>
      <w:ind w:firstLine="420" w:firstLineChars="200"/>
    </w:pPr>
    <w:rPr>
      <w:rFonts w:ascii="Calibri" w:hAnsi="Calibri"/>
    </w:rPr>
  </w:style>
  <w:style w:type="paragraph" w:styleId="10">
    <w:name w:val="annotation text"/>
    <w:basedOn w:val="1"/>
    <w:link w:val="38"/>
    <w:unhideWhenUsed/>
    <w:qFormat/>
    <w:uiPriority w:val="99"/>
    <w:pPr>
      <w:jc w:val="left"/>
    </w:pPr>
  </w:style>
  <w:style w:type="paragraph" w:styleId="11">
    <w:name w:val="Body Text Indent"/>
    <w:basedOn w:val="1"/>
    <w:link w:val="34"/>
    <w:uiPriority w:val="0"/>
    <w:pPr>
      <w:spacing w:line="360" w:lineRule="auto"/>
      <w:ind w:firstLine="359" w:firstLineChars="171"/>
    </w:pPr>
    <w:rPr>
      <w:lang w:val="zh-CN"/>
    </w:rPr>
  </w:style>
  <w:style w:type="paragraph" w:styleId="12">
    <w:name w:val="Body Text Indent 2"/>
    <w:basedOn w:val="1"/>
    <w:link w:val="33"/>
    <w:uiPriority w:val="0"/>
    <w:pPr>
      <w:spacing w:line="360" w:lineRule="auto"/>
      <w:ind w:firstLine="480"/>
      <w:outlineLvl w:val="0"/>
    </w:pPr>
    <w:rPr>
      <w:rFonts w:ascii="仿宋_GB2312" w:hAnsi="Calibri" w:eastAsia="仿宋_GB2312"/>
      <w:sz w:val="24"/>
      <w:szCs w:val="20"/>
    </w:rPr>
  </w:style>
  <w:style w:type="paragraph" w:styleId="13">
    <w:name w:val="Balloon Text"/>
    <w:basedOn w:val="1"/>
    <w:link w:val="37"/>
    <w:semiHidden/>
    <w:unhideWhenUsed/>
    <w:uiPriority w:val="99"/>
    <w:rPr>
      <w:sz w:val="18"/>
      <w:szCs w:val="18"/>
    </w:rPr>
  </w:style>
  <w:style w:type="paragraph" w:styleId="14">
    <w:name w:val="footer"/>
    <w:basedOn w:val="1"/>
    <w:link w:val="25"/>
    <w:unhideWhenUsed/>
    <w:qFormat/>
    <w:uiPriority w:val="99"/>
    <w:pPr>
      <w:tabs>
        <w:tab w:val="center" w:pos="4153"/>
        <w:tab w:val="right" w:pos="8306"/>
      </w:tabs>
      <w:snapToGrid w:val="0"/>
      <w:jc w:val="left"/>
    </w:pPr>
    <w:rPr>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2"/>
    <w:basedOn w:val="1"/>
    <w:next w:val="1"/>
    <w:unhideWhenUsed/>
    <w:uiPriority w:val="39"/>
    <w:pPr>
      <w:ind w:left="420" w:leftChars="200"/>
    </w:pPr>
  </w:style>
  <w:style w:type="paragraph" w:styleId="18">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19">
    <w:name w:val="annotation subject"/>
    <w:basedOn w:val="10"/>
    <w:next w:val="10"/>
    <w:link w:val="39"/>
    <w:semiHidden/>
    <w:unhideWhenUsed/>
    <w:uiPriority w:val="99"/>
    <w:rPr>
      <w:b/>
      <w:bCs/>
    </w:rPr>
  </w:style>
  <w:style w:type="character" w:styleId="22">
    <w:name w:val="Hyperlink"/>
    <w:qFormat/>
    <w:uiPriority w:val="99"/>
    <w:rPr>
      <w:color w:val="0000FF"/>
      <w:u w:val="single"/>
    </w:rPr>
  </w:style>
  <w:style w:type="character" w:styleId="23">
    <w:name w:val="annotation reference"/>
    <w:basedOn w:val="21"/>
    <w:semiHidden/>
    <w:unhideWhenUsed/>
    <w:uiPriority w:val="99"/>
    <w:rPr>
      <w:sz w:val="21"/>
      <w:szCs w:val="21"/>
    </w:rPr>
  </w:style>
  <w:style w:type="character" w:customStyle="1" w:styleId="24">
    <w:name w:val="页眉 字符"/>
    <w:basedOn w:val="21"/>
    <w:link w:val="15"/>
    <w:qFormat/>
    <w:uiPriority w:val="99"/>
    <w:rPr>
      <w:sz w:val="18"/>
      <w:szCs w:val="18"/>
    </w:rPr>
  </w:style>
  <w:style w:type="character" w:customStyle="1" w:styleId="25">
    <w:name w:val="页脚 字符"/>
    <w:basedOn w:val="21"/>
    <w:link w:val="14"/>
    <w:uiPriority w:val="99"/>
    <w:rPr>
      <w:sz w:val="18"/>
      <w:szCs w:val="18"/>
    </w:rPr>
  </w:style>
  <w:style w:type="character" w:customStyle="1" w:styleId="26">
    <w:name w:val="标题 1 字符"/>
    <w:basedOn w:val="21"/>
    <w:link w:val="2"/>
    <w:qFormat/>
    <w:uiPriority w:val="0"/>
    <w:rPr>
      <w:rFonts w:ascii="黑体" w:hAnsi="Times New Roman" w:eastAsia="黑体" w:cs="Times New Roman"/>
      <w:b/>
      <w:kern w:val="44"/>
      <w:sz w:val="32"/>
      <w:szCs w:val="20"/>
      <w:lang w:val="zh-CN" w:eastAsia="zh-CN"/>
    </w:rPr>
  </w:style>
  <w:style w:type="character" w:customStyle="1" w:styleId="27">
    <w:name w:val="标题 2 字符"/>
    <w:basedOn w:val="21"/>
    <w:link w:val="3"/>
    <w:uiPriority w:val="0"/>
    <w:rPr>
      <w:rFonts w:ascii="Arial" w:hAnsi="Arial" w:eastAsia="黑体" w:cs="Times New Roman"/>
      <w:b/>
      <w:bCs/>
      <w:sz w:val="32"/>
      <w:szCs w:val="32"/>
    </w:rPr>
  </w:style>
  <w:style w:type="character" w:customStyle="1" w:styleId="28">
    <w:name w:val="标题 3 字符"/>
    <w:basedOn w:val="21"/>
    <w:link w:val="4"/>
    <w:qFormat/>
    <w:uiPriority w:val="0"/>
    <w:rPr>
      <w:rFonts w:ascii="Arial" w:hAnsi="Arial" w:eastAsia="仿宋_GB2312" w:cs="Times New Roman"/>
      <w:b/>
      <w:sz w:val="24"/>
      <w:szCs w:val="20"/>
      <w:lang w:val="zh-CN" w:eastAsia="zh-CN"/>
    </w:rPr>
  </w:style>
  <w:style w:type="character" w:customStyle="1" w:styleId="29">
    <w:name w:val="标题 4 字符"/>
    <w:basedOn w:val="21"/>
    <w:link w:val="5"/>
    <w:qFormat/>
    <w:uiPriority w:val="0"/>
    <w:rPr>
      <w:rFonts w:ascii="Arial" w:hAnsi="Arial" w:eastAsia="仿宋_GB2312" w:cs="Times New Roman"/>
      <w:sz w:val="24"/>
      <w:szCs w:val="20"/>
      <w:lang w:val="zh-CN" w:eastAsia="zh-CN"/>
    </w:rPr>
  </w:style>
  <w:style w:type="character" w:customStyle="1" w:styleId="30">
    <w:name w:val="标题 5 字符"/>
    <w:basedOn w:val="21"/>
    <w:link w:val="6"/>
    <w:qFormat/>
    <w:uiPriority w:val="0"/>
    <w:rPr>
      <w:rFonts w:ascii="Arial" w:hAnsi="Arial" w:eastAsia="仿宋_GB2312" w:cs="Times New Roman"/>
      <w:sz w:val="24"/>
      <w:szCs w:val="20"/>
      <w:lang w:val="zh-CN" w:eastAsia="zh-CN"/>
    </w:rPr>
  </w:style>
  <w:style w:type="character" w:customStyle="1" w:styleId="31">
    <w:name w:val="标题 6 字符"/>
    <w:basedOn w:val="21"/>
    <w:link w:val="7"/>
    <w:uiPriority w:val="0"/>
    <w:rPr>
      <w:rFonts w:ascii="Arial" w:hAnsi="Arial" w:eastAsia="仿宋_GB2312" w:cs="Times New Roman"/>
      <w:sz w:val="24"/>
      <w:szCs w:val="20"/>
      <w:lang w:val="zh-CN" w:eastAsia="zh-CN"/>
    </w:rPr>
  </w:style>
  <w:style w:type="character" w:customStyle="1" w:styleId="32">
    <w:name w:val="标题 7 字符"/>
    <w:basedOn w:val="21"/>
    <w:link w:val="8"/>
    <w:qFormat/>
    <w:uiPriority w:val="0"/>
    <w:rPr>
      <w:rFonts w:ascii="仿宋_GB2312" w:hAnsi="Times New Roman" w:eastAsia="仿宋_GB2312" w:cs="Times New Roman"/>
      <w:sz w:val="24"/>
      <w:szCs w:val="20"/>
      <w:lang w:val="zh-CN" w:eastAsia="zh-CN"/>
    </w:rPr>
  </w:style>
  <w:style w:type="character" w:customStyle="1" w:styleId="33">
    <w:name w:val="正文文本缩进 2 字符"/>
    <w:basedOn w:val="21"/>
    <w:link w:val="12"/>
    <w:qFormat/>
    <w:uiPriority w:val="0"/>
    <w:rPr>
      <w:rFonts w:ascii="仿宋_GB2312" w:hAnsi="Calibri" w:eastAsia="仿宋_GB2312" w:cs="Times New Roman"/>
      <w:sz w:val="24"/>
      <w:szCs w:val="20"/>
    </w:rPr>
  </w:style>
  <w:style w:type="character" w:customStyle="1" w:styleId="34">
    <w:name w:val="正文文本缩进 字符"/>
    <w:basedOn w:val="21"/>
    <w:link w:val="11"/>
    <w:uiPriority w:val="0"/>
    <w:rPr>
      <w:rFonts w:ascii="Times New Roman" w:hAnsi="Times New Roman" w:eastAsia="宋体" w:cs="Times New Roman"/>
      <w:szCs w:val="24"/>
      <w:lang w:val="zh-CN" w:eastAsia="zh-CN"/>
    </w:rPr>
  </w:style>
  <w:style w:type="character" w:customStyle="1" w:styleId="35">
    <w:name w:val="正文缩进 字符"/>
    <w:link w:val="9"/>
    <w:uiPriority w:val="99"/>
    <w:rPr>
      <w:rFonts w:ascii="Calibri" w:hAnsi="Calibri" w:eastAsia="宋体" w:cs="Times New Roman"/>
      <w:szCs w:val="24"/>
    </w:rPr>
  </w:style>
  <w:style w:type="paragraph" w:customStyle="1" w:styleId="36">
    <w:name w:val="正文正文"/>
    <w:basedOn w:val="1"/>
    <w:qFormat/>
    <w:uiPriority w:val="99"/>
    <w:pPr>
      <w:spacing w:after="25" w:afterLines="25" w:line="360" w:lineRule="auto"/>
      <w:ind w:firstLine="200" w:firstLineChars="200"/>
    </w:pPr>
    <w:rPr>
      <w:sz w:val="24"/>
    </w:rPr>
  </w:style>
  <w:style w:type="character" w:customStyle="1" w:styleId="37">
    <w:name w:val="批注框文本 字符"/>
    <w:basedOn w:val="21"/>
    <w:link w:val="13"/>
    <w:semiHidden/>
    <w:uiPriority w:val="99"/>
    <w:rPr>
      <w:rFonts w:ascii="Times New Roman" w:hAnsi="Times New Roman" w:eastAsia="宋体" w:cs="Times New Roman"/>
      <w:sz w:val="18"/>
      <w:szCs w:val="18"/>
    </w:rPr>
  </w:style>
  <w:style w:type="character" w:customStyle="1" w:styleId="38">
    <w:name w:val="批注文字 字符"/>
    <w:basedOn w:val="21"/>
    <w:link w:val="10"/>
    <w:uiPriority w:val="99"/>
    <w:rPr>
      <w:rFonts w:ascii="Times New Roman" w:hAnsi="Times New Roman" w:eastAsia="宋体" w:cs="Times New Roman"/>
      <w:szCs w:val="24"/>
    </w:rPr>
  </w:style>
  <w:style w:type="character" w:customStyle="1" w:styleId="39">
    <w:name w:val="批注主题 字符"/>
    <w:basedOn w:val="38"/>
    <w:link w:val="19"/>
    <w:semiHidden/>
    <w:qFormat/>
    <w:uiPriority w:val="99"/>
    <w:rPr>
      <w:rFonts w:ascii="Times New Roman" w:hAnsi="Times New Roman" w:eastAsia="宋体" w:cs="Times New Roman"/>
      <w:b/>
      <w:bCs/>
      <w:szCs w:val="24"/>
    </w:rPr>
  </w:style>
  <w:style w:type="paragraph" w:styleId="40">
    <w:name w:val="List Paragraph"/>
    <w:basedOn w:val="1"/>
    <w:uiPriority w:val="99"/>
    <w:pPr>
      <w:ind w:firstLine="420" w:firstLineChars="200"/>
    </w:pPr>
  </w:style>
  <w:style w:type="paragraph" w:customStyle="1" w:styleId="41">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32C20D-097D-4587-B1BC-AA1714FE48BB}">
  <ds:schemaRefs/>
</ds:datastoreItem>
</file>

<file path=docProps/app.xml><?xml version="1.0" encoding="utf-8"?>
<Properties xmlns="http://schemas.openxmlformats.org/officeDocument/2006/extended-properties" xmlns:vt="http://schemas.openxmlformats.org/officeDocument/2006/docPropsVTypes">
  <Template>Normal.dotm</Template>
  <Pages>39</Pages>
  <Words>4863</Words>
  <Characters>27720</Characters>
  <Lines>231</Lines>
  <Paragraphs>65</Paragraphs>
  <TotalTime>4</TotalTime>
  <ScaleCrop>false</ScaleCrop>
  <LinksUpToDate>false</LinksUpToDate>
  <CharactersWithSpaces>32518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2023-03-08T06:29:00Z</dcterms:created>
  <dc:creator>Administrator</dc:creator>
  <cp:lastModifiedBy>Admin</cp:lastModifiedBy>
  <dcterms:modified xsi:type="dcterms:W3CDTF">2023-08-30T01:37:50Z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EFC8C2503C3044F692B5A0C93A3A72E7</vt:lpwstr>
  </property>
</Properties>
</file>