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b/>
          <w:color w:val="000000" w:themeColor="text1"/>
          <w:sz w:val="48"/>
          <w14:textFill>
            <w14:solidFill>
              <w14:schemeClr w14:val="tx1"/>
            </w14:solidFill>
          </w14:textFill>
        </w:rPr>
      </w:pPr>
      <w:bookmarkStart w:id="463" w:name="_GoBack"/>
      <w:bookmarkEnd w:id="463"/>
    </w:p>
    <w:p>
      <w:pPr>
        <w:adjustRightInd w:val="0"/>
        <w:snapToGrid w:val="0"/>
        <w:spacing w:line="360" w:lineRule="auto"/>
        <w:jc w:val="center"/>
        <w:rPr>
          <w:b/>
          <w:color w:val="000000" w:themeColor="text1"/>
          <w:sz w:val="48"/>
          <w14:textFill>
            <w14:solidFill>
              <w14:schemeClr w14:val="tx1"/>
            </w14:solidFill>
          </w14:textFill>
        </w:rPr>
      </w:pPr>
    </w:p>
    <w:p>
      <w:pPr>
        <w:adjustRightInd w:val="0"/>
        <w:snapToGrid w:val="0"/>
        <w:spacing w:line="360" w:lineRule="auto"/>
        <w:jc w:val="center"/>
        <w:rPr>
          <w:b/>
          <w:color w:val="000000" w:themeColor="text1"/>
          <w:sz w:val="48"/>
          <w14:textFill>
            <w14:solidFill>
              <w14:schemeClr w14:val="tx1"/>
            </w14:solidFill>
          </w14:textFill>
        </w:rPr>
      </w:pPr>
      <w:r>
        <w:rPr>
          <w:rFonts w:hint="eastAsia"/>
          <w:b/>
          <w:color w:val="000000" w:themeColor="text1"/>
          <w:sz w:val="48"/>
          <w:lang w:eastAsia="zh-CN"/>
          <w14:textFill>
            <w14:solidFill>
              <w14:schemeClr w14:val="tx1"/>
            </w14:solidFill>
          </w14:textFill>
        </w:rPr>
        <w:t>国新国证</w:t>
      </w:r>
      <w:r>
        <w:rPr>
          <w:rFonts w:hint="eastAsia"/>
          <w:b/>
          <w:color w:val="000000" w:themeColor="text1"/>
          <w:sz w:val="48"/>
          <w14:textFill>
            <w14:solidFill>
              <w14:schemeClr w14:val="tx1"/>
            </w14:solidFill>
          </w14:textFill>
        </w:rPr>
        <w:t>基金管理有限</w:t>
      </w:r>
      <w:r>
        <w:rPr>
          <w:b/>
          <w:color w:val="000000" w:themeColor="text1"/>
          <w:sz w:val="48"/>
          <w14:textFill>
            <w14:solidFill>
              <w14:schemeClr w14:val="tx1"/>
            </w14:solidFill>
          </w14:textFill>
        </w:rPr>
        <w:t>公司</w:t>
      </w:r>
    </w:p>
    <w:p>
      <w:pPr>
        <w:adjustRightInd w:val="0"/>
        <w:snapToGrid w:val="0"/>
        <w:spacing w:line="360" w:lineRule="auto"/>
        <w:jc w:val="center"/>
        <w:rPr>
          <w:b/>
          <w:color w:val="000000" w:themeColor="text1"/>
          <w:sz w:val="48"/>
          <w14:textFill>
            <w14:solidFill>
              <w14:schemeClr w14:val="tx1"/>
            </w14:solidFill>
          </w14:textFill>
        </w:rPr>
      </w:pPr>
    </w:p>
    <w:p>
      <w:pPr>
        <w:adjustRightInd w:val="0"/>
        <w:snapToGrid w:val="0"/>
        <w:spacing w:line="360" w:lineRule="auto"/>
        <w:jc w:val="center"/>
        <w:rPr>
          <w:b/>
          <w:color w:val="000000" w:themeColor="text1"/>
          <w:sz w:val="48"/>
          <w14:textFill>
            <w14:solidFill>
              <w14:schemeClr w14:val="tx1"/>
            </w14:solidFill>
          </w14:textFill>
        </w:rPr>
      </w:pPr>
    </w:p>
    <w:p>
      <w:pPr>
        <w:adjustRightInd w:val="0"/>
        <w:snapToGrid w:val="0"/>
        <w:spacing w:line="360" w:lineRule="auto"/>
        <w:jc w:val="center"/>
        <w:rPr>
          <w:rFonts w:hint="eastAsia"/>
          <w:b/>
          <w:color w:val="000000" w:themeColor="text1"/>
          <w:sz w:val="48"/>
          <w14:textFill>
            <w14:solidFill>
              <w14:schemeClr w14:val="tx1"/>
            </w14:solidFill>
          </w14:textFill>
        </w:rPr>
      </w:pPr>
      <w:bookmarkStart w:id="0" w:name="_Toc139992299"/>
      <w:bookmarkStart w:id="1" w:name="_Toc123112222"/>
      <w:bookmarkStart w:id="2" w:name="_Toc123112261"/>
      <w:bookmarkStart w:id="3" w:name="_Toc123701381"/>
      <w:bookmarkStart w:id="4" w:name="_Toc139991724"/>
      <w:r>
        <w:rPr>
          <w:rFonts w:hint="eastAsia"/>
          <w:b/>
          <w:color w:val="000000" w:themeColor="text1"/>
          <w:sz w:val="48"/>
          <w:lang w:eastAsia="zh-CN"/>
          <w14:textFill>
            <w14:solidFill>
              <w14:schemeClr w14:val="tx1"/>
            </w14:solidFill>
          </w14:textFill>
        </w:rPr>
        <w:t>国新国证</w:t>
      </w:r>
      <w:r>
        <w:rPr>
          <w:rFonts w:hint="eastAsia"/>
          <w:b/>
          <w:color w:val="000000" w:themeColor="text1"/>
          <w:sz w:val="48"/>
          <w14:textFill>
            <w14:solidFill>
              <w14:schemeClr w14:val="tx1"/>
            </w14:solidFill>
          </w14:textFill>
        </w:rPr>
        <w:t>鑫裕央企债六个月定期开放</w:t>
      </w:r>
    </w:p>
    <w:p>
      <w:pPr>
        <w:adjustRightInd w:val="0"/>
        <w:snapToGrid w:val="0"/>
        <w:spacing w:line="360" w:lineRule="auto"/>
        <w:jc w:val="center"/>
        <w:rPr>
          <w:b/>
          <w:color w:val="000000" w:themeColor="text1"/>
          <w:sz w:val="48"/>
          <w14:textFill>
            <w14:solidFill>
              <w14:schemeClr w14:val="tx1"/>
            </w14:solidFill>
          </w14:textFill>
        </w:rPr>
      </w:pPr>
      <w:r>
        <w:rPr>
          <w:rFonts w:hint="eastAsia"/>
          <w:b/>
          <w:color w:val="000000" w:themeColor="text1"/>
          <w:sz w:val="48"/>
          <w14:textFill>
            <w14:solidFill>
              <w14:schemeClr w14:val="tx1"/>
            </w14:solidFill>
          </w14:textFill>
        </w:rPr>
        <w:t>债券型</w:t>
      </w:r>
      <w:r>
        <w:rPr>
          <w:b/>
          <w:color w:val="000000" w:themeColor="text1"/>
          <w:sz w:val="48"/>
          <w14:textFill>
            <w14:solidFill>
              <w14:schemeClr w14:val="tx1"/>
            </w14:solidFill>
          </w14:textFill>
        </w:rPr>
        <w:t>证券投资基金</w:t>
      </w:r>
      <w:bookmarkEnd w:id="0"/>
      <w:bookmarkEnd w:id="1"/>
      <w:bookmarkEnd w:id="2"/>
      <w:bookmarkEnd w:id="3"/>
      <w:bookmarkEnd w:id="4"/>
      <w:bookmarkStart w:id="5" w:name="_Toc139992300"/>
      <w:bookmarkStart w:id="6" w:name="_Toc123112223"/>
      <w:bookmarkStart w:id="7" w:name="_Toc123701382"/>
      <w:bookmarkStart w:id="8" w:name="_Toc123112262"/>
      <w:bookmarkStart w:id="9" w:name="_Toc139991725"/>
      <w:r>
        <w:rPr>
          <w:b/>
          <w:color w:val="000000" w:themeColor="text1"/>
          <w:sz w:val="48"/>
          <w14:textFill>
            <w14:solidFill>
              <w14:schemeClr w14:val="tx1"/>
            </w14:solidFill>
          </w14:textFill>
        </w:rPr>
        <w:t>基金合同</w:t>
      </w:r>
      <w:bookmarkEnd w:id="5"/>
      <w:bookmarkEnd w:id="6"/>
      <w:bookmarkEnd w:id="7"/>
      <w:bookmarkEnd w:id="8"/>
      <w:bookmarkEnd w:id="9"/>
    </w:p>
    <w:p>
      <w:pPr>
        <w:adjustRightInd w:val="0"/>
        <w:snapToGrid w:val="0"/>
        <w:spacing w:line="360" w:lineRule="auto"/>
        <w:jc w:val="center"/>
        <w:rPr>
          <w:b/>
          <w:color w:val="000000" w:themeColor="text1"/>
          <w:sz w:val="48"/>
          <w14:textFill>
            <w14:solidFill>
              <w14:schemeClr w14:val="tx1"/>
            </w14:solidFill>
          </w14:textFill>
        </w:rPr>
      </w:pPr>
    </w:p>
    <w:p>
      <w:pPr>
        <w:adjustRightInd w:val="0"/>
        <w:snapToGrid w:val="0"/>
        <w:spacing w:line="360" w:lineRule="auto"/>
        <w:jc w:val="center"/>
        <w:rPr>
          <w:b/>
          <w:color w:val="000000" w:themeColor="text1"/>
          <w:sz w:val="48"/>
          <w14:textFill>
            <w14:solidFill>
              <w14:schemeClr w14:val="tx1"/>
            </w14:solidFill>
          </w14:textFill>
        </w:rPr>
      </w:pPr>
    </w:p>
    <w:p>
      <w:pPr>
        <w:adjustRightInd w:val="0"/>
        <w:snapToGrid w:val="0"/>
        <w:spacing w:line="360" w:lineRule="auto"/>
        <w:jc w:val="center"/>
        <w:rPr>
          <w:b/>
          <w:color w:val="000000" w:themeColor="text1"/>
          <w:sz w:val="48"/>
          <w14:textFill>
            <w14:solidFill>
              <w14:schemeClr w14:val="tx1"/>
            </w14:solidFill>
          </w14:textFill>
        </w:rPr>
      </w:pPr>
    </w:p>
    <w:p>
      <w:pPr>
        <w:adjustRightInd w:val="0"/>
        <w:snapToGrid w:val="0"/>
        <w:spacing w:line="360" w:lineRule="auto"/>
        <w:jc w:val="center"/>
        <w:rPr>
          <w:b/>
          <w:color w:val="000000" w:themeColor="text1"/>
          <w:sz w:val="48"/>
          <w14:textFill>
            <w14:solidFill>
              <w14:schemeClr w14:val="tx1"/>
            </w14:solidFill>
          </w14:textFill>
        </w:rPr>
      </w:pPr>
    </w:p>
    <w:p>
      <w:pPr>
        <w:adjustRightInd w:val="0"/>
        <w:snapToGrid w:val="0"/>
        <w:spacing w:line="360" w:lineRule="auto"/>
        <w:ind w:firstLine="723" w:firstLineChars="200"/>
        <w:jc w:val="left"/>
        <w:rPr>
          <w:b/>
          <w:color w:val="000000" w:themeColor="text1"/>
          <w:sz w:val="36"/>
          <w14:textFill>
            <w14:solidFill>
              <w14:schemeClr w14:val="tx1"/>
            </w14:solidFill>
          </w14:textFill>
        </w:rPr>
      </w:pPr>
      <w:bookmarkStart w:id="10" w:name="_Toc123112224"/>
      <w:bookmarkStart w:id="11" w:name="_Toc139992301"/>
      <w:bookmarkStart w:id="12" w:name="_Toc139991726"/>
      <w:bookmarkStart w:id="13" w:name="_Toc123701383"/>
      <w:bookmarkStart w:id="14" w:name="_Toc123112263"/>
      <w:r>
        <w:rPr>
          <w:b/>
          <w:color w:val="000000" w:themeColor="text1"/>
          <w:sz w:val="36"/>
          <w14:textFill>
            <w14:solidFill>
              <w14:schemeClr w14:val="tx1"/>
            </w14:solidFill>
          </w14:textFill>
        </w:rPr>
        <w:t>基金管理人：</w:t>
      </w:r>
      <w:bookmarkEnd w:id="10"/>
      <w:bookmarkEnd w:id="11"/>
      <w:bookmarkEnd w:id="12"/>
      <w:bookmarkEnd w:id="13"/>
      <w:bookmarkEnd w:id="14"/>
      <w:r>
        <w:rPr>
          <w:rFonts w:hint="eastAsia"/>
          <w:b/>
          <w:color w:val="000000" w:themeColor="text1"/>
          <w:sz w:val="36"/>
          <w:lang w:eastAsia="zh-CN"/>
          <w14:textFill>
            <w14:solidFill>
              <w14:schemeClr w14:val="tx1"/>
            </w14:solidFill>
          </w14:textFill>
        </w:rPr>
        <w:t>国新国证</w:t>
      </w:r>
      <w:r>
        <w:rPr>
          <w:rFonts w:hint="eastAsia"/>
          <w:b/>
          <w:color w:val="000000" w:themeColor="text1"/>
          <w:sz w:val="36"/>
          <w14:textFill>
            <w14:solidFill>
              <w14:schemeClr w14:val="tx1"/>
            </w14:solidFill>
          </w14:textFill>
        </w:rPr>
        <w:t>基金管理有限公司</w:t>
      </w:r>
    </w:p>
    <w:p>
      <w:pPr>
        <w:adjustRightInd w:val="0"/>
        <w:snapToGrid w:val="0"/>
        <w:spacing w:line="360" w:lineRule="auto"/>
        <w:ind w:firstLine="723" w:firstLineChars="200"/>
        <w:jc w:val="left"/>
        <w:rPr>
          <w:b/>
          <w:color w:val="000000" w:themeColor="text1"/>
          <w:sz w:val="36"/>
          <w14:textFill>
            <w14:solidFill>
              <w14:schemeClr w14:val="tx1"/>
            </w14:solidFill>
          </w14:textFill>
        </w:rPr>
      </w:pPr>
      <w:bookmarkStart w:id="15" w:name="_Toc123112264"/>
      <w:bookmarkStart w:id="16" w:name="_Toc139991727"/>
      <w:bookmarkStart w:id="17" w:name="_Toc123112225"/>
      <w:bookmarkStart w:id="18" w:name="_Toc123701384"/>
      <w:bookmarkStart w:id="19" w:name="_Toc139992302"/>
      <w:r>
        <w:rPr>
          <w:b/>
          <w:color w:val="000000" w:themeColor="text1"/>
          <w:sz w:val="36"/>
          <w14:textFill>
            <w14:solidFill>
              <w14:schemeClr w14:val="tx1"/>
            </w14:solidFill>
          </w14:textFill>
        </w:rPr>
        <w:t>基金托管人：</w:t>
      </w:r>
      <w:r>
        <w:rPr>
          <w:rFonts w:hint="eastAsia"/>
          <w:b/>
          <w:color w:val="000000" w:themeColor="text1"/>
          <w:sz w:val="36"/>
          <w14:textFill>
            <w14:solidFill>
              <w14:schemeClr w14:val="tx1"/>
            </w14:solidFill>
          </w14:textFill>
        </w:rPr>
        <w:t>上海浦东发展银行股份有限公司</w:t>
      </w:r>
      <w:bookmarkEnd w:id="15"/>
      <w:bookmarkEnd w:id="16"/>
      <w:bookmarkEnd w:id="17"/>
      <w:bookmarkEnd w:id="18"/>
      <w:bookmarkEnd w:id="19"/>
    </w:p>
    <w:p>
      <w:pPr>
        <w:adjustRightInd w:val="0"/>
        <w:snapToGrid w:val="0"/>
        <w:spacing w:line="360" w:lineRule="auto"/>
        <w:jc w:val="center"/>
        <w:rPr>
          <w:bCs/>
          <w:color w:val="000000" w:themeColor="text1"/>
          <w:sz w:val="32"/>
          <w14:textFill>
            <w14:solidFill>
              <w14:schemeClr w14:val="tx1"/>
            </w14:solidFill>
          </w14:textFill>
        </w:rPr>
      </w:pPr>
    </w:p>
    <w:p>
      <w:pPr>
        <w:jc w:val="center"/>
        <w:rPr>
          <w:bCs/>
          <w:color w:val="000000" w:themeColor="text1"/>
          <w:sz w:val="28"/>
          <w14:textFill>
            <w14:solidFill>
              <w14:schemeClr w14:val="tx1"/>
            </w14:solidFill>
          </w14:textFill>
        </w:rPr>
      </w:pPr>
      <w:bookmarkStart w:id="20" w:name="_Toc123701386"/>
      <w:bookmarkStart w:id="21" w:name="_Toc123112227"/>
      <w:bookmarkStart w:id="22" w:name="_Toc123112266"/>
      <w:bookmarkStart w:id="23" w:name="_Toc139991729"/>
    </w:p>
    <w:p>
      <w:pPr>
        <w:jc w:val="center"/>
        <w:rPr>
          <w:rFonts w:ascii="宋体"/>
          <w:b/>
          <w:bCs/>
          <w:color w:val="000000" w:themeColor="text1"/>
          <w:sz w:val="30"/>
          <w14:textFill>
            <w14:solidFill>
              <w14:schemeClr w14:val="tx1"/>
            </w14:solidFill>
          </w14:textFill>
        </w:rPr>
      </w:pPr>
      <w:r>
        <w:rPr>
          <w:rFonts w:hint="eastAsia" w:ascii="宋体"/>
          <w:b/>
          <w:bCs/>
          <w:color w:val="000000" w:themeColor="text1"/>
          <w:sz w:val="30"/>
          <w14:textFill>
            <w14:solidFill>
              <w14:schemeClr w14:val="tx1"/>
            </w14:solidFill>
          </w14:textFill>
        </w:rPr>
        <w:t>二〇二二年</w:t>
      </w:r>
      <w:r>
        <w:rPr>
          <w:rFonts w:hint="eastAsia" w:ascii="宋体"/>
          <w:b/>
          <w:bCs/>
          <w:color w:val="000000" w:themeColor="text1"/>
          <w:sz w:val="30"/>
          <w:lang w:val="en-US" w:eastAsia="zh-CN"/>
          <w14:textFill>
            <w14:solidFill>
              <w14:schemeClr w14:val="tx1"/>
            </w14:solidFill>
          </w14:textFill>
        </w:rPr>
        <w:t>十一</w:t>
      </w:r>
      <w:r>
        <w:rPr>
          <w:rFonts w:hint="eastAsia" w:ascii="宋体"/>
          <w:b/>
          <w:bCs/>
          <w:color w:val="000000" w:themeColor="text1"/>
          <w:sz w:val="30"/>
          <w14:textFill>
            <w14:solidFill>
              <w14:schemeClr w14:val="tx1"/>
            </w14:solidFill>
          </w14:textFill>
        </w:rPr>
        <w:t>月</w:t>
      </w:r>
    </w:p>
    <w:p>
      <w:pPr>
        <w:jc w:val="center"/>
        <w:rPr>
          <w:rFonts w:ascii="宋体"/>
          <w:b/>
          <w:bCs/>
          <w:color w:val="000000" w:themeColor="text1"/>
          <w:sz w:val="30"/>
          <w14:textFill>
            <w14:solidFill>
              <w14:schemeClr w14:val="tx1"/>
            </w14:solidFill>
          </w14:textFill>
        </w:rPr>
      </w:pPr>
    </w:p>
    <w:p>
      <w:pPr>
        <w:jc w:val="center"/>
        <w:rPr>
          <w:bCs/>
          <w:color w:val="000000" w:themeColor="text1"/>
          <w:sz w:val="28"/>
          <w14:textFill>
            <w14:solidFill>
              <w14:schemeClr w14:val="tx1"/>
            </w14:solidFill>
          </w14:textFill>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spacing w:line="500" w:lineRule="atLeast"/>
        <w:jc w:val="center"/>
        <w:outlineLvl w:val="0"/>
        <w:rPr>
          <w:rFonts w:ascii="宋体" w:hAnsi="宋体"/>
          <w:b/>
          <w:color w:val="000000" w:themeColor="text1"/>
          <w:sz w:val="32"/>
          <w:szCs w:val="28"/>
          <w14:textFill>
            <w14:solidFill>
              <w14:schemeClr w14:val="tx1"/>
            </w14:solidFill>
          </w14:textFill>
        </w:rPr>
      </w:pPr>
      <w:r>
        <w:rPr>
          <w:rFonts w:ascii="宋体" w:hAnsi="宋体"/>
          <w:b/>
          <w:color w:val="000000" w:themeColor="text1"/>
          <w:sz w:val="32"/>
          <w:szCs w:val="28"/>
          <w14:textFill>
            <w14:solidFill>
              <w14:schemeClr w14:val="tx1"/>
            </w14:solidFill>
          </w14:textFill>
        </w:rPr>
        <w:t>目  录</w:t>
      </w:r>
      <w:bookmarkEnd w:id="20"/>
      <w:bookmarkEnd w:id="21"/>
      <w:bookmarkEnd w:id="22"/>
      <w:bookmarkEnd w:id="23"/>
    </w:p>
    <w:p>
      <w:pPr>
        <w:pStyle w:val="15"/>
        <w:rPr>
          <w:rFonts w:asciiTheme="minorEastAsia" w:hAnsiTheme="minorEastAsia" w:eastAsiaTheme="minorEastAsia"/>
          <w:color w:val="000000" w:themeColor="text1"/>
          <w:sz w:val="24"/>
          <w:szCs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TOC \o "1-1" \h \z \u </w:instrText>
      </w:r>
      <w:r>
        <w:rPr>
          <w:bCs/>
          <w:color w:val="000000" w:themeColor="text1"/>
          <w:sz w:val="24"/>
          <w14:textFill>
            <w14:solidFill>
              <w14:schemeClr w14:val="tx1"/>
            </w14:solidFill>
          </w14:textFill>
        </w:rPr>
        <w:fldChar w:fldCharType="separate"/>
      </w:r>
      <w:r>
        <w:fldChar w:fldCharType="begin"/>
      </w:r>
      <w:r>
        <w:instrText xml:space="preserve"> HYPERLINK \l "_Toc95997112"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第一部分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前言</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_Toc95997112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1</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"_Toc95997113"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第二部分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释义</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_Toc95997113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3</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"_Toc95997114"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第三部分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基金的基</w:t>
      </w:r>
      <w:bookmarkStart w:id="24" w:name="_Hlt100649143"/>
      <w:bookmarkStart w:id="25" w:name="_Hlt100649142"/>
      <w:r>
        <w:rPr>
          <w:rStyle w:val="23"/>
          <w:rFonts w:hint="eastAsia" w:asciiTheme="minorEastAsia" w:hAnsiTheme="minorEastAsia" w:eastAsiaTheme="minorEastAsia"/>
          <w:color w:val="000000" w:themeColor="text1"/>
          <w:sz w:val="24"/>
          <w:szCs w:val="24"/>
          <w14:textFill>
            <w14:solidFill>
              <w14:schemeClr w14:val="tx1"/>
            </w14:solidFill>
          </w14:textFill>
        </w:rPr>
        <w:t>本</w:t>
      </w:r>
      <w:bookmarkEnd w:id="24"/>
      <w:bookmarkEnd w:id="25"/>
      <w:r>
        <w:rPr>
          <w:rStyle w:val="23"/>
          <w:rFonts w:hint="eastAsia" w:asciiTheme="minorEastAsia" w:hAnsiTheme="minorEastAsia" w:eastAsiaTheme="minorEastAsia"/>
          <w:color w:val="000000" w:themeColor="text1"/>
          <w:sz w:val="24"/>
          <w:szCs w:val="24"/>
          <w14:textFill>
            <w14:solidFill>
              <w14:schemeClr w14:val="tx1"/>
            </w14:solidFill>
          </w14:textFill>
        </w:rPr>
        <w:t>情况</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_Toc95997114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9</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"_Toc95997115"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第四部分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基金份额的发售</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_Toc95997115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11</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"_Toc95997116"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第五部分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基金备案</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_Toc95997116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13</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"_Toc95997117"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第六部分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基金份额的申购与赎回</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_Toc95997117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14</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"_Toc95997118"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第七部分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基金合同当事人及权利义务</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_Toc95997118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23</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"_Toc95997119"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第八部分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基金份额持有人大会</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_Toc95997119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30</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"_Toc95997120"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第九部分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基金管理人、基金托管人的更换条件和程序</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_Toc95997120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39</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"_Toc95997121"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基金的托管</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_Toc95997121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42</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"_Toc95997122"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第十一部分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基金份额的登记</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_Toc95997122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43</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"_Toc95997123"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第十二部分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基金的</w:t>
      </w:r>
      <w:bookmarkStart w:id="26" w:name="_Hlt95997143"/>
      <w:r>
        <w:rPr>
          <w:rStyle w:val="23"/>
          <w:rFonts w:hint="eastAsia" w:asciiTheme="minorEastAsia" w:hAnsiTheme="minorEastAsia" w:eastAsiaTheme="minorEastAsia"/>
          <w:color w:val="000000" w:themeColor="text1"/>
          <w:sz w:val="24"/>
          <w:szCs w:val="24"/>
          <w14:textFill>
            <w14:solidFill>
              <w14:schemeClr w14:val="tx1"/>
            </w14:solidFill>
          </w14:textFill>
        </w:rPr>
        <w:t>投</w:t>
      </w:r>
      <w:bookmarkEnd w:id="26"/>
      <w:bookmarkStart w:id="27" w:name="_Hlt100649488"/>
      <w:r>
        <w:rPr>
          <w:rStyle w:val="23"/>
          <w:rFonts w:hint="eastAsia" w:asciiTheme="minorEastAsia" w:hAnsiTheme="minorEastAsia" w:eastAsiaTheme="minorEastAsia"/>
          <w:color w:val="000000" w:themeColor="text1"/>
          <w:sz w:val="24"/>
          <w:szCs w:val="24"/>
          <w14:textFill>
            <w14:solidFill>
              <w14:schemeClr w14:val="tx1"/>
            </w14:solidFill>
          </w14:textFill>
        </w:rPr>
        <w:t>资</w:t>
      </w:r>
      <w:bookmarkEnd w:id="27"/>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_Toc95997123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45</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"_Toc95997124"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第十三部分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基金的财产</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_Toc95997124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52</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"_Toc95997125"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第十四部分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基金资产估值</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_Toc95997125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53</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"_Toc95997126"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第十五部分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基金费用与税收</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_Toc95997126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59</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"_Toc95997127"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第十六部分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基金的收益与分配</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_Toc95997127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61</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"_Toc95997128"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第十七部分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基金的会计与审计</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_Toc95997128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63</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"_Toc95997129"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第十八部分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基金的信息披露</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_Toc95997129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64</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"_Toc95997130"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第十九部分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基金合同的变更、终止与基金财产的清算</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_Toc95997130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70</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"_Toc95997131"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第二十部分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违约责任</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_Toc95997131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72</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"_Toc95997132"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第二十一部分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争议的处理和适用的法律</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_Toc95997132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73</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"_Toc95997133"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第二十二部分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基金合同的效力</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_Toc95997133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74</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Theme="minorEastAsia" w:hAnsiTheme="minorEastAsia" w:eastAsiaTheme="minorEastAsia"/>
          <w:color w:val="000000" w:themeColor="text1"/>
          <w:sz w:val="24"/>
          <w:szCs w:val="24"/>
          <w14:textFill>
            <w14:solidFill>
              <w14:schemeClr w14:val="tx1"/>
            </w14:solidFill>
          </w14:textFill>
        </w:rPr>
      </w:pPr>
      <w:r>
        <w:fldChar w:fldCharType="begin"/>
      </w:r>
      <w:r>
        <w:instrText xml:space="preserve"> HYPERLINK \l "_Toc95997134"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第二十三部分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其他事项</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_Toc95997134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75</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15"/>
        <w:rPr>
          <w:rFonts w:ascii="Calibri" w:hAnsi="Calibri"/>
          <w:color w:val="000000" w:themeColor="text1"/>
          <w:szCs w:val="22"/>
          <w14:textFill>
            <w14:solidFill>
              <w14:schemeClr w14:val="tx1"/>
            </w14:solidFill>
          </w14:textFill>
        </w:rPr>
      </w:pPr>
      <w:r>
        <w:fldChar w:fldCharType="begin"/>
      </w:r>
      <w:r>
        <w:instrText xml:space="preserve"> HYPERLINK \l "_Toc95997135" </w:instrText>
      </w:r>
      <w:r>
        <w:fldChar w:fldCharType="separate"/>
      </w:r>
      <w:r>
        <w:rPr>
          <w:rStyle w:val="23"/>
          <w:rFonts w:hint="eastAsia" w:asciiTheme="minorEastAsia" w:hAnsiTheme="minorEastAsia" w:eastAsiaTheme="minorEastAsia"/>
          <w:color w:val="000000" w:themeColor="text1"/>
          <w:sz w:val="24"/>
          <w:szCs w:val="24"/>
          <w14:textFill>
            <w14:solidFill>
              <w14:schemeClr w14:val="tx1"/>
            </w14:solidFill>
          </w14:textFill>
        </w:rPr>
        <w:t>第二十四部分</w:t>
      </w:r>
      <w:r>
        <w:rPr>
          <w:rStyle w:val="23"/>
          <w:rFonts w:asciiTheme="minorEastAsia" w:hAnsiTheme="minorEastAsia" w:eastAsiaTheme="minorEastAsia"/>
          <w:color w:val="000000" w:themeColor="text1"/>
          <w:sz w:val="24"/>
          <w:szCs w:val="24"/>
          <w14:textFill>
            <w14:solidFill>
              <w14:schemeClr w14:val="tx1"/>
            </w14:solidFill>
          </w14:textFill>
        </w:rPr>
        <w:t xml:space="preserve">  </w:t>
      </w:r>
      <w:r>
        <w:rPr>
          <w:rStyle w:val="23"/>
          <w:rFonts w:hint="eastAsia" w:asciiTheme="minorEastAsia" w:hAnsiTheme="minorEastAsia" w:eastAsiaTheme="minorEastAsia"/>
          <w:color w:val="000000" w:themeColor="text1"/>
          <w:sz w:val="24"/>
          <w:szCs w:val="24"/>
          <w14:textFill>
            <w14:solidFill>
              <w14:schemeClr w14:val="tx1"/>
            </w14:solidFill>
          </w14:textFill>
        </w:rPr>
        <w:t>基金合同内容摘要</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PAGEREF _Toc95997135 \h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rPr>
          <w:rFonts w:asciiTheme="minorEastAsia" w:hAnsiTheme="minorEastAsia" w:eastAsiaTheme="minorEastAsia"/>
          <w:color w:val="000000" w:themeColor="text1"/>
          <w:sz w:val="24"/>
          <w:szCs w:val="24"/>
          <w14:textFill>
            <w14:solidFill>
              <w14:schemeClr w14:val="tx1"/>
            </w14:solidFill>
          </w14:textFill>
        </w:rPr>
        <w:t>76</w:t>
      </w:r>
      <w:r>
        <w:rPr>
          <w:rFonts w:asciiTheme="minorEastAsia" w:hAnsiTheme="minorEastAsia" w:eastAsiaTheme="minorEastAsia"/>
          <w:color w:val="000000" w:themeColor="text1"/>
          <w:sz w:val="24"/>
          <w:szCs w:val="24"/>
          <w14:textFill>
            <w14:solidFill>
              <w14:schemeClr w14:val="tx1"/>
            </w14:solidFill>
          </w14:textFill>
        </w:rPr>
        <w:fldChar w:fldCharType="end"/>
      </w:r>
      <w:r>
        <w:rPr>
          <w:rFonts w:asciiTheme="minorEastAsia" w:hAnsiTheme="minorEastAsia" w:eastAsiaTheme="minorEastAsia"/>
          <w:color w:val="000000" w:themeColor="text1"/>
          <w:sz w:val="24"/>
          <w:szCs w:val="24"/>
          <w14:textFill>
            <w14:solidFill>
              <w14:schemeClr w14:val="tx1"/>
            </w14:solidFill>
          </w14:textFill>
        </w:rPr>
        <w:fldChar w:fldCharType="end"/>
      </w:r>
    </w:p>
    <w:p>
      <w:pPr>
        <w:pStyle w:val="2"/>
        <w:spacing w:before="0" w:after="0"/>
        <w:jc w:val="left"/>
        <w:rPr>
          <w:rFonts w:ascii="Times New Roman"/>
          <w:b w:val="0"/>
          <w:bCs/>
          <w:color w:val="000000" w:themeColor="text1"/>
          <w:kern w:val="2"/>
          <w14:textFill>
            <w14:solidFill>
              <w14:schemeClr w14:val="tx1"/>
            </w14:solidFill>
          </w14:textFill>
        </w:rPr>
        <w:sectPr>
          <w:headerReference r:id="rId5" w:type="default"/>
          <w:pgSz w:w="11906" w:h="16838"/>
          <w:pgMar w:top="1440" w:right="1800" w:bottom="1440" w:left="1800" w:header="851" w:footer="992" w:gutter="0"/>
          <w:pgNumType w:start="1"/>
          <w:cols w:space="720" w:num="1"/>
          <w:docGrid w:type="lines" w:linePitch="312" w:charSpace="0"/>
        </w:sectPr>
      </w:pPr>
      <w:r>
        <w:rPr>
          <w:rFonts w:ascii="Times New Roman"/>
          <w:b w:val="0"/>
          <w:bCs/>
          <w:color w:val="000000" w:themeColor="text1"/>
          <w:kern w:val="2"/>
          <w14:textFill>
            <w14:solidFill>
              <w14:schemeClr w14:val="tx1"/>
            </w14:solidFill>
          </w14:textFill>
        </w:rPr>
        <w:fldChar w:fldCharType="end"/>
      </w:r>
      <w:bookmarkStart w:id="28" w:name="_Toc141703880"/>
      <w:bookmarkStart w:id="29" w:name="_Toc4966"/>
      <w:bookmarkStart w:id="30" w:name="_Toc29629"/>
      <w:bookmarkStart w:id="31" w:name="_Toc30935"/>
      <w:bookmarkStart w:id="32" w:name="_Toc15517"/>
      <w:bookmarkStart w:id="33" w:name="_Toc8727"/>
      <w:bookmarkStart w:id="34" w:name="_Toc23386"/>
      <w:bookmarkStart w:id="35" w:name="_Toc139991730"/>
      <w:bookmarkStart w:id="36" w:name="_Toc32639"/>
      <w:bookmarkStart w:id="37" w:name="_Toc26897"/>
      <w:bookmarkStart w:id="38" w:name="_Toc6306"/>
      <w:bookmarkStart w:id="39" w:name="_Toc4867"/>
      <w:bookmarkStart w:id="40" w:name="_Toc123112229"/>
      <w:bookmarkStart w:id="41" w:name="_Toc123701389"/>
      <w:bookmarkStart w:id="42" w:name="_Toc123112268"/>
      <w:bookmarkStart w:id="43" w:name="_Toc233456271"/>
    </w:p>
    <w:p>
      <w:pPr>
        <w:pStyle w:val="2"/>
        <w:spacing w:before="0" w:after="0"/>
        <w:jc w:val="center"/>
        <w:rPr>
          <w:rFonts w:ascii="Times New Roman"/>
          <w:color w:val="000000" w:themeColor="text1"/>
          <w:sz w:val="30"/>
          <w14:textFill>
            <w14:solidFill>
              <w14:schemeClr w14:val="tx1"/>
            </w14:solidFill>
          </w14:textFill>
        </w:rPr>
      </w:pPr>
      <w:bookmarkStart w:id="44" w:name="_Toc95997112"/>
      <w:r>
        <w:rPr>
          <w:rFonts w:ascii="Times New Roman"/>
          <w:color w:val="000000" w:themeColor="text1"/>
          <w:sz w:val="30"/>
          <w14:textFill>
            <w14:solidFill>
              <w14:schemeClr w14:val="tx1"/>
            </w14:solidFill>
          </w14:textFill>
        </w:rPr>
        <w:t>第一部分  前言</w:t>
      </w:r>
      <w:bookmarkEnd w:id="28"/>
      <w:bookmarkEnd w:id="29"/>
      <w:bookmarkEnd w:id="30"/>
      <w:bookmarkEnd w:id="31"/>
      <w:bookmarkEnd w:id="32"/>
      <w:bookmarkEnd w:id="33"/>
      <w:bookmarkEnd w:id="34"/>
      <w:bookmarkEnd w:id="35"/>
      <w:bookmarkEnd w:id="36"/>
      <w:bookmarkEnd w:id="37"/>
      <w:bookmarkEnd w:id="38"/>
      <w:bookmarkEnd w:id="39"/>
      <w:bookmarkEnd w:id="44"/>
    </w:p>
    <w:p>
      <w:pPr>
        <w:rPr>
          <w:bCs/>
          <w:color w:val="000000" w:themeColor="text1"/>
          <w14:textFill>
            <w14:solidFill>
              <w14:schemeClr w14:val="tx1"/>
            </w14:solidFill>
          </w14:textFill>
        </w:rPr>
      </w:pPr>
      <w:bookmarkStart w:id="45" w:name="_Toc139991731"/>
    </w:p>
    <w:bookmarkEnd w:id="40"/>
    <w:bookmarkEnd w:id="41"/>
    <w:bookmarkEnd w:id="42"/>
    <w:bookmarkEnd w:id="45"/>
    <w:p>
      <w:pPr>
        <w:spacing w:line="360" w:lineRule="auto"/>
        <w:ind w:firstLine="480" w:firstLineChars="200"/>
        <w:rPr>
          <w:bCs/>
          <w:color w:val="000000" w:themeColor="text1"/>
          <w:sz w:val="24"/>
          <w14:textFill>
            <w14:solidFill>
              <w14:schemeClr w14:val="tx1"/>
            </w14:solidFill>
          </w14:textFill>
        </w:rPr>
      </w:pPr>
      <w:bookmarkStart w:id="46" w:name="_Toc258829399"/>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订立本基金合同的目的、依据和原则</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订立本基金合同的目的是保护投资人合法权益，明确基金合同当事人的权利义务，规范基金运作。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订立本基金合同的依据是《中华人民共和国</w:t>
      </w:r>
      <w:r>
        <w:rPr>
          <w:rFonts w:hint="eastAsia"/>
          <w:bCs/>
          <w:color w:val="000000" w:themeColor="text1"/>
          <w:sz w:val="24"/>
          <w14:textFill>
            <w14:solidFill>
              <w14:schemeClr w14:val="tx1"/>
            </w14:solidFill>
          </w14:textFill>
        </w:rPr>
        <w:t>民法典</w:t>
      </w:r>
      <w:r>
        <w:rPr>
          <w:bCs/>
          <w:color w:val="000000" w:themeColor="text1"/>
          <w:sz w:val="24"/>
          <w14:textFill>
            <w14:solidFill>
              <w14:schemeClr w14:val="tx1"/>
            </w14:solidFill>
          </w14:textFill>
        </w:rPr>
        <w:t>》、《中华人民共和国证券投资基金法》（以下简称</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《基金法》</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公开募集</w:t>
      </w:r>
      <w:r>
        <w:rPr>
          <w:bCs/>
          <w:color w:val="000000" w:themeColor="text1"/>
          <w:sz w:val="24"/>
          <w14:textFill>
            <w14:solidFill>
              <w14:schemeClr w14:val="tx1"/>
            </w14:solidFill>
          </w14:textFill>
        </w:rPr>
        <w:t>证券投资基金运作管理办法》（以下简称</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《运作办法》</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）、《公开募集证券投资基金销售</w:t>
      </w:r>
      <w:r>
        <w:rPr>
          <w:rFonts w:hint="eastAsia"/>
          <w:bCs/>
          <w:color w:val="000000" w:themeColor="text1"/>
          <w:sz w:val="24"/>
          <w14:textFill>
            <w14:solidFill>
              <w14:schemeClr w14:val="tx1"/>
            </w14:solidFill>
          </w14:textFill>
        </w:rPr>
        <w:t>机构监督</w:t>
      </w:r>
      <w:r>
        <w:rPr>
          <w:bCs/>
          <w:color w:val="000000" w:themeColor="text1"/>
          <w:sz w:val="24"/>
          <w14:textFill>
            <w14:solidFill>
              <w14:schemeClr w14:val="tx1"/>
            </w14:solidFill>
          </w14:textFill>
        </w:rPr>
        <w:t>管理办法》（以下简称</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《销售办法》</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）、《公开募集证券投资基金信息披露管理办法》（以下简称</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《信息披露办法》</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）、《公开募集开放式证券投资基金流动性风险管理规定》（以下简称</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《流动性风险</w:t>
      </w:r>
      <w:r>
        <w:rPr>
          <w:rFonts w:hint="eastAsia"/>
          <w:bCs/>
          <w:color w:val="000000" w:themeColor="text1"/>
          <w:sz w:val="24"/>
          <w14:textFill>
            <w14:solidFill>
              <w14:schemeClr w14:val="tx1"/>
            </w14:solidFill>
          </w14:textFill>
        </w:rPr>
        <w:t>管理</w:t>
      </w:r>
      <w:r>
        <w:rPr>
          <w:bCs/>
          <w:color w:val="000000" w:themeColor="text1"/>
          <w:sz w:val="24"/>
          <w14:textFill>
            <w14:solidFill>
              <w14:schemeClr w14:val="tx1"/>
            </w14:solidFill>
          </w14:textFill>
        </w:rPr>
        <w:t>规定》</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）和其他有关法律法规。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订立本基金合同的原则是平等自愿、诚实信用、充分保护投资人合法权益。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w:t>
      </w:r>
      <w:r>
        <w:rPr>
          <w:bCs/>
          <w:color w:val="000000" w:themeColor="text1"/>
          <w:sz w:val="24"/>
          <w14:textFill>
            <w14:solidFill>
              <w14:schemeClr w14:val="tx1"/>
            </w14:solidFill>
          </w14:textFill>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三、</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鑫裕央企债六个月定期开放债券型</w:t>
      </w:r>
      <w:r>
        <w:rPr>
          <w:bCs/>
          <w:color w:val="000000" w:themeColor="text1"/>
          <w:sz w:val="24"/>
          <w14:textFill>
            <w14:solidFill>
              <w14:schemeClr w14:val="tx1"/>
            </w14:solidFill>
          </w14:textFill>
        </w:rPr>
        <w:t>证券投资基金由基金管理人依照《基金法》、基金合同及其他有关规定募集，并经中国证券监督管理委员会（以下简称</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中国证监会</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注册</w:t>
      </w:r>
      <w:r>
        <w:rPr>
          <w:bCs/>
          <w:color w:val="000000" w:themeColor="text1"/>
          <w:sz w:val="24"/>
          <w14:textFill>
            <w14:solidFill>
              <w14:schemeClr w14:val="tx1"/>
            </w14:solidFill>
          </w14:textFill>
        </w:rPr>
        <w:t>。</w:t>
      </w:r>
    </w:p>
    <w:p>
      <w:pPr>
        <w:spacing w:line="360" w:lineRule="auto"/>
        <w:ind w:firstLine="480" w:firstLineChars="200"/>
        <w:rPr>
          <w:color w:val="000000" w:themeColor="text1"/>
          <w14:textFill>
            <w14:solidFill>
              <w14:schemeClr w14:val="tx1"/>
            </w14:solidFill>
          </w14:textFill>
        </w:rPr>
      </w:pPr>
      <w:r>
        <w:rPr>
          <w:bCs/>
          <w:color w:val="000000" w:themeColor="text1"/>
          <w:sz w:val="24"/>
          <w14:textFill>
            <w14:solidFill>
              <w14:schemeClr w14:val="tx1"/>
            </w14:solidFill>
          </w14:textFill>
        </w:rPr>
        <w:t>中国证监会对本基金募集的</w:t>
      </w:r>
      <w:r>
        <w:rPr>
          <w:rFonts w:hint="eastAsia"/>
          <w:bCs/>
          <w:color w:val="000000" w:themeColor="text1"/>
          <w:sz w:val="24"/>
          <w14:textFill>
            <w14:solidFill>
              <w14:schemeClr w14:val="tx1"/>
            </w14:solidFill>
          </w14:textFill>
        </w:rPr>
        <w:t>注册</w:t>
      </w:r>
      <w:r>
        <w:rPr>
          <w:bCs/>
          <w:color w:val="000000" w:themeColor="text1"/>
          <w:sz w:val="24"/>
          <w14:textFill>
            <w14:solidFill>
              <w14:schemeClr w14:val="tx1"/>
            </w14:solidFill>
          </w14:textFill>
        </w:rPr>
        <w:t>，并不表明其对本基金的</w:t>
      </w:r>
      <w:r>
        <w:rPr>
          <w:rFonts w:hint="eastAsia"/>
          <w:bCs/>
          <w:color w:val="000000" w:themeColor="text1"/>
          <w:sz w:val="24"/>
          <w14:textFill>
            <w14:solidFill>
              <w14:schemeClr w14:val="tx1"/>
            </w14:solidFill>
          </w14:textFill>
        </w:rPr>
        <w:t>投资</w:t>
      </w:r>
      <w:r>
        <w:rPr>
          <w:bCs/>
          <w:color w:val="000000" w:themeColor="text1"/>
          <w:sz w:val="24"/>
          <w14:textFill>
            <w14:solidFill>
              <w14:schemeClr w14:val="tx1"/>
            </w14:solidFill>
          </w14:textFill>
        </w:rPr>
        <w:t>价值和</w:t>
      </w:r>
      <w:r>
        <w:rPr>
          <w:rFonts w:hint="eastAsia"/>
          <w:bCs/>
          <w:color w:val="000000" w:themeColor="text1"/>
          <w:sz w:val="24"/>
          <w14:textFill>
            <w14:solidFill>
              <w14:schemeClr w14:val="tx1"/>
            </w14:solidFill>
          </w14:textFill>
        </w:rPr>
        <w:t>市场前景等</w:t>
      </w:r>
      <w:r>
        <w:rPr>
          <w:bCs/>
          <w:color w:val="000000" w:themeColor="text1"/>
          <w:sz w:val="24"/>
          <w14:textFill>
            <w14:solidFill>
              <w14:schemeClr w14:val="tx1"/>
            </w14:solidFill>
          </w14:textFill>
        </w:rPr>
        <w:t>做出实质性判断或保证，也不表明投资于本基金没有风险。基金管理人依照恪尽职守、诚实信用、谨慎勤勉的原则管理和运用基金财产，但不保证投资于本基金一定盈利，也不保证最低收益。</w:t>
      </w:r>
    </w:p>
    <w:p>
      <w:pPr>
        <w:spacing w:line="360" w:lineRule="auto"/>
        <w:ind w:firstLine="480" w:firstLineChars="200"/>
        <w:rPr>
          <w:b/>
          <w:color w:val="000000" w:themeColor="text1"/>
          <w:u w:val="single"/>
          <w14:textFill>
            <w14:solidFill>
              <w14:schemeClr w14:val="tx1"/>
            </w14:solidFill>
          </w14:textFill>
        </w:rPr>
      </w:pPr>
      <w:r>
        <w:rPr>
          <w:bCs/>
          <w:color w:val="000000" w:themeColor="text1"/>
          <w:sz w:val="24"/>
          <w14:textFill>
            <w14:solidFill>
              <w14:schemeClr w14:val="tx1"/>
            </w14:solidFill>
          </w14:textFill>
        </w:rPr>
        <w:t>投资者应当认真阅读基金招募说明书、基金合同</w:t>
      </w:r>
      <w:r>
        <w:rPr>
          <w:rFonts w:hint="eastAsia"/>
          <w:bCs/>
          <w:color w:val="000000" w:themeColor="text1"/>
          <w:sz w:val="24"/>
          <w14:textFill>
            <w14:solidFill>
              <w14:schemeClr w14:val="tx1"/>
            </w14:solidFill>
          </w14:textFill>
        </w:rPr>
        <w:t>、基金产品资料概要</w:t>
      </w:r>
      <w:r>
        <w:rPr>
          <w:bCs/>
          <w:color w:val="000000" w:themeColor="text1"/>
          <w:sz w:val="24"/>
          <w14:textFill>
            <w14:solidFill>
              <w14:schemeClr w14:val="tx1"/>
            </w14:solidFill>
          </w14:textFill>
        </w:rPr>
        <w:t>等信息披露文件，自主判断基金的投资价值，自主做出投资决策，自行承担投资风险。</w:t>
      </w:r>
    </w:p>
    <w:p>
      <w:pPr>
        <w:numPr>
          <w:ilvl w:val="0"/>
          <w:numId w:val="2"/>
        </w:num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基金管理人、基金托管人在本基金合同之外披露涉及本基金的信息，其内容涉及界定基金合同当事人之间权利义务关系的，如与基金合同有冲突，以基金合同为准。</w:t>
      </w:r>
    </w:p>
    <w:p>
      <w:pPr>
        <w:numPr>
          <w:ilvl w:val="0"/>
          <w:numId w:val="2"/>
        </w:num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本基金按照中国法律法规成立并运作，若</w:t>
      </w:r>
      <w:r>
        <w:rPr>
          <w:bCs/>
          <w:color w:val="000000" w:themeColor="text1"/>
          <w:sz w:val="24"/>
          <w14:textFill>
            <w14:solidFill>
              <w14:schemeClr w14:val="tx1"/>
            </w14:solidFill>
          </w14:textFill>
        </w:rPr>
        <w:t>基金合同的内容与届时有效的法律法规的强制性规定不一致，应当以届时有效的法律法规的规定为准。</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44"/>
          <w:sz w:val="21"/>
          <w14:textFill>
            <w14:solidFill>
              <w14:schemeClr w14:val="tx1"/>
            </w14:solidFill>
          </w14:textFill>
        </w:rPr>
        <w:br w:type="page"/>
      </w:r>
      <w:bookmarkStart w:id="47" w:name="_Toc15067"/>
      <w:bookmarkStart w:id="48" w:name="_Toc22864"/>
      <w:bookmarkStart w:id="49" w:name="_Toc2465"/>
      <w:bookmarkStart w:id="50" w:name="_Toc24860"/>
      <w:bookmarkStart w:id="51" w:name="_Toc21301"/>
      <w:bookmarkStart w:id="52" w:name="_Toc95997113"/>
      <w:bookmarkStart w:id="53" w:name="_Toc19592"/>
      <w:bookmarkStart w:id="54" w:name="_Toc6617"/>
      <w:bookmarkStart w:id="55" w:name="_Toc819"/>
      <w:bookmarkStart w:id="56" w:name="_Toc13020"/>
      <w:bookmarkStart w:id="57" w:name="_Toc3224"/>
      <w:r>
        <w:rPr>
          <w:rFonts w:ascii="Times New Roman"/>
          <w:color w:val="000000" w:themeColor="text1"/>
          <w:sz w:val="30"/>
          <w14:textFill>
            <w14:solidFill>
              <w14:schemeClr w14:val="tx1"/>
            </w14:solidFill>
          </w14:textFill>
        </w:rPr>
        <w:t xml:space="preserve">第二部分 </w:t>
      </w:r>
      <w:r>
        <w:rPr>
          <w:rFonts w:hint="eastAsia" w:ascii="Times New Roman"/>
          <w:color w:val="000000" w:themeColor="text1"/>
          <w:sz w:val="30"/>
          <w14:textFill>
            <w14:solidFill>
              <w14:schemeClr w14:val="tx1"/>
            </w14:solidFill>
          </w14:textFill>
        </w:rPr>
        <w:t xml:space="preserve"> </w:t>
      </w:r>
      <w:r>
        <w:rPr>
          <w:rFonts w:ascii="Times New Roman"/>
          <w:color w:val="000000" w:themeColor="text1"/>
          <w:sz w:val="30"/>
          <w14:textFill>
            <w14:solidFill>
              <w14:schemeClr w14:val="tx1"/>
            </w14:solidFill>
          </w14:textFill>
        </w:rPr>
        <w:t>释义</w:t>
      </w:r>
      <w:bookmarkEnd w:id="43"/>
      <w:bookmarkEnd w:id="46"/>
      <w:bookmarkEnd w:id="47"/>
      <w:bookmarkEnd w:id="48"/>
      <w:bookmarkEnd w:id="49"/>
      <w:bookmarkEnd w:id="50"/>
      <w:bookmarkEnd w:id="51"/>
      <w:bookmarkEnd w:id="52"/>
      <w:bookmarkEnd w:id="53"/>
      <w:bookmarkEnd w:id="54"/>
      <w:bookmarkEnd w:id="55"/>
      <w:bookmarkEnd w:id="56"/>
      <w:bookmarkEnd w:id="57"/>
    </w:p>
    <w:p>
      <w:pPr>
        <w:autoSpaceDE w:val="0"/>
        <w:autoSpaceDN w:val="0"/>
        <w:adjustRightInd w:val="0"/>
        <w:spacing w:line="360" w:lineRule="auto"/>
        <w:ind w:firstLine="420" w:firstLineChars="200"/>
        <w:rPr>
          <w:bCs/>
          <w:color w:val="000000" w:themeColor="text1"/>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在本基金合同中，除非文意另有所指，下列词语或简称具有如下含义：</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基金或本基金：指</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鑫裕央企债六个月定期开放债券型</w:t>
      </w:r>
      <w:r>
        <w:rPr>
          <w:bCs/>
          <w:color w:val="000000" w:themeColor="text1"/>
          <w:sz w:val="24"/>
          <w14:textFill>
            <w14:solidFill>
              <w14:schemeClr w14:val="tx1"/>
            </w14:solidFill>
          </w14:textFill>
        </w:rPr>
        <w:t>证券投资基金</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基金管理人：指</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基金管理有限公司</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基金托管人：指</w:t>
      </w:r>
      <w:r>
        <w:rPr>
          <w:rFonts w:hint="eastAsia"/>
          <w:bCs/>
          <w:color w:val="000000" w:themeColor="text1"/>
          <w:sz w:val="24"/>
          <w14:textFill>
            <w14:solidFill>
              <w14:schemeClr w14:val="tx1"/>
            </w14:solidFill>
          </w14:textFill>
        </w:rPr>
        <w:t>上海浦东发展银行股份有限公司</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基金合同或本基金合同：指《</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鑫裕央企债六个月定期开放债券型</w:t>
      </w:r>
      <w:r>
        <w:rPr>
          <w:bCs/>
          <w:color w:val="000000" w:themeColor="text1"/>
          <w:sz w:val="24"/>
          <w14:textFill>
            <w14:solidFill>
              <w14:schemeClr w14:val="tx1"/>
            </w14:solidFill>
          </w14:textFill>
        </w:rPr>
        <w:t>证券投资基金基金合同》及对本基金合同的任何有效修订和补充</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托管协议：指基金管理人与基金托管人就本基金签订之《</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鑫裕央企债六个月定期开放债券型</w:t>
      </w:r>
      <w:r>
        <w:rPr>
          <w:bCs/>
          <w:color w:val="000000" w:themeColor="text1"/>
          <w:sz w:val="24"/>
          <w14:textFill>
            <w14:solidFill>
              <w14:schemeClr w14:val="tx1"/>
            </w14:solidFill>
          </w14:textFill>
        </w:rPr>
        <w:t>证券投资基金托管协议》及对该托管协议的任何有效修订和补充</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招募说明书：指《</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鑫裕央企债六个月定期开放债券型</w:t>
      </w:r>
      <w:r>
        <w:rPr>
          <w:bCs/>
          <w:color w:val="000000" w:themeColor="text1"/>
          <w:sz w:val="24"/>
          <w14:textFill>
            <w14:solidFill>
              <w14:schemeClr w14:val="tx1"/>
            </w14:solidFill>
          </w14:textFill>
        </w:rPr>
        <w:t>证券投资基金招募说明书》及其更新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基金份额发售公告：指《</w:t>
      </w:r>
      <w:r>
        <w:rPr>
          <w:rFonts w:hint="eastAsia"/>
          <w:bCs/>
          <w:color w:val="000000" w:themeColor="text1"/>
          <w:sz w:val="24"/>
          <w:lang w:eastAsia="zh-CN"/>
          <w14:textFill>
            <w14:solidFill>
              <w14:schemeClr w14:val="tx1"/>
            </w14:solidFill>
          </w14:textFill>
        </w:rPr>
        <w:t>国新国证</w:t>
      </w:r>
      <w:r>
        <w:rPr>
          <w:bCs/>
          <w:color w:val="000000" w:themeColor="text1"/>
          <w:sz w:val="24"/>
          <w14:textFill>
            <w14:solidFill>
              <w14:schemeClr w14:val="tx1"/>
            </w14:solidFill>
          </w14:textFill>
        </w:rPr>
        <w:t>鑫裕央企债六</w:t>
      </w:r>
      <w:r>
        <w:rPr>
          <w:rFonts w:hint="eastAsia"/>
          <w:bCs/>
          <w:color w:val="000000" w:themeColor="text1"/>
          <w:sz w:val="24"/>
          <w14:textFill>
            <w14:solidFill>
              <w14:schemeClr w14:val="tx1"/>
            </w14:solidFill>
          </w14:textFill>
        </w:rPr>
        <w:t>个月定期开放债券型</w:t>
      </w:r>
      <w:r>
        <w:rPr>
          <w:bCs/>
          <w:color w:val="000000" w:themeColor="text1"/>
          <w:sz w:val="24"/>
          <w14:textFill>
            <w14:solidFill>
              <w14:schemeClr w14:val="tx1"/>
            </w14:solidFill>
          </w14:textFill>
        </w:rPr>
        <w:t>证券投资基金基金份额发售公告》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Pr>
          <w:rFonts w:hint="eastAsia"/>
          <w:bCs/>
          <w:color w:val="000000" w:themeColor="text1"/>
          <w:sz w:val="24"/>
          <w14:textFill>
            <w14:solidFill>
              <w14:schemeClr w14:val="tx1"/>
            </w14:solidFill>
          </w14:textFill>
        </w:rPr>
        <w:t>正</w:t>
      </w:r>
      <w:r>
        <w:rPr>
          <w:bCs/>
          <w:color w:val="000000" w:themeColor="text1"/>
          <w:sz w:val="24"/>
          <w14:textFill>
            <w14:solidFill>
              <w14:schemeClr w14:val="tx1"/>
            </w14:solidFill>
          </w14:textFill>
        </w:rPr>
        <w:t>的《中华人民共和国证券投资基金法》及颁布机关对其不时做出的修订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《销售办法》：指中国证监会</w:t>
      </w:r>
      <w:r>
        <w:rPr>
          <w:rFonts w:hint="eastAsia"/>
          <w:bCs/>
          <w:color w:val="000000" w:themeColor="text1"/>
          <w:sz w:val="24"/>
          <w14:textFill>
            <w14:solidFill>
              <w14:schemeClr w14:val="tx1"/>
            </w14:solidFill>
          </w14:textFill>
        </w:rPr>
        <w:t>2020年8月28日</w:t>
      </w:r>
      <w:r>
        <w:rPr>
          <w:bCs/>
          <w:color w:val="000000" w:themeColor="text1"/>
          <w:sz w:val="24"/>
          <w14:textFill>
            <w14:solidFill>
              <w14:schemeClr w14:val="tx1"/>
            </w14:solidFill>
          </w14:textFill>
        </w:rPr>
        <w:t>颁布、同年10月1日实施的《</w:t>
      </w:r>
      <w:r>
        <w:rPr>
          <w:rFonts w:hint="eastAsia"/>
          <w:bCs/>
          <w:color w:val="000000" w:themeColor="text1"/>
          <w:sz w:val="24"/>
          <w14:textFill>
            <w14:solidFill>
              <w14:schemeClr w14:val="tx1"/>
            </w14:solidFill>
          </w14:textFill>
        </w:rPr>
        <w:t>公开募集</w:t>
      </w:r>
      <w:r>
        <w:rPr>
          <w:bCs/>
          <w:color w:val="000000" w:themeColor="text1"/>
          <w:sz w:val="24"/>
          <w14:textFill>
            <w14:solidFill>
              <w14:schemeClr w14:val="tx1"/>
            </w14:solidFill>
          </w14:textFill>
        </w:rPr>
        <w:t>证券投资基金销售</w:t>
      </w:r>
      <w:r>
        <w:rPr>
          <w:rFonts w:hint="eastAsia"/>
          <w:bCs/>
          <w:color w:val="000000" w:themeColor="text1"/>
          <w:sz w:val="24"/>
          <w14:textFill>
            <w14:solidFill>
              <w14:schemeClr w14:val="tx1"/>
            </w14:solidFill>
          </w14:textFill>
        </w:rPr>
        <w:t>机构监督</w:t>
      </w:r>
      <w:r>
        <w:rPr>
          <w:bCs/>
          <w:color w:val="000000" w:themeColor="text1"/>
          <w:sz w:val="24"/>
          <w14:textFill>
            <w14:solidFill>
              <w14:schemeClr w14:val="tx1"/>
            </w14:solidFill>
          </w14:textFill>
        </w:rPr>
        <w:t>管理办法》及颁布机关对其不时做出的修订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《信息披露办法》：指中国证监会2019年7月26日颁布、同年9月1日实施</w:t>
      </w:r>
      <w:r>
        <w:rPr>
          <w:rFonts w:hint="eastAsia" w:ascii="宋体" w:hAnsi="宋体"/>
          <w:bCs/>
          <w:color w:val="000000" w:themeColor="text1"/>
          <w:sz w:val="24"/>
          <w:szCs w:val="22"/>
          <w14:textFill>
            <w14:solidFill>
              <w14:schemeClr w14:val="tx1"/>
            </w14:solidFill>
          </w14:textFill>
        </w:rPr>
        <w:t>，并经2020年3月20日中国证监会《关于修改部分证券期货规章的决定》修正</w:t>
      </w:r>
      <w:r>
        <w:rPr>
          <w:bCs/>
          <w:color w:val="000000" w:themeColor="text1"/>
          <w:sz w:val="24"/>
          <w14:textFill>
            <w14:solidFill>
              <w14:schemeClr w14:val="tx1"/>
            </w14:solidFill>
          </w14:textFill>
        </w:rPr>
        <w:t>的《公开募集证券投资基金信息披露管理办法》及颁布机关对其不时做出的修订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《运作办法》：指中国证监会20</w:t>
      </w:r>
      <w:r>
        <w:rPr>
          <w:rFonts w:hint="eastAsia"/>
          <w:bCs/>
          <w:color w:val="000000" w:themeColor="text1"/>
          <w:sz w:val="24"/>
          <w14:textFill>
            <w14:solidFill>
              <w14:schemeClr w14:val="tx1"/>
            </w14:solidFill>
          </w14:textFill>
        </w:rPr>
        <w:t>14</w:t>
      </w:r>
      <w:r>
        <w:rPr>
          <w:bCs/>
          <w:color w:val="000000" w:themeColor="text1"/>
          <w:sz w:val="24"/>
          <w14:textFill>
            <w14:solidFill>
              <w14:schemeClr w14:val="tx1"/>
            </w14:solidFill>
          </w14:textFill>
        </w:rPr>
        <w:t>年</w:t>
      </w:r>
      <w:r>
        <w:rPr>
          <w:rFonts w:hint="eastAsia"/>
          <w:bCs/>
          <w:color w:val="000000" w:themeColor="text1"/>
          <w:sz w:val="24"/>
          <w14:textFill>
            <w14:solidFill>
              <w14:schemeClr w14:val="tx1"/>
            </w14:solidFill>
          </w14:textFill>
        </w:rPr>
        <w:t>7</w:t>
      </w:r>
      <w:r>
        <w:rPr>
          <w:bCs/>
          <w:color w:val="000000" w:themeColor="text1"/>
          <w:sz w:val="24"/>
          <w14:textFill>
            <w14:solidFill>
              <w14:schemeClr w14:val="tx1"/>
            </w14:solidFill>
          </w14:textFill>
        </w:rPr>
        <w:t>月</w:t>
      </w:r>
      <w:r>
        <w:rPr>
          <w:rFonts w:hint="eastAsia"/>
          <w:bCs/>
          <w:color w:val="000000" w:themeColor="text1"/>
          <w:sz w:val="24"/>
          <w14:textFill>
            <w14:solidFill>
              <w14:schemeClr w14:val="tx1"/>
            </w14:solidFill>
          </w14:textFill>
        </w:rPr>
        <w:t>7</w:t>
      </w:r>
      <w:r>
        <w:rPr>
          <w:bCs/>
          <w:color w:val="000000" w:themeColor="text1"/>
          <w:sz w:val="24"/>
          <w14:textFill>
            <w14:solidFill>
              <w14:schemeClr w14:val="tx1"/>
            </w14:solidFill>
          </w14:textFill>
        </w:rPr>
        <w:t>日颁布、同年</w:t>
      </w:r>
      <w:r>
        <w:rPr>
          <w:rFonts w:hint="eastAsia"/>
          <w:bCs/>
          <w:color w:val="000000" w:themeColor="text1"/>
          <w:sz w:val="24"/>
          <w14:textFill>
            <w14:solidFill>
              <w14:schemeClr w14:val="tx1"/>
            </w14:solidFill>
          </w14:textFill>
        </w:rPr>
        <w:t>8</w:t>
      </w:r>
      <w:r>
        <w:rPr>
          <w:bCs/>
          <w:color w:val="000000" w:themeColor="text1"/>
          <w:sz w:val="24"/>
          <w14:textFill>
            <w14:solidFill>
              <w14:schemeClr w14:val="tx1"/>
            </w14:solidFill>
          </w14:textFill>
        </w:rPr>
        <w:t>月</w:t>
      </w:r>
      <w:r>
        <w:rPr>
          <w:rFonts w:hint="eastAsia"/>
          <w:bCs/>
          <w:color w:val="000000" w:themeColor="text1"/>
          <w:sz w:val="24"/>
          <w14:textFill>
            <w14:solidFill>
              <w14:schemeClr w14:val="tx1"/>
            </w14:solidFill>
          </w14:textFill>
        </w:rPr>
        <w:t>8</w:t>
      </w:r>
      <w:r>
        <w:rPr>
          <w:bCs/>
          <w:color w:val="000000" w:themeColor="text1"/>
          <w:sz w:val="24"/>
          <w14:textFill>
            <w14:solidFill>
              <w14:schemeClr w14:val="tx1"/>
            </w14:solidFill>
          </w14:textFill>
        </w:rPr>
        <w:t>日实施的《</w:t>
      </w:r>
      <w:r>
        <w:rPr>
          <w:rFonts w:hint="eastAsia"/>
          <w:bCs/>
          <w:color w:val="000000" w:themeColor="text1"/>
          <w:sz w:val="24"/>
          <w14:textFill>
            <w14:solidFill>
              <w14:schemeClr w14:val="tx1"/>
            </w14:solidFill>
          </w14:textFill>
        </w:rPr>
        <w:t>公开募集</w:t>
      </w:r>
      <w:r>
        <w:rPr>
          <w:bCs/>
          <w:color w:val="000000" w:themeColor="text1"/>
          <w:sz w:val="24"/>
          <w14:textFill>
            <w14:solidFill>
              <w14:schemeClr w14:val="tx1"/>
            </w14:solidFill>
          </w14:textFill>
        </w:rPr>
        <w:t>证券投资基金运作管理办法》及颁布机关对其不时做出的修订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13、《流动性</w:t>
      </w:r>
      <w:r>
        <w:rPr>
          <w:rFonts w:hint="eastAsia"/>
          <w:bCs/>
          <w:color w:val="000000" w:themeColor="text1"/>
          <w:sz w:val="24"/>
          <w14:textFill>
            <w14:solidFill>
              <w14:schemeClr w14:val="tx1"/>
            </w14:solidFill>
          </w14:textFill>
        </w:rPr>
        <w:t>风险管理</w:t>
      </w:r>
      <w:r>
        <w:rPr>
          <w:bCs/>
          <w:color w:val="000000" w:themeColor="text1"/>
          <w:sz w:val="24"/>
          <w14:textFill>
            <w14:solidFill>
              <w14:schemeClr w14:val="tx1"/>
            </w14:solidFill>
          </w14:textFill>
        </w:rPr>
        <w:t>规定》：指中国证监会2017年8月31日颁布、同年10月1日实施的《公开募集开放式证券投资基金流动性风险管理规定》及颁布机关对其不时做出的修订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中国证监会：指中国证券监督管理委员会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银行业监督管理机构：指中国人民银行和/或中国银行</w:t>
      </w:r>
      <w:r>
        <w:rPr>
          <w:rFonts w:hint="eastAsia"/>
          <w:bCs/>
          <w:color w:val="000000" w:themeColor="text1"/>
          <w:sz w:val="24"/>
          <w14:textFill>
            <w14:solidFill>
              <w14:schemeClr w14:val="tx1"/>
            </w14:solidFill>
          </w14:textFill>
        </w:rPr>
        <w:t>保险</w:t>
      </w:r>
      <w:r>
        <w:rPr>
          <w:bCs/>
          <w:color w:val="000000" w:themeColor="text1"/>
          <w:sz w:val="24"/>
          <w14:textFill>
            <w14:solidFill>
              <w14:schemeClr w14:val="tx1"/>
            </w14:solidFill>
          </w14:textFill>
        </w:rPr>
        <w:t>监督管理委员会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6、</w:t>
      </w:r>
      <w:r>
        <w:rPr>
          <w:bCs/>
          <w:color w:val="000000" w:themeColor="text1"/>
          <w:sz w:val="24"/>
          <w14:textFill>
            <w14:solidFill>
              <w14:schemeClr w14:val="tx1"/>
            </w14:solidFill>
          </w14:textFill>
        </w:rPr>
        <w:t>基金合同当事人：指受基金合同约束，根据基金合同享有权利并承担义务的法律主体，包括基金管理人、基金托管人和基金份额持有人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7、</w:t>
      </w:r>
      <w:r>
        <w:rPr>
          <w:bCs/>
          <w:color w:val="000000" w:themeColor="text1"/>
          <w:sz w:val="24"/>
          <w14:textFill>
            <w14:solidFill>
              <w14:schemeClr w14:val="tx1"/>
            </w14:solidFill>
          </w14:textFill>
        </w:rPr>
        <w:t>个人投资者：指依据有关法律法规规定可投资于证券投资基金的自然人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8、</w:t>
      </w:r>
      <w:r>
        <w:rPr>
          <w:bCs/>
          <w:color w:val="000000" w:themeColor="text1"/>
          <w:sz w:val="24"/>
          <w14:textFill>
            <w14:solidFill>
              <w14:schemeClr w14:val="tx1"/>
            </w14:solidFill>
          </w14:textFill>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19、合格境外机构投资者：指符合《合格境外机构投资者和人民币合格境外机构投资者境内证券期货投资管理办法》及相关法律法规规定可以投资于在中国境内依法募集的证券投资基金的中国境外的机构投资者</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20、人民币合格境外机构投资者：指按照《合格境外机构投资者和人民币合格境外机构投资者境内证券期货投资管理办法》及相关法律法规规定，运用来自境外的人民币资金进行境内证券投资的境外法人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21、</w:t>
      </w:r>
      <w:r>
        <w:rPr>
          <w:bCs/>
          <w:color w:val="000000" w:themeColor="text1"/>
          <w:sz w:val="24"/>
          <w14:textFill>
            <w14:solidFill>
              <w14:schemeClr w14:val="tx1"/>
            </w14:solidFill>
          </w14:textFill>
        </w:rPr>
        <w:t>投资人</w:t>
      </w:r>
      <w:r>
        <w:rPr>
          <w:rFonts w:hint="eastAsia"/>
          <w:bCs/>
          <w:color w:val="000000" w:themeColor="text1"/>
          <w:sz w:val="24"/>
          <w14:textFill>
            <w14:solidFill>
              <w14:schemeClr w14:val="tx1"/>
            </w14:solidFill>
          </w14:textFill>
        </w:rPr>
        <w:t>、投资者</w:t>
      </w:r>
      <w:r>
        <w:rPr>
          <w:bCs/>
          <w:color w:val="000000" w:themeColor="text1"/>
          <w:sz w:val="24"/>
          <w14:textFill>
            <w14:solidFill>
              <w14:schemeClr w14:val="tx1"/>
            </w14:solidFill>
          </w14:textFill>
        </w:rPr>
        <w:t>：指个人投资者、机构投资者</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合格境外机构投资者</w:t>
      </w:r>
      <w:r>
        <w:rPr>
          <w:rFonts w:hint="eastAsia"/>
          <w:bCs/>
          <w:color w:val="000000" w:themeColor="text1"/>
          <w:sz w:val="24"/>
          <w14:textFill>
            <w14:solidFill>
              <w14:schemeClr w14:val="tx1"/>
            </w14:solidFill>
          </w14:textFill>
        </w:rPr>
        <w:t>和人民币合格境外机构投资者</w:t>
      </w:r>
      <w:r>
        <w:rPr>
          <w:bCs/>
          <w:color w:val="000000" w:themeColor="text1"/>
          <w:sz w:val="24"/>
          <w14:textFill>
            <w14:solidFill>
              <w14:schemeClr w14:val="tx1"/>
            </w14:solidFill>
          </w14:textFill>
        </w:rPr>
        <w:t>以及法律法规或中国证监会允许购买证券投资基金的其他投资人的合称</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22、</w:t>
      </w:r>
      <w:r>
        <w:rPr>
          <w:bCs/>
          <w:color w:val="000000" w:themeColor="text1"/>
          <w:sz w:val="24"/>
          <w14:textFill>
            <w14:solidFill>
              <w14:schemeClr w14:val="tx1"/>
            </w14:solidFill>
          </w14:textFill>
        </w:rPr>
        <w:t>基金份额持有人：指依基金合同和招募说明书合法取得基金份额的投资人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基金销售业务：指基金管理人或销售机构宣传推介基金，发售基金份额，办理基金份额的申购、赎回、转换、转托管等业务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销售机构：指</w:t>
      </w:r>
      <w:r>
        <w:rPr>
          <w:rFonts w:hint="eastAsia"/>
          <w:bCs/>
          <w:color w:val="000000" w:themeColor="text1"/>
          <w:sz w:val="24"/>
          <w:lang w:eastAsia="zh-CN"/>
          <w14:textFill>
            <w14:solidFill>
              <w14:schemeClr w14:val="tx1"/>
            </w14:solidFill>
          </w14:textFill>
        </w:rPr>
        <w:t>国新国证</w:t>
      </w:r>
      <w:r>
        <w:rPr>
          <w:bCs/>
          <w:color w:val="000000" w:themeColor="text1"/>
          <w:sz w:val="24"/>
          <w14:textFill>
            <w14:solidFill>
              <w14:schemeClr w14:val="tx1"/>
            </w14:solidFill>
          </w14:textFill>
        </w:rPr>
        <w:t>基金管理有限公司以及符合《销售办法》和中国证监会规定的其他条件，取得基金</w:t>
      </w:r>
      <w:r>
        <w:rPr>
          <w:rFonts w:hint="eastAsia"/>
          <w:bCs/>
          <w:color w:val="000000" w:themeColor="text1"/>
          <w:sz w:val="24"/>
          <w14:textFill>
            <w14:solidFill>
              <w14:schemeClr w14:val="tx1"/>
            </w14:solidFill>
          </w14:textFill>
        </w:rPr>
        <w:t>销售</w:t>
      </w:r>
      <w:r>
        <w:rPr>
          <w:bCs/>
          <w:color w:val="000000" w:themeColor="text1"/>
          <w:sz w:val="24"/>
          <w14:textFill>
            <w14:solidFill>
              <w14:schemeClr w14:val="tx1"/>
            </w14:solidFill>
          </w14:textFill>
        </w:rPr>
        <w:t>业务资格并与基金管理人签订了基金销售服务协议，办理基金销售业务的机构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25、</w:t>
      </w:r>
      <w:r>
        <w:rPr>
          <w:bCs/>
          <w:color w:val="000000" w:themeColor="text1"/>
          <w:sz w:val="24"/>
          <w14:textFill>
            <w14:solidFill>
              <w14:schemeClr w14:val="tx1"/>
            </w14:solidFill>
          </w14:textFill>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color w:val="000000" w:themeColor="text1"/>
          <w:sz w:val="24"/>
          <w14:textFill>
            <w14:solidFill>
              <w14:schemeClr w14:val="tx1"/>
            </w14:solidFill>
          </w14:textFill>
        </w:rPr>
        <w:t>和办理非交易过户</w:t>
      </w:r>
      <w:r>
        <w:rPr>
          <w:bCs/>
          <w:color w:val="000000" w:themeColor="text1"/>
          <w:sz w:val="24"/>
          <w14:textFill>
            <w14:solidFill>
              <w14:schemeClr w14:val="tx1"/>
            </w14:solidFill>
          </w14:textFill>
        </w:rPr>
        <w:t>等</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6、</w:t>
      </w:r>
      <w:r>
        <w:rPr>
          <w:bCs/>
          <w:color w:val="000000" w:themeColor="text1"/>
          <w:sz w:val="24"/>
          <w14:textFill>
            <w14:solidFill>
              <w14:schemeClr w14:val="tx1"/>
            </w14:solidFill>
          </w14:textFill>
        </w:rPr>
        <w:t>登记机构：指办理登记业务的机构。基金的登记机构为</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基金管理有限公司</w:t>
      </w:r>
      <w:r>
        <w:rPr>
          <w:bCs/>
          <w:color w:val="000000" w:themeColor="text1"/>
          <w:sz w:val="24"/>
          <w14:textFill>
            <w14:solidFill>
              <w14:schemeClr w14:val="tx1"/>
            </w14:solidFill>
          </w14:textFill>
        </w:rPr>
        <w:t>或接受</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基金管理有限公司</w:t>
      </w:r>
      <w:r>
        <w:rPr>
          <w:bCs/>
          <w:color w:val="000000" w:themeColor="text1"/>
          <w:sz w:val="24"/>
          <w14:textFill>
            <w14:solidFill>
              <w14:schemeClr w14:val="tx1"/>
            </w14:solidFill>
          </w14:textFill>
        </w:rPr>
        <w:t>委托代为办理登记业务的机构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7、</w:t>
      </w:r>
      <w:r>
        <w:rPr>
          <w:bCs/>
          <w:color w:val="000000" w:themeColor="text1"/>
          <w:sz w:val="24"/>
          <w14:textFill>
            <w14:solidFill>
              <w14:schemeClr w14:val="tx1"/>
            </w14:solidFill>
          </w14:textFill>
        </w:rPr>
        <w:t>基金账户：指登记机构为投资人开立的、记录其持有的、基金管理人所管理的基金份额余额及其变动情况的账户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8、</w:t>
      </w:r>
      <w:r>
        <w:rPr>
          <w:bCs/>
          <w:color w:val="000000" w:themeColor="text1"/>
          <w:sz w:val="24"/>
          <w14:textFill>
            <w14:solidFill>
              <w14:schemeClr w14:val="tx1"/>
            </w14:solidFill>
          </w14:textFill>
        </w:rPr>
        <w:t>基金交易账户：指销售机构为投资人开立的、记录投资人通过该销售机构办理认购、申购、赎回</w:t>
      </w:r>
      <w:r>
        <w:rPr>
          <w:rFonts w:hint="eastAsia"/>
          <w:bCs/>
          <w:color w:val="000000" w:themeColor="text1"/>
          <w:sz w:val="24"/>
          <w14:textFill>
            <w14:solidFill>
              <w14:schemeClr w14:val="tx1"/>
            </w14:solidFill>
          </w14:textFill>
        </w:rPr>
        <w:t>、转换、转托管</w:t>
      </w:r>
      <w:r>
        <w:rPr>
          <w:bCs/>
          <w:color w:val="000000" w:themeColor="text1"/>
          <w:sz w:val="24"/>
          <w14:textFill>
            <w14:solidFill>
              <w14:schemeClr w14:val="tx1"/>
            </w14:solidFill>
          </w14:textFill>
        </w:rPr>
        <w:t>等业务而引起的基金份额变动及结余情况的账户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9、</w:t>
      </w:r>
      <w:r>
        <w:rPr>
          <w:bCs/>
          <w:color w:val="000000" w:themeColor="text1"/>
          <w:sz w:val="24"/>
          <w14:textFill>
            <w14:solidFill>
              <w14:schemeClr w14:val="tx1"/>
            </w14:solidFill>
          </w14:textFill>
        </w:rPr>
        <w:t>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30、</w:t>
      </w:r>
      <w:r>
        <w:rPr>
          <w:bCs/>
          <w:color w:val="000000" w:themeColor="text1"/>
          <w:sz w:val="24"/>
          <w14:textFill>
            <w14:solidFill>
              <w14:schemeClr w14:val="tx1"/>
            </w14:solidFill>
          </w14:textFill>
        </w:rPr>
        <w:t>基金合同终止日：指基金合同规定的基金合同终止事由出现后，基金财产清算完毕，清算结果报中国证监会备案并予以公告的日期</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31、</w:t>
      </w:r>
      <w:r>
        <w:rPr>
          <w:bCs/>
          <w:color w:val="000000" w:themeColor="text1"/>
          <w:sz w:val="24"/>
          <w14:textFill>
            <w14:solidFill>
              <w14:schemeClr w14:val="tx1"/>
            </w14:solidFill>
          </w14:textFill>
        </w:rPr>
        <w:t>基金募集期：指自基金份额发售之日起至发售结束之日止的期间，最长不得超过</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个月</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32、</w:t>
      </w:r>
      <w:r>
        <w:rPr>
          <w:bCs/>
          <w:color w:val="000000" w:themeColor="text1"/>
          <w:sz w:val="24"/>
          <w14:textFill>
            <w14:solidFill>
              <w14:schemeClr w14:val="tx1"/>
            </w14:solidFill>
          </w14:textFill>
        </w:rPr>
        <w:t>存续期：指基金合同生效至终止之间的不定期期限</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工作日：指上海证券交易所、深圳证券交易所的正常交易日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T日：指销售机构在规定时间受理投资人申购、赎回或其他业务申请的开放日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T+n日：指自T日起第n个工作日（不包含T日）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36</w:t>
      </w:r>
      <w:r>
        <w:rPr>
          <w:rFonts w:hint="eastAsia"/>
          <w:bCs/>
          <w:color w:val="000000" w:themeColor="text1"/>
          <w:sz w:val="24"/>
          <w14:textFill>
            <w14:solidFill>
              <w14:schemeClr w14:val="tx1"/>
            </w14:solidFill>
          </w14:textFill>
        </w:rPr>
        <w:t>、封闭期：指自《基金合同》生效之日起（包括该日）或自每一开放期结束之日次日起（包括该日）6个月的期间。本基金的第一个封闭期为自《基金合同》生效之日起（包括该日）至该日6个月后的对应日的前一日止。下一个封闭期为首个开放期结束之日次日起（</w:t>
      </w:r>
      <w:r>
        <w:rPr>
          <w:bCs/>
          <w:color w:val="000000" w:themeColor="text1"/>
          <w:sz w:val="24"/>
          <w14:textFill>
            <w14:solidFill>
              <w14:schemeClr w14:val="tx1"/>
            </w14:solidFill>
          </w14:textFill>
        </w:rPr>
        <w:t>包括</w:t>
      </w:r>
      <w:r>
        <w:rPr>
          <w:rFonts w:hint="eastAsia"/>
          <w:bCs/>
          <w:color w:val="000000" w:themeColor="text1"/>
          <w:sz w:val="24"/>
          <w14:textFill>
            <w14:solidFill>
              <w14:schemeClr w14:val="tx1"/>
            </w14:solidFill>
          </w14:textFill>
        </w:rPr>
        <w:t>该日</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至该日6个月后的对应日的前一日止，以此类推。如该日历月不存在对应日期，则顺延至该日历月对应月份最后一日的下一工作日，如对应日为非工作日，则顺延至下一工作日。本基金封闭期内不办理申购与赎回业务，也不上市交易</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开放期</w:t>
      </w:r>
      <w:r>
        <w:rPr>
          <w:rFonts w:hint="eastAsia"/>
          <w:bCs/>
          <w:color w:val="000000" w:themeColor="text1"/>
          <w:sz w:val="24"/>
          <w14:textFill>
            <w14:solidFill>
              <w14:schemeClr w14:val="tx1"/>
            </w14:solidFill>
          </w14:textFill>
        </w:rPr>
        <w:t>：指本基金可办理投资者申购、赎回或其他业务申请的期间。每个开放期自每个封闭期结束之日后第一个工作日起（含该日）不超过二十个工作日，具体期间由基金管理人在每一开放期前依照《信息披露办法》的有关规定在规定媒介予以公告。开放期内，本基金采取开放运作模式，投资人可办理基金份额申购、赎回或其他业务，开放期未赎回的份额将自动转入下一个封闭期。如封闭期结束后在开放期内发生不可抗力或其他情形致使基金无法按时开放或需依据《基金合同》暂停申购与赎回业务的，开放期时间中止计算，在不可抗力或其他情形影响因素消除之日下一个工作日起，继续计算该开放期时间，基金管理人有权合理调整申购或赎回业务的办理期间并予以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38</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开放日：指</w:t>
      </w:r>
      <w:r>
        <w:rPr>
          <w:rFonts w:hint="eastAsia"/>
          <w:bCs/>
          <w:color w:val="000000" w:themeColor="text1"/>
          <w:sz w:val="24"/>
          <w14:textFill>
            <w14:solidFill>
              <w14:schemeClr w14:val="tx1"/>
            </w14:solidFill>
          </w14:textFill>
        </w:rPr>
        <w:t>在开放期内，</w:t>
      </w:r>
      <w:r>
        <w:rPr>
          <w:bCs/>
          <w:color w:val="000000" w:themeColor="text1"/>
          <w:sz w:val="24"/>
          <w14:textFill>
            <w14:solidFill>
              <w14:schemeClr w14:val="tx1"/>
            </w14:solidFill>
          </w14:textFill>
        </w:rPr>
        <w:t>为投资人办理基金份额申购、赎回或其他业务的工作日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39</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开放时间：指开放日基金接受申购、赎回或其他交易的时间段</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40</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《业务规则》：指《</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基金管理有限公司</w:t>
      </w:r>
      <w:r>
        <w:rPr>
          <w:bCs/>
          <w:color w:val="000000" w:themeColor="text1"/>
          <w:sz w:val="24"/>
          <w14:textFill>
            <w14:solidFill>
              <w14:schemeClr w14:val="tx1"/>
            </w14:solidFill>
          </w14:textFill>
        </w:rPr>
        <w:t>开放式基金业务规则》及其不时作出的修订，是规范基金管理人所管理的开放式证券投资基金登记方面的业务规则，由基金管理人和投资人共同遵守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认购：指在基金募集期内，投资人</w:t>
      </w:r>
      <w:r>
        <w:rPr>
          <w:rFonts w:hint="eastAsia"/>
          <w:bCs/>
          <w:color w:val="000000" w:themeColor="text1"/>
          <w:sz w:val="24"/>
          <w14:textFill>
            <w14:solidFill>
              <w14:schemeClr w14:val="tx1"/>
            </w14:solidFill>
          </w14:textFill>
        </w:rPr>
        <w:t>根据基金合同和招募说明书的规定</w:t>
      </w:r>
      <w:r>
        <w:rPr>
          <w:bCs/>
          <w:color w:val="000000" w:themeColor="text1"/>
          <w:sz w:val="24"/>
          <w14:textFill>
            <w14:solidFill>
              <w14:schemeClr w14:val="tx1"/>
            </w14:solidFill>
          </w14:textFill>
        </w:rPr>
        <w:t>申请购买基金份额的行为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申购：指基金合同生效后的开放期内，投资人根据基金合同和招募说明书的规定申请购买基金份额的行为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赎回：指基金合同生效后</w:t>
      </w:r>
      <w:r>
        <w:rPr>
          <w:rFonts w:hint="eastAsia"/>
          <w:bCs/>
          <w:color w:val="000000" w:themeColor="text1"/>
          <w:sz w:val="24"/>
          <w14:textFill>
            <w14:solidFill>
              <w14:schemeClr w14:val="tx1"/>
            </w14:solidFill>
          </w14:textFill>
        </w:rPr>
        <w:t>的开放期内</w:t>
      </w:r>
      <w:r>
        <w:rPr>
          <w:bCs/>
          <w:color w:val="000000" w:themeColor="text1"/>
          <w:sz w:val="24"/>
          <w14:textFill>
            <w14:solidFill>
              <w14:schemeClr w14:val="tx1"/>
            </w14:solidFill>
          </w14:textFill>
        </w:rPr>
        <w:t>，基金份额持有人按基金合同</w:t>
      </w:r>
      <w:r>
        <w:rPr>
          <w:rFonts w:hint="eastAsia"/>
          <w:bCs/>
          <w:color w:val="000000" w:themeColor="text1"/>
          <w:sz w:val="24"/>
          <w14:textFill>
            <w14:solidFill>
              <w14:schemeClr w14:val="tx1"/>
            </w14:solidFill>
          </w14:textFill>
        </w:rPr>
        <w:t>和招募说明书</w:t>
      </w:r>
      <w:r>
        <w:rPr>
          <w:bCs/>
          <w:color w:val="000000" w:themeColor="text1"/>
          <w:sz w:val="24"/>
          <w14:textFill>
            <w14:solidFill>
              <w14:schemeClr w14:val="tx1"/>
            </w14:solidFill>
          </w14:textFill>
        </w:rPr>
        <w:t>规定的条件要求将基金份额兑换为现金的行为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45</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转托管：指基金份额持有人在本基金的不同销售机构之间实施的变更所持基金份额销售机构的操作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46</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巨额赎回：指本基金</w:t>
      </w:r>
      <w:r>
        <w:rPr>
          <w:rFonts w:hint="eastAsia"/>
          <w:bCs/>
          <w:color w:val="000000" w:themeColor="text1"/>
          <w:sz w:val="24"/>
          <w14:textFill>
            <w14:solidFill>
              <w14:schemeClr w14:val="tx1"/>
            </w14:solidFill>
          </w14:textFill>
        </w:rPr>
        <w:t>开放期内的</w:t>
      </w:r>
      <w:r>
        <w:rPr>
          <w:bCs/>
          <w:color w:val="000000" w:themeColor="text1"/>
          <w:sz w:val="24"/>
          <w14:textFill>
            <w14:solidFill>
              <w14:schemeClr w14:val="tx1"/>
            </w14:solidFill>
          </w14:textFill>
        </w:rPr>
        <w:t>单个开放日，基金净赎回申请（赎回申请份额总数加上基金转换中转出申请份额总数后扣除申购申请份额总数及基金转换中转入申请份额总数后的余额）超过上一</w:t>
      </w:r>
      <w:r>
        <w:rPr>
          <w:rFonts w:hint="eastAsia"/>
          <w:bCs/>
          <w:color w:val="000000" w:themeColor="text1"/>
          <w:sz w:val="24"/>
          <w14:textFill>
            <w14:solidFill>
              <w14:schemeClr w14:val="tx1"/>
            </w14:solidFill>
          </w14:textFill>
        </w:rPr>
        <w:t>工作</w:t>
      </w:r>
      <w:r>
        <w:rPr>
          <w:bCs/>
          <w:color w:val="000000" w:themeColor="text1"/>
          <w:sz w:val="24"/>
          <w14:textFill>
            <w14:solidFill>
              <w14:schemeClr w14:val="tx1"/>
            </w14:solidFill>
          </w14:textFill>
        </w:rPr>
        <w:t>日基金总份额的20%</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元：指人民币元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基金收益：指基金投资所得债券利息、买卖证券价差、银行存款利息、已实现的其他合法收入及因运用基金财产带来的成本和费用的节约</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49</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基金资产总值：指基金拥有的各类有价证券、银行存款本息、基金应收申购款及其他资产的价值总和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50</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基金资产净值：指基金资产总值减去基金负债后的价值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基金份额净值：指计算日基金资产净值除以计算日基金份额总数</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基金资产估值：指计算评估基金资产和负债的价值，以确定基金资产净值和基金份额净值的过程</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：指符合中国证监会</w:t>
      </w:r>
      <w:r>
        <w:rPr>
          <w:rFonts w:hint="eastAsia"/>
          <w:bCs/>
          <w:color w:val="000000" w:themeColor="text1"/>
          <w:sz w:val="24"/>
          <w14:textFill>
            <w14:solidFill>
              <w14:schemeClr w14:val="tx1"/>
            </w14:solidFill>
          </w14:textFill>
        </w:rPr>
        <w:t>规定</w:t>
      </w:r>
      <w:r>
        <w:rPr>
          <w:bCs/>
          <w:color w:val="000000" w:themeColor="text1"/>
          <w:sz w:val="24"/>
          <w14:textFill>
            <w14:solidFill>
              <w14:schemeClr w14:val="tx1"/>
            </w14:solidFill>
          </w14:textFill>
        </w:rPr>
        <w:t>条件的用以进行信息披露的全国性报刊</w:t>
      </w:r>
      <w:r>
        <w:rPr>
          <w:rFonts w:hint="eastAsia"/>
          <w:bCs/>
          <w:color w:val="000000" w:themeColor="text1"/>
          <w:sz w:val="24"/>
          <w14:textFill>
            <w14:solidFill>
              <w14:schemeClr w14:val="tx1"/>
            </w14:solidFill>
          </w14:textFill>
        </w:rPr>
        <w:t>（以下简称规定报刊）及《信息披露办法》规定的</w:t>
      </w:r>
      <w:r>
        <w:rPr>
          <w:bCs/>
          <w:color w:val="000000" w:themeColor="text1"/>
          <w:sz w:val="24"/>
          <w14:textFill>
            <w14:solidFill>
              <w14:schemeClr w14:val="tx1"/>
            </w14:solidFill>
          </w14:textFill>
        </w:rPr>
        <w:t>互联网网站</w:t>
      </w:r>
      <w:r>
        <w:rPr>
          <w:rFonts w:hint="eastAsia"/>
          <w:bCs/>
          <w:color w:val="000000" w:themeColor="text1"/>
          <w:sz w:val="24"/>
          <w14:textFill>
            <w14:solidFill>
              <w14:schemeClr w14:val="tx1"/>
            </w14:solidFill>
          </w14:textFill>
        </w:rPr>
        <w:t>（以下简称规定网站）等媒介；规定网站包括基金管理人网站、基金托管人网站、中国证监会基金电子披露网站</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54、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55、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58</w:t>
      </w:r>
      <w:r>
        <w:rPr>
          <w:rFonts w:hint="eastAsia"/>
          <w:bCs/>
          <w:color w:val="000000" w:themeColor="text1"/>
          <w:sz w:val="24"/>
          <w14:textFill>
            <w14:solidFill>
              <w14:schemeClr w14:val="tx1"/>
            </w14:solidFill>
          </w14:textFill>
        </w:rPr>
        <w:t>、基金产品资料概要：指《</w:t>
      </w: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鑫裕央企债六个月定期开放债券型证券投资基金基金产品资料概要》及其更新</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不可抗力：指本</w:t>
      </w:r>
      <w:r>
        <w:rPr>
          <w:rFonts w:hint="eastAsia"/>
          <w:bCs/>
          <w:color w:val="000000" w:themeColor="text1"/>
          <w:sz w:val="24"/>
          <w14:textFill>
            <w14:solidFill>
              <w14:schemeClr w14:val="tx1"/>
            </w14:solidFill>
          </w14:textFill>
        </w:rPr>
        <w:t>基金</w:t>
      </w:r>
      <w:r>
        <w:rPr>
          <w:bCs/>
          <w:color w:val="000000" w:themeColor="text1"/>
          <w:sz w:val="24"/>
          <w14:textFill>
            <w14:solidFill>
              <w14:schemeClr w14:val="tx1"/>
            </w14:solidFill>
          </w14:textFill>
        </w:rPr>
        <w:t>合同当事人不能预见、不能避免且不能克服的客观事件。</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58" w:name="_Toc6149"/>
      <w:bookmarkStart w:id="59" w:name="_Toc733"/>
      <w:bookmarkStart w:id="60" w:name="_Toc545"/>
      <w:bookmarkStart w:id="61" w:name="_Toc20318"/>
      <w:bookmarkStart w:id="62" w:name="_Toc13288"/>
      <w:bookmarkStart w:id="63" w:name="_Toc24571"/>
      <w:bookmarkStart w:id="64" w:name="_Toc95997114"/>
      <w:bookmarkStart w:id="65" w:name="_Toc22708"/>
      <w:bookmarkStart w:id="66" w:name="_Toc6683"/>
      <w:bookmarkStart w:id="67" w:name="_Toc18631"/>
      <w:bookmarkStart w:id="68" w:name="_Toc20627"/>
      <w:bookmarkStart w:id="69" w:name="_Toc258829400"/>
      <w:bookmarkStart w:id="70" w:name="_Toc233456272"/>
      <w:r>
        <w:rPr>
          <w:rFonts w:ascii="Times New Roman"/>
          <w:color w:val="000000" w:themeColor="text1"/>
          <w:sz w:val="30"/>
          <w14:textFill>
            <w14:solidFill>
              <w14:schemeClr w14:val="tx1"/>
            </w14:solidFill>
          </w14:textFill>
        </w:rPr>
        <w:t>第三部分  基金的基本情况</w:t>
      </w:r>
      <w:bookmarkEnd w:id="58"/>
      <w:bookmarkEnd w:id="59"/>
      <w:bookmarkEnd w:id="60"/>
      <w:bookmarkEnd w:id="61"/>
      <w:bookmarkEnd w:id="62"/>
      <w:bookmarkEnd w:id="63"/>
      <w:bookmarkEnd w:id="64"/>
      <w:bookmarkEnd w:id="65"/>
      <w:bookmarkEnd w:id="66"/>
      <w:bookmarkEnd w:id="67"/>
      <w:bookmarkEnd w:id="68"/>
      <w:bookmarkStart w:id="71" w:name="_Toc79392573"/>
    </w:p>
    <w:p>
      <w:pPr>
        <w:spacing w:line="360" w:lineRule="auto"/>
        <w:ind w:firstLine="540"/>
        <w:rPr>
          <w:bCs/>
          <w:color w:val="000000" w:themeColor="text1"/>
          <w:sz w:val="24"/>
          <w14:textFill>
            <w14:solidFill>
              <w14:schemeClr w14:val="tx1"/>
            </w14:solidFill>
          </w14:textFill>
        </w:rPr>
      </w:pPr>
      <w:bookmarkStart w:id="72" w:name="_Hlt88031774"/>
      <w:bookmarkEnd w:id="72"/>
      <w:bookmarkStart w:id="73" w:name="_Hlt88031741"/>
    </w:p>
    <w:bookmarkEnd w:id="73"/>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一、基金名称</w:t>
      </w:r>
      <w:bookmarkEnd w:id="71"/>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鑫裕央企债六个月定期开放债券型</w:t>
      </w:r>
      <w:r>
        <w:rPr>
          <w:bCs/>
          <w:color w:val="000000" w:themeColor="text1"/>
          <w:sz w:val="24"/>
          <w14:textFill>
            <w14:solidFill>
              <w14:schemeClr w14:val="tx1"/>
            </w14:solidFill>
          </w14:textFill>
        </w:rPr>
        <w:t>证券投资基金</w:t>
      </w:r>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bookmarkStart w:id="74" w:name="_Toc79392574"/>
      <w:r>
        <w:rPr>
          <w:bCs/>
          <w:color w:val="000000" w:themeColor="text1"/>
          <w:sz w:val="24"/>
          <w14:textFill>
            <w14:solidFill>
              <w14:schemeClr w14:val="tx1"/>
            </w14:solidFill>
          </w14:textFill>
        </w:rPr>
        <w:t>二、基金的类别</w:t>
      </w:r>
      <w:bookmarkEnd w:id="74"/>
    </w:p>
    <w:p>
      <w:pPr>
        <w:spacing w:line="360" w:lineRule="auto"/>
        <w:ind w:left="796" w:leftChars="257" w:hanging="256"/>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债券型</w:t>
      </w:r>
      <w:r>
        <w:rPr>
          <w:bCs/>
          <w:color w:val="000000" w:themeColor="text1"/>
          <w:sz w:val="24"/>
          <w14:textFill>
            <w14:solidFill>
              <w14:schemeClr w14:val="tx1"/>
            </w14:solidFill>
          </w14:textFill>
        </w:rPr>
        <w:t>证券投资基金</w:t>
      </w:r>
    </w:p>
    <w:p>
      <w:pPr>
        <w:spacing w:line="360" w:lineRule="auto"/>
        <w:ind w:left="796" w:leftChars="257" w:hanging="256"/>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bookmarkStart w:id="75" w:name="_Toc79392575"/>
      <w:r>
        <w:rPr>
          <w:bCs/>
          <w:color w:val="000000" w:themeColor="text1"/>
          <w:sz w:val="24"/>
          <w14:textFill>
            <w14:solidFill>
              <w14:schemeClr w14:val="tx1"/>
            </w14:solidFill>
          </w14:textFill>
        </w:rPr>
        <w:t>三、基金的运作方式</w:t>
      </w:r>
    </w:p>
    <w:p>
      <w:pPr>
        <w:spacing w:line="360" w:lineRule="auto"/>
        <w:ind w:left="796" w:leftChars="257" w:hanging="256"/>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契约型</w:t>
      </w:r>
      <w:r>
        <w:rPr>
          <w:rFonts w:hint="eastAsia"/>
          <w:bCs/>
          <w:color w:val="000000" w:themeColor="text1"/>
          <w:sz w:val="24"/>
          <w14:textFill>
            <w14:solidFill>
              <w14:schemeClr w14:val="tx1"/>
            </w14:solidFill>
          </w14:textFill>
        </w:rPr>
        <w:t>、定期</w:t>
      </w:r>
      <w:r>
        <w:rPr>
          <w:bCs/>
          <w:color w:val="000000" w:themeColor="text1"/>
          <w:sz w:val="24"/>
          <w14:textFill>
            <w14:solidFill>
              <w14:schemeClr w14:val="tx1"/>
            </w14:solidFill>
          </w14:textFill>
        </w:rPr>
        <w:t>开放式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以定期开放的方式运作，即采用封闭运作和开放运作交替循环的方式。自《基金合同》生效之日起（包括该日）或自每一开放期结束之日次日起（包括该日）6个月的期间内，本基金采取封闭运作模式，基金份额持有人不得申请申购、赎回本基金。本基金的第一个封闭期为自《基金合同》生效之日起（包括该日）至该日6个月后的对应日的前一日止。下一个封闭期为首个开放期结束之日次日起（包括该日）至该日6个月后的对应日的前一日止，以此类推。如该日历月不存在对应日期，则顺延至该日历月对应月份最后一日的下一工作日，如对应日为非工作日，则顺延至下一工作日。本基金封闭期内不办理申购与赎回业务，也不上市交易。</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每一个封闭期结束后，本基金即进入开放期，开放期的期限为自每个封闭期结束之日后第一个工作日起（含该日）不超过二十个工作日，具体期间由基金管理人在封闭期结束前公告说明。开放期内，本基金采取开放运作模式，投资人可办理基金份额申购、赎回或其他业务。开放期未赎回的份额将自动转入下一个封闭期。</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如封闭期结束后或在开放期内发生不可抗力或其他情形致使基金无法按时开放或需依据《基金合同》暂停申购与赎回业务的，开放期时间中止计算，在不可抗力或其他情形影响因素消除之日下一个工作日起，继续计算该开放期时间，基金管理人有权合理调整申购或赎回业务的办理期间并予以公告。</w:t>
      </w:r>
    </w:p>
    <w:p>
      <w:pPr>
        <w:spacing w:line="360" w:lineRule="auto"/>
        <w:ind w:left="796" w:leftChars="257" w:hanging="256"/>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四、基金的投资目标</w:t>
      </w:r>
      <w:bookmarkEnd w:id="75"/>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本基金在严格控制投资组合风险的前提下，重点投资央企债，力争为基金份额持有人获取超越业绩比较基准的投资回报。</w:t>
      </w:r>
    </w:p>
    <w:p>
      <w:pPr>
        <w:pStyle w:val="11"/>
        <w:rPr>
          <w:rFonts w:ascii="Times New Roman" w:eastAsia="宋体"/>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bookmarkStart w:id="76" w:name="_Toc79392576"/>
      <w:r>
        <w:rPr>
          <w:bCs/>
          <w:color w:val="000000" w:themeColor="text1"/>
          <w:sz w:val="24"/>
          <w14:textFill>
            <w14:solidFill>
              <w14:schemeClr w14:val="tx1"/>
            </w14:solidFill>
          </w14:textFill>
        </w:rPr>
        <w:t>五、基金的最低募集份额总额</w:t>
      </w:r>
      <w:bookmarkEnd w:id="76"/>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本基金的最低募集份额总额为2亿份。</w:t>
      </w:r>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bookmarkStart w:id="77" w:name="_Toc79392577"/>
      <w:r>
        <w:rPr>
          <w:bCs/>
          <w:color w:val="000000" w:themeColor="text1"/>
          <w:sz w:val="24"/>
          <w14:textFill>
            <w14:solidFill>
              <w14:schemeClr w14:val="tx1"/>
            </w14:solidFill>
          </w14:textFill>
        </w:rPr>
        <w:t>六、基金份额发售面值</w:t>
      </w:r>
      <w:bookmarkEnd w:id="77"/>
      <w:r>
        <w:rPr>
          <w:bCs/>
          <w:color w:val="000000" w:themeColor="text1"/>
          <w:sz w:val="24"/>
          <w14:textFill>
            <w14:solidFill>
              <w14:schemeClr w14:val="tx1"/>
            </w14:solidFill>
          </w14:textFill>
        </w:rPr>
        <w:t>和认购费用</w:t>
      </w:r>
    </w:p>
    <w:p>
      <w:pPr>
        <w:spacing w:line="360" w:lineRule="auto"/>
        <w:ind w:firstLine="48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本基金基金份额发售面值为人民币1.00元。</w:t>
      </w:r>
    </w:p>
    <w:p>
      <w:pPr>
        <w:autoSpaceDE w:val="0"/>
        <w:autoSpaceDN w:val="0"/>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本基金认购费率按招募说明书</w:t>
      </w:r>
      <w:r>
        <w:rPr>
          <w:rFonts w:hint="eastAsia"/>
          <w:bCs/>
          <w:color w:val="000000" w:themeColor="text1"/>
          <w:sz w:val="24"/>
          <w14:textFill>
            <w14:solidFill>
              <w14:schemeClr w14:val="tx1"/>
            </w14:solidFill>
          </w14:textFill>
        </w:rPr>
        <w:t>及基金产品资料概要</w:t>
      </w:r>
      <w:r>
        <w:rPr>
          <w:bCs/>
          <w:color w:val="000000" w:themeColor="text1"/>
          <w:sz w:val="24"/>
          <w14:textFill>
            <w14:solidFill>
              <w14:schemeClr w14:val="tx1"/>
            </w14:solidFill>
          </w14:textFill>
        </w:rPr>
        <w:t>的规定执行。</w:t>
      </w:r>
    </w:p>
    <w:p>
      <w:pPr>
        <w:autoSpaceDE w:val="0"/>
        <w:autoSpaceDN w:val="0"/>
        <w:adjustRightInd w:val="0"/>
        <w:spacing w:line="360" w:lineRule="auto"/>
        <w:ind w:firstLine="480" w:firstLineChars="200"/>
        <w:jc w:val="left"/>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bookmarkStart w:id="78" w:name="_Toc79392578"/>
      <w:r>
        <w:rPr>
          <w:bCs/>
          <w:color w:val="000000" w:themeColor="text1"/>
          <w:sz w:val="24"/>
          <w14:textFill>
            <w14:solidFill>
              <w14:schemeClr w14:val="tx1"/>
            </w14:solidFill>
          </w14:textFill>
        </w:rPr>
        <w:t>七、基金存续期限</w:t>
      </w:r>
      <w:bookmarkEnd w:id="78"/>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不定期</w:t>
      </w:r>
    </w:p>
    <w:p>
      <w:pPr>
        <w:spacing w:line="360" w:lineRule="auto"/>
        <w:ind w:firstLine="480" w:firstLineChars="200"/>
        <w:rPr>
          <w:bCs/>
          <w:color w:val="000000" w:themeColor="text1"/>
          <w:sz w:val="24"/>
          <w14:textFill>
            <w14:solidFill>
              <w14:schemeClr w14:val="tx1"/>
            </w14:solidFill>
          </w14:textFill>
        </w:rPr>
      </w:pPr>
    </w:p>
    <w:p>
      <w:pPr>
        <w:spacing w:line="360" w:lineRule="auto"/>
        <w:ind w:left="199" w:firstLine="425"/>
        <w:rPr>
          <w:bCs/>
          <w:color w:val="000000" w:themeColor="text1"/>
          <w:sz w:val="24"/>
          <w14:textFill>
            <w14:solidFill>
              <w14:schemeClr w14:val="tx1"/>
            </w14:solidFill>
          </w14:textFill>
        </w:rPr>
      </w:pP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44"/>
          <w:sz w:val="21"/>
          <w14:textFill>
            <w14:solidFill>
              <w14:schemeClr w14:val="tx1"/>
            </w14:solidFill>
          </w14:textFill>
        </w:rPr>
        <w:br w:type="page"/>
      </w:r>
      <w:bookmarkStart w:id="79" w:name="_Toc90742321"/>
      <w:bookmarkStart w:id="80" w:name="_Toc95997115"/>
      <w:bookmarkStart w:id="81" w:name="_Toc22074"/>
      <w:bookmarkStart w:id="82" w:name="_Toc15203"/>
      <w:bookmarkStart w:id="83" w:name="_Toc7151"/>
      <w:bookmarkStart w:id="84" w:name="_Toc27226"/>
      <w:bookmarkStart w:id="85" w:name="_Toc3266"/>
      <w:bookmarkStart w:id="86" w:name="_Toc90742688"/>
      <w:bookmarkStart w:id="87" w:name="_Toc29948"/>
      <w:bookmarkStart w:id="88" w:name="_Toc16265"/>
      <w:bookmarkStart w:id="89" w:name="_Toc90742390"/>
      <w:bookmarkStart w:id="90" w:name="_Toc27189"/>
      <w:bookmarkStart w:id="91" w:name="_Toc6714"/>
      <w:bookmarkStart w:id="92" w:name="_Toc29784"/>
      <w:r>
        <w:rPr>
          <w:rFonts w:ascii="Times New Roman"/>
          <w:color w:val="000000" w:themeColor="text1"/>
          <w:sz w:val="30"/>
          <w14:textFill>
            <w14:solidFill>
              <w14:schemeClr w14:val="tx1"/>
            </w14:solidFill>
          </w14:textFill>
        </w:rPr>
        <w:t>第四部分  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line="360" w:lineRule="auto"/>
        <w:ind w:firstLine="420" w:firstLineChars="200"/>
        <w:rPr>
          <w:bCs/>
          <w:color w:val="000000" w:themeColor="text1"/>
          <w:kern w:val="4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一、基金份额的发售时间、发售方式、发售对象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1、发售时间</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自基金份额发售之日起最长不得超过</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个月，具体发售时间见基金份额发售公告。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2、发售方式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通过各销售机构的基金销售网点公开发售，各销售机构的具体名单见基金份额发售公告以及基金管理人</w:t>
      </w:r>
      <w:r>
        <w:rPr>
          <w:rFonts w:hint="eastAsia"/>
          <w:bCs/>
          <w:color w:val="000000" w:themeColor="text1"/>
          <w:sz w:val="24"/>
          <w14:textFill>
            <w14:solidFill>
              <w14:schemeClr w14:val="tx1"/>
            </w14:solidFill>
          </w14:textFill>
        </w:rPr>
        <w:t>网站</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3、发售对象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符合法律法规规定的可投资于证券投资基金的个人投资者、机构投资者</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合格境外机构投资者</w:t>
      </w:r>
      <w:r>
        <w:rPr>
          <w:rFonts w:hint="eastAsia"/>
          <w:bCs/>
          <w:color w:val="000000" w:themeColor="text1"/>
          <w:sz w:val="24"/>
          <w14:textFill>
            <w14:solidFill>
              <w14:schemeClr w14:val="tx1"/>
            </w14:solidFill>
          </w14:textFill>
        </w:rPr>
        <w:t>和人民币合格境外机构投资者</w:t>
      </w:r>
      <w:r>
        <w:rPr>
          <w:bCs/>
          <w:color w:val="000000" w:themeColor="text1"/>
          <w:sz w:val="24"/>
          <w14:textFill>
            <w14:solidFill>
              <w14:schemeClr w14:val="tx1"/>
            </w14:solidFill>
          </w14:textFill>
        </w:rPr>
        <w:t>以及法律法规或中国证监会允许购买证券投资基金的其他投资人</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二、基金份额的认购</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1、认购费用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本基金的认购费率由基金管理人决定，并在招募说明书</w:t>
      </w:r>
      <w:r>
        <w:rPr>
          <w:rFonts w:hint="eastAsia"/>
          <w:bCs/>
          <w:color w:val="000000" w:themeColor="text1"/>
          <w:sz w:val="24"/>
          <w14:textFill>
            <w14:solidFill>
              <w14:schemeClr w14:val="tx1"/>
            </w14:solidFill>
          </w14:textFill>
        </w:rPr>
        <w:t>及基金产品资料概要</w:t>
      </w:r>
      <w:r>
        <w:rPr>
          <w:bCs/>
          <w:color w:val="000000" w:themeColor="text1"/>
          <w:sz w:val="24"/>
          <w14:textFill>
            <w14:solidFill>
              <w14:schemeClr w14:val="tx1"/>
            </w14:solidFill>
          </w14:textFill>
        </w:rPr>
        <w:t>中列示。基金认购费用不列入基金财产。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2、募集期利息的处理方式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有效认购款项在募集期间产生的利息将折算为基金份额归基金份额持有人所有，其中利息转份额以登记机构的记录为准。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3、基金认购份额的计算</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基金认购份额具体的计算方法在招募说明书中列示。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认购份额余额的处理方式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认购份额</w:t>
      </w:r>
      <w:bookmarkStart w:id="93" w:name="OLE_LINK1"/>
      <w:r>
        <w:rPr>
          <w:bCs/>
          <w:color w:val="000000" w:themeColor="text1"/>
          <w:sz w:val="24"/>
          <w14:textFill>
            <w14:solidFill>
              <w14:schemeClr w14:val="tx1"/>
            </w14:solidFill>
          </w14:textFill>
        </w:rPr>
        <w:t>的计算</w:t>
      </w:r>
      <w:bookmarkEnd w:id="93"/>
      <w:r>
        <w:rPr>
          <w:bCs/>
          <w:color w:val="000000" w:themeColor="text1"/>
          <w:sz w:val="24"/>
          <w14:textFill>
            <w14:solidFill>
              <w14:schemeClr w14:val="tx1"/>
            </w14:solidFill>
          </w14:textFill>
        </w:rPr>
        <w:t>保留到小数点后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位，小数点</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位以后的部分四舍五入，由此误差产生的收益或损失由基金财产承担。</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5、认购申请的确认</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者自行承担。</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基金份额认购金额的限制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投资人认购时，需按销售机构规定的方式全额缴款。</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基金管理人可以对每个基金交易账户的单笔最低认购金额进行限制，具体限制请参看招募说明书或</w:t>
      </w:r>
      <w:r>
        <w:rPr>
          <w:rFonts w:hint="eastAsia"/>
          <w:bCs/>
          <w:color w:val="000000" w:themeColor="text1"/>
          <w:sz w:val="24"/>
          <w14:textFill>
            <w14:solidFill>
              <w14:schemeClr w14:val="tx1"/>
            </w14:solidFill>
          </w14:textFill>
        </w:rPr>
        <w:t>相关</w:t>
      </w:r>
      <w:r>
        <w:rPr>
          <w:bCs/>
          <w:color w:val="000000" w:themeColor="text1"/>
          <w:sz w:val="24"/>
          <w14:textFill>
            <w14:solidFill>
              <w14:schemeClr w14:val="tx1"/>
            </w14:solidFill>
          </w14:textFill>
        </w:rPr>
        <w:t>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基金管理人可以对募集期间的单个投资人的累计认购金额进行限制，具体限制和处理方法请参看招募说明书或</w:t>
      </w:r>
      <w:r>
        <w:rPr>
          <w:rFonts w:hint="eastAsia"/>
          <w:bCs/>
          <w:color w:val="000000" w:themeColor="text1"/>
          <w:sz w:val="24"/>
          <w14:textFill>
            <w14:solidFill>
              <w14:schemeClr w14:val="tx1"/>
            </w14:solidFill>
          </w14:textFill>
        </w:rPr>
        <w:t>相关</w:t>
      </w:r>
      <w:r>
        <w:rPr>
          <w:bCs/>
          <w:color w:val="000000" w:themeColor="text1"/>
          <w:sz w:val="24"/>
          <w14:textFill>
            <w14:solidFill>
              <w14:schemeClr w14:val="tx1"/>
            </w14:solidFill>
          </w14:textFill>
        </w:rPr>
        <w:t>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基金管理人可以对本基金的募集规模上限进行限制，具体限制和处理方法请参看招募说明书或相关公告。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6、投资人在募集期内可以多次认购基金份额，认购费按每笔认购申请单独计算，但已受理的认购申请不允许撤销。</w:t>
      </w:r>
    </w:p>
    <w:p>
      <w:pPr>
        <w:spacing w:line="360" w:lineRule="auto"/>
        <w:ind w:firstLine="480" w:firstLineChars="200"/>
        <w:rPr>
          <w:bCs/>
          <w:color w:val="000000" w:themeColor="text1"/>
          <w:sz w:val="24"/>
          <w14:textFill>
            <w14:solidFill>
              <w14:schemeClr w14:val="tx1"/>
            </w14:solidFill>
          </w14:textFill>
        </w:rPr>
      </w:pP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44"/>
          <w:sz w:val="21"/>
          <w14:textFill>
            <w14:solidFill>
              <w14:schemeClr w14:val="tx1"/>
            </w14:solidFill>
          </w14:textFill>
        </w:rPr>
        <w:br w:type="page"/>
      </w:r>
      <w:bookmarkStart w:id="94" w:name="_Toc18329"/>
      <w:bookmarkStart w:id="95" w:name="_Toc18526"/>
      <w:bookmarkStart w:id="96" w:name="_Toc4741"/>
      <w:bookmarkStart w:id="97" w:name="_Toc17912"/>
      <w:bookmarkStart w:id="98" w:name="_Toc18797"/>
      <w:bookmarkStart w:id="99" w:name="_Toc141703885"/>
      <w:bookmarkStart w:id="100" w:name="_Toc139991735"/>
      <w:bookmarkStart w:id="101" w:name="_Toc7848"/>
      <w:bookmarkStart w:id="102" w:name="_Toc14893"/>
      <w:bookmarkStart w:id="103" w:name="_Toc95997116"/>
      <w:bookmarkStart w:id="104" w:name="_Toc26986"/>
      <w:bookmarkStart w:id="105" w:name="_Toc21988"/>
      <w:bookmarkStart w:id="106" w:name="_Toc1823"/>
      <w:r>
        <w:rPr>
          <w:rFonts w:ascii="Times New Roman"/>
          <w:color w:val="000000" w:themeColor="text1"/>
          <w:sz w:val="30"/>
          <w14:textFill>
            <w14:solidFill>
              <w14:schemeClr w14:val="tx1"/>
            </w14:solidFill>
          </w14:textFill>
        </w:rPr>
        <w:t>第五部分  基金备案</w:t>
      </w:r>
      <w:bookmarkEnd w:id="94"/>
      <w:bookmarkEnd w:id="95"/>
      <w:bookmarkEnd w:id="96"/>
      <w:bookmarkEnd w:id="97"/>
      <w:bookmarkEnd w:id="98"/>
      <w:bookmarkEnd w:id="99"/>
      <w:bookmarkEnd w:id="100"/>
      <w:bookmarkEnd w:id="101"/>
      <w:bookmarkEnd w:id="102"/>
      <w:bookmarkEnd w:id="103"/>
      <w:bookmarkEnd w:id="104"/>
      <w:bookmarkEnd w:id="105"/>
      <w:bookmarkEnd w:id="106"/>
    </w:p>
    <w:p>
      <w:pPr>
        <w:spacing w:line="360" w:lineRule="auto"/>
        <w:ind w:firstLine="54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一、基金备案的条件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本基金自基金份额发售之日起</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个月内，在基金募集份额总额不少于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亿份，基金募集金额不少于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亿元人民币且基金认购人数不少于</w:t>
      </w:r>
      <w:r>
        <w:rPr>
          <w:rFonts w:hint="eastAsia"/>
          <w:bCs/>
          <w:color w:val="000000" w:themeColor="text1"/>
          <w:sz w:val="24"/>
          <w14:textFill>
            <w14:solidFill>
              <w14:schemeClr w14:val="tx1"/>
            </w14:solidFill>
          </w14:textFill>
        </w:rPr>
        <w:t>200</w:t>
      </w:r>
      <w:r>
        <w:rPr>
          <w:bCs/>
          <w:color w:val="000000" w:themeColor="text1"/>
          <w:sz w:val="24"/>
          <w14:textFill>
            <w14:solidFill>
              <w14:schemeClr w14:val="tx1"/>
            </w14:solidFill>
          </w14:textFill>
        </w:rPr>
        <w:t>人的条件下，</w:t>
      </w:r>
      <w:r>
        <w:rPr>
          <w:rFonts w:hint="eastAsia"/>
          <w:bCs/>
          <w:color w:val="000000" w:themeColor="text1"/>
          <w:sz w:val="24"/>
          <w14:textFill>
            <w14:solidFill>
              <w14:schemeClr w14:val="tx1"/>
            </w14:solidFill>
          </w14:textFill>
        </w:rPr>
        <w:t>基金募集期届满或</w:t>
      </w:r>
      <w:r>
        <w:rPr>
          <w:bCs/>
          <w:color w:val="000000" w:themeColor="text1"/>
          <w:sz w:val="24"/>
          <w14:textFill>
            <w14:solidFill>
              <w14:schemeClr w14:val="tx1"/>
            </w14:solidFill>
          </w14:textFill>
        </w:rPr>
        <w:t>基金管理人依据法律法规及招募说明书可以决定停止基金发售，并在</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日内聘请法定验资机构验资，自收到验资报告之日起</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日内，向中国证监会办理基金备案手续。</w:t>
      </w:r>
    </w:p>
    <w:p>
      <w:pPr>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二、基金合同不能生效时募集资金的处理方式</w:t>
      </w:r>
    </w:p>
    <w:p>
      <w:pPr>
        <w:spacing w:line="360" w:lineRule="auto"/>
        <w:ind w:firstLine="48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如果募集期限届满，未满足</w:t>
      </w:r>
      <w:r>
        <w:rPr>
          <w:rFonts w:hint="eastAsia"/>
          <w:bCs/>
          <w:color w:val="000000" w:themeColor="text1"/>
          <w:sz w:val="24"/>
          <w14:textFill>
            <w14:solidFill>
              <w14:schemeClr w14:val="tx1"/>
            </w14:solidFill>
          </w14:textFill>
        </w:rPr>
        <w:t>基金备案</w:t>
      </w:r>
      <w:r>
        <w:rPr>
          <w:bCs/>
          <w:color w:val="000000" w:themeColor="text1"/>
          <w:sz w:val="24"/>
          <w14:textFill>
            <w14:solidFill>
              <w14:schemeClr w14:val="tx1"/>
            </w14:solidFill>
          </w14:textFill>
        </w:rPr>
        <w:t>条件，基金管理人应当承担下列责任：</w:t>
      </w:r>
    </w:p>
    <w:p>
      <w:pPr>
        <w:spacing w:line="360" w:lineRule="auto"/>
        <w:ind w:firstLine="48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1、以其固有财产承担因募集行为而产生的债务和费用；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2、在基金募集期限届满后</w:t>
      </w:r>
      <w:r>
        <w:rPr>
          <w:rFonts w:hint="eastAsia"/>
          <w:bCs/>
          <w:color w:val="000000" w:themeColor="text1"/>
          <w:sz w:val="24"/>
          <w14:textFill>
            <w14:solidFill>
              <w14:schemeClr w14:val="tx1"/>
            </w14:solidFill>
          </w14:textFill>
        </w:rPr>
        <w:t>30</w:t>
      </w:r>
      <w:r>
        <w:rPr>
          <w:bCs/>
          <w:color w:val="000000" w:themeColor="text1"/>
          <w:sz w:val="24"/>
          <w14:textFill>
            <w14:solidFill>
              <w14:schemeClr w14:val="tx1"/>
            </w14:solidFill>
          </w14:textFill>
        </w:rPr>
        <w:t>日内返还投资者已缴纳的款项，并加计银行同期活期存款利息</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3、如基金募集失败，基金管理人、基金托管人及</w:t>
      </w:r>
      <w:r>
        <w:rPr>
          <w:rFonts w:hint="eastAsia"/>
          <w:bCs/>
          <w:color w:val="000000" w:themeColor="text1"/>
          <w:sz w:val="24"/>
          <w14:textFill>
            <w14:solidFill>
              <w14:schemeClr w14:val="tx1"/>
            </w14:solidFill>
          </w14:textFill>
        </w:rPr>
        <w:t>销售</w:t>
      </w:r>
      <w:r>
        <w:rPr>
          <w:bCs/>
          <w:color w:val="000000" w:themeColor="text1"/>
          <w:sz w:val="24"/>
          <w14:textFill>
            <w14:solidFill>
              <w14:schemeClr w14:val="tx1"/>
            </w14:solidFill>
          </w14:textFill>
        </w:rPr>
        <w:t>机构不得请求报酬。基金管理人、基金托管人和</w:t>
      </w:r>
      <w:r>
        <w:rPr>
          <w:rFonts w:hint="eastAsia"/>
          <w:bCs/>
          <w:color w:val="000000" w:themeColor="text1"/>
          <w:sz w:val="24"/>
          <w14:textFill>
            <w14:solidFill>
              <w14:schemeClr w14:val="tx1"/>
            </w14:solidFill>
          </w14:textFill>
        </w:rPr>
        <w:t>销售</w:t>
      </w:r>
      <w:r>
        <w:rPr>
          <w:bCs/>
          <w:color w:val="000000" w:themeColor="text1"/>
          <w:sz w:val="24"/>
          <w14:textFill>
            <w14:solidFill>
              <w14:schemeClr w14:val="tx1"/>
            </w14:solidFill>
          </w14:textFill>
        </w:rPr>
        <w:t>机构为基金募集支付之一切费用应由各方各自承担。</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三、基金存续期内的基金份额持有人数量和资产规模</w:t>
      </w:r>
    </w:p>
    <w:p>
      <w:pPr>
        <w:spacing w:line="360" w:lineRule="auto"/>
        <w:ind w:firstLine="48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《基金合同》生效后，连续20</w:t>
      </w:r>
      <w:r>
        <w:rPr>
          <w:rFonts w:hint="eastAsia"/>
          <w:bCs/>
          <w:color w:val="000000" w:themeColor="text1"/>
          <w:sz w:val="24"/>
          <w14:textFill>
            <w14:solidFill>
              <w14:schemeClr w14:val="tx1"/>
            </w14:solidFill>
          </w14:textFill>
        </w:rPr>
        <w:t>个工作日出现基金份额持有人数量不满</w:t>
      </w:r>
      <w:r>
        <w:rPr>
          <w:bCs/>
          <w:color w:val="000000" w:themeColor="text1"/>
          <w:sz w:val="24"/>
          <w14:textFill>
            <w14:solidFill>
              <w14:schemeClr w14:val="tx1"/>
            </w14:solidFill>
          </w14:textFill>
        </w:rPr>
        <w:t>200</w:t>
      </w:r>
      <w:r>
        <w:rPr>
          <w:rFonts w:hint="eastAsia"/>
          <w:bCs/>
          <w:color w:val="000000" w:themeColor="text1"/>
          <w:sz w:val="24"/>
          <w14:textFill>
            <w14:solidFill>
              <w14:schemeClr w14:val="tx1"/>
            </w14:solidFill>
          </w14:textFill>
        </w:rPr>
        <w:t>人或者基金资产净值低于</w:t>
      </w:r>
      <w:r>
        <w:rPr>
          <w:bCs/>
          <w:color w:val="000000" w:themeColor="text1"/>
          <w:sz w:val="24"/>
          <w14:textFill>
            <w14:solidFill>
              <w14:schemeClr w14:val="tx1"/>
            </w14:solidFill>
          </w14:textFill>
        </w:rPr>
        <w:t>5000</w:t>
      </w:r>
      <w:r>
        <w:rPr>
          <w:rFonts w:hint="eastAsia"/>
          <w:bCs/>
          <w:color w:val="000000" w:themeColor="text1"/>
          <w:sz w:val="24"/>
          <w14:textFill>
            <w14:solidFill>
              <w14:schemeClr w14:val="tx1"/>
            </w14:solidFill>
          </w14:textFill>
        </w:rPr>
        <w:t>万元情形的，基金管理人应当在定期报告中予以披露；连续</w:t>
      </w:r>
      <w:r>
        <w:rPr>
          <w:bCs/>
          <w:color w:val="000000" w:themeColor="text1"/>
          <w:sz w:val="24"/>
          <w14:textFill>
            <w14:solidFill>
              <w14:schemeClr w14:val="tx1"/>
            </w14:solidFill>
          </w14:textFill>
        </w:rPr>
        <w:t>60</w:t>
      </w:r>
      <w:r>
        <w:rPr>
          <w:rFonts w:hint="eastAsia"/>
          <w:bCs/>
          <w:color w:val="000000" w:themeColor="text1"/>
          <w:sz w:val="24"/>
          <w14:textFill>
            <w14:solidFill>
              <w14:schemeClr w14:val="tx1"/>
            </w14:solidFill>
          </w14:textFill>
        </w:rPr>
        <w:t>个工作日出现前述情形的，基金管理人应当在1</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个工作日内向中国证监会报告并提出解决方案，如持续运作、转换运作方式、与其他基金合并或者终止基金合同等，并在6个月内召集基金份额持有人大会。</w:t>
      </w:r>
    </w:p>
    <w:p>
      <w:pPr>
        <w:spacing w:line="360" w:lineRule="auto"/>
        <w:ind w:firstLine="480"/>
        <w:rPr>
          <w:rFonts w:ascii="仿宋_GB2312" w:hAnsi="仿宋_GB2312" w:eastAsia="仿宋_GB2312" w:cs="仿宋_GB2312"/>
          <w:color w:val="000000" w:themeColor="text1"/>
          <w:sz w:val="32"/>
          <w:szCs w:val="32"/>
          <w14:textFill>
            <w14:solidFill>
              <w14:schemeClr w14:val="tx1"/>
            </w14:solidFill>
          </w14:textFill>
        </w:rPr>
      </w:pPr>
      <w:r>
        <w:rPr>
          <w:bCs/>
          <w:color w:val="000000" w:themeColor="text1"/>
          <w:sz w:val="24"/>
          <w14:textFill>
            <w14:solidFill>
              <w14:schemeClr w14:val="tx1"/>
            </w14:solidFill>
          </w14:textFill>
        </w:rPr>
        <w:t>法律法规</w:t>
      </w:r>
      <w:r>
        <w:rPr>
          <w:rFonts w:hint="eastAsia"/>
          <w:bCs/>
          <w:color w:val="000000" w:themeColor="text1"/>
          <w:sz w:val="24"/>
          <w14:textFill>
            <w14:solidFill>
              <w14:schemeClr w14:val="tx1"/>
            </w14:solidFill>
          </w14:textFill>
        </w:rPr>
        <w:t>、中国证监会或《基金合同》</w:t>
      </w:r>
      <w:r>
        <w:rPr>
          <w:bCs/>
          <w:color w:val="000000" w:themeColor="text1"/>
          <w:sz w:val="24"/>
          <w14:textFill>
            <w14:solidFill>
              <w14:schemeClr w14:val="tx1"/>
            </w14:solidFill>
          </w14:textFill>
        </w:rPr>
        <w:t>另有规定时，从其规定。</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44"/>
          <w:sz w:val="21"/>
          <w14:textFill>
            <w14:solidFill>
              <w14:schemeClr w14:val="tx1"/>
            </w14:solidFill>
          </w14:textFill>
        </w:rPr>
        <w:br w:type="page"/>
      </w:r>
      <w:bookmarkStart w:id="107" w:name="_Toc141703886"/>
      <w:bookmarkStart w:id="108" w:name="_Toc23822"/>
      <w:bookmarkStart w:id="109" w:name="_Toc1427"/>
      <w:bookmarkStart w:id="110" w:name="_Toc123102453"/>
      <w:bookmarkStart w:id="111" w:name="_Toc17244"/>
      <w:bookmarkStart w:id="112" w:name="_Toc95997117"/>
      <w:bookmarkStart w:id="113" w:name="_Toc123051452"/>
      <w:bookmarkStart w:id="114" w:name="_Toc123112234"/>
      <w:bookmarkStart w:id="115" w:name="_Toc20733"/>
      <w:bookmarkStart w:id="116" w:name="_Toc23261"/>
      <w:bookmarkStart w:id="117" w:name="_Toc98560352"/>
      <w:bookmarkStart w:id="118" w:name="_Toc79392606"/>
      <w:bookmarkStart w:id="119" w:name="_Toc10463"/>
      <w:bookmarkStart w:id="120" w:name="_Toc1270"/>
      <w:bookmarkStart w:id="121" w:name="_Toc4003"/>
      <w:bookmarkStart w:id="122" w:name="_Toc48649707"/>
      <w:bookmarkStart w:id="123" w:name="_Toc610"/>
      <w:bookmarkStart w:id="124" w:name="_Toc139991736"/>
      <w:bookmarkStart w:id="125" w:name="_Toc7920"/>
      <w:r>
        <w:rPr>
          <w:rFonts w:ascii="Times New Roman"/>
          <w:color w:val="000000" w:themeColor="text1"/>
          <w:sz w:val="30"/>
          <w14:textFill>
            <w14:solidFill>
              <w14:schemeClr w14:val="tx1"/>
            </w14:solidFill>
          </w14:textFill>
        </w:rPr>
        <w:t>第六部分  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spacing w:line="360" w:lineRule="auto"/>
        <w:ind w:firstLine="54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一、申购和赎回场所</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本基金的申购与赎回将通过销售机构进行。具体的销售网点将由基金管理人在招募说明书或</w:t>
      </w:r>
      <w:r>
        <w:rPr>
          <w:rFonts w:ascii="宋体" w:hAnsi="宋体"/>
          <w:bCs/>
          <w:color w:val="000000" w:themeColor="text1"/>
          <w:sz w:val="24"/>
          <w:szCs w:val="24"/>
          <w14:textFill>
            <w14:solidFill>
              <w14:schemeClr w14:val="tx1"/>
            </w14:solidFill>
          </w14:textFill>
        </w:rPr>
        <w:t>基金管理人网站</w:t>
      </w:r>
      <w:r>
        <w:rPr>
          <w:bCs/>
          <w:color w:val="000000" w:themeColor="text1"/>
          <w:sz w:val="24"/>
          <w14:textFill>
            <w14:solidFill>
              <w14:schemeClr w14:val="tx1"/>
            </w14:solidFill>
          </w14:textFill>
        </w:rPr>
        <w:t>中列明。基金管理人可根据情况变更或增减销售机构，并</w:t>
      </w:r>
      <w:r>
        <w:rPr>
          <w:rFonts w:hint="eastAsia"/>
          <w:bCs/>
          <w:color w:val="000000" w:themeColor="text1"/>
          <w:sz w:val="24"/>
          <w14:textFill>
            <w14:solidFill>
              <w14:schemeClr w14:val="tx1"/>
            </w14:solidFill>
          </w14:textFill>
        </w:rPr>
        <w:t>在基金管理人网站公示</w:t>
      </w:r>
      <w:r>
        <w:rPr>
          <w:bCs/>
          <w:color w:val="000000" w:themeColor="text1"/>
          <w:sz w:val="24"/>
          <w14:textFill>
            <w14:solidFill>
              <w14:schemeClr w14:val="tx1"/>
            </w14:solidFill>
          </w14:textFill>
        </w:rPr>
        <w:t>。基金投资者应当</w:t>
      </w:r>
      <w:r>
        <w:rPr>
          <w:rFonts w:hint="eastAsia"/>
          <w:bCs/>
          <w:color w:val="000000" w:themeColor="text1"/>
          <w:sz w:val="24"/>
          <w14:textFill>
            <w14:solidFill>
              <w14:schemeClr w14:val="tx1"/>
            </w14:solidFill>
          </w14:textFill>
        </w:rPr>
        <w:t>在</w:t>
      </w:r>
      <w:r>
        <w:rPr>
          <w:bCs/>
          <w:color w:val="000000" w:themeColor="text1"/>
          <w:sz w:val="24"/>
          <w14:textFill>
            <w14:solidFill>
              <w14:schemeClr w14:val="tx1"/>
            </w14:solidFill>
          </w14:textFill>
        </w:rPr>
        <w:t>销售机构办理基金销售业务的营业场所或按销售机构提供的其他方式办理基金份额的申购与赎回。</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二、申购和赎回的开放日及时间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开放日及开放时间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投资人在</w:t>
      </w:r>
      <w:r>
        <w:rPr>
          <w:rFonts w:hint="eastAsia"/>
          <w:bCs/>
          <w:color w:val="000000" w:themeColor="text1"/>
          <w:sz w:val="24"/>
          <w14:textFill>
            <w14:solidFill>
              <w14:schemeClr w14:val="tx1"/>
            </w14:solidFill>
          </w14:textFill>
        </w:rPr>
        <w:t>本基金开放期内的</w:t>
      </w:r>
      <w:r>
        <w:rPr>
          <w:bCs/>
          <w:color w:val="000000" w:themeColor="text1"/>
          <w:sz w:val="24"/>
          <w14:textFill>
            <w14:solidFill>
              <w14:schemeClr w14:val="tx1"/>
            </w14:solidFill>
          </w14:textFill>
        </w:rPr>
        <w:t>开放日办理基金份额的申购和赎回，具体办理时间为上海证券交易所、深圳证券交易所的正常交易日的交易时间，但基金管理人根据法律法规、中国证监会的要求或本基金合同的规定公告暂停申购、赎回时除外。</w:t>
      </w:r>
      <w:r>
        <w:rPr>
          <w:rFonts w:hint="eastAsia"/>
          <w:bCs/>
          <w:color w:val="000000" w:themeColor="text1"/>
          <w:sz w:val="24"/>
          <w14:textFill>
            <w14:solidFill>
              <w14:schemeClr w14:val="tx1"/>
            </w14:solidFill>
          </w14:textFill>
        </w:rPr>
        <w:t>在封闭期内，本基金不办理申购、赎回业务，也不上市交易。</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基金合同生效后，若出现新的证券交易市场、证券交易所交易时间变更或其他特殊情况，基金管理人将视情况对前述开放日及开放时间进行相应的调整，但应在实施日前依照《信息披露办法》的有关规定在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申购、赎回开始日及业务办理时间</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本基金自每个封闭期结束之日后第一个工作日（包含该日）起进入开放期，期间可以办理申购与赎回业务。本基金每个开放期时长不超过20个工作日，开放期的具体时间以基金管理人届时公告为准。</w:t>
      </w:r>
    </w:p>
    <w:p>
      <w:pPr>
        <w:spacing w:line="360" w:lineRule="auto"/>
        <w:ind w:firstLine="480" w:firstLineChars="200"/>
        <w:rPr>
          <w:bCs/>
          <w:color w:val="000000" w:themeColor="text1"/>
          <w14:textFill>
            <w14:solidFill>
              <w14:schemeClr w14:val="tx1"/>
            </w14:solidFill>
          </w14:textFill>
        </w:rPr>
      </w:pPr>
      <w:r>
        <w:rPr>
          <w:rFonts w:hint="eastAsia"/>
          <w:bCs/>
          <w:color w:val="000000" w:themeColor="text1"/>
          <w:sz w:val="24"/>
          <w14:textFill>
            <w14:solidFill>
              <w14:schemeClr w14:val="tx1"/>
            </w14:solidFill>
          </w14:textFill>
        </w:rPr>
        <w:t>如封闭期结束后或在开放期内发生不可抗力或其他情形致使基金无法按时开放或需依据《基金合同》暂停申购与赎回业务的，开放期时间中止计算，在不可抗力或其他情形影响因素消除之日次一工作日起，继续计算该开放期时间，直至满足开放期的要求。</w:t>
      </w:r>
      <w:r>
        <w:rPr>
          <w:bCs/>
          <w:color w:val="000000" w:themeColor="text1"/>
          <w:sz w:val="24"/>
          <w14:textFill>
            <w14:solidFill>
              <w14:schemeClr w14:val="tx1"/>
            </w14:solidFill>
          </w14:textFill>
        </w:rPr>
        <w:t>基金管理人不得在基金合同约定之外的日期或者时间办理基金份额的申购</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赎回或者转换。</w:t>
      </w:r>
      <w:r>
        <w:rPr>
          <w:rFonts w:hint="eastAsia"/>
          <w:bCs/>
          <w:color w:val="000000" w:themeColor="text1"/>
          <w:sz w:val="24"/>
          <w14:textFill>
            <w14:solidFill>
              <w14:schemeClr w14:val="tx1"/>
            </w14:solidFill>
          </w14:textFill>
        </w:rPr>
        <w:t>在开放期内，</w:t>
      </w:r>
      <w:r>
        <w:rPr>
          <w:bCs/>
          <w:color w:val="000000" w:themeColor="text1"/>
          <w:sz w:val="24"/>
          <w14:textFill>
            <w14:solidFill>
              <w14:schemeClr w14:val="tx1"/>
            </w14:solidFill>
          </w14:textFill>
        </w:rPr>
        <w:t>投资人在基金合同约定之外的日期和时间提出申购、赎回或转换申请</w:t>
      </w:r>
      <w:r>
        <w:rPr>
          <w:rFonts w:hint="eastAsia"/>
          <w:bCs/>
          <w:color w:val="000000" w:themeColor="text1"/>
          <w:sz w:val="24"/>
          <w14:textFill>
            <w14:solidFill>
              <w14:schemeClr w14:val="tx1"/>
            </w14:solidFill>
          </w14:textFill>
        </w:rPr>
        <w:t>且登记机构确认接受</w:t>
      </w:r>
      <w:r>
        <w:rPr>
          <w:bCs/>
          <w:color w:val="000000" w:themeColor="text1"/>
          <w:sz w:val="24"/>
          <w14:textFill>
            <w14:solidFill>
              <w14:schemeClr w14:val="tx1"/>
            </w14:solidFill>
          </w14:textFill>
        </w:rPr>
        <w:t>的，其基金份额申购、赎回价格为下一开放日基金份额申购、赎回的价格。</w:t>
      </w:r>
      <w:r>
        <w:rPr>
          <w:rFonts w:hint="eastAsia"/>
          <w:bCs/>
          <w:color w:val="000000" w:themeColor="text1"/>
          <w:sz w:val="24"/>
          <w14:textFill>
            <w14:solidFill>
              <w14:schemeClr w14:val="tx1"/>
            </w14:solidFill>
          </w14:textFill>
        </w:rPr>
        <w:t>在开放期最后一个开放日，投资人在基金合同约定之外的时间提出申购、赎回或转换申请的，视为无效申请。</w:t>
      </w:r>
      <w:r>
        <w:rPr>
          <w:rFonts w:hint="eastAsia" w:ascii="宋体" w:hAnsi="宋体"/>
          <w:color w:val="000000" w:themeColor="text1"/>
          <w:kern w:val="0"/>
          <w:sz w:val="24"/>
          <w14:textFill>
            <w14:solidFill>
              <w14:schemeClr w14:val="tx1"/>
            </w14:solidFill>
          </w14:textFill>
        </w:rPr>
        <w:t>开放期以及开放期办理申购与赎回业务的具体事宜见招募说明书及基金管理人届时发布的相关公告</w:t>
      </w:r>
      <w:r>
        <w:rPr>
          <w:bCs/>
          <w:color w:val="000000" w:themeColor="text1"/>
          <w:sz w:val="24"/>
          <w14:textFill>
            <w14:solidFill>
              <w14:schemeClr w14:val="tx1"/>
            </w14:solidFill>
          </w14:textFill>
        </w:rPr>
        <w:t>。</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三、申购与赎回的原则</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“未知价”原则，即申购、赎回价格以申请当日收市后计算的基金份额净值为基准进行计算；</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2</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“金额申购、份额赎回”原则，即申购以金额申请，赎回以份额申请；</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3</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当日的申购与赎回申请可以在基金管理人规定的时间以内撤销；</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4</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赎回遵循“先进先出”原则，即按照投资人认购、申购的先后次序进行顺序赎回；</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5、办理申购、赎回业务时，应当遵循基金份额持有人利益优先原则</w:t>
      </w:r>
      <w:r>
        <w:rPr>
          <w:rFonts w:hint="eastAsia" w:ascii="宋体" w:hAnsi="宋体"/>
          <w:bCs/>
          <w:color w:val="000000" w:themeColor="text1"/>
          <w:sz w:val="24"/>
          <w14:textFill>
            <w14:solidFill>
              <w14:schemeClr w14:val="tx1"/>
            </w14:solidFill>
          </w14:textFill>
        </w:rPr>
        <w:t>，确保投资者的合法权益不受损害并得到公平对待</w:t>
      </w:r>
      <w:r>
        <w:rPr>
          <w:rFonts w:ascii="宋体" w:hAnsi="宋体"/>
          <w:bCs/>
          <w:color w:val="000000" w:themeColor="text1"/>
          <w:sz w:val="24"/>
          <w14:textFill>
            <w14:solidFill>
              <w14:schemeClr w14:val="tx1"/>
            </w14:solidFill>
          </w14:textFill>
        </w:rPr>
        <w:t>。</w:t>
      </w:r>
    </w:p>
    <w:p>
      <w:pPr>
        <w:spacing w:line="360" w:lineRule="auto"/>
        <w:ind w:firstLine="480" w:firstLineChars="200"/>
        <w:rPr>
          <w:rFonts w:ascii="宋体" w:hAnsi="宋体"/>
          <w:bCs/>
          <w:color w:val="000000" w:themeColor="text1"/>
          <w14:textFill>
            <w14:solidFill>
              <w14:schemeClr w14:val="tx1"/>
            </w14:solidFill>
          </w14:textFill>
        </w:rPr>
      </w:pPr>
      <w:r>
        <w:rPr>
          <w:rFonts w:ascii="宋体" w:hAnsi="宋体"/>
          <w:bCs/>
          <w:color w:val="000000" w:themeColor="text1"/>
          <w:sz w:val="24"/>
          <w14:textFill>
            <w14:solidFill>
              <w14:schemeClr w14:val="tx1"/>
            </w14:solidFill>
          </w14:textFill>
        </w:rPr>
        <w:t>基金管理人可在法律法规允许的情况下，对上述原则进行调整。基金管理人必须在新规则开始实施前依照《信息披露办法》的有关规定在</w:t>
      </w:r>
      <w:r>
        <w:rPr>
          <w:rFonts w:hint="eastAsia" w:ascii="宋体" w:hAnsi="宋体"/>
          <w:bCs/>
          <w:color w:val="000000" w:themeColor="text1"/>
          <w:sz w:val="24"/>
          <w14:textFill>
            <w14:solidFill>
              <w14:schemeClr w14:val="tx1"/>
            </w14:solidFill>
          </w14:textFill>
        </w:rPr>
        <w:t>规</w:t>
      </w:r>
      <w:r>
        <w:rPr>
          <w:rFonts w:ascii="宋体" w:hAnsi="宋体"/>
          <w:bCs/>
          <w:color w:val="000000" w:themeColor="text1"/>
          <w:sz w:val="24"/>
          <w14:textFill>
            <w14:solidFill>
              <w14:schemeClr w14:val="tx1"/>
            </w14:solidFill>
          </w14:textFill>
        </w:rPr>
        <w:t>定</w:t>
      </w:r>
      <w:r>
        <w:rPr>
          <w:rFonts w:hint="eastAsia" w:ascii="宋体" w:hAnsi="宋体"/>
          <w:bCs/>
          <w:color w:val="000000" w:themeColor="text1"/>
          <w:sz w:val="24"/>
          <w14:textFill>
            <w14:solidFill>
              <w14:schemeClr w14:val="tx1"/>
            </w14:solidFill>
          </w14:textFill>
        </w:rPr>
        <w:t>媒介</w:t>
      </w:r>
      <w:r>
        <w:rPr>
          <w:rFonts w:ascii="宋体" w:hAnsi="宋体"/>
          <w:bCs/>
          <w:color w:val="000000" w:themeColor="text1"/>
          <w:sz w:val="24"/>
          <w14:textFill>
            <w14:solidFill>
              <w14:schemeClr w14:val="tx1"/>
            </w14:solidFill>
          </w14:textFill>
        </w:rPr>
        <w:t>上公告。</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四、申购与赎回的程序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申购和赎回的申请方式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投资人必须根据销售机构规定的程序，在开放日的具体业务办理时间内提出申购或赎回的申请。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申购和赎回的款项支付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lang w:val="zh-CN"/>
          <w14:textFill>
            <w14:solidFill>
              <w14:schemeClr w14:val="tx1"/>
            </w14:solidFill>
          </w14:textFill>
        </w:rPr>
        <w:t>投资人申购基金份额时，必须全额交付申购款项，投资人交付</w:t>
      </w:r>
      <w:r>
        <w:rPr>
          <w:rFonts w:hint="eastAsia"/>
          <w:bCs/>
          <w:color w:val="000000" w:themeColor="text1"/>
          <w:sz w:val="24"/>
          <w:lang w:val="zh-CN"/>
          <w14:textFill>
            <w14:solidFill>
              <w14:schemeClr w14:val="tx1"/>
            </w14:solidFill>
          </w14:textFill>
        </w:rPr>
        <w:t>申购</w:t>
      </w:r>
      <w:r>
        <w:rPr>
          <w:bCs/>
          <w:color w:val="000000" w:themeColor="text1"/>
          <w:sz w:val="24"/>
          <w:lang w:val="zh-CN"/>
          <w14:textFill>
            <w14:solidFill>
              <w14:schemeClr w14:val="tx1"/>
            </w14:solidFill>
          </w14:textFill>
        </w:rPr>
        <w:t>款项，申购成立；</w:t>
      </w:r>
      <w:r>
        <w:rPr>
          <w:rFonts w:hint="eastAsia"/>
          <w:bCs/>
          <w:color w:val="000000" w:themeColor="text1"/>
          <w:sz w:val="24"/>
          <w:lang w:val="zh-CN"/>
          <w14:textFill>
            <w14:solidFill>
              <w14:schemeClr w14:val="tx1"/>
            </w14:solidFill>
          </w14:textFill>
        </w:rPr>
        <w:t>基金份额</w:t>
      </w:r>
      <w:r>
        <w:rPr>
          <w:bCs/>
          <w:color w:val="000000" w:themeColor="text1"/>
          <w:sz w:val="24"/>
          <w:lang w:val="zh-CN"/>
          <w14:textFill>
            <w14:solidFill>
              <w14:schemeClr w14:val="tx1"/>
            </w14:solidFill>
          </w14:textFill>
        </w:rPr>
        <w:t>登记机构确认基金份额时，申购生效。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基金份额持有人递交赎回申请，赎回成立；</w:t>
      </w:r>
      <w:r>
        <w:rPr>
          <w:rFonts w:hint="eastAsia"/>
          <w:bCs/>
          <w:color w:val="000000" w:themeColor="text1"/>
          <w:sz w:val="24"/>
          <w14:textFill>
            <w14:solidFill>
              <w14:schemeClr w14:val="tx1"/>
            </w14:solidFill>
          </w14:textFill>
        </w:rPr>
        <w:t>基金份额</w:t>
      </w:r>
      <w:r>
        <w:rPr>
          <w:bCs/>
          <w:color w:val="000000" w:themeColor="text1"/>
          <w:sz w:val="24"/>
          <w14:textFill>
            <w14:solidFill>
              <w14:schemeClr w14:val="tx1"/>
            </w14:solidFill>
          </w14:textFill>
        </w:rPr>
        <w:t>登记机构确认赎回时，赎回生效。投资者赎回申请生效后</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基金管理人将在T＋7日（包括该日）内支付赎回款项。在发生巨额赎回时，款项的支付办法参照本基金合同有关条款处理。</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遇交易所或交易市场数据传输延迟、通讯系统故障、银行数据交换系统故障或其它非基金管理人及基金托管人所能控制的因素影响业务处理流程，则赎回款顺延至上述情形消除后的下一个工作日划往投资人银行账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申购和赎回申请的确认</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基金管理人应以交易时间结束前受理</w:t>
      </w:r>
      <w:r>
        <w:rPr>
          <w:rFonts w:hint="eastAsia"/>
          <w:bCs/>
          <w:color w:val="000000" w:themeColor="text1"/>
          <w:sz w:val="24"/>
          <w14:textFill>
            <w14:solidFill>
              <w14:schemeClr w14:val="tx1"/>
            </w14:solidFill>
          </w14:textFill>
        </w:rPr>
        <w:t>有效</w:t>
      </w:r>
      <w:r>
        <w:rPr>
          <w:bCs/>
          <w:color w:val="000000" w:themeColor="text1"/>
          <w:sz w:val="24"/>
          <w14:textFill>
            <w14:solidFill>
              <w14:schemeClr w14:val="tx1"/>
            </w14:solidFill>
          </w14:textFill>
        </w:rPr>
        <w:t>申购和赎回申请的当天作为申购或赎回申请日（T日），在正常情况下，本基金登记机构在T+1日内对该交易的有效性进行确认。T日提交的有效申请，投资人</w:t>
      </w:r>
      <w:r>
        <w:rPr>
          <w:rFonts w:hint="eastAsia"/>
          <w:bCs/>
          <w:color w:val="000000" w:themeColor="text1"/>
          <w:sz w:val="24"/>
          <w14:textFill>
            <w14:solidFill>
              <w14:schemeClr w14:val="tx1"/>
            </w14:solidFill>
          </w14:textFill>
        </w:rPr>
        <w:t>应</w:t>
      </w:r>
      <w:r>
        <w:rPr>
          <w:bCs/>
          <w:color w:val="000000" w:themeColor="text1"/>
          <w:sz w:val="24"/>
          <w14:textFill>
            <w14:solidFill>
              <w14:schemeClr w14:val="tx1"/>
            </w14:solidFill>
          </w14:textFill>
        </w:rPr>
        <w:t>在T+2日后（包括该日）及时到销售网点柜台或以销售机构规定的其他方式查询申请的确认情况。若申购不成</w:t>
      </w:r>
      <w:r>
        <w:rPr>
          <w:rFonts w:hint="eastAsia"/>
          <w:bCs/>
          <w:color w:val="000000" w:themeColor="text1"/>
          <w:sz w:val="24"/>
          <w14:textFill>
            <w14:solidFill>
              <w14:schemeClr w14:val="tx1"/>
            </w14:solidFill>
          </w14:textFill>
        </w:rPr>
        <w:t>立</w:t>
      </w:r>
      <w:r>
        <w:rPr>
          <w:bCs/>
          <w:color w:val="000000" w:themeColor="text1"/>
          <w:sz w:val="24"/>
          <w14:textFill>
            <w14:solidFill>
              <w14:schemeClr w14:val="tx1"/>
            </w14:solidFill>
          </w14:textFill>
        </w:rPr>
        <w:t>或无效，则申购款项本金退还给投资人。</w:t>
      </w:r>
      <w:r>
        <w:rPr>
          <w:rFonts w:hint="eastAsia"/>
          <w:bCs/>
          <w:color w:val="000000" w:themeColor="text1"/>
          <w:sz w:val="24"/>
          <w14:textFill>
            <w14:solidFill>
              <w14:schemeClr w14:val="tx1"/>
            </w14:solidFill>
          </w14:textFill>
        </w:rPr>
        <w:t>销售机构对申购、赎回申请的受理并不代表该申请一定成功，而仅代表销售机构确实接收到申购、赎回申请。申购、赎回申请的确认以基金登记机构的确认结果为准。对于申购、赎回申请的确认情况，投资人应及时查询并妥善行使合法权利。</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基金管理人可以在法律法规和基金合同允许的范围内，对上述业务进行调整，并在调整实施前依照《信息披露办法》的有关规定在规定媒介上公告。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五、申购和赎回的数量限制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基金管理人可以规定投资人首次申购和每次申购的最低金额以及每次赎回的最低份额，具体规定请参见招募说明书</w:t>
      </w:r>
      <w:r>
        <w:rPr>
          <w:rFonts w:hint="eastAsia"/>
          <w:bCs/>
          <w:color w:val="000000" w:themeColor="text1"/>
          <w:sz w:val="24"/>
          <w14:textFill>
            <w14:solidFill>
              <w14:schemeClr w14:val="tx1"/>
            </w14:solidFill>
          </w14:textFill>
        </w:rPr>
        <w:t>或相关公告</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基金管理人可以规定投资人每个基金交易账户的最低基金份额余额，具体规定请参见招募说明书</w:t>
      </w:r>
      <w:r>
        <w:rPr>
          <w:rFonts w:hint="eastAsia"/>
          <w:bCs/>
          <w:color w:val="000000" w:themeColor="text1"/>
          <w:sz w:val="24"/>
          <w14:textFill>
            <w14:solidFill>
              <w14:schemeClr w14:val="tx1"/>
            </w14:solidFill>
          </w14:textFill>
        </w:rPr>
        <w:t>或相关公告</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基金管理人可以规定单个投资人累计持有的基金份额上限，具体规定请参见招募说明书</w:t>
      </w:r>
      <w:r>
        <w:rPr>
          <w:rFonts w:hint="eastAsia"/>
          <w:bCs/>
          <w:color w:val="000000" w:themeColor="text1"/>
          <w:sz w:val="24"/>
          <w14:textFill>
            <w14:solidFill>
              <w14:schemeClr w14:val="tx1"/>
            </w14:solidFill>
          </w14:textFill>
        </w:rPr>
        <w:t>或相关公告</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基金管理人可在法律法规允许的情况下，调整上述规定申购金额和赎回份额</w:t>
      </w:r>
      <w:r>
        <w:rPr>
          <w:rFonts w:hint="eastAsia"/>
          <w:bCs/>
          <w:color w:val="000000" w:themeColor="text1"/>
          <w:sz w:val="24"/>
          <w14:textFill>
            <w14:solidFill>
              <w14:schemeClr w14:val="tx1"/>
            </w14:solidFill>
          </w14:textFill>
        </w:rPr>
        <w:t>等</w:t>
      </w:r>
      <w:r>
        <w:rPr>
          <w:bCs/>
          <w:color w:val="000000" w:themeColor="text1"/>
          <w:sz w:val="24"/>
          <w14:textFill>
            <w14:solidFill>
              <w14:schemeClr w14:val="tx1"/>
            </w14:solidFill>
          </w14:textFill>
        </w:rPr>
        <w:t>数量限制。基金管理人必须在调整实施前依照《信息披露办法》的有关规定在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六、申购和赎回的价格、费用及其用途</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本基金份额净值的计算，保留到小数点后</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位，小数点后第</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位四舍五入，由此产生的收益或损失由基金财产承担。T日的基金份额净值在当天收市后计算，</w:t>
      </w:r>
      <w:r>
        <w:rPr>
          <w:rFonts w:hint="eastAsia"/>
          <w:bCs/>
          <w:color w:val="000000" w:themeColor="text1"/>
          <w:sz w:val="24"/>
          <w14:textFill>
            <w14:solidFill>
              <w14:schemeClr w14:val="tx1"/>
            </w14:solidFill>
          </w14:textFill>
        </w:rPr>
        <w:t>根据基金合同的约定进行</w:t>
      </w:r>
      <w:r>
        <w:rPr>
          <w:bCs/>
          <w:color w:val="000000" w:themeColor="text1"/>
          <w:sz w:val="24"/>
          <w14:textFill>
            <w14:solidFill>
              <w14:schemeClr w14:val="tx1"/>
            </w14:solidFill>
          </w14:textFill>
        </w:rPr>
        <w:t>公告。遇特殊情况，</w:t>
      </w:r>
      <w:r>
        <w:rPr>
          <w:rFonts w:hint="eastAsia"/>
          <w:bCs/>
          <w:color w:val="000000" w:themeColor="text1"/>
          <w:sz w:val="24"/>
          <w14:textFill>
            <w14:solidFill>
              <w14:schemeClr w14:val="tx1"/>
            </w14:solidFill>
          </w14:textFill>
        </w:rPr>
        <w:t>经履行适当程序</w:t>
      </w:r>
      <w:r>
        <w:rPr>
          <w:bCs/>
          <w:color w:val="000000" w:themeColor="text1"/>
          <w:sz w:val="24"/>
          <w14:textFill>
            <w14:solidFill>
              <w14:schemeClr w14:val="tx1"/>
            </w14:solidFill>
          </w14:textFill>
        </w:rPr>
        <w:t>，可以适当延迟计算或公告。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申购份额的计算及余额的处理方式：本基金申购份额的计算详见《招募说明书》。本基金的申购费率由基金管理人决定，并在招募说明书</w:t>
      </w:r>
      <w:r>
        <w:rPr>
          <w:rFonts w:hint="eastAsia"/>
          <w:bCs/>
          <w:color w:val="000000" w:themeColor="text1"/>
          <w:sz w:val="24"/>
          <w14:textFill>
            <w14:solidFill>
              <w14:schemeClr w14:val="tx1"/>
            </w14:solidFill>
          </w14:textFill>
        </w:rPr>
        <w:t>及基金产品资料概要</w:t>
      </w:r>
      <w:r>
        <w:rPr>
          <w:bCs/>
          <w:color w:val="000000" w:themeColor="text1"/>
          <w:sz w:val="24"/>
          <w14:textFill>
            <w14:solidFill>
              <w14:schemeClr w14:val="tx1"/>
            </w14:solidFill>
          </w14:textFill>
        </w:rPr>
        <w:t>中列示。申购的有效份额为净申购金额除以当日的基金份额净值，有效份额单位为份，上述计算结果均按四舍五入方法，保留到小数点后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位，由此产生的收益或损失由基金财产承担。</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赎回金额的计算及处理方式：本基金赎回金额的计算详见《招募说明书》。本基金的赎回费率由基金管理人决定，并在招募说明书及基金产品资料概要中列示。赎回金额为按实际确认的有效赎回份额乘以当日基金份额净值并扣除相应的费用，赎回金额单位为元。上述计算结果均按四舍五入方法，保留到小数点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位，由此产生的收益或损失由基金财产承担。</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申购费用由投资人承担，不列入基金财产。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赎回费用由赎回基金份额的基金份额持有人承担，在基金份额持有人赎回基金份额时收取。赎回费用归入基金财产的比例</w:t>
      </w:r>
      <w:r>
        <w:rPr>
          <w:rFonts w:hint="eastAsia"/>
          <w:bCs/>
          <w:color w:val="000000" w:themeColor="text1"/>
          <w:sz w:val="24"/>
          <w14:textFill>
            <w14:solidFill>
              <w14:schemeClr w14:val="tx1"/>
            </w14:solidFill>
          </w14:textFill>
        </w:rPr>
        <w:t>依照相关法律法规设定，具体</w:t>
      </w:r>
      <w:r>
        <w:rPr>
          <w:bCs/>
          <w:color w:val="000000" w:themeColor="text1"/>
          <w:sz w:val="24"/>
          <w14:textFill>
            <w14:solidFill>
              <w14:schemeClr w14:val="tx1"/>
            </w14:solidFill>
          </w14:textFill>
        </w:rPr>
        <w:t>见招募说明书</w:t>
      </w:r>
      <w:r>
        <w:rPr>
          <w:rFonts w:hint="eastAsia"/>
          <w:bCs/>
          <w:color w:val="000000" w:themeColor="text1"/>
          <w:sz w:val="24"/>
          <w14:textFill>
            <w14:solidFill>
              <w14:schemeClr w14:val="tx1"/>
            </w14:solidFill>
          </w14:textFill>
        </w:rPr>
        <w:t>的规定</w:t>
      </w:r>
      <w:r>
        <w:rPr>
          <w:bCs/>
          <w:color w:val="000000" w:themeColor="text1"/>
          <w:sz w:val="24"/>
          <w14:textFill>
            <w14:solidFill>
              <w14:schemeClr w14:val="tx1"/>
            </w14:solidFill>
          </w14:textFill>
        </w:rPr>
        <w:t>，未归入基金财产的部分用于支付登记费和其他必要的手续费。其中</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对持续持有期少于7日的投资者收取不低于1.5%的赎回费</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并全额计入基金财产</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Pr>
          <w:rFonts w:hint="eastAsia"/>
          <w:bCs/>
          <w:color w:val="000000" w:themeColor="text1"/>
          <w:sz w:val="24"/>
          <w14:textFill>
            <w14:solidFill>
              <w14:schemeClr w14:val="tx1"/>
            </w14:solidFill>
          </w14:textFill>
        </w:rPr>
        <w:t>或</w:t>
      </w:r>
      <w:r>
        <w:rPr>
          <w:bCs/>
          <w:color w:val="000000" w:themeColor="text1"/>
          <w:sz w:val="24"/>
          <w14:textFill>
            <w14:solidFill>
              <w14:schemeClr w14:val="tx1"/>
            </w14:solidFill>
          </w14:textFill>
        </w:rPr>
        <w:t>基金赎回费率并另行公告</w:t>
      </w:r>
      <w:r>
        <w:rPr>
          <w:rFonts w:hint="eastAsia"/>
          <w:bCs/>
          <w:color w:val="000000" w:themeColor="text1"/>
          <w:sz w:val="24"/>
          <w14:textFill>
            <w14:solidFill>
              <w14:schemeClr w14:val="tx1"/>
            </w14:solidFill>
          </w14:textFill>
        </w:rPr>
        <w:t>，或针对特定渠道、特定投资群体开展有差别的费率优惠活动。</w:t>
      </w:r>
    </w:p>
    <w:p>
      <w:pPr>
        <w:spacing w:line="360" w:lineRule="auto"/>
        <w:ind w:firstLine="480" w:firstLineChars="200"/>
        <w:rPr>
          <w:b/>
          <w:color w:val="000000" w:themeColor="text1"/>
          <w:sz w:val="24"/>
          <w:u w:val="single"/>
          <w14:textFill>
            <w14:solidFill>
              <w14:schemeClr w14:val="tx1"/>
            </w14:solidFill>
          </w14:textFill>
        </w:rPr>
      </w:pPr>
      <w:r>
        <w:rPr>
          <w:rFonts w:hint="eastAsia"/>
          <w:bCs/>
          <w:color w:val="000000" w:themeColor="text1"/>
          <w:sz w:val="24"/>
          <w14:textFill>
            <w14:solidFill>
              <w14:schemeClr w14:val="tx1"/>
            </w14:solidFill>
          </w14:textFill>
        </w:rPr>
        <w:t>8、</w:t>
      </w:r>
      <w:r>
        <w:rPr>
          <w:bCs/>
          <w:color w:val="000000" w:themeColor="text1"/>
          <w:sz w:val="24"/>
          <w14:textFill>
            <w14:solidFill>
              <w14:schemeClr w14:val="tx1"/>
            </w14:solidFill>
          </w14:textFill>
        </w:rPr>
        <w:t>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七</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拒绝或暂停申购的情形</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在开放期内，</w:t>
      </w:r>
      <w:r>
        <w:rPr>
          <w:bCs/>
          <w:color w:val="000000" w:themeColor="text1"/>
          <w:sz w:val="24"/>
          <w14:textFill>
            <w14:solidFill>
              <w14:schemeClr w14:val="tx1"/>
            </w14:solidFill>
          </w14:textFill>
        </w:rPr>
        <w:t>发生下列情况时，基金管理人可拒绝或暂停接受投资人的申购申请：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因不可抗力导致基金无法正常运作。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2、发生基金合同规定的暂停基金资产估值情况时，基金管理人可暂停接受投资人的申购申请。</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证券交易所交易时间非正常停市，导致基金管理人无法计算当日基金资产净值。</w:t>
      </w:r>
    </w:p>
    <w:p>
      <w:pPr>
        <w:spacing w:line="360" w:lineRule="auto"/>
        <w:ind w:firstLine="480" w:firstLineChars="200"/>
        <w:rPr>
          <w:bCs/>
          <w:color w:val="000000" w:themeColor="text1"/>
          <w:sz w:val="24"/>
          <w14:textFill>
            <w14:solidFill>
              <w14:schemeClr w14:val="tx1"/>
            </w14:solidFill>
          </w14:textFill>
        </w:rPr>
      </w:pPr>
      <w:bookmarkStart w:id="126" w:name="_Hlt70481650"/>
      <w:bookmarkEnd w:id="126"/>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接受某笔或某些申购申请可能会影响或损害现有基金份额持有人利益时。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基金资产规模过大，使基金管理人无法找到合适的投资品种，或其他可能对基金业绩产生负面影响，或发生其他损害现有基金份额持有人利益的情形。</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6、申购申请超过基金管理人设定的基金总规模、单日净申购比例上限、单一投资者单日或单笔申购金额上限的情形时。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7、当前一估值日基金资产净值50%以上的资产出现无可参考的活跃市场价格且采用估值技术仍导致公允价值存在重大不确定性时，经与基金托管人协商确认后，基金管理人应当暂停接受基金申购申请。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、基金管理人接受某笔或者某些申购申请有可能导致单一投资者持有基金份额的比例达到或者超过50%，或者变相规避50%集中度的情形。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、基金管理人、基金托管人、登记机构、销售机构、支付结算机构等因异常情况导致基金销售系统、基金销售支付结算系统、基金登记系统、基金会计系统等无法正常运行。</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法律法规规定或中国证监会认定的其他情形。</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发生上述第1、2、</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项暂停申购情形之一且基金管理人决定暂停接受投资人申购申请时，基金管理人应当根据</w:t>
      </w:r>
      <w:r>
        <w:rPr>
          <w:rFonts w:hint="eastAsia"/>
          <w:bCs/>
          <w:color w:val="000000" w:themeColor="text1"/>
          <w:sz w:val="24"/>
          <w14:textFill>
            <w14:solidFill>
              <w14:schemeClr w14:val="tx1"/>
            </w14:solidFill>
          </w14:textFill>
        </w:rPr>
        <w:t>《信息披露办法》的</w:t>
      </w:r>
      <w:r>
        <w:rPr>
          <w:bCs/>
          <w:color w:val="000000" w:themeColor="text1"/>
          <w:sz w:val="24"/>
          <w14:textFill>
            <w14:solidFill>
              <w14:schemeClr w14:val="tx1"/>
            </w14:solidFill>
          </w14:textFill>
        </w:rPr>
        <w:t>有关规定在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上刊登暂停申购公告。如果投资人的申购申请被</w:t>
      </w:r>
      <w:r>
        <w:rPr>
          <w:rFonts w:hint="eastAsia"/>
          <w:bCs/>
          <w:color w:val="000000" w:themeColor="text1"/>
          <w:sz w:val="24"/>
          <w:szCs w:val="24"/>
          <w14:textFill>
            <w14:solidFill>
              <w14:schemeClr w14:val="tx1"/>
            </w14:solidFill>
          </w14:textFill>
        </w:rPr>
        <w:t>全部或部分</w:t>
      </w:r>
      <w:r>
        <w:rPr>
          <w:bCs/>
          <w:color w:val="000000" w:themeColor="text1"/>
          <w:sz w:val="24"/>
          <w14:textFill>
            <w14:solidFill>
              <w14:schemeClr w14:val="tx1"/>
            </w14:solidFill>
          </w14:textFill>
        </w:rPr>
        <w:t>拒绝的，被拒绝的申购款项将退还给投资人。在暂停申购的情况消除时，基金管理人应及时恢复申购业务的办理</w:t>
      </w:r>
      <w:r>
        <w:rPr>
          <w:rFonts w:hint="eastAsia"/>
          <w:bCs/>
          <w:color w:val="000000" w:themeColor="text1"/>
          <w:sz w:val="24"/>
          <w14:textFill>
            <w14:solidFill>
              <w14:schemeClr w14:val="tx1"/>
            </w14:solidFill>
          </w14:textFill>
        </w:rPr>
        <w:t>，且开放期时间将相应顺延，具体时间见基金管理人届时的公告</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八</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暂停赎回或延缓支付赎回款项的情形</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在开放期内</w:t>
      </w:r>
      <w:r>
        <w:rPr>
          <w:bCs/>
          <w:color w:val="000000" w:themeColor="text1"/>
          <w:sz w:val="24"/>
          <w14:textFill>
            <w14:solidFill>
              <w14:schemeClr w14:val="tx1"/>
            </w14:solidFill>
          </w14:textFill>
        </w:rPr>
        <w:t>发生下列情形时，基金管理人可暂停接受投资人的赎回申请或延缓支付赎回款项：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因不可抗力导致基金管理人不能支付赎回款项。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2、发生基金合同规定的暂停基金资产估值情况时，基金管理人可暂停接受投资人的赎回申请或延缓支付赎回款项。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证券交易所交易时间非正常停市，导致基金管理人无法计算当日基金资产</w:t>
      </w:r>
      <w:bookmarkStart w:id="127" w:name="_Hlt152500890"/>
      <w:r>
        <w:rPr>
          <w:bCs/>
          <w:color w:val="000000" w:themeColor="text1"/>
          <w:sz w:val="24"/>
          <w14:textFill>
            <w14:solidFill>
              <w14:schemeClr w14:val="tx1"/>
            </w14:solidFill>
          </w14:textFill>
        </w:rPr>
        <w:t>净值。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4、发生继续接受赎回申请将损害现有基金份额持有人利益的情形时，基金管理人可暂停接受基金份额持有人的赎回申请。</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5、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bookmarkEnd w:id="127"/>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6、本基金的资产组合中的重要部分发生暂停交易或其他重大事件，继续接受赎回可能会影响或损害基金份额持有人利益时。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7、</w:t>
      </w:r>
      <w:r>
        <w:rPr>
          <w:bCs/>
          <w:color w:val="000000" w:themeColor="text1"/>
          <w:sz w:val="24"/>
          <w14:textFill>
            <w14:solidFill>
              <w14:schemeClr w14:val="tx1"/>
            </w14:solidFill>
          </w14:textFill>
        </w:rPr>
        <w:t>法律法规规定或中国证监会认定的其他情形。</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发生上述情形之一且基金管理人决定暂停赎回或延缓支付赎回款项时，基金管理人应</w:t>
      </w:r>
      <w:r>
        <w:rPr>
          <w:rFonts w:hint="eastAsia"/>
          <w:bCs/>
          <w:color w:val="000000" w:themeColor="text1"/>
          <w:sz w:val="24"/>
          <w14:textFill>
            <w14:solidFill>
              <w14:schemeClr w14:val="tx1"/>
            </w14:solidFill>
          </w14:textFill>
        </w:rPr>
        <w:t>根据《信息披露办法》有关规定</w:t>
      </w:r>
      <w:r>
        <w:rPr>
          <w:bCs/>
          <w:color w:val="000000" w:themeColor="text1"/>
          <w:sz w:val="24"/>
          <w14:textFill>
            <w14:solidFill>
              <w14:schemeClr w14:val="tx1"/>
            </w14:solidFill>
          </w14:textFill>
        </w:rPr>
        <w:t>在</w:t>
      </w:r>
      <w:r>
        <w:rPr>
          <w:rFonts w:hint="eastAsia"/>
          <w:bCs/>
          <w:color w:val="000000" w:themeColor="text1"/>
          <w:sz w:val="24"/>
          <w14:textFill>
            <w14:solidFill>
              <w14:schemeClr w14:val="tx1"/>
            </w14:solidFill>
          </w14:textFill>
        </w:rPr>
        <w:t>规定媒介上公告并</w:t>
      </w:r>
      <w:r>
        <w:rPr>
          <w:bCs/>
          <w:color w:val="000000" w:themeColor="text1"/>
          <w:sz w:val="24"/>
          <w14:textFill>
            <w14:solidFill>
              <w14:schemeClr w14:val="tx1"/>
            </w14:solidFill>
          </w14:textFill>
        </w:rPr>
        <w:t>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w:t>
      </w:r>
      <w:r>
        <w:rPr>
          <w:rFonts w:hint="eastAsia"/>
          <w:bCs/>
          <w:color w:val="000000" w:themeColor="text1"/>
          <w:sz w:val="24"/>
          <w14:textFill>
            <w14:solidFill>
              <w14:schemeClr w14:val="tx1"/>
            </w14:solidFill>
          </w14:textFill>
        </w:rPr>
        <w:t>，且开放期时间将相应顺延，具体时间见基金管理人届时的</w:t>
      </w:r>
      <w:r>
        <w:rPr>
          <w:bCs/>
          <w:color w:val="000000" w:themeColor="text1"/>
          <w:sz w:val="24"/>
          <w14:textFill>
            <w14:solidFill>
              <w14:schemeClr w14:val="tx1"/>
            </w14:solidFill>
          </w14:textFill>
        </w:rPr>
        <w:t>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九</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巨额赎回的情形及处理方式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巨额赎回的认定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若本基金</w:t>
      </w:r>
      <w:r>
        <w:rPr>
          <w:rFonts w:hint="eastAsia"/>
          <w:bCs/>
          <w:color w:val="000000" w:themeColor="text1"/>
          <w:sz w:val="24"/>
          <w14:textFill>
            <w14:solidFill>
              <w14:schemeClr w14:val="tx1"/>
            </w14:solidFill>
          </w14:textFill>
        </w:rPr>
        <w:t>开放期</w:t>
      </w:r>
      <w:r>
        <w:rPr>
          <w:bCs/>
          <w:color w:val="000000" w:themeColor="text1"/>
          <w:sz w:val="24"/>
          <w14:textFill>
            <w14:solidFill>
              <w14:schemeClr w14:val="tx1"/>
            </w14:solidFill>
          </w14:textFill>
        </w:rPr>
        <w:t>单个开放日内的基金份额净赎回申请（赎回申请份额总数加上基金转换中转出申请份额总数后扣除申购申请份额总数及基金转换中转入申请份额总数后的余额）超过前一</w:t>
      </w:r>
      <w:r>
        <w:rPr>
          <w:rFonts w:hint="eastAsia"/>
          <w:bCs/>
          <w:color w:val="000000" w:themeColor="text1"/>
          <w:sz w:val="24"/>
          <w14:textFill>
            <w14:solidFill>
              <w14:schemeClr w14:val="tx1"/>
            </w14:solidFill>
          </w14:textFill>
        </w:rPr>
        <w:t>工作</w:t>
      </w:r>
      <w:r>
        <w:rPr>
          <w:bCs/>
          <w:color w:val="000000" w:themeColor="text1"/>
          <w:sz w:val="24"/>
          <w14:textFill>
            <w14:solidFill>
              <w14:schemeClr w14:val="tx1"/>
            </w14:solidFill>
          </w14:textFill>
        </w:rPr>
        <w:t>日的基金总份额的20%，即认为是发生了巨额赎回。</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巨额赎回的处理方式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当基金出现巨额赎回时，基金管理人可以根据基金当时的资产组合状况决定全额赎回或</w:t>
      </w:r>
      <w:r>
        <w:rPr>
          <w:rFonts w:hint="eastAsia" w:ascii="宋体" w:hAnsi="宋体"/>
          <w:bCs/>
          <w:color w:val="000000" w:themeColor="text1"/>
          <w:sz w:val="24"/>
          <w:szCs w:val="24"/>
          <w14:textFill>
            <w14:solidFill>
              <w14:schemeClr w14:val="tx1"/>
            </w14:solidFill>
          </w14:textFill>
        </w:rPr>
        <w:t>延缓支付</w:t>
      </w:r>
      <w:r>
        <w:rPr>
          <w:bCs/>
          <w:color w:val="000000" w:themeColor="text1"/>
          <w:sz w:val="24"/>
          <w14:textFill>
            <w14:solidFill>
              <w14:schemeClr w14:val="tx1"/>
            </w14:solidFill>
          </w14:textFill>
        </w:rPr>
        <w:t>赎回款项。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（1）全额赎回：当基金管理人认为有能力支付投资人的全部赎回申请时，按正常赎回程序执行。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延缓支付赎回款项：当</w:t>
      </w:r>
      <w:r>
        <w:rPr>
          <w:rFonts w:hint="eastAsia"/>
          <w:bCs/>
          <w:color w:val="000000" w:themeColor="text1"/>
          <w:sz w:val="24"/>
          <w14:textFill>
            <w14:solidFill>
              <w14:schemeClr w14:val="tx1"/>
            </w14:solidFill>
          </w14:textFill>
        </w:rPr>
        <w:t>本基金开放期内单个开放日出现巨额赎回时，基金管理人对符合法律法规及基金合同约定的赎回申请应全部予以接受和确认。但对于已接受的赎回申请，如</w:t>
      </w:r>
      <w:r>
        <w:rPr>
          <w:bCs/>
          <w:color w:val="000000" w:themeColor="text1"/>
          <w:sz w:val="24"/>
          <w14:textFill>
            <w14:solidFill>
              <w14:schemeClr w14:val="tx1"/>
            </w14:solidFill>
          </w14:textFill>
        </w:rPr>
        <w:t>基金管理人认为全额支付投资人的赎回</w:t>
      </w:r>
      <w:r>
        <w:rPr>
          <w:rFonts w:hint="eastAsia"/>
          <w:bCs/>
          <w:color w:val="000000" w:themeColor="text1"/>
          <w:sz w:val="24"/>
          <w14:textFill>
            <w14:solidFill>
              <w14:schemeClr w14:val="tx1"/>
            </w14:solidFill>
          </w14:textFill>
        </w:rPr>
        <w:t>款项</w:t>
      </w:r>
      <w:r>
        <w:rPr>
          <w:bCs/>
          <w:color w:val="000000" w:themeColor="text1"/>
          <w:sz w:val="24"/>
          <w14:textFill>
            <w14:solidFill>
              <w14:schemeClr w14:val="tx1"/>
            </w14:solidFill>
          </w14:textFill>
        </w:rPr>
        <w:t>有困难或因全额支付投资人的赎回</w:t>
      </w:r>
      <w:r>
        <w:rPr>
          <w:rFonts w:hint="eastAsia"/>
          <w:bCs/>
          <w:color w:val="000000" w:themeColor="text1"/>
          <w:sz w:val="24"/>
          <w14:textFill>
            <w14:solidFill>
              <w14:schemeClr w14:val="tx1"/>
            </w14:solidFill>
          </w14:textFill>
        </w:rPr>
        <w:t>款项</w:t>
      </w:r>
      <w:r>
        <w:rPr>
          <w:bCs/>
          <w:color w:val="000000" w:themeColor="text1"/>
          <w:sz w:val="24"/>
          <w14:textFill>
            <w14:solidFill>
              <w14:schemeClr w14:val="tx1"/>
            </w14:solidFill>
          </w14:textFill>
        </w:rPr>
        <w:t>而进行的财产变现可能会对基金资产净值造成较大波动</w:t>
      </w:r>
      <w:r>
        <w:rPr>
          <w:rFonts w:hint="eastAsia"/>
          <w:bCs/>
          <w:color w:val="000000" w:themeColor="text1"/>
          <w:sz w:val="24"/>
          <w14:textFill>
            <w14:solidFill>
              <w14:schemeClr w14:val="tx1"/>
            </w14:solidFill>
          </w14:textFill>
        </w:rPr>
        <w:t>的</w:t>
      </w:r>
      <w:r>
        <w:rPr>
          <w:bCs/>
          <w:color w:val="000000" w:themeColor="text1"/>
          <w:sz w:val="24"/>
          <w14:textFill>
            <w14:solidFill>
              <w14:schemeClr w14:val="tx1"/>
            </w14:solidFill>
          </w14:textFill>
        </w:rPr>
        <w:t>，基金管理人在当日</w:t>
      </w:r>
      <w:r>
        <w:rPr>
          <w:rFonts w:hint="eastAsia"/>
          <w:bCs/>
          <w:color w:val="000000" w:themeColor="text1"/>
          <w:sz w:val="24"/>
          <w14:textFill>
            <w14:solidFill>
              <w14:schemeClr w14:val="tx1"/>
            </w14:solidFill>
          </w14:textFill>
        </w:rPr>
        <w:t>按</w:t>
      </w:r>
      <w:r>
        <w:rPr>
          <w:bCs/>
          <w:color w:val="000000" w:themeColor="text1"/>
          <w:sz w:val="24"/>
          <w14:textFill>
            <w14:solidFill>
              <w14:schemeClr w14:val="tx1"/>
            </w14:solidFill>
          </w14:textFill>
        </w:rPr>
        <w:t>比例</w:t>
      </w:r>
      <w:r>
        <w:rPr>
          <w:rFonts w:hint="eastAsia"/>
          <w:bCs/>
          <w:color w:val="000000" w:themeColor="text1"/>
          <w:sz w:val="24"/>
          <w14:textFill>
            <w14:solidFill>
              <w14:schemeClr w14:val="tx1"/>
            </w14:solidFill>
          </w14:textFill>
        </w:rPr>
        <w:t>办理的赎回份额</w:t>
      </w:r>
      <w:r>
        <w:rPr>
          <w:bCs/>
          <w:color w:val="000000" w:themeColor="text1"/>
          <w:sz w:val="24"/>
          <w14:textFill>
            <w14:solidFill>
              <w14:schemeClr w14:val="tx1"/>
            </w14:solidFill>
          </w14:textFill>
        </w:rPr>
        <w:t>不低于基金总份额的</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的</w:t>
      </w:r>
      <w:r>
        <w:rPr>
          <w:rFonts w:hint="eastAsia"/>
          <w:bCs/>
          <w:color w:val="000000" w:themeColor="text1"/>
          <w:sz w:val="24"/>
          <w14:textFill>
            <w14:solidFill>
              <w14:schemeClr w14:val="tx1"/>
            </w14:solidFill>
          </w14:textFill>
        </w:rPr>
        <w:t>情形</w:t>
      </w:r>
      <w:r>
        <w:rPr>
          <w:bCs/>
          <w:color w:val="000000" w:themeColor="text1"/>
          <w:sz w:val="24"/>
          <w14:textFill>
            <w14:solidFill>
              <w14:schemeClr w14:val="tx1"/>
            </w14:solidFill>
          </w14:textFill>
        </w:rPr>
        <w:t>下，可对</w:t>
      </w:r>
      <w:r>
        <w:rPr>
          <w:rFonts w:hint="eastAsia"/>
          <w:bCs/>
          <w:color w:val="000000" w:themeColor="text1"/>
          <w:sz w:val="24"/>
          <w14:textFill>
            <w14:solidFill>
              <w14:schemeClr w14:val="tx1"/>
            </w14:solidFill>
          </w14:textFill>
        </w:rPr>
        <w:t>赎回款项进行延缓支付，但不得超过20个工作日。延缓支付的赎回申请以赎回申请当日的基金份额净值为基础计算赎回金额。</w:t>
      </w:r>
    </w:p>
    <w:p>
      <w:pPr>
        <w:spacing w:line="360" w:lineRule="auto"/>
        <w:ind w:firstLine="420" w:firstLineChars="17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ascii="宋体" w:hAnsi="宋体"/>
          <w:bCs/>
          <w:color w:val="000000" w:themeColor="text1"/>
          <w:sz w:val="24"/>
          <w:szCs w:val="24"/>
          <w14:textFill>
            <w14:solidFill>
              <w14:schemeClr w14:val="tx1"/>
            </w14:solidFill>
          </w14:textFill>
        </w:rPr>
        <w:t>在开放期内，</w:t>
      </w:r>
      <w:r>
        <w:rPr>
          <w:bCs/>
          <w:color w:val="000000" w:themeColor="text1"/>
          <w:sz w:val="24"/>
          <w14:textFill>
            <w14:solidFill>
              <w14:schemeClr w14:val="tx1"/>
            </w14:solidFill>
          </w14:textFill>
        </w:rPr>
        <w:t>如</w:t>
      </w:r>
      <w:r>
        <w:rPr>
          <w:rFonts w:hint="eastAsia"/>
          <w:bCs/>
          <w:color w:val="000000" w:themeColor="text1"/>
          <w:sz w:val="24"/>
          <w14:textFill>
            <w14:solidFill>
              <w14:schemeClr w14:val="tx1"/>
            </w14:solidFill>
          </w14:textFill>
        </w:rPr>
        <w:t>本基金发生巨额赎回且</w:t>
      </w:r>
      <w:r>
        <w:rPr>
          <w:bCs/>
          <w:color w:val="000000" w:themeColor="text1"/>
          <w:sz w:val="24"/>
          <w14:textFill>
            <w14:solidFill>
              <w14:schemeClr w14:val="tx1"/>
            </w14:solidFill>
          </w14:textFill>
        </w:rPr>
        <w:t>单个基金份额持有人</w:t>
      </w:r>
      <w:r>
        <w:rPr>
          <w:rFonts w:hint="eastAsia" w:ascii="宋体" w:hAnsi="宋体"/>
          <w:bCs/>
          <w:color w:val="000000" w:themeColor="text1"/>
          <w:sz w:val="24"/>
          <w:szCs w:val="24"/>
          <w14:textFill>
            <w14:solidFill>
              <w14:schemeClr w14:val="tx1"/>
            </w14:solidFill>
          </w14:textFill>
        </w:rPr>
        <w:t>的单日赎回申请</w:t>
      </w:r>
      <w:r>
        <w:rPr>
          <w:bCs/>
          <w:color w:val="000000" w:themeColor="text1"/>
          <w:sz w:val="24"/>
          <w14:textFill>
            <w14:solidFill>
              <w14:schemeClr w14:val="tx1"/>
            </w14:solidFill>
          </w14:textFill>
        </w:rPr>
        <w:t>超过</w:t>
      </w:r>
      <w:r>
        <w:rPr>
          <w:rFonts w:hint="eastAsia" w:ascii="宋体" w:hAnsi="宋体"/>
          <w:bCs/>
          <w:color w:val="000000" w:themeColor="text1"/>
          <w:sz w:val="24"/>
          <w:szCs w:val="24"/>
          <w14:textFill>
            <w14:solidFill>
              <w14:schemeClr w14:val="tx1"/>
            </w14:solidFill>
          </w14:textFill>
        </w:rPr>
        <w:t>上一工作日</w:t>
      </w:r>
      <w:r>
        <w:rPr>
          <w:bCs/>
          <w:color w:val="000000" w:themeColor="text1"/>
          <w:sz w:val="24"/>
          <w14:textFill>
            <w14:solidFill>
              <w14:schemeClr w14:val="tx1"/>
            </w14:solidFill>
          </w14:textFill>
        </w:rPr>
        <w:t>基金总份额的20%</w:t>
      </w:r>
      <w:r>
        <w:rPr>
          <w:rFonts w:hint="eastAsia"/>
          <w:bCs/>
          <w:color w:val="000000" w:themeColor="text1"/>
          <w:sz w:val="24"/>
          <w14:textFill>
            <w14:solidFill>
              <w14:schemeClr w14:val="tx1"/>
            </w14:solidFill>
          </w14:textFill>
        </w:rPr>
        <w:t>的</w:t>
      </w:r>
      <w:r>
        <w:rPr>
          <w:bCs/>
          <w:color w:val="000000" w:themeColor="text1"/>
          <w:sz w:val="24"/>
          <w14:textFill>
            <w14:solidFill>
              <w14:schemeClr w14:val="tx1"/>
            </w14:solidFill>
          </w14:textFill>
        </w:rPr>
        <w:t>，基金管理人</w:t>
      </w:r>
      <w:r>
        <w:rPr>
          <w:rFonts w:hint="eastAsia" w:ascii="宋体" w:hAnsi="宋体"/>
          <w:bCs/>
          <w:color w:val="000000" w:themeColor="text1"/>
          <w:sz w:val="24"/>
          <w:szCs w:val="24"/>
          <w14:textFill>
            <w14:solidFill>
              <w14:schemeClr w14:val="tx1"/>
            </w14:solidFill>
          </w14:textFill>
        </w:rPr>
        <w:t>有权对</w:t>
      </w:r>
      <w:r>
        <w:rPr>
          <w:bCs/>
          <w:color w:val="000000" w:themeColor="text1"/>
          <w:sz w:val="24"/>
          <w14:textFill>
            <w14:solidFill>
              <w14:schemeClr w14:val="tx1"/>
            </w14:solidFill>
          </w14:textFill>
        </w:rPr>
        <w:t>该单个基金份额</w:t>
      </w:r>
      <w:r>
        <w:rPr>
          <w:rFonts w:hint="eastAsia"/>
          <w:bCs/>
          <w:color w:val="000000" w:themeColor="text1"/>
          <w:sz w:val="24"/>
          <w14:textFill>
            <w14:solidFill>
              <w14:schemeClr w14:val="tx1"/>
            </w14:solidFill>
          </w14:textFill>
        </w:rPr>
        <w:t>持有人</w:t>
      </w:r>
      <w:r>
        <w:rPr>
          <w:rFonts w:hint="eastAsia" w:ascii="宋体" w:hAnsi="宋体"/>
          <w:bCs/>
          <w:color w:val="000000" w:themeColor="text1"/>
          <w:sz w:val="24"/>
          <w:szCs w:val="24"/>
          <w14:textFill>
            <w14:solidFill>
              <w14:schemeClr w14:val="tx1"/>
            </w14:solidFill>
          </w14:textFill>
        </w:rPr>
        <w:t>超出该比例的</w:t>
      </w:r>
      <w:r>
        <w:rPr>
          <w:bCs/>
          <w:color w:val="000000" w:themeColor="text1"/>
          <w:sz w:val="24"/>
          <w14:textFill>
            <w14:solidFill>
              <w14:schemeClr w14:val="tx1"/>
            </w14:solidFill>
          </w14:textFill>
        </w:rPr>
        <w:t>赎回申请实施</w:t>
      </w:r>
      <w:r>
        <w:rPr>
          <w:rFonts w:hint="eastAsia"/>
          <w:bCs/>
          <w:color w:val="000000" w:themeColor="text1"/>
          <w:sz w:val="24"/>
          <w14:textFill>
            <w14:solidFill>
              <w14:schemeClr w14:val="tx1"/>
            </w14:solidFill>
          </w14:textFill>
        </w:rPr>
        <w:t>延期办理，</w:t>
      </w:r>
      <w:r>
        <w:rPr>
          <w:rFonts w:hint="eastAsia" w:ascii="宋体" w:hAnsi="宋体"/>
          <w:bCs/>
          <w:color w:val="000000" w:themeColor="text1"/>
          <w:sz w:val="24"/>
          <w:szCs w:val="24"/>
          <w14:textFill>
            <w14:solidFill>
              <w14:schemeClr w14:val="tx1"/>
            </w14:solidFill>
          </w14:textFill>
        </w:rPr>
        <w:t>对于该单个基金份额持有人的剩余赎回申请基金管理人有权根据前段“（</w:t>
      </w:r>
      <w:r>
        <w:rPr>
          <w:rFonts w:ascii="宋体" w:hAnsi="宋体"/>
          <w:bCs/>
          <w:color w:val="000000" w:themeColor="text1"/>
          <w:sz w:val="24"/>
          <w:szCs w:val="24"/>
          <w14:textFill>
            <w14:solidFill>
              <w14:schemeClr w14:val="tx1"/>
            </w14:solidFill>
          </w14:textFill>
        </w:rPr>
        <w:t>1）全</w:t>
      </w:r>
      <w:r>
        <w:rPr>
          <w:rFonts w:hint="eastAsia" w:ascii="宋体" w:hAnsi="宋体"/>
          <w:bCs/>
          <w:color w:val="000000" w:themeColor="text1"/>
          <w:sz w:val="24"/>
          <w:szCs w:val="24"/>
          <w14:textFill>
            <w14:solidFill>
              <w14:schemeClr w14:val="tx1"/>
            </w14:solidFill>
          </w14:textFill>
        </w:rPr>
        <w:t>额</w:t>
      </w:r>
      <w:r>
        <w:rPr>
          <w:rFonts w:ascii="宋体" w:hAnsi="宋体"/>
          <w:bCs/>
          <w:color w:val="000000" w:themeColor="text1"/>
          <w:sz w:val="24"/>
          <w:szCs w:val="24"/>
          <w14:textFill>
            <w14:solidFill>
              <w14:schemeClr w14:val="tx1"/>
            </w14:solidFill>
          </w14:textFill>
        </w:rPr>
        <w:t>赎回</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或</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延缓支付赎回款项”与其他基金份额持有人的赎回申请一并办理。如延期办理期限超过开放期的，开放期相应延长，延长的开放期内不办理申购，亦不接受新的赎回申请，即基金管理人仅为原开放期内因提交赎回申请超过基金总份额20%以上而被延期办理赎回的单个基金份额持有人办理赎回业务</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巨额赎回的公告</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当发生上述</w:t>
      </w:r>
      <w:r>
        <w:rPr>
          <w:rFonts w:hint="eastAsia"/>
          <w:bCs/>
          <w:color w:val="000000" w:themeColor="text1"/>
          <w:sz w:val="24"/>
          <w14:textFill>
            <w14:solidFill>
              <w14:schemeClr w14:val="tx1"/>
            </w14:solidFill>
          </w14:textFill>
        </w:rPr>
        <w:t>巨额</w:t>
      </w:r>
      <w:r>
        <w:rPr>
          <w:bCs/>
          <w:color w:val="000000" w:themeColor="text1"/>
          <w:sz w:val="24"/>
          <w14:textFill>
            <w14:solidFill>
              <w14:schemeClr w14:val="tx1"/>
            </w14:solidFill>
          </w14:textFill>
        </w:rPr>
        <w:t>赎回并</w:t>
      </w:r>
      <w:r>
        <w:rPr>
          <w:rFonts w:hint="eastAsia"/>
          <w:bCs/>
          <w:color w:val="000000" w:themeColor="text1"/>
          <w:sz w:val="24"/>
          <w14:textFill>
            <w14:solidFill>
              <w14:schemeClr w14:val="tx1"/>
            </w14:solidFill>
          </w14:textFill>
        </w:rPr>
        <w:t>延缓支付赎回款项</w:t>
      </w:r>
      <w:r>
        <w:rPr>
          <w:bCs/>
          <w:color w:val="000000" w:themeColor="text1"/>
          <w:sz w:val="24"/>
          <w14:textFill>
            <w14:solidFill>
              <w14:schemeClr w14:val="tx1"/>
            </w14:solidFill>
          </w14:textFill>
        </w:rPr>
        <w:t>时，基金管理人应当通过邮寄、传真或者招募说明书规定的其他方式在</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个交易日内通知基金份额持有人，说明有关处理方法，</w:t>
      </w:r>
      <w:r>
        <w:rPr>
          <w:rFonts w:hint="eastAsia"/>
          <w:bCs/>
          <w:color w:val="000000" w:themeColor="text1"/>
          <w:sz w:val="24"/>
          <w14:textFill>
            <w14:solidFill>
              <w14:schemeClr w14:val="tx1"/>
            </w14:solidFill>
          </w14:textFill>
        </w:rPr>
        <w:t>并根据《信息披露办法》的规定</w:t>
      </w:r>
      <w:r>
        <w:rPr>
          <w:bCs/>
          <w:color w:val="000000" w:themeColor="text1"/>
          <w:sz w:val="24"/>
          <w14:textFill>
            <w14:solidFill>
              <w14:schemeClr w14:val="tx1"/>
            </w14:solidFill>
          </w14:textFill>
        </w:rPr>
        <w:t>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上刊登公告。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十</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暂停申购或赎回的公告和重新开放申购或赎回的公告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发生上述暂停申购或赎回情况的，基金管理人应在规定期限内在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上刊登暂停公告。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3、以上暂停及恢复基金申购与赎回的公告规定，不适用于基金合同约定的封闭期与开放期运作方式转换引起的暂停或恢复申购与赎回的情形。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十一</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基金转换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十二</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基金的非交易过户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基金的非交易过户是指基金登记机构受理继承、捐赠和司法强制执行</w:t>
      </w:r>
      <w:r>
        <w:rPr>
          <w:rFonts w:hint="eastAsia"/>
          <w:bCs/>
          <w:color w:val="000000" w:themeColor="text1"/>
          <w:sz w:val="24"/>
          <w14:textFill>
            <w14:solidFill>
              <w14:schemeClr w14:val="tx1"/>
            </w14:solidFill>
          </w14:textFill>
        </w:rPr>
        <w:t>等情形</w:t>
      </w:r>
      <w:r>
        <w:rPr>
          <w:bCs/>
          <w:color w:val="000000" w:themeColor="text1"/>
          <w:sz w:val="24"/>
          <w14:textFill>
            <w14:solidFill>
              <w14:schemeClr w14:val="tx1"/>
            </w14:solidFill>
          </w14:textFill>
        </w:rPr>
        <w:t>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十三</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基金的转托管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基金份额持有人可办理已持有基金份额在不同销售机构之间的转托管，基金销售机构可以按照规定的标准收取转托管费。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十四</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基金份额的冻结和解冻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基金登记机构只受理国家有权机关依法要求的基金份额的冻结与解冻，以及登记机构认可、符合法律法规的其他情况下的冻结与解冻。</w:t>
      </w:r>
      <w:r>
        <w:rPr>
          <w:rFonts w:hint="eastAsia"/>
          <w:bCs/>
          <w:color w:val="000000" w:themeColor="text1"/>
          <w:sz w:val="24"/>
          <w14:textFill>
            <w14:solidFill>
              <w14:schemeClr w14:val="tx1"/>
            </w14:solidFill>
          </w14:textFill>
        </w:rPr>
        <w:t>基金份额被冻结的，被冻结部分产生的权益一并冻结，被冻结部分份额仍然参与收益分配与支付。法律法规另有规定的除外。</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十五、</w:t>
      </w:r>
      <w:r>
        <w:rPr>
          <w:bCs/>
          <w:color w:val="000000" w:themeColor="text1"/>
          <w:sz w:val="24"/>
          <w14:textFill>
            <w14:solidFill>
              <w14:schemeClr w14:val="tx1"/>
            </w14:solidFill>
          </w14:textFill>
        </w:rPr>
        <w:t>基金份额的转让</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十六、实施侧袋机制期间本基金的申购与赎回</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本基金实施侧袋机制的，本基金的申购和赎回安排详见招募说明书或相关公告。</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七、在不违反法律法规且对基金份额持有人利益无实质不利影响的前提下，基金管理人可根据具体情况对上述申购和赎回以及相关业务的安排进行补充和调整，或者办理基金份额的转让、过户、质押等业务，届时无须召开基金份额持有人大会审议但须提前公告。</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128" w:name="_Toc29251"/>
      <w:bookmarkStart w:id="129" w:name="_Toc26207"/>
      <w:bookmarkStart w:id="130" w:name="_Toc14835"/>
      <w:bookmarkStart w:id="131" w:name="_Toc95997118"/>
      <w:bookmarkStart w:id="132" w:name="_Toc123112235"/>
      <w:bookmarkStart w:id="133" w:name="_Toc98560353"/>
      <w:bookmarkStart w:id="134" w:name="_Toc15143"/>
      <w:bookmarkStart w:id="135" w:name="_Toc123102454"/>
      <w:bookmarkStart w:id="136" w:name="_Toc12245"/>
      <w:bookmarkStart w:id="137" w:name="_Toc31235"/>
      <w:bookmarkStart w:id="138" w:name="_Toc31653"/>
      <w:bookmarkStart w:id="139" w:name="_Toc3601"/>
      <w:bookmarkStart w:id="140" w:name="_Toc139991737"/>
      <w:bookmarkStart w:id="141" w:name="_Toc123051453"/>
      <w:bookmarkStart w:id="142" w:name="_Toc31644"/>
      <w:bookmarkStart w:id="143" w:name="_Toc141703887"/>
      <w:bookmarkStart w:id="144" w:name="_Toc6405"/>
      <w:r>
        <w:rPr>
          <w:rFonts w:ascii="Times New Roman"/>
          <w:color w:val="000000" w:themeColor="text1"/>
          <w:sz w:val="30"/>
          <w14:textFill>
            <w14:solidFill>
              <w14:schemeClr w14:val="tx1"/>
            </w14:solidFill>
          </w14:textFill>
        </w:rPr>
        <w:t>第七部分  基金合同当事人及权利义务</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Start w:id="145" w:name="_Hlt55355235"/>
      <w:bookmarkEnd w:id="145"/>
      <w:bookmarkStart w:id="146" w:name="_Toc523711668"/>
      <w:bookmarkStart w:id="147" w:name="_Toc15118234"/>
      <w:bookmarkStart w:id="148" w:name="_Toc79392580"/>
      <w:bookmarkStart w:id="149" w:name="_Toc57530239"/>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w:t>
      </w:r>
      <w:bookmarkEnd w:id="146"/>
      <w:r>
        <w:rPr>
          <w:bCs/>
          <w:color w:val="000000" w:themeColor="text1"/>
          <w:sz w:val="24"/>
          <w14:textFill>
            <w14:solidFill>
              <w14:schemeClr w14:val="tx1"/>
            </w14:solidFill>
          </w14:textFill>
        </w:rPr>
        <w:t>管理人</w:t>
      </w:r>
      <w:bookmarkEnd w:id="147"/>
      <w:bookmarkEnd w:id="148"/>
      <w:bookmarkEnd w:id="149"/>
      <w:bookmarkStart w:id="150" w:name="_Toc15118235"/>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基金管理人简况</w:t>
      </w:r>
      <w:bookmarkEnd w:id="150"/>
    </w:p>
    <w:p>
      <w:pPr>
        <w:spacing w:line="360" w:lineRule="auto"/>
        <w:ind w:firstLine="480" w:firstLineChars="200"/>
        <w:rPr>
          <w:bCs/>
          <w:color w:val="000000" w:themeColor="text1"/>
          <w:sz w:val="24"/>
          <w14:textFill>
            <w14:solidFill>
              <w14:schemeClr w14:val="tx1"/>
            </w14:solidFill>
          </w14:textFill>
        </w:rPr>
      </w:pPr>
      <w:bookmarkStart w:id="151" w:name="_Toc15118236"/>
      <w:bookmarkStart w:id="152" w:name="_Toc15118237"/>
      <w:r>
        <w:rPr>
          <w:bCs/>
          <w:color w:val="000000" w:themeColor="text1"/>
          <w:sz w:val="24"/>
          <w14:textFill>
            <w14:solidFill>
              <w14:schemeClr w14:val="tx1"/>
            </w14:solidFill>
          </w14:textFill>
        </w:rPr>
        <w:t>名称：</w:t>
      </w:r>
      <w:bookmarkEnd w:id="151"/>
      <w:r>
        <w:rPr>
          <w:rFonts w:hint="eastAsia"/>
          <w:bCs/>
          <w:color w:val="000000" w:themeColor="text1"/>
          <w:sz w:val="24"/>
          <w:lang w:eastAsia="zh-CN"/>
          <w14:textFill>
            <w14:solidFill>
              <w14:schemeClr w14:val="tx1"/>
            </w14:solidFill>
          </w14:textFill>
        </w:rPr>
        <w:t>国新国证</w:t>
      </w:r>
      <w:r>
        <w:rPr>
          <w:rFonts w:hint="eastAsia"/>
          <w:bCs/>
          <w:color w:val="000000" w:themeColor="text1"/>
          <w:sz w:val="24"/>
          <w14:textFill>
            <w14:solidFill>
              <w14:schemeClr w14:val="tx1"/>
            </w14:solidFill>
          </w14:textFill>
        </w:rPr>
        <w:t>基金管理有限公司</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住所：</w:t>
      </w:r>
      <w:r>
        <w:rPr>
          <w:rFonts w:hint="eastAsia"/>
          <w:bCs/>
          <w:color w:val="000000" w:themeColor="text1"/>
          <w:sz w:val="24"/>
          <w14:textFill>
            <w14:solidFill>
              <w14:schemeClr w14:val="tx1"/>
            </w14:solidFill>
          </w14:textFill>
        </w:rPr>
        <w:t>中国（河北）自由贸易试验区雄安片区容城县雄安市民服务中心企业办公区</w:t>
      </w: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栋一层</w:t>
      </w:r>
      <w:r>
        <w:rPr>
          <w:bCs/>
          <w:color w:val="000000" w:themeColor="text1"/>
          <w:sz w:val="24"/>
          <w14:textFill>
            <w14:solidFill>
              <w14:schemeClr w14:val="tx1"/>
            </w14:solidFill>
          </w14:textFill>
        </w:rPr>
        <w:t>108</w:t>
      </w:r>
      <w:r>
        <w:rPr>
          <w:rFonts w:hint="eastAsia"/>
          <w:bCs/>
          <w:color w:val="000000" w:themeColor="text1"/>
          <w:sz w:val="24"/>
          <w14:textFill>
            <w14:solidFill>
              <w14:schemeClr w14:val="tx1"/>
            </w14:solidFill>
          </w14:textFill>
        </w:rPr>
        <w:t>单元</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法定代表人：</w:t>
      </w:r>
      <w:r>
        <w:rPr>
          <w:rFonts w:hint="eastAsia"/>
          <w:bCs/>
          <w:color w:val="000000" w:themeColor="text1"/>
          <w:sz w:val="24"/>
          <w:szCs w:val="22"/>
          <w14:textFill>
            <w14:solidFill>
              <w14:schemeClr w14:val="tx1"/>
            </w14:solidFill>
          </w14:textFill>
        </w:rPr>
        <w:t>杨铭海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设立日期：</w:t>
      </w:r>
      <w:r>
        <w:rPr>
          <w:bCs/>
          <w:color w:val="000000" w:themeColor="text1"/>
          <w:sz w:val="24"/>
          <w:szCs w:val="22"/>
          <w14:textFill>
            <w14:solidFill>
              <w14:schemeClr w14:val="tx1"/>
            </w14:solidFill>
          </w14:textFill>
        </w:rPr>
        <w:t>2019</w:t>
      </w:r>
      <w:r>
        <w:rPr>
          <w:rFonts w:hint="eastAsia"/>
          <w:bCs/>
          <w:color w:val="000000" w:themeColor="text1"/>
          <w:sz w:val="24"/>
          <w:szCs w:val="22"/>
          <w14:textFill>
            <w14:solidFill>
              <w14:schemeClr w14:val="tx1"/>
            </w14:solidFill>
          </w14:textFill>
        </w:rPr>
        <w:t>年</w:t>
      </w:r>
      <w:r>
        <w:rPr>
          <w:bCs/>
          <w:color w:val="000000" w:themeColor="text1"/>
          <w:sz w:val="24"/>
          <w:szCs w:val="22"/>
          <w14:textFill>
            <w14:solidFill>
              <w14:schemeClr w14:val="tx1"/>
            </w14:solidFill>
          </w14:textFill>
        </w:rPr>
        <w:t>3</w:t>
      </w:r>
      <w:r>
        <w:rPr>
          <w:rFonts w:hint="eastAsia"/>
          <w:bCs/>
          <w:color w:val="000000" w:themeColor="text1"/>
          <w:sz w:val="24"/>
          <w:szCs w:val="22"/>
          <w14:textFill>
            <w14:solidFill>
              <w14:schemeClr w14:val="tx1"/>
            </w14:solidFill>
          </w14:textFill>
        </w:rPr>
        <w:t>月</w:t>
      </w:r>
      <w:r>
        <w:rPr>
          <w:bCs/>
          <w:color w:val="000000" w:themeColor="text1"/>
          <w:sz w:val="24"/>
          <w:szCs w:val="22"/>
          <w14:textFill>
            <w14:solidFill>
              <w14:schemeClr w14:val="tx1"/>
            </w14:solidFill>
          </w14:textFill>
        </w:rPr>
        <w:t>1</w:t>
      </w:r>
      <w:r>
        <w:rPr>
          <w:rFonts w:hint="eastAsia"/>
          <w:bCs/>
          <w:color w:val="000000" w:themeColor="text1"/>
          <w:sz w:val="24"/>
          <w:szCs w:val="22"/>
          <w14:textFill>
            <w14:solidFill>
              <w14:schemeClr w14:val="tx1"/>
            </w14:solidFill>
          </w14:textFill>
        </w:rPr>
        <w:t>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批准设立机关及批准设立文号：</w:t>
      </w:r>
      <w:r>
        <w:rPr>
          <w:rFonts w:hint="eastAsia" w:ascii="宋体" w:hAnsi="宋体"/>
          <w:bCs/>
          <w:color w:val="000000" w:themeColor="text1"/>
          <w:sz w:val="24"/>
          <w:szCs w:val="24"/>
          <w14:textFill>
            <w14:solidFill>
              <w14:schemeClr w14:val="tx1"/>
            </w14:solidFill>
          </w14:textFill>
        </w:rPr>
        <w:t>中国证监会证监许可</w:t>
      </w:r>
      <w:r>
        <w:rPr>
          <w:rFonts w:ascii="宋体" w:hAnsi="宋体"/>
          <w:bCs/>
          <w:color w:val="000000" w:themeColor="text1"/>
          <w:sz w:val="24"/>
          <w:szCs w:val="24"/>
          <w14:textFill>
            <w14:solidFill>
              <w14:schemeClr w14:val="tx1"/>
            </w14:solidFill>
          </w14:textFill>
        </w:rPr>
        <w:t>[2018]2163</w:t>
      </w:r>
      <w:r>
        <w:rPr>
          <w:rFonts w:hint="eastAsia" w:ascii="宋体" w:hAnsi="宋体"/>
          <w:bCs/>
          <w:color w:val="000000" w:themeColor="text1"/>
          <w:sz w:val="24"/>
          <w:szCs w:val="24"/>
          <w14:textFill>
            <w14:solidFill>
              <w14:schemeClr w14:val="tx1"/>
            </w14:solidFill>
          </w14:textFill>
        </w:rPr>
        <w:t>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组织形式：</w:t>
      </w:r>
      <w:r>
        <w:rPr>
          <w:rFonts w:hint="eastAsia"/>
          <w:bCs/>
          <w:color w:val="000000" w:themeColor="text1"/>
          <w:sz w:val="24"/>
          <w14:textFill>
            <w14:solidFill>
              <w14:schemeClr w14:val="tx1"/>
            </w14:solidFill>
          </w14:textFill>
        </w:rPr>
        <w:t>有限责任公司</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注册资本：</w:t>
      </w:r>
      <w:r>
        <w:rPr>
          <w:rFonts w:hint="eastAsia"/>
          <w:bCs/>
          <w:color w:val="000000" w:themeColor="text1"/>
          <w:sz w:val="24"/>
          <w14:textFill>
            <w14:solidFill>
              <w14:schemeClr w14:val="tx1"/>
            </w14:solidFill>
          </w14:textFill>
        </w:rPr>
        <w:t>人民币贰亿元整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存续期限：</w:t>
      </w:r>
      <w:r>
        <w:rPr>
          <w:rFonts w:hint="eastAsia"/>
          <w:bCs/>
          <w:color w:val="000000" w:themeColor="text1"/>
          <w:sz w:val="24"/>
          <w14:textFill>
            <w14:solidFill>
              <w14:schemeClr w14:val="tx1"/>
            </w14:solidFill>
          </w14:textFill>
        </w:rPr>
        <w:t>永续经营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联系电话：</w:t>
      </w:r>
      <w:r>
        <w:rPr>
          <w:bCs/>
          <w:color w:val="000000" w:themeColor="text1"/>
          <w:sz w:val="24"/>
          <w:szCs w:val="22"/>
          <w14:textFill>
            <w14:solidFill>
              <w14:schemeClr w14:val="tx1"/>
            </w14:solidFill>
          </w14:textFill>
        </w:rPr>
        <w:t>400-819-0789</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w:t>
      </w:r>
      <w:r>
        <w:rPr>
          <w:bCs/>
          <w:color w:val="000000" w:themeColor="text1"/>
          <w:sz w:val="24"/>
          <w14:textFill>
            <w14:solidFill>
              <w14:schemeClr w14:val="tx1"/>
            </w14:solidFill>
          </w14:textFill>
        </w:rPr>
        <w:t>基金管理人的权利与义务</w:t>
      </w:r>
      <w:bookmarkEnd w:id="152"/>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1、根据《基金法》、《运作办法》及其他有关规定，基金管理人的权利包括但不限于：</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（1）依法募集</w:t>
      </w:r>
      <w:r>
        <w:rPr>
          <w:rFonts w:hint="eastAsia"/>
          <w:bCs/>
          <w:color w:val="000000" w:themeColor="text1"/>
          <w:sz w:val="24"/>
          <w14:textFill>
            <w14:solidFill>
              <w14:schemeClr w14:val="tx1"/>
            </w14:solidFill>
          </w14:textFill>
        </w:rPr>
        <w:t>资</w:t>
      </w:r>
      <w:r>
        <w:rPr>
          <w:bCs/>
          <w:color w:val="000000" w:themeColor="text1"/>
          <w:sz w:val="24"/>
          <w14:textFill>
            <w14:solidFill>
              <w14:schemeClr w14:val="tx1"/>
            </w14:solidFill>
          </w14:textFill>
        </w:rPr>
        <w:t>金；</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（2）自《基金合同》生效之日起，根据法律法规和《基金合同》独立运用并管理基金财产；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（3）依照《基金合同》收取基金管理费以及法律法规规定或中国证监会批准的其他费用；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（4）销售基金份额；</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bookmarkStart w:id="153" w:name="_Hlt88896155"/>
      <w:r>
        <w:rPr>
          <w:rFonts w:hint="eastAsia"/>
          <w:bCs/>
          <w:color w:val="000000" w:themeColor="text1"/>
          <w:sz w:val="24"/>
          <w14:textFill>
            <w14:solidFill>
              <w14:schemeClr w14:val="tx1"/>
            </w14:solidFill>
          </w14:textFill>
        </w:rPr>
        <w:t>按照规定</w:t>
      </w:r>
      <w:r>
        <w:rPr>
          <w:bCs/>
          <w:color w:val="000000" w:themeColor="text1"/>
          <w:sz w:val="24"/>
          <w14:textFill>
            <w14:solidFill>
              <w14:schemeClr w14:val="tx1"/>
            </w14:solidFill>
          </w14:textFill>
        </w:rPr>
        <w:t>召集</w:t>
      </w:r>
      <w:bookmarkEnd w:id="153"/>
      <w:r>
        <w:rPr>
          <w:bCs/>
          <w:color w:val="000000" w:themeColor="text1"/>
          <w:sz w:val="24"/>
          <w14:textFill>
            <w14:solidFill>
              <w14:schemeClr w14:val="tx1"/>
            </w14:solidFill>
          </w14:textFill>
        </w:rPr>
        <w:t>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（7）在基金托管人更换时，提名新的基金托管人；</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（8）选择、更换基金销售机构，对基金销售机构的相关行为进行监督和处理；</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（9）担任或委托其他符合条件的机构担任基金登记机构办理基金登记业务并获得《基金合同》规定的费用；</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（10）依据《基金合同》及有关法律规定决定基金收益的分配方案；</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（11）在《基金合同》约定的范围内，拒绝或暂停受理申购</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赎回或转换申请；</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（12）依照法律法规为基金的利益对被投资公司行使</w:t>
      </w:r>
      <w:r>
        <w:rPr>
          <w:rFonts w:hint="eastAsia"/>
          <w:bCs/>
          <w:color w:val="000000" w:themeColor="text1"/>
          <w:sz w:val="24"/>
          <w14:textFill>
            <w14:solidFill>
              <w14:schemeClr w14:val="tx1"/>
            </w14:solidFill>
          </w14:textFill>
        </w:rPr>
        <w:t>证券持有人</w:t>
      </w:r>
      <w:r>
        <w:rPr>
          <w:bCs/>
          <w:color w:val="000000" w:themeColor="text1"/>
          <w:sz w:val="24"/>
          <w14:textFill>
            <w14:solidFill>
              <w14:schemeClr w14:val="tx1"/>
            </w14:solidFill>
          </w14:textFill>
        </w:rPr>
        <w:t>权利，为基金的利益行使因基金财产投资于证券所产生的权利；</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（13）在法律法规允许的前提下，为基金的利益依法为基金进行融资； </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（14）以基金管理人的名义，代表基金份额持有人的利益行使诉讼权利或者实施其他法律行为；</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（15）选择、更换律师事务所、会计师事务所、证券经纪商或其他为基金提供服务的外部机构；</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（16）在符合有关法律、法规的前提下，制订和调整有关基金认购、申购、赎回、转换和非交易过户</w:t>
      </w:r>
      <w:r>
        <w:rPr>
          <w:rFonts w:hint="eastAsia"/>
          <w:bCs/>
          <w:color w:val="000000" w:themeColor="text1"/>
          <w:sz w:val="24"/>
          <w14:textFill>
            <w14:solidFill>
              <w14:schemeClr w14:val="tx1"/>
            </w14:solidFill>
          </w14:textFill>
        </w:rPr>
        <w:t>等</w:t>
      </w:r>
      <w:r>
        <w:rPr>
          <w:bCs/>
          <w:color w:val="000000" w:themeColor="text1"/>
          <w:sz w:val="24"/>
          <w14:textFill>
            <w14:solidFill>
              <w14:schemeClr w14:val="tx1"/>
            </w14:solidFill>
          </w14:textFill>
        </w:rPr>
        <w:t>业务规则；</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（17）法律法规及中国证监会规定的和《基金合同》约定的其他权利。</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2、根据《基金法》、《运作办法》及其他有关规定，基金管理人的义务包括但不限于：</w:t>
      </w:r>
    </w:p>
    <w:p>
      <w:pPr>
        <w:spacing w:line="440" w:lineRule="atLeast"/>
        <w:ind w:firstLine="480" w:firstLineChars="200"/>
        <w:rPr>
          <w:bCs/>
          <w:color w:val="000000" w:themeColor="text1"/>
          <w:sz w:val="24"/>
          <w14:textFill>
            <w14:solidFill>
              <w14:schemeClr w14:val="tx1"/>
            </w14:solidFill>
          </w14:textFill>
        </w:rPr>
      </w:pPr>
      <w:bookmarkStart w:id="154" w:name="_Toc523711669"/>
      <w:r>
        <w:rPr>
          <w:bCs/>
          <w:color w:val="000000" w:themeColor="text1"/>
          <w:sz w:val="24"/>
          <w14:textFill>
            <w14:solidFill>
              <w14:schemeClr w14:val="tx1"/>
            </w14:solidFill>
          </w14:textFill>
        </w:rPr>
        <w:t>（1）依法募集</w:t>
      </w:r>
      <w:r>
        <w:rPr>
          <w:rFonts w:hint="eastAsia"/>
          <w:bCs/>
          <w:color w:val="000000" w:themeColor="text1"/>
          <w:sz w:val="24"/>
          <w14:textFill>
            <w14:solidFill>
              <w14:schemeClr w14:val="tx1"/>
            </w14:solidFill>
          </w14:textFill>
        </w:rPr>
        <w:t>资</w:t>
      </w:r>
      <w:r>
        <w:rPr>
          <w:bCs/>
          <w:color w:val="000000" w:themeColor="text1"/>
          <w:sz w:val="24"/>
          <w14:textFill>
            <w14:solidFill>
              <w14:schemeClr w14:val="tx1"/>
            </w14:solidFill>
          </w14:textFill>
        </w:rPr>
        <w:t>金，办理或者委托经中国证监会认定的其他机构代为办理基金份额的发售、申购、赎回和登记事宜；</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（2）办理基金备案手续；</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（3）自《基金合同》生效之日起,以诚实信用、谨慎勤勉的原则管理和运用基金财产；</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（4）配备足够的具有专业资格的人员进行基金投资分析、决策，以专业化的经营方式管理和运作基金财产；</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（6）除依据《基金法》、《基金合同》及其他有关规定外,不得利用基金财产为自己及任何第三人谋取利益，不得委托第三人运作基金财产；</w:t>
      </w:r>
      <w:bookmarkStart w:id="155" w:name="_Hlt88897298"/>
      <w:bookmarkEnd w:id="155"/>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（7）依法接受基金托管人的监督；</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（9）进行基金会计核算并编制基金财务会计报告；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（10）编制季度报告、</w:t>
      </w:r>
      <w:r>
        <w:rPr>
          <w:rFonts w:hint="eastAsia"/>
          <w:bCs/>
          <w:color w:val="000000" w:themeColor="text1"/>
          <w:sz w:val="24"/>
          <w14:textFill>
            <w14:solidFill>
              <w14:schemeClr w14:val="tx1"/>
            </w14:solidFill>
          </w14:textFill>
        </w:rPr>
        <w:t>中期报告</w:t>
      </w:r>
      <w:r>
        <w:rPr>
          <w:bCs/>
          <w:color w:val="000000" w:themeColor="text1"/>
          <w:sz w:val="24"/>
          <w14:textFill>
            <w14:solidFill>
              <w14:schemeClr w14:val="tx1"/>
            </w14:solidFill>
          </w14:textFill>
        </w:rPr>
        <w:t>和年度报告；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（11）严格按照《基金法》、</w:t>
      </w:r>
      <w:r>
        <w:rPr>
          <w:rFonts w:hint="eastAsia"/>
          <w:bCs/>
          <w:color w:val="000000" w:themeColor="text1"/>
          <w:sz w:val="24"/>
          <w14:textFill>
            <w14:solidFill>
              <w14:schemeClr w14:val="tx1"/>
            </w14:solidFill>
          </w14:textFill>
        </w:rPr>
        <w:t>《信息披露办法》、</w:t>
      </w:r>
      <w:r>
        <w:rPr>
          <w:bCs/>
          <w:color w:val="000000" w:themeColor="text1"/>
          <w:sz w:val="24"/>
          <w14:textFill>
            <w14:solidFill>
              <w14:schemeClr w14:val="tx1"/>
            </w14:solidFill>
          </w14:textFill>
        </w:rPr>
        <w:t>《基金合同》及其他有关规定，履行信息披露及报告义务；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（12）保守基金商业秘密，不泄露基金投资计划、投资意向等。除《基金法》、</w:t>
      </w:r>
      <w:r>
        <w:rPr>
          <w:rFonts w:hint="eastAsia"/>
          <w:bCs/>
          <w:color w:val="000000" w:themeColor="text1"/>
          <w:sz w:val="24"/>
          <w14:textFill>
            <w14:solidFill>
              <w14:schemeClr w14:val="tx1"/>
            </w14:solidFill>
          </w14:textFill>
        </w:rPr>
        <w:t>《信息披露办法》、</w:t>
      </w:r>
      <w:r>
        <w:rPr>
          <w:bCs/>
          <w:color w:val="000000" w:themeColor="text1"/>
          <w:sz w:val="24"/>
          <w14:textFill>
            <w14:solidFill>
              <w14:schemeClr w14:val="tx1"/>
            </w14:solidFill>
          </w14:textFill>
        </w:rPr>
        <w:t>《基金合同》及其他有关规定另有规定外，在基金信息公开披露前应予保密，不向他人泄露；</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（13）按《基金合同》的约定确定基金收益分配方案，及时向基金份额持有人分配基金收益；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（14）按规定受理申购与赎回申请，及时、足额支付赎回款项；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（15）依据《基金法》、《基金合同》及其他有关规定召集基金份额持有人大会或配合基金托管人、基金份额持有人依法召集基金份额持有人大会；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（16）按规定保存基金财产管理业务活动的会计账册、报表、记录和其他相关资料</w:t>
      </w:r>
      <w:r>
        <w:rPr>
          <w:rFonts w:hint="eastAsia"/>
          <w:bCs/>
          <w:color w:val="000000" w:themeColor="text1"/>
          <w:sz w:val="24"/>
          <w14:textFill>
            <w14:solidFill>
              <w14:schemeClr w14:val="tx1"/>
            </w14:solidFill>
          </w14:textFill>
        </w:rPr>
        <w:t>，保存期限不低于法律法规规定的最低期限</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（18）组织并参加基金财产清算小组,参与基金财产的保管、清理、估价、变现和分配；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（19）面临解散、依法被撤销或者被依法宣告破产时，及时报告中国证监会并通知基金托管人；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（20）因违反《基金合同》导致基金财产的损失或损害基金份额持有人合法权益时，应当承担赔偿责任，其赔偿责任不因其退任而免除；</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（22）当基金管理人将其义务委托第三方处理时，应当对第三方处理有关基金事务的行为承担责任；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（23）以基金管理人名义，代表基金份额持有人利益行使诉讼权利或实施其他法律行为；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（24）基金在募集期间未能达到基金</w:t>
      </w:r>
      <w:bookmarkStart w:id="156" w:name="_Hlt88823209"/>
      <w:bookmarkEnd w:id="156"/>
      <w:r>
        <w:rPr>
          <w:bCs/>
          <w:color w:val="000000" w:themeColor="text1"/>
          <w:sz w:val="24"/>
          <w14:textFill>
            <w14:solidFill>
              <w14:schemeClr w14:val="tx1"/>
            </w14:solidFill>
          </w14:textFill>
        </w:rPr>
        <w:t>的备案条件，《基金合同》不能生效，基金管理人承担全部募集费用，将已募集资金并加计银行同期活期存款利息在基金募集期结束后</w:t>
      </w:r>
      <w:r>
        <w:rPr>
          <w:rFonts w:hint="eastAsia"/>
          <w:bCs/>
          <w:color w:val="000000" w:themeColor="text1"/>
          <w:sz w:val="24"/>
          <w14:textFill>
            <w14:solidFill>
              <w14:schemeClr w14:val="tx1"/>
            </w14:solidFill>
          </w14:textFill>
        </w:rPr>
        <w:t>30</w:t>
      </w:r>
      <w:r>
        <w:rPr>
          <w:bCs/>
          <w:color w:val="000000" w:themeColor="text1"/>
          <w:sz w:val="24"/>
          <w14:textFill>
            <w14:solidFill>
              <w14:schemeClr w14:val="tx1"/>
            </w14:solidFill>
          </w14:textFill>
        </w:rPr>
        <w:t>日内退还基金认购人；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（25）执行生效的基金份额持有人大会的</w:t>
      </w:r>
      <w:r>
        <w:rPr>
          <w:rFonts w:hint="eastAsia"/>
          <w:bCs/>
          <w:color w:val="000000" w:themeColor="text1"/>
          <w:sz w:val="24"/>
          <w14:textFill>
            <w14:solidFill>
              <w14:schemeClr w14:val="tx1"/>
            </w14:solidFill>
          </w14:textFill>
        </w:rPr>
        <w:t>决议</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（26）建立并保存基金份额持有人名册；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（27）法律法规及中国证监会规定的和《基金合同》约定的其他义务。</w:t>
      </w:r>
    </w:p>
    <w:p>
      <w:pPr>
        <w:spacing w:line="360" w:lineRule="auto"/>
        <w:ind w:firstLine="480" w:firstLineChars="200"/>
        <w:rPr>
          <w:bCs/>
          <w:color w:val="000000" w:themeColor="text1"/>
          <w:sz w:val="24"/>
          <w14:textFill>
            <w14:solidFill>
              <w14:schemeClr w14:val="tx1"/>
            </w14:solidFill>
          </w14:textFill>
        </w:rPr>
      </w:pPr>
      <w:bookmarkStart w:id="157" w:name="_Toc79392581"/>
      <w:bookmarkStart w:id="158" w:name="_Toc57530240"/>
      <w:bookmarkStart w:id="159" w:name="_Toc15118238"/>
      <w:r>
        <w:rPr>
          <w:bCs/>
          <w:color w:val="000000" w:themeColor="text1"/>
          <w:sz w:val="24"/>
          <w14:textFill>
            <w14:solidFill>
              <w14:schemeClr w14:val="tx1"/>
            </w14:solidFill>
          </w14:textFill>
        </w:rPr>
        <w:t>二、基金托管人</w:t>
      </w:r>
      <w:bookmarkEnd w:id="154"/>
      <w:bookmarkEnd w:id="157"/>
      <w:bookmarkEnd w:id="158"/>
      <w:bookmarkEnd w:id="159"/>
      <w:bookmarkStart w:id="160" w:name="_Toc15118239"/>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基金托管人简况</w:t>
      </w:r>
      <w:bookmarkEnd w:id="160"/>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名称：</w:t>
      </w:r>
      <w:r>
        <w:rPr>
          <w:rFonts w:hint="eastAsia"/>
          <w:bCs/>
          <w:color w:val="000000" w:themeColor="text1"/>
          <w:sz w:val="24"/>
          <w14:textFill>
            <w14:solidFill>
              <w14:schemeClr w14:val="tx1"/>
            </w14:solidFill>
          </w14:textFill>
        </w:rPr>
        <w:t>上海浦东发展银行股份有限公司</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住所：</w:t>
      </w:r>
      <w:r>
        <w:rPr>
          <w:rFonts w:hint="eastAsia"/>
          <w:bCs/>
          <w:color w:val="000000" w:themeColor="text1"/>
          <w:sz w:val="24"/>
          <w14:textFill>
            <w14:solidFill>
              <w14:schemeClr w14:val="tx1"/>
            </w14:solidFill>
          </w14:textFill>
        </w:rPr>
        <w:t>上海市中山东一路12号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法定代表人：</w:t>
      </w:r>
      <w:r>
        <w:rPr>
          <w:rFonts w:hint="eastAsia"/>
          <w:bCs/>
          <w:color w:val="000000" w:themeColor="text1"/>
          <w:sz w:val="24"/>
          <w14:textFill>
            <w14:solidFill>
              <w14:schemeClr w14:val="tx1"/>
            </w14:solidFill>
          </w14:textFill>
        </w:rPr>
        <w:t>郑杨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成立时间：</w:t>
      </w:r>
      <w:r>
        <w:rPr>
          <w:rFonts w:hint="eastAsia"/>
          <w:bCs/>
          <w:color w:val="000000" w:themeColor="text1"/>
          <w:sz w:val="24"/>
          <w14:textFill>
            <w14:solidFill>
              <w14:schemeClr w14:val="tx1"/>
            </w14:solidFill>
          </w14:textFill>
        </w:rPr>
        <w:t>1992年10月19日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批准设立机关和批准设立文号：</w:t>
      </w:r>
      <w:r>
        <w:rPr>
          <w:rFonts w:hint="eastAsia"/>
          <w:bCs/>
          <w:color w:val="000000" w:themeColor="text1"/>
          <w:sz w:val="24"/>
          <w14:textFill>
            <w14:solidFill>
              <w14:schemeClr w14:val="tx1"/>
            </w14:solidFill>
          </w14:textFill>
        </w:rPr>
        <w:t>中国人民银行，银复1992（601）号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组织形式：</w:t>
      </w:r>
      <w:r>
        <w:rPr>
          <w:rFonts w:hint="eastAsia"/>
          <w:bCs/>
          <w:color w:val="000000" w:themeColor="text1"/>
          <w:sz w:val="24"/>
          <w14:textFill>
            <w14:solidFill>
              <w14:schemeClr w14:val="tx1"/>
            </w14:solidFill>
          </w14:textFill>
        </w:rPr>
        <w:t>股份有限公司（上市）</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注册资本：</w:t>
      </w:r>
      <w:r>
        <w:rPr>
          <w:rFonts w:hint="eastAsia"/>
          <w:bCs/>
          <w:color w:val="000000" w:themeColor="text1"/>
          <w:sz w:val="24"/>
          <w14:textFill>
            <w14:solidFill>
              <w14:schemeClr w14:val="tx1"/>
            </w14:solidFill>
          </w14:textFill>
        </w:rPr>
        <w:t>人民币293.52亿元</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存续期间：</w:t>
      </w:r>
      <w:r>
        <w:rPr>
          <w:rFonts w:hint="eastAsia"/>
          <w:bCs/>
          <w:color w:val="000000" w:themeColor="text1"/>
          <w:sz w:val="24"/>
          <w14:textFill>
            <w14:solidFill>
              <w14:schemeClr w14:val="tx1"/>
            </w14:solidFill>
          </w14:textFill>
        </w:rPr>
        <w:t>持续经营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基金托管资格批文及文号：</w:t>
      </w:r>
      <w:r>
        <w:rPr>
          <w:rFonts w:hint="eastAsia"/>
          <w:bCs/>
          <w:color w:val="000000" w:themeColor="text1"/>
          <w:sz w:val="24"/>
          <w14:textFill>
            <w14:solidFill>
              <w14:schemeClr w14:val="tx1"/>
            </w14:solidFill>
          </w14:textFill>
        </w:rPr>
        <w:t>证监基金字[2003]105号</w:t>
      </w:r>
      <w:bookmarkStart w:id="161" w:name="_Toc15118240"/>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w:t>
      </w:r>
      <w:r>
        <w:rPr>
          <w:bCs/>
          <w:color w:val="000000" w:themeColor="text1"/>
          <w:sz w:val="24"/>
          <w14:textFill>
            <w14:solidFill>
              <w14:schemeClr w14:val="tx1"/>
            </w14:solidFill>
          </w14:textFill>
        </w:rPr>
        <w:t>基金托管人的权利与义务</w:t>
      </w:r>
      <w:bookmarkEnd w:id="161"/>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1、根据《基金法》、《运作办法》及其他有关规定，基金托管人的权利包括但不限于：</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（1）自《基金合同》生效之日起，依法律法规和《基金合同》的规定安全保管基金财产；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（2）依《基金合同》约定获得基金托管费以及法律法规规定或监管部门批准的其他费用；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（4）根据相关市场规则，为基金开设</w:t>
      </w:r>
      <w:r>
        <w:rPr>
          <w:rFonts w:hint="eastAsia"/>
          <w:bCs/>
          <w:color w:val="000000" w:themeColor="text1"/>
          <w:sz w:val="24"/>
          <w:szCs w:val="24"/>
          <w14:textFill>
            <w14:solidFill>
              <w14:schemeClr w14:val="tx1"/>
            </w14:solidFill>
          </w14:textFill>
        </w:rPr>
        <w:t>资金</w:t>
      </w:r>
      <w:r>
        <w:rPr>
          <w:bCs/>
          <w:color w:val="000000" w:themeColor="text1"/>
          <w:sz w:val="24"/>
          <w:szCs w:val="24"/>
          <w14:textFill>
            <w14:solidFill>
              <w14:schemeClr w14:val="tx1"/>
            </w14:solidFill>
          </w14:textFill>
        </w:rPr>
        <w:t>/</w:t>
      </w:r>
      <w:r>
        <w:rPr>
          <w:bCs/>
          <w:color w:val="000000" w:themeColor="text1"/>
          <w:sz w:val="24"/>
          <w14:textFill>
            <w14:solidFill>
              <w14:schemeClr w14:val="tx1"/>
            </w14:solidFill>
          </w14:textFill>
        </w:rPr>
        <w:t>证券</w:t>
      </w:r>
      <w:r>
        <w:rPr>
          <w:rFonts w:hint="eastAsia"/>
          <w:bCs/>
          <w:color w:val="000000" w:themeColor="text1"/>
          <w:sz w:val="24"/>
          <w14:textFill>
            <w14:solidFill>
              <w14:schemeClr w14:val="tx1"/>
            </w14:solidFill>
          </w14:textFill>
        </w:rPr>
        <w:t>账户等投资所需账户</w:t>
      </w:r>
      <w:r>
        <w:rPr>
          <w:bCs/>
          <w:color w:val="000000" w:themeColor="text1"/>
          <w:sz w:val="24"/>
          <w14:textFill>
            <w14:solidFill>
              <w14:schemeClr w14:val="tx1"/>
            </w14:solidFill>
          </w14:textFill>
        </w:rPr>
        <w:t>、为基金办理证券交易资金清算</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（5）提议召开或召集基金份额持有人大会；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（6）在基金管理人更换时，提名新的基金管理人；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（7）法律法规及中国证监会规定的和《基金合同》约定的其他权利。</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2、根据《基金法》、《运作办法》及其他有关规定，基金托管人的义务包括但不限于：</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（1）以诚实信用、勤勉尽责的原则持有并安全保管基金财产；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（2）设立专门的基金托管部门，具有符合要求的营业场所，配备足够的、合格的熟悉基金托管业务的专职人员，负责基金财产托管事宜；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（4）除依据《基金法》、《基金合同》及其他有关规定外，不得利用基金财产为自己及任何第三人谋取利益，不得委托第三人托管基金财产；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（5）保管由基金管理人代表基金签订的与基金有关的重大合同及有关凭证；</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（6）按规定开设基金财产的资金账户和证券账户</w:t>
      </w:r>
      <w:r>
        <w:rPr>
          <w:rFonts w:hint="eastAsia"/>
          <w:bCs/>
          <w:color w:val="000000" w:themeColor="text1"/>
          <w:sz w:val="24"/>
          <w14:textFill>
            <w14:solidFill>
              <w14:schemeClr w14:val="tx1"/>
            </w14:solidFill>
          </w14:textFill>
        </w:rPr>
        <w:t>等投资所需账户</w:t>
      </w:r>
      <w:r>
        <w:rPr>
          <w:bCs/>
          <w:color w:val="000000" w:themeColor="text1"/>
          <w:sz w:val="24"/>
          <w14:textFill>
            <w14:solidFill>
              <w14:schemeClr w14:val="tx1"/>
            </w14:solidFill>
          </w14:textFill>
        </w:rPr>
        <w:t>,按照《基金合同》的约定，根据基金管理人的投资指令，及时办理清算、交割事宜；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（7）保守基金商业秘密，除《基金法》、《基金合同》及其他有关规定另有规定外，在基金信息公开披露前予以保密，不得向他人泄露；</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（8）复核、审查基金管理人计算的基金资产净值、基金份额</w:t>
      </w:r>
      <w:r>
        <w:rPr>
          <w:rFonts w:hint="eastAsia"/>
          <w:bCs/>
          <w:color w:val="000000" w:themeColor="text1"/>
          <w:sz w:val="24"/>
          <w14:textFill>
            <w14:solidFill>
              <w14:schemeClr w14:val="tx1"/>
            </w14:solidFill>
          </w14:textFill>
        </w:rPr>
        <w:t>净值、基金份额</w:t>
      </w:r>
      <w:r>
        <w:rPr>
          <w:bCs/>
          <w:color w:val="000000" w:themeColor="text1"/>
          <w:sz w:val="24"/>
          <w14:textFill>
            <w14:solidFill>
              <w14:schemeClr w14:val="tx1"/>
            </w14:solidFill>
          </w14:textFill>
        </w:rPr>
        <w:t>申购、赎回价格；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（9）办理与基金托管业务活动有关的信息披露事项；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（10）对基金财务会计报告、</w:t>
      </w:r>
      <w:r>
        <w:rPr>
          <w:rFonts w:hint="eastAsia"/>
          <w:bCs/>
          <w:color w:val="000000" w:themeColor="text1"/>
          <w:sz w:val="24"/>
          <w14:textFill>
            <w14:solidFill>
              <w14:schemeClr w14:val="tx1"/>
            </w14:solidFill>
          </w14:textFill>
        </w:rPr>
        <w:t>季度报告、中期报告</w:t>
      </w:r>
      <w:r>
        <w:rPr>
          <w:bCs/>
          <w:color w:val="000000" w:themeColor="text1"/>
          <w:sz w:val="24"/>
          <w14:textFill>
            <w14:solidFill>
              <w14:schemeClr w14:val="tx1"/>
            </w14:solidFill>
          </w14:textFill>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（11）保存基金托管业务活动的记录、账册、报表和其他相关资料</w:t>
      </w:r>
      <w:r>
        <w:rPr>
          <w:rFonts w:hint="eastAsia"/>
          <w:bCs/>
          <w:color w:val="000000" w:themeColor="text1"/>
          <w:sz w:val="24"/>
          <w14:textFill>
            <w14:solidFill>
              <w14:schemeClr w14:val="tx1"/>
            </w14:solidFill>
          </w14:textFill>
        </w:rPr>
        <w:t>不低于法律法规规定的最低期限</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从基金管理人或其委托的登记机构处接收</w:t>
      </w:r>
      <w:r>
        <w:rPr>
          <w:bCs/>
          <w:color w:val="000000" w:themeColor="text1"/>
          <w:sz w:val="24"/>
          <w14:textFill>
            <w14:solidFill>
              <w14:schemeClr w14:val="tx1"/>
            </w14:solidFill>
          </w14:textFill>
        </w:rPr>
        <w:t>并保存基金份额持有人名册；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（13）按规定制作相关账册并与基金管理人核对；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（14）依据基金管理人的指令或有关规定向基金份额持有人支付基金收益和赎回款项；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（15）依据《基金法》、《基金合同》及其他有关规定，召集基金份额持有人大会或配合</w:t>
      </w:r>
      <w:r>
        <w:rPr>
          <w:rFonts w:hint="eastAsia"/>
          <w:bCs/>
          <w:color w:val="000000" w:themeColor="text1"/>
          <w:sz w:val="24"/>
          <w14:textFill>
            <w14:solidFill>
              <w14:schemeClr w14:val="tx1"/>
            </w14:solidFill>
          </w14:textFill>
        </w:rPr>
        <w:t>基金管理人、</w:t>
      </w:r>
      <w:r>
        <w:rPr>
          <w:bCs/>
          <w:color w:val="000000" w:themeColor="text1"/>
          <w:sz w:val="24"/>
          <w14:textFill>
            <w14:solidFill>
              <w14:schemeClr w14:val="tx1"/>
            </w14:solidFill>
          </w14:textFill>
        </w:rPr>
        <w:t>基金份额持有人依法召集基金份额持有人大会；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（16）按照法律法规和《基金合同》的规定监督基金管理人的投资运作；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（17）参加基金财产清算小组，参与基金财产的保管、清理、估价、变现和分配；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（18）面临解散、依法被撤销或者被依法宣告破产时，及时报告中国证监会和</w:t>
      </w:r>
      <w:r>
        <w:rPr>
          <w:rFonts w:hint="eastAsia"/>
          <w:bCs/>
          <w:color w:val="000000" w:themeColor="text1"/>
          <w:sz w:val="24"/>
          <w14:textFill>
            <w14:solidFill>
              <w14:schemeClr w14:val="tx1"/>
            </w14:solidFill>
          </w14:textFill>
        </w:rPr>
        <w:t>银行业监督管理机构</w:t>
      </w:r>
      <w:r>
        <w:rPr>
          <w:bCs/>
          <w:color w:val="000000" w:themeColor="text1"/>
          <w:sz w:val="24"/>
          <w14:textFill>
            <w14:solidFill>
              <w14:schemeClr w14:val="tx1"/>
            </w14:solidFill>
          </w14:textFill>
        </w:rPr>
        <w:t>，并通知基金管理人；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（19）因违反《基金合同》导致基金财产损失时，应承担赔偿责任，其赔偿责任不因其退任而免除；</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（20）按规定监督基金管理人按法律法规和《基金合同》规定履行自己的义务，基金管理人因违反《基金合同》造成基金财产损失时，应为基金份额持有人利益向基金管理人追偿</w:t>
      </w:r>
      <w:bookmarkStart w:id="162" w:name="_Hlt88825668"/>
      <w:bookmarkEnd w:id="162"/>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（21）执行生效的基金份额持有人大会的决</w:t>
      </w:r>
      <w:r>
        <w:rPr>
          <w:rFonts w:hint="eastAsia"/>
          <w:bCs/>
          <w:color w:val="000000" w:themeColor="text1"/>
          <w:sz w:val="24"/>
          <w14:textFill>
            <w14:solidFill>
              <w14:schemeClr w14:val="tx1"/>
            </w14:solidFill>
          </w14:textFill>
        </w:rPr>
        <w:t>议</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（22）</w:t>
      </w:r>
      <w:bookmarkStart w:id="163" w:name="_Toc523711670"/>
      <w:r>
        <w:rPr>
          <w:bCs/>
          <w:color w:val="000000" w:themeColor="text1"/>
          <w:sz w:val="24"/>
          <w14:textFill>
            <w14:solidFill>
              <w14:schemeClr w14:val="tx1"/>
            </w14:solidFill>
          </w14:textFill>
        </w:rPr>
        <w:t>法律法规及中国证监会规定的和《基金合同》约定的其他义务。</w:t>
      </w:r>
    </w:p>
    <w:bookmarkEnd w:id="163"/>
    <w:p>
      <w:pPr>
        <w:spacing w:line="360" w:lineRule="auto"/>
        <w:ind w:firstLine="480" w:firstLineChars="200"/>
        <w:rPr>
          <w:bCs/>
          <w:color w:val="000000" w:themeColor="text1"/>
          <w:sz w:val="24"/>
          <w14:textFill>
            <w14:solidFill>
              <w14:schemeClr w14:val="tx1"/>
            </w14:solidFill>
          </w14:textFill>
        </w:rPr>
      </w:pPr>
      <w:bookmarkStart w:id="164" w:name="_Toc79392582"/>
      <w:r>
        <w:rPr>
          <w:bCs/>
          <w:color w:val="000000" w:themeColor="text1"/>
          <w:sz w:val="24"/>
          <w14:textFill>
            <w14:solidFill>
              <w14:schemeClr w14:val="tx1"/>
            </w14:solidFill>
          </w14:textFill>
        </w:rPr>
        <w:t>三、基金份额持有人</w:t>
      </w:r>
      <w:bookmarkEnd w:id="164"/>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基金投资者</w:t>
      </w:r>
      <w:r>
        <w:rPr>
          <w:rFonts w:hint="eastAsia"/>
          <w:bCs/>
          <w:color w:val="000000" w:themeColor="text1"/>
          <w:sz w:val="24"/>
          <w14:textFill>
            <w14:solidFill>
              <w14:schemeClr w14:val="tx1"/>
            </w14:solidFill>
          </w14:textFill>
        </w:rPr>
        <w:t>持有</w:t>
      </w:r>
      <w:r>
        <w:rPr>
          <w:bCs/>
          <w:color w:val="000000" w:themeColor="text1"/>
          <w:sz w:val="24"/>
          <w14:textFill>
            <w14:solidFill>
              <w14:schemeClr w14:val="tx1"/>
            </w14:solidFill>
          </w14:textFill>
        </w:rPr>
        <w:t>本基金</w:t>
      </w:r>
      <w:bookmarkStart w:id="165" w:name="_Hlt88899909"/>
      <w:bookmarkEnd w:id="165"/>
      <w:r>
        <w:rPr>
          <w:bCs/>
          <w:color w:val="000000" w:themeColor="text1"/>
          <w:sz w:val="24"/>
          <w14:textFill>
            <w14:solidFill>
              <w14:schemeClr w14:val="tx1"/>
            </w14:solidFill>
          </w14:textFill>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每份基金份额具有同等的合法权益。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1、根据《基金法》、《运作办法》及其他有关规定，基金份额持有人的权利包括但不限于：</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（1）分享基金财产收益；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（2）参与分配清算后的剩余基金财产；</w:t>
      </w:r>
      <w:bookmarkStart w:id="166" w:name="_Hlt88825574"/>
      <w:bookmarkEnd w:id="166"/>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（3）依法</w:t>
      </w:r>
      <w:r>
        <w:rPr>
          <w:rFonts w:hint="eastAsia"/>
          <w:bCs/>
          <w:color w:val="000000" w:themeColor="text1"/>
          <w:sz w:val="24"/>
          <w14:textFill>
            <w14:solidFill>
              <w14:schemeClr w14:val="tx1"/>
            </w14:solidFill>
          </w14:textFill>
        </w:rPr>
        <w:t>转让或者在开放期内</w:t>
      </w:r>
      <w:r>
        <w:rPr>
          <w:bCs/>
          <w:color w:val="000000" w:themeColor="text1"/>
          <w:sz w:val="24"/>
          <w14:textFill>
            <w14:solidFill>
              <w14:schemeClr w14:val="tx1"/>
            </w14:solidFill>
          </w14:textFill>
        </w:rPr>
        <w:t>申请赎回其持有的基金份额；</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（4）按照规定要求召开基金份额持有人大会或者召集基金份额持有人大会；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（5）出席或者委派代表出席基金份额持有人大会，对基金份额持有人大会审议事项行使表决权；</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（6）查阅或者复制公开披露的基金信息资料；</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（7）监督基金管理人的投资运作；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（8）对基金管理人、基金托管人、基金</w:t>
      </w:r>
      <w:r>
        <w:rPr>
          <w:rFonts w:hint="eastAsia"/>
          <w:bCs/>
          <w:color w:val="000000" w:themeColor="text1"/>
          <w:sz w:val="24"/>
          <w14:textFill>
            <w14:solidFill>
              <w14:schemeClr w14:val="tx1"/>
            </w14:solidFill>
          </w14:textFill>
        </w:rPr>
        <w:t>服务</w:t>
      </w:r>
      <w:r>
        <w:rPr>
          <w:bCs/>
          <w:color w:val="000000" w:themeColor="text1"/>
          <w:sz w:val="24"/>
          <w14:textFill>
            <w14:solidFill>
              <w14:schemeClr w14:val="tx1"/>
            </w14:solidFill>
          </w14:textFill>
        </w:rPr>
        <w:t>机构损害其合法权益的行为依法提起诉讼或仲裁；</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（9）法律法规及中国证监会规定的和《基金合同》约定的其他权利。</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2、根据《基金法》、《运作办法》及其他有关规定，基金份额持有人的义务包括但不限于：</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（1）认真阅读并遵守《基金合同》</w:t>
      </w:r>
      <w:r>
        <w:rPr>
          <w:rFonts w:hint="eastAsia"/>
          <w:bCs/>
          <w:color w:val="000000" w:themeColor="text1"/>
          <w:sz w:val="24"/>
          <w:szCs w:val="24"/>
          <w14:textFill>
            <w14:solidFill>
              <w14:schemeClr w14:val="tx1"/>
            </w14:solidFill>
          </w14:textFill>
        </w:rPr>
        <w:t>、招募说明书等信息披露文件</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（2）了解所投资基金产品，了解自身风险承受能力，自主判断基金的投资价值，自主做出投资决策，自行承担投资风险；</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（3）关注基金信息披露，及时行使权利和履行义务；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交纳</w:t>
      </w:r>
      <w:r>
        <w:rPr>
          <w:bCs/>
          <w:color w:val="000000" w:themeColor="text1"/>
          <w:sz w:val="24"/>
          <w14:textFill>
            <w14:solidFill>
              <w14:schemeClr w14:val="tx1"/>
            </w14:solidFill>
          </w14:textFill>
        </w:rPr>
        <w:t>基金认购、申购款项及法律法规和《基金合同》所规定的费用；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（5）在其持有的基金份额范围内，承担基金亏损或者《基金合同》终止的有限责任；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（6）不从事任何有损基金及其他《基金合同》当事人合法权益的活动；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（7）执行生效的基金份额持有人大会的决</w:t>
      </w:r>
      <w:r>
        <w:rPr>
          <w:rFonts w:hint="eastAsia"/>
          <w:bCs/>
          <w:color w:val="000000" w:themeColor="text1"/>
          <w:sz w:val="24"/>
          <w14:textFill>
            <w14:solidFill>
              <w14:schemeClr w14:val="tx1"/>
            </w14:solidFill>
          </w14:textFill>
        </w:rPr>
        <w:t>议</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（8）返还在基金交易过程中因任何原因获得的不当得利；</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）提供基金管理人和监管机构依法要求提供的信息，以及不时地更新和补充，并保证其真实性；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0）法律法规及中国证监会规定的和《基金合同》约定的其他义务。</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167" w:name="_Toc3321"/>
      <w:bookmarkStart w:id="168" w:name="_Toc139991738"/>
      <w:bookmarkStart w:id="169" w:name="_Toc79392583"/>
      <w:bookmarkStart w:id="170" w:name="_Toc98560354"/>
      <w:bookmarkStart w:id="171" w:name="_Toc123102455"/>
      <w:bookmarkStart w:id="172" w:name="_Toc95997119"/>
      <w:bookmarkStart w:id="173" w:name="_Toc9706"/>
      <w:bookmarkStart w:id="174" w:name="_Toc6447"/>
      <w:bookmarkStart w:id="175" w:name="_Toc141703888"/>
      <w:bookmarkStart w:id="176" w:name="_Toc18567"/>
      <w:bookmarkStart w:id="177" w:name="_Toc123051454"/>
      <w:bookmarkStart w:id="178" w:name="_Toc11030"/>
      <w:bookmarkStart w:id="179" w:name="_Toc4559"/>
      <w:bookmarkStart w:id="180" w:name="_Toc3771"/>
      <w:bookmarkStart w:id="181" w:name="_Toc25783"/>
      <w:bookmarkStart w:id="182" w:name="_Toc123112236"/>
      <w:bookmarkStart w:id="183" w:name="_Toc10650"/>
      <w:bookmarkStart w:id="184" w:name="_Toc7058"/>
      <w:r>
        <w:rPr>
          <w:rFonts w:ascii="Times New Roman"/>
          <w:color w:val="000000" w:themeColor="text1"/>
          <w:sz w:val="30"/>
          <w14:textFill>
            <w14:solidFill>
              <w14:schemeClr w14:val="tx1"/>
            </w14:solidFill>
          </w14:textFill>
        </w:rPr>
        <w:t>第八部分  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tabs>
          <w:tab w:val="left" w:pos="1080"/>
        </w:tabs>
        <w:spacing w:line="360" w:lineRule="auto"/>
        <w:ind w:left="1075" w:leftChars="199" w:hanging="657" w:hangingChars="274"/>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本基金份额持有人大会不设日常机构。</w:t>
      </w:r>
    </w:p>
    <w:p>
      <w:pPr>
        <w:spacing w:line="360" w:lineRule="auto"/>
        <w:ind w:firstLine="480" w:firstLineChars="200"/>
        <w:rPr>
          <w:bCs/>
          <w:color w:val="000000" w:themeColor="text1"/>
          <w:sz w:val="24"/>
          <w14:textFill>
            <w14:solidFill>
              <w14:schemeClr w14:val="tx1"/>
            </w14:solidFill>
          </w14:textFill>
        </w:rPr>
      </w:pPr>
      <w:bookmarkStart w:id="185" w:name="_Toc15641220"/>
      <w:bookmarkStart w:id="186" w:name="_Toc79392584"/>
      <w:bookmarkStart w:id="187" w:name="_Toc57530243"/>
      <w:r>
        <w:rPr>
          <w:bCs/>
          <w:color w:val="000000" w:themeColor="text1"/>
          <w:sz w:val="24"/>
          <w14:textFill>
            <w14:solidFill>
              <w14:schemeClr w14:val="tx1"/>
            </w14:solidFill>
          </w14:textFill>
        </w:rPr>
        <w:t>一、召开事由</w:t>
      </w:r>
      <w:bookmarkEnd w:id="185"/>
      <w:bookmarkEnd w:id="186"/>
      <w:bookmarkEnd w:id="187"/>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1、当出现或需要决定下列事由之一的，应当召开基金份额持有人大会</w:t>
      </w:r>
      <w:r>
        <w:rPr>
          <w:rFonts w:hint="eastAsia"/>
          <w:bCs/>
          <w:color w:val="000000" w:themeColor="text1"/>
          <w:sz w:val="24"/>
          <w14:textFill>
            <w14:solidFill>
              <w14:schemeClr w14:val="tx1"/>
            </w14:solidFill>
          </w14:textFill>
        </w:rPr>
        <w:t>，法律法规或中国证监会另有规定或基金合同另有约定的除外</w:t>
      </w:r>
      <w:r>
        <w:rPr>
          <w:bCs/>
          <w:color w:val="000000" w:themeColor="text1"/>
          <w:sz w:val="24"/>
          <w14:textFill>
            <w14:solidFill>
              <w14:schemeClr w14:val="tx1"/>
            </w14:solidFill>
          </w14:textFill>
        </w:rPr>
        <w:t>：</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（1）终止《基金合同》；</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（2）更换基金管理人；</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（3）更换基金托管人；</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（4）转换基金运作方式</w:t>
      </w:r>
      <w:r>
        <w:rPr>
          <w:rFonts w:hint="eastAsia"/>
          <w:bCs/>
          <w:color w:val="000000" w:themeColor="text1"/>
          <w:sz w:val="24"/>
          <w14:textFill>
            <w14:solidFill>
              <w14:schemeClr w14:val="tx1"/>
            </w14:solidFill>
          </w14:textFill>
        </w:rPr>
        <w:t>（不包括本基金开放期与封闭期运作方式的转换）</w:t>
      </w:r>
      <w:r>
        <w:rPr>
          <w:bCs/>
          <w:color w:val="000000" w:themeColor="text1"/>
          <w:sz w:val="24"/>
          <w14:textFill>
            <w14:solidFill>
              <w14:schemeClr w14:val="tx1"/>
            </w14:solidFill>
          </w14:textFill>
        </w:rPr>
        <w:t>；</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调整</w:t>
      </w:r>
      <w:r>
        <w:rPr>
          <w:bCs/>
          <w:color w:val="000000" w:themeColor="text1"/>
          <w:sz w:val="24"/>
          <w14:textFill>
            <w14:solidFill>
              <w14:schemeClr w14:val="tx1"/>
            </w14:solidFill>
          </w14:textFill>
        </w:rPr>
        <w:t>基金管理人、基金托管人的报酬标准；</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（6）变更基金类别；</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（7）本基金与其他基金的合并；</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（8）变更基金投资目标、范围或策略；</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（9）变更基金份额持有人大会程序；</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（10）基金管理人或基金托管人要求召开基金份额持有人大会；</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（12）对基金</w:t>
      </w:r>
      <w:r>
        <w:rPr>
          <w:rFonts w:hint="eastAsia"/>
          <w:bCs/>
          <w:color w:val="000000" w:themeColor="text1"/>
          <w:sz w:val="24"/>
          <w14:textFill>
            <w14:solidFill>
              <w14:schemeClr w14:val="tx1"/>
            </w14:solidFill>
          </w14:textFill>
        </w:rPr>
        <w:t>合同</w:t>
      </w:r>
      <w:r>
        <w:rPr>
          <w:bCs/>
          <w:color w:val="000000" w:themeColor="text1"/>
          <w:sz w:val="24"/>
          <w14:textFill>
            <w14:solidFill>
              <w14:schemeClr w14:val="tx1"/>
            </w14:solidFill>
          </w14:textFill>
        </w:rPr>
        <w:t>当事人权利和义务产生重大影响的其他事项；</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（13）法律法规、《基金合同》或中国证监会规定的其他应当召开基金份额持有人大会的事项。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2、在法律法规</w:t>
      </w:r>
      <w:r>
        <w:rPr>
          <w:rFonts w:hint="eastAsia"/>
          <w:bCs/>
          <w:color w:val="000000" w:themeColor="text1"/>
          <w:sz w:val="24"/>
          <w14:textFill>
            <w14:solidFill>
              <w14:schemeClr w14:val="tx1"/>
            </w14:solidFill>
          </w14:textFill>
        </w:rPr>
        <w:t>规定</w:t>
      </w:r>
      <w:r>
        <w:rPr>
          <w:bCs/>
          <w:color w:val="000000" w:themeColor="text1"/>
          <w:sz w:val="24"/>
          <w14:textFill>
            <w14:solidFill>
              <w14:schemeClr w14:val="tx1"/>
            </w14:solidFill>
          </w14:textFill>
        </w:rPr>
        <w:t>和《基金合同》</w:t>
      </w:r>
      <w:r>
        <w:rPr>
          <w:rFonts w:hint="eastAsia"/>
          <w:bCs/>
          <w:color w:val="000000" w:themeColor="text1"/>
          <w:sz w:val="24"/>
          <w14:textFill>
            <w14:solidFill>
              <w14:schemeClr w14:val="tx1"/>
            </w14:solidFill>
          </w14:textFill>
        </w:rPr>
        <w:t>约</w:t>
      </w:r>
      <w:r>
        <w:rPr>
          <w:bCs/>
          <w:color w:val="000000" w:themeColor="text1"/>
          <w:sz w:val="24"/>
          <w14:textFill>
            <w14:solidFill>
              <w14:schemeClr w14:val="tx1"/>
            </w14:solidFill>
          </w14:textFill>
        </w:rPr>
        <w:t>定的范围内且对基金份额持有人利益无实质性不利影响的前提下</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以下情况可由基金管理人和基金托管人协商后修改，不需召开基金份额持有人大会：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）法律法规要求增加的基金费用的收取；</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）调整本基金的申购费率、调低赎回费率</w:t>
      </w:r>
      <w:r>
        <w:rPr>
          <w:rFonts w:hint="eastAsia"/>
          <w:bCs/>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变更收费方式等或调整基金份额类别的设置</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）因相应的法律法规发生变动而应当对《基金合同》进行修改；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）对《基金合同》的修改对基金份额持有人利益无实质性不利影响或修改不涉及《基金合同》当事人权利义务关系发生重大变化；</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调整有关基金认购、申购、赎回、转换、非交易过户、转托管等业务的规则；</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（6）按照法律法规和《基金合同》规定不需召开基金份额持有人大会的其他情形。</w:t>
      </w:r>
    </w:p>
    <w:p>
      <w:pPr>
        <w:spacing w:line="360" w:lineRule="auto"/>
        <w:ind w:firstLine="480" w:firstLineChars="200"/>
        <w:rPr>
          <w:bCs/>
          <w:color w:val="000000" w:themeColor="text1"/>
          <w:sz w:val="24"/>
          <w14:textFill>
            <w14:solidFill>
              <w14:schemeClr w14:val="tx1"/>
            </w14:solidFill>
          </w14:textFill>
        </w:rPr>
      </w:pPr>
      <w:bookmarkStart w:id="188" w:name="_Toc15641221"/>
      <w:bookmarkStart w:id="189" w:name="_Toc57530244"/>
      <w:bookmarkStart w:id="190" w:name="_Toc79392585"/>
      <w:r>
        <w:rPr>
          <w:bCs/>
          <w:color w:val="000000" w:themeColor="text1"/>
          <w:sz w:val="24"/>
          <w14:textFill>
            <w14:solidFill>
              <w14:schemeClr w14:val="tx1"/>
            </w14:solidFill>
          </w14:textFill>
        </w:rPr>
        <w:t>二、会议召集人及召集方式</w:t>
      </w:r>
      <w:bookmarkEnd w:id="188"/>
      <w:bookmarkEnd w:id="189"/>
      <w:bookmarkEnd w:id="190"/>
    </w:p>
    <w:p>
      <w:pPr>
        <w:spacing w:line="360" w:lineRule="auto"/>
        <w:ind w:firstLine="480" w:firstLineChars="200"/>
        <w:rPr>
          <w:bCs/>
          <w:color w:val="000000" w:themeColor="text1"/>
          <w:sz w:val="24"/>
          <w14:textFill>
            <w14:solidFill>
              <w14:schemeClr w14:val="tx1"/>
            </w14:solidFill>
          </w14:textFill>
        </w:rPr>
      </w:pPr>
      <w:bookmarkStart w:id="191" w:name="_Toc15641222"/>
      <w:bookmarkStart w:id="192" w:name="_Toc57530245"/>
      <w:r>
        <w:rPr>
          <w:bCs/>
          <w:color w:val="000000" w:themeColor="text1"/>
          <w:sz w:val="24"/>
          <w14:textFill>
            <w14:solidFill>
              <w14:schemeClr w14:val="tx1"/>
            </w14:solidFill>
          </w14:textFill>
        </w:rPr>
        <w:t>1、除法律法规规定或《基金合同》另有约定外，基金份额持有人大会由基金管理人召集；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2、基金管理人未按规定召集或不能召</w:t>
      </w:r>
      <w:r>
        <w:rPr>
          <w:rFonts w:hint="eastAsia"/>
          <w:bCs/>
          <w:color w:val="000000" w:themeColor="text1"/>
          <w:sz w:val="24"/>
          <w14:textFill>
            <w14:solidFill>
              <w14:schemeClr w14:val="tx1"/>
            </w14:solidFill>
          </w14:textFill>
        </w:rPr>
        <w:t>集</w:t>
      </w:r>
      <w:r>
        <w:rPr>
          <w:bCs/>
          <w:color w:val="000000" w:themeColor="text1"/>
          <w:sz w:val="24"/>
          <w14:textFill>
            <w14:solidFill>
              <w14:schemeClr w14:val="tx1"/>
            </w14:solidFill>
          </w14:textFill>
        </w:rPr>
        <w:t>时，由基金托管人召集；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3、基金托管人认为有必要召开基金份额持有人大会的，应当向基金管理人提出书面提议。基金管理人应当自收到书面提议之日起 </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日内决定是否召集，并书面告知基金托管人。基金管理人决定召集的，应当自出具书面决定之日起</w:t>
      </w:r>
      <w:r>
        <w:rPr>
          <w:rFonts w:hint="eastAsia"/>
          <w:bCs/>
          <w:color w:val="000000" w:themeColor="text1"/>
          <w:sz w:val="24"/>
          <w14:textFill>
            <w14:solidFill>
              <w14:schemeClr w14:val="tx1"/>
            </w14:solidFill>
          </w14:textFill>
        </w:rPr>
        <w:t>60</w:t>
      </w:r>
      <w:r>
        <w:rPr>
          <w:bCs/>
          <w:color w:val="000000" w:themeColor="text1"/>
          <w:sz w:val="24"/>
          <w14:textFill>
            <w14:solidFill>
              <w14:schemeClr w14:val="tx1"/>
            </w14:solidFill>
          </w14:textFill>
        </w:rPr>
        <w:t>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4、代表基金份额</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）的基金份额持有人就同一事项书面要求召开基金份额持有人大会，应当向基金管理人提出书面提议。基金管理人应当自收到书面提议之日起</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日内决定是否召集，并书面告知提出提议的基金份额持有人代表和基金托管人。基金管理人决定召集的，应当自出具书面决定之日起</w:t>
      </w:r>
    </w:p>
    <w:p>
      <w:pPr>
        <w:spacing w:line="360" w:lineRule="auto"/>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60</w:t>
      </w:r>
      <w:r>
        <w:rPr>
          <w:bCs/>
          <w:color w:val="000000" w:themeColor="text1"/>
          <w:sz w:val="24"/>
          <w14:textFill>
            <w14:solidFill>
              <w14:schemeClr w14:val="tx1"/>
            </w14:solidFill>
          </w14:textFill>
        </w:rPr>
        <w:t>日内召开；基金管理人决定不召集，代表基金份额</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）的基金份额持有人仍认为有必要召开的，应当向基金托管人提出书面提议。基金托管人应当自收到书面提议之日起</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5、代表基金份额</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）的基金份额持有人就同一事项要求召开基金份额持有人大会，而基金管理人、基金托管人都不召集的，单独或合计代表基金份额</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6、基金份额持有人会议的召集人负责选择确定开会时间、地点、方式和权益登记日。</w:t>
      </w:r>
    </w:p>
    <w:p>
      <w:pPr>
        <w:spacing w:line="360" w:lineRule="auto"/>
        <w:ind w:firstLine="480" w:firstLineChars="200"/>
        <w:rPr>
          <w:bCs/>
          <w:color w:val="000000" w:themeColor="text1"/>
          <w:sz w:val="24"/>
          <w14:textFill>
            <w14:solidFill>
              <w14:schemeClr w14:val="tx1"/>
            </w14:solidFill>
          </w14:textFill>
        </w:rPr>
      </w:pPr>
      <w:bookmarkStart w:id="193" w:name="_Toc79392586"/>
      <w:r>
        <w:rPr>
          <w:bCs/>
          <w:color w:val="000000" w:themeColor="text1"/>
          <w:sz w:val="24"/>
          <w14:textFill>
            <w14:solidFill>
              <w14:schemeClr w14:val="tx1"/>
            </w14:solidFill>
          </w14:textFill>
        </w:rPr>
        <w:t>三、召开基金份额持有人大会的通知时间、通知内容、通知方式</w:t>
      </w:r>
      <w:bookmarkEnd w:id="191"/>
      <w:bookmarkEnd w:id="192"/>
      <w:bookmarkEnd w:id="193"/>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1、召开基金份额持有人大会，召集人应于会议召开前</w:t>
      </w:r>
      <w:r>
        <w:rPr>
          <w:rFonts w:hint="eastAsia"/>
          <w:bCs/>
          <w:color w:val="000000" w:themeColor="text1"/>
          <w:sz w:val="24"/>
          <w14:textFill>
            <w14:solidFill>
              <w14:schemeClr w14:val="tx1"/>
            </w14:solidFill>
          </w14:textFill>
        </w:rPr>
        <w:t>30</w:t>
      </w:r>
      <w:r>
        <w:rPr>
          <w:bCs/>
          <w:color w:val="000000" w:themeColor="text1"/>
          <w:sz w:val="24"/>
          <w14:textFill>
            <w14:solidFill>
              <w14:schemeClr w14:val="tx1"/>
            </w14:solidFill>
          </w14:textFill>
        </w:rPr>
        <w:t>日，在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公告。基金份额持有人大会通知应至少载明以下内容：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（1）会议召开的时间、地点和会议形式；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（2）会议拟审议的事项、议事程序和表决方式；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（3）有权出席基金份额持有人大会的基金份额持有人的权益登记日；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（4）授权委托证明的内容要求（包括但不限于代理人身份，代理权限和代理有效期限等）、送达时间和地点;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（5）会务常设联系人姓名及联系电话；</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（6）出席会议者必须准备的文件和必须履行的手续；</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（7）召集人需要通知的其他事项。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color w:val="000000" w:themeColor="text1"/>
          <w:sz w:val="24"/>
          <w14:textFill>
            <w14:solidFill>
              <w14:schemeClr w14:val="tx1"/>
            </w14:solidFill>
          </w14:textFill>
        </w:rPr>
      </w:pPr>
      <w:bookmarkStart w:id="194" w:name="_Toc57530246"/>
      <w:bookmarkStart w:id="195" w:name="_Toc15641223"/>
      <w:bookmarkStart w:id="196" w:name="_Toc79392587"/>
      <w:r>
        <w:rPr>
          <w:bCs/>
          <w:color w:val="000000" w:themeColor="text1"/>
          <w:sz w:val="24"/>
          <w14:textFill>
            <w14:solidFill>
              <w14:schemeClr w14:val="tx1"/>
            </w14:solidFill>
          </w14:textFill>
        </w:rPr>
        <w:t>四、基金份额持有人出席会议的方式</w:t>
      </w:r>
      <w:bookmarkEnd w:id="194"/>
      <w:bookmarkEnd w:id="195"/>
      <w:bookmarkEnd w:id="196"/>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基金份额持有人大会可通过现场开会方式</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通讯开会方式或法律法规、监管机构允许的其他方式召开，会议的召开方式由会议召集人确定。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1、现场开会。由基金份额持有人本人出席或以代理投票授权委托证明委派代表出席，现场开会时基金管理人和基金托管人的授权代表应当列席基金份额持有人大会，基金管理人或</w:t>
      </w:r>
      <w:r>
        <w:rPr>
          <w:rFonts w:hint="eastAsia"/>
          <w:bCs/>
          <w:color w:val="000000" w:themeColor="text1"/>
          <w:sz w:val="24"/>
          <w14:textFill>
            <w14:solidFill>
              <w14:schemeClr w14:val="tx1"/>
            </w14:solidFill>
          </w14:textFill>
        </w:rPr>
        <w:t>基金</w:t>
      </w:r>
      <w:r>
        <w:rPr>
          <w:bCs/>
          <w:color w:val="000000" w:themeColor="text1"/>
          <w:sz w:val="24"/>
          <w14:textFill>
            <w14:solidFill>
              <w14:schemeClr w14:val="tx1"/>
            </w14:solidFill>
          </w14:textFill>
        </w:rPr>
        <w:t>托管人不派代表列席的，不影响表决效力。现场开会同时符合以下条件时，可以进行基金份额持有人大会议程：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2、通讯开会。通讯开会系指基金份额持有人将其对表决事项的投票以书面形式</w:t>
      </w:r>
      <w:r>
        <w:rPr>
          <w:rFonts w:hint="eastAsia"/>
          <w:bCs/>
          <w:color w:val="000000" w:themeColor="text1"/>
          <w:sz w:val="24"/>
          <w14:textFill>
            <w14:solidFill>
              <w14:schemeClr w14:val="tx1"/>
            </w14:solidFill>
          </w14:textFill>
        </w:rPr>
        <w:t>或基金合同约定的其他方式</w:t>
      </w:r>
      <w:r>
        <w:rPr>
          <w:bCs/>
          <w:color w:val="000000" w:themeColor="text1"/>
          <w:sz w:val="24"/>
          <w14:textFill>
            <w14:solidFill>
              <w14:schemeClr w14:val="tx1"/>
            </w14:solidFill>
          </w14:textFill>
        </w:rPr>
        <w:t>在表决</w:t>
      </w:r>
      <w:r>
        <w:rPr>
          <w:rFonts w:hint="eastAsia"/>
          <w:bCs/>
          <w:color w:val="000000" w:themeColor="text1"/>
          <w:sz w:val="24"/>
          <w14:textFill>
            <w14:solidFill>
              <w14:schemeClr w14:val="tx1"/>
            </w14:solidFill>
          </w14:textFill>
        </w:rPr>
        <w:t>截止</w:t>
      </w:r>
      <w:r>
        <w:rPr>
          <w:bCs/>
          <w:color w:val="000000" w:themeColor="text1"/>
          <w:sz w:val="24"/>
          <w14:textFill>
            <w14:solidFill>
              <w14:schemeClr w14:val="tx1"/>
            </w14:solidFill>
          </w14:textFill>
        </w:rPr>
        <w:t>日以前送达至召集人指定的地址。通讯开会应以书面方式</w:t>
      </w:r>
      <w:r>
        <w:rPr>
          <w:rFonts w:hint="eastAsia"/>
          <w:bCs/>
          <w:color w:val="000000" w:themeColor="text1"/>
          <w:sz w:val="24"/>
          <w14:textFill>
            <w14:solidFill>
              <w14:schemeClr w14:val="tx1"/>
            </w14:solidFill>
          </w14:textFill>
        </w:rPr>
        <w:t>或基金合同约定的其他方式</w:t>
      </w:r>
      <w:r>
        <w:rPr>
          <w:bCs/>
          <w:color w:val="000000" w:themeColor="text1"/>
          <w:sz w:val="24"/>
          <w14:textFill>
            <w14:solidFill>
              <w14:schemeClr w14:val="tx1"/>
            </w14:solidFill>
          </w14:textFill>
        </w:rPr>
        <w:t>进行表决。</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在同时符合以下条件时，通讯开会的方式视为有效：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（1）会议召集人按《基金合同》约定公布会议通知后，在</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个工作日内连续公布相关提示性公告；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（2）召集人按基金合同</w:t>
      </w:r>
      <w:r>
        <w:rPr>
          <w:rFonts w:hint="eastAsia"/>
          <w:bCs/>
          <w:color w:val="000000" w:themeColor="text1"/>
          <w:sz w:val="24"/>
          <w14:textFill>
            <w14:solidFill>
              <w14:schemeClr w14:val="tx1"/>
            </w14:solidFill>
          </w14:textFill>
        </w:rPr>
        <w:t>约</w:t>
      </w:r>
      <w:r>
        <w:rPr>
          <w:bCs/>
          <w:color w:val="000000" w:themeColor="text1"/>
          <w:sz w:val="24"/>
          <w14:textFill>
            <w14:solidFill>
              <w14:schemeClr w14:val="tx1"/>
            </w14:solidFill>
          </w14:textFill>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（3）本人直接出具书面意见或授权他人代表出具书面意见的，基金份额持有人所持有的基金份额不小于在权益登记日基金总份额的</w:t>
      </w:r>
      <w:r>
        <w:rPr>
          <w:rFonts w:hint="eastAsia"/>
          <w:bCs/>
          <w:color w:val="000000" w:themeColor="text1"/>
          <w:sz w:val="24"/>
          <w14:textFill>
            <w14:solidFill>
              <w14:schemeClr w14:val="tx1"/>
            </w14:solidFill>
          </w14:textFill>
        </w:rPr>
        <w:t>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3</w:t>
      </w:r>
      <w:r>
        <w:rPr>
          <w:rFonts w:hint="eastAsia"/>
          <w:bCs/>
          <w:color w:val="000000" w:themeColor="text1"/>
          <w:sz w:val="24"/>
          <w:szCs w:val="24"/>
          <w14:textFill>
            <w14:solidFill>
              <w14:schemeClr w14:val="tx1"/>
            </w14:solidFill>
          </w14:textFill>
        </w:rPr>
        <w:t>、在法律法规和监管机关允许的情况下，本基金的基金份额持有人亦可采用网络、电话或其他方式进行表决，或者采用网络、电话或其他方式授权他人代为出席基金份额持有人大会并表决，具体方式由会议召集人确定并在会议通知中列明。</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、在会议召开方式上，本基金亦可采用其他非现场方式或者以现场方式与非现场方式相结合的方式召开基金份额持有人大会，会议程序比照现场开会和通讯方式开会的程序进行</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bookmarkStart w:id="197" w:name="_Toc57530247"/>
      <w:bookmarkStart w:id="198" w:name="_Toc79392588"/>
      <w:bookmarkStart w:id="199" w:name="_Toc15641224"/>
      <w:r>
        <w:rPr>
          <w:bCs/>
          <w:color w:val="000000" w:themeColor="text1"/>
          <w:sz w:val="24"/>
          <w14:textFill>
            <w14:solidFill>
              <w14:schemeClr w14:val="tx1"/>
            </w14:solidFill>
          </w14:textFill>
        </w:rPr>
        <w:t>五、议事内容与程序</w:t>
      </w:r>
      <w:bookmarkEnd w:id="197"/>
      <w:bookmarkEnd w:id="198"/>
      <w:bookmarkEnd w:id="199"/>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1、议事内容及提案权</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基金份额持有人大会的召集人发出召集会议的通知后，对原有提案的修改应当在基金份额持有人大会召开前及时公告。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基金份额持有人大会不得对未事先公告的议事内容进行表决。</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2、议事程序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（1）现场开会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color w:val="000000" w:themeColor="text1"/>
          <w:sz w:val="24"/>
          <w14:textFill>
            <w14:solidFill>
              <w14:schemeClr w14:val="tx1"/>
            </w14:solidFill>
          </w14:textFill>
        </w:rPr>
        <w:t>50%</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50%</w:t>
      </w:r>
      <w:r>
        <w:rPr>
          <w:bCs/>
          <w:color w:val="000000" w:themeColor="text1"/>
          <w:sz w:val="24"/>
          <w14:textFill>
            <w14:solidFill>
              <w14:schemeClr w14:val="tx1"/>
            </w14:solidFill>
          </w14:textFill>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（2）通讯开会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在通讯开会的情况下，首先由召集人提前</w:t>
      </w:r>
      <w:r>
        <w:rPr>
          <w:rFonts w:hint="eastAsia"/>
          <w:bCs/>
          <w:color w:val="000000" w:themeColor="text1"/>
          <w:sz w:val="24"/>
          <w14:textFill>
            <w14:solidFill>
              <w14:schemeClr w14:val="tx1"/>
            </w14:solidFill>
          </w14:textFill>
        </w:rPr>
        <w:t>30</w:t>
      </w:r>
      <w:r>
        <w:rPr>
          <w:bCs/>
          <w:color w:val="000000" w:themeColor="text1"/>
          <w:sz w:val="24"/>
          <w14:textFill>
            <w14:solidFill>
              <w14:schemeClr w14:val="tx1"/>
            </w14:solidFill>
          </w14:textFill>
        </w:rPr>
        <w:t>日公布提案，在所通知的表决截止日期后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个工作日内在公证机关监督下由召集人统计全部有效表决，在公证机关监督下形成决议。</w:t>
      </w:r>
    </w:p>
    <w:p>
      <w:pPr>
        <w:spacing w:line="360" w:lineRule="auto"/>
        <w:ind w:firstLine="480" w:firstLineChars="200"/>
        <w:rPr>
          <w:bCs/>
          <w:color w:val="000000" w:themeColor="text1"/>
          <w:sz w:val="24"/>
          <w14:textFill>
            <w14:solidFill>
              <w14:schemeClr w14:val="tx1"/>
            </w14:solidFill>
          </w14:textFill>
        </w:rPr>
      </w:pPr>
      <w:bookmarkStart w:id="200" w:name="_Toc15641225"/>
      <w:bookmarkStart w:id="201" w:name="_Toc57530248"/>
      <w:bookmarkStart w:id="202" w:name="_Toc79392589"/>
      <w:r>
        <w:rPr>
          <w:bCs/>
          <w:color w:val="000000" w:themeColor="text1"/>
          <w:sz w:val="24"/>
          <w14:textFill>
            <w14:solidFill>
              <w14:schemeClr w14:val="tx1"/>
            </w14:solidFill>
          </w14:textFill>
        </w:rPr>
        <w:t>六、表决</w:t>
      </w:r>
      <w:bookmarkEnd w:id="200"/>
      <w:bookmarkEnd w:id="201"/>
      <w:bookmarkEnd w:id="202"/>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基金份额持有人所持每份基金份额有一票表决权。</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基金份额持有人大会决议分为一般决议和特别决议：</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2、特别决议，特别决议应当经参加大会的基金份额持有人或其代理人所持表决权</w:t>
      </w:r>
      <w:r>
        <w:rPr>
          <w:bCs/>
          <w:color w:val="000000" w:themeColor="text1"/>
          <w:sz w:val="24"/>
          <w:szCs w:val="24"/>
          <w14:textFill>
            <w14:solidFill>
              <w14:schemeClr w14:val="tx1"/>
            </w14:solidFill>
          </w14:textFill>
        </w:rPr>
        <w:t>的</w:t>
      </w:r>
      <w:r>
        <w:rPr>
          <w:rFonts w:hint="eastAsia"/>
          <w:color w:val="000000" w:themeColor="text1"/>
          <w:sz w:val="24"/>
          <w:szCs w:val="24"/>
          <w14:textFill>
            <w14:solidFill>
              <w14:schemeClr w14:val="tx1"/>
            </w14:solidFill>
          </w14:textFill>
        </w:rPr>
        <w:t>三分之二</w:t>
      </w:r>
      <w:r>
        <w:rPr>
          <w:color w:val="000000" w:themeColor="text1"/>
          <w:sz w:val="24"/>
          <w:szCs w:val="24"/>
          <w14:textFill>
            <w14:solidFill>
              <w14:schemeClr w14:val="tx1"/>
            </w14:solidFill>
          </w14:textFill>
        </w:rPr>
        <w:t>以上（含</w:t>
      </w:r>
      <w:r>
        <w:rPr>
          <w:rFonts w:hint="eastAsia"/>
          <w:color w:val="000000" w:themeColor="text1"/>
          <w:sz w:val="24"/>
          <w:szCs w:val="24"/>
          <w14:textFill>
            <w14:solidFill>
              <w14:schemeClr w14:val="tx1"/>
            </w14:solidFill>
          </w14:textFill>
        </w:rPr>
        <w:t>三分之二</w:t>
      </w:r>
      <w:r>
        <w:rPr>
          <w:color w:val="000000" w:themeColor="text1"/>
          <w:sz w:val="24"/>
          <w:szCs w:val="24"/>
          <w14:textFill>
            <w14:solidFill>
              <w14:schemeClr w14:val="tx1"/>
            </w14:solidFill>
          </w14:textFill>
        </w:rPr>
        <w:t>）通</w:t>
      </w:r>
      <w:r>
        <w:rPr>
          <w:color w:val="000000" w:themeColor="text1"/>
          <w:sz w:val="24"/>
          <w14:textFill>
            <w14:solidFill>
              <w14:schemeClr w14:val="tx1"/>
            </w14:solidFill>
          </w14:textFill>
        </w:rPr>
        <w:t>过方可做出。转换基金运作方式、更换基金管理人或者基金托管人、终止《基金合同》、本基金与其他基金合并</w:t>
      </w:r>
      <w:r>
        <w:rPr>
          <w:bCs/>
          <w:color w:val="000000" w:themeColor="text1"/>
          <w:sz w:val="24"/>
          <w14:textFill>
            <w14:solidFill>
              <w14:schemeClr w14:val="tx1"/>
            </w14:solidFill>
          </w14:textFill>
        </w:rPr>
        <w:t>以特别决议通过方为有效。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基金份额持有人大会采取记名方式进行投票表决。</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基金份额持有人大会的各项提案或同一项提案内并列的各项议题应当分开审议、逐项表决。</w:t>
      </w:r>
    </w:p>
    <w:p>
      <w:pPr>
        <w:spacing w:line="360" w:lineRule="auto"/>
        <w:ind w:firstLine="480" w:firstLineChars="200"/>
        <w:rPr>
          <w:bCs/>
          <w:color w:val="000000" w:themeColor="text1"/>
          <w:sz w:val="24"/>
          <w14:textFill>
            <w14:solidFill>
              <w14:schemeClr w14:val="tx1"/>
            </w14:solidFill>
          </w14:textFill>
        </w:rPr>
      </w:pPr>
      <w:bookmarkStart w:id="203" w:name="_Toc57530249"/>
      <w:bookmarkStart w:id="204" w:name="_Toc79392590"/>
      <w:bookmarkStart w:id="205" w:name="_Toc15641226"/>
      <w:r>
        <w:rPr>
          <w:bCs/>
          <w:color w:val="000000" w:themeColor="text1"/>
          <w:sz w:val="24"/>
          <w14:textFill>
            <w14:solidFill>
              <w14:schemeClr w14:val="tx1"/>
            </w14:solidFill>
          </w14:textFill>
        </w:rPr>
        <w:t>七、计票</w:t>
      </w:r>
      <w:bookmarkEnd w:id="203"/>
      <w:bookmarkEnd w:id="204"/>
      <w:bookmarkEnd w:id="205"/>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1、现场开会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（2）监票人应当在基金份额持有人表决后立即进行清点并由大会主持人当场公布计票结果。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（4）计票过程应由公证机关予以公证</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基金管理人或基金托管人拒不出席大会的，不影响计票的效力。</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2、通讯开会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Pr>
          <w:bCs/>
          <w:color w:val="000000" w:themeColor="text1"/>
          <w:sz w:val="24"/>
          <w14:textFill>
            <w14:solidFill>
              <w14:schemeClr w14:val="tx1"/>
            </w14:solidFill>
          </w14:textFill>
        </w:rPr>
        <w:t>。基金管理人或基金托管人拒派代表对书面表决意见的计票进行监督的，不影响计票和表决结果。</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八、生效与公告</w:t>
      </w:r>
      <w:bookmarkEnd w:id="206"/>
      <w:bookmarkEnd w:id="207"/>
      <w:bookmarkEnd w:id="208"/>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基金份额持有人大会的决议，召集人应当自通过之日起</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日内报中国证监会备案。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基金份额持有人大会的决议自表决通过之日起生效。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基金份额持有人大会决议自生效之日起</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日内在</w:t>
      </w:r>
      <w:r>
        <w:rPr>
          <w:rFonts w:hint="eastAsia"/>
          <w:bCs/>
          <w:color w:val="000000" w:themeColor="text1"/>
          <w:sz w:val="24"/>
          <w14:textFill>
            <w14:solidFill>
              <w14:schemeClr w14:val="tx1"/>
            </w14:solidFill>
          </w14:textFill>
        </w:rPr>
        <w:t>规定媒介</w:t>
      </w:r>
      <w:r>
        <w:rPr>
          <w:bCs/>
          <w:color w:val="000000" w:themeColor="text1"/>
          <w:sz w:val="24"/>
          <w14:textFill>
            <w14:solidFill>
              <w14:schemeClr w14:val="tx1"/>
            </w14:solidFill>
          </w14:textFill>
        </w:rPr>
        <w:t>上公告。</w:t>
      </w:r>
      <w:bookmarkStart w:id="209" w:name="_Hlt88820702"/>
      <w:bookmarkEnd w:id="209"/>
      <w:r>
        <w:rPr>
          <w:bCs/>
          <w:color w:val="000000" w:themeColor="text1"/>
          <w:sz w:val="24"/>
          <w14:textFill>
            <w14:solidFill>
              <w14:schemeClr w14:val="tx1"/>
            </w14:solidFill>
          </w14:textFill>
        </w:rPr>
        <w:t>如果采用通讯方式进行表决，在公告基金份额持有人大会决议时，必须将公证书全文、公证机构、公证员姓名等一同公告。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九、实施侧袋机制期间基金份额持有人大会的特殊约定</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1、基金份额持有人行使提议权、召集权、提名权所需单独或合计代表相关基金份额10%以上（含10%）；</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2、现场开会的到会者在权益登记日代表的基金份额不少于本基金在权益登记日相关基金份额的二分之一（含二分之一）；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3、通讯开会的直接出具书面意见或授权他人代表出具书面意见的基金份额持有人所持有的基金份额不小于在权益登记日相关基金份额的二分之一（含二分之一）；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6、一般决议须经参加大会的基金份额持有人或其代理人所持表决权的二分之一以上（含二分之一）通过；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7、特别决议应当经参加大会的基金份额持有人或其代理人所持表决权的三分之二以上（含三分之二）通过。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侧袋机制实施期间，关于基金份额持有人大会的相关规定以本节特殊约定内容为准，本节没有规定的适用本部分的一般规定，法律法规另有规定的除外。</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同一主侧袋账户内的每份基金份额具有平等的表决权。</w:t>
      </w:r>
    </w:p>
    <w:p>
      <w:pPr>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十、</w:t>
      </w:r>
      <w:r>
        <w:rPr>
          <w:rFonts w:hint="eastAsia"/>
          <w:bCs/>
          <w:color w:val="000000" w:themeColor="text1"/>
          <w:sz w:val="24"/>
          <w14:textFill>
            <w14:solidFill>
              <w14:schemeClr w14:val="tx1"/>
            </w14:solidFill>
          </w14:textFill>
        </w:rPr>
        <w:t>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pStyle w:val="2"/>
        <w:ind w:firstLine="482" w:firstLineChars="200"/>
        <w:jc w:val="left"/>
        <w:rPr>
          <w:rFonts w:ascii="Times New Roman"/>
          <w:color w:val="000000" w:themeColor="text1"/>
          <w14:textFill>
            <w14:solidFill>
              <w14:schemeClr w14:val="tx1"/>
            </w14:solidFill>
          </w14:textFill>
        </w:rPr>
      </w:pPr>
      <w:bookmarkStart w:id="210" w:name="_Toc3963"/>
      <w:bookmarkStart w:id="211" w:name="_Toc1745"/>
    </w:p>
    <w:p>
      <w:pPr>
        <w:pStyle w:val="2"/>
        <w:jc w:val="center"/>
        <w:rPr>
          <w:rFonts w:ascii="Times New Roman"/>
          <w:color w:val="000000" w:themeColor="text1"/>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212" w:name="_Toc18206"/>
      <w:bookmarkStart w:id="213" w:name="_Toc139991739"/>
      <w:bookmarkStart w:id="214" w:name="_Toc95997120"/>
      <w:bookmarkStart w:id="215" w:name="_Toc21735"/>
      <w:bookmarkStart w:id="216" w:name="_Toc16164"/>
      <w:bookmarkStart w:id="217" w:name="_Toc31821"/>
      <w:bookmarkStart w:id="218" w:name="_Toc123112237"/>
      <w:bookmarkStart w:id="219" w:name="_Toc141703889"/>
      <w:bookmarkStart w:id="220" w:name="_Toc123051455"/>
      <w:bookmarkStart w:id="221" w:name="_Toc10398"/>
      <w:bookmarkStart w:id="222" w:name="_Toc98560355"/>
      <w:bookmarkStart w:id="223" w:name="_Toc725"/>
      <w:bookmarkStart w:id="224" w:name="_Toc123102456"/>
      <w:bookmarkStart w:id="225" w:name="_Toc3080"/>
      <w:bookmarkStart w:id="226" w:name="_Toc3572"/>
      <w:r>
        <w:rPr>
          <w:rFonts w:ascii="Times New Roman"/>
          <w:color w:val="000000" w:themeColor="text1"/>
          <w:sz w:val="30"/>
          <w14:textFill>
            <w14:solidFill>
              <w14:schemeClr w14:val="tx1"/>
            </w14:solidFill>
          </w14:textFill>
        </w:rPr>
        <w:t>第九部分  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autoSpaceDE w:val="0"/>
        <w:autoSpaceDN w:val="0"/>
        <w:spacing w:line="360" w:lineRule="auto"/>
        <w:textAlignment w:val="bottom"/>
        <w:rPr>
          <w:bCs/>
          <w:color w:val="000000" w:themeColor="text1"/>
          <w:sz w:val="24"/>
          <w14:textFill>
            <w14:solidFill>
              <w14:schemeClr w14:val="tx1"/>
            </w14:solidFill>
          </w14:textFill>
        </w:rPr>
      </w:pPr>
      <w:bookmarkStart w:id="227" w:name="_Toc57530252"/>
      <w:bookmarkStart w:id="228" w:name="_Toc79392593"/>
      <w:bookmarkStart w:id="229" w:name="_Toc15118245"/>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一、基金管理人和基金托管人职责终止的情形</w:t>
      </w:r>
      <w:bookmarkEnd w:id="227"/>
      <w:bookmarkEnd w:id="228"/>
      <w:bookmarkEnd w:id="229"/>
      <w:bookmarkStart w:id="230" w:name="_Toc22005971"/>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基金管理人职责终止的情形</w:t>
      </w:r>
      <w:bookmarkEnd w:id="230"/>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有下列情形之一的，基金管理人职责终止：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1、被依法取消基金管理资格；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2、被基金份额持有人大会解任；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3、依法解散、被依法撤销或被依法宣告破产；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法律法规及中国证监会规定的和《基金合同》约定的其他</w:t>
      </w:r>
      <w:r>
        <w:rPr>
          <w:bCs/>
          <w:color w:val="000000" w:themeColor="text1"/>
          <w:sz w:val="24"/>
          <w14:textFill>
            <w14:solidFill>
              <w14:schemeClr w14:val="tx1"/>
            </w14:solidFill>
          </w14:textFill>
        </w:rPr>
        <w:t>情形。</w:t>
      </w:r>
      <w:bookmarkStart w:id="231" w:name="_Toc22005972"/>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w:t>
      </w:r>
      <w:r>
        <w:rPr>
          <w:bCs/>
          <w:color w:val="000000" w:themeColor="text1"/>
          <w:sz w:val="24"/>
          <w14:textFill>
            <w14:solidFill>
              <w14:schemeClr w14:val="tx1"/>
            </w14:solidFill>
          </w14:textFill>
        </w:rPr>
        <w:t>基金托管人职责终止的情形</w:t>
      </w:r>
      <w:bookmarkEnd w:id="231"/>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有下列情形之一的，基金托管人职责终止：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1、被依法取消基金托管资格；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2、被基金份额持有人大会解任；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3、依法解散、被依法撤销或被依法宣告破产；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法律法规及中国证监会规定的和《基金合同》约定的其他</w:t>
      </w:r>
      <w:r>
        <w:rPr>
          <w:bCs/>
          <w:color w:val="000000" w:themeColor="text1"/>
          <w:sz w:val="24"/>
          <w14:textFill>
            <w14:solidFill>
              <w14:schemeClr w14:val="tx1"/>
            </w14:solidFill>
          </w14:textFill>
        </w:rPr>
        <w:t>情形。</w:t>
      </w:r>
    </w:p>
    <w:p>
      <w:pPr>
        <w:spacing w:line="360" w:lineRule="auto"/>
        <w:ind w:firstLine="480" w:firstLineChars="200"/>
        <w:rPr>
          <w:bCs/>
          <w:color w:val="000000" w:themeColor="text1"/>
          <w:sz w:val="24"/>
          <w14:textFill>
            <w14:solidFill>
              <w14:schemeClr w14:val="tx1"/>
            </w14:solidFill>
          </w14:textFill>
        </w:rPr>
      </w:pPr>
      <w:bookmarkStart w:id="232" w:name="_Toc57530253"/>
      <w:bookmarkStart w:id="233" w:name="_Toc79392594"/>
      <w:bookmarkStart w:id="234" w:name="_Toc15118246"/>
      <w:r>
        <w:rPr>
          <w:bCs/>
          <w:color w:val="000000" w:themeColor="text1"/>
          <w:sz w:val="24"/>
          <w14:textFill>
            <w14:solidFill>
              <w14:schemeClr w14:val="tx1"/>
            </w14:solidFill>
          </w14:textFill>
        </w:rPr>
        <w:t>二、基金管理人和基金托管人的更换程序</w:t>
      </w:r>
      <w:bookmarkEnd w:id="232"/>
      <w:bookmarkEnd w:id="233"/>
      <w:bookmarkEnd w:id="234"/>
      <w:bookmarkStart w:id="235" w:name="_Toc22005974"/>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基金管理人的更换程序</w:t>
      </w:r>
      <w:bookmarkEnd w:id="235"/>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1、提名：新任基金管理人由基金托管人或由单独或合计持有</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）基金份额的基金份额持有人提名；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2、决议：基金份额持有人大会在基金管理人职责终止后</w:t>
      </w:r>
      <w:r>
        <w:rPr>
          <w:rFonts w:hint="eastAsia"/>
          <w:bCs/>
          <w:color w:val="000000" w:themeColor="text1"/>
          <w:sz w:val="24"/>
          <w14:textFill>
            <w14:solidFill>
              <w14:schemeClr w14:val="tx1"/>
            </w14:solidFill>
          </w14:textFill>
        </w:rPr>
        <w:t>6</w:t>
      </w:r>
      <w:r>
        <w:rPr>
          <w:bCs/>
          <w:color w:val="000000" w:themeColor="text1"/>
          <w:sz w:val="24"/>
          <w14:textFill>
            <w14:solidFill>
              <w14:schemeClr w14:val="tx1"/>
            </w14:solidFill>
          </w14:textFill>
        </w:rPr>
        <w:t>个月内对被提名的基金管理人形成决议，该决议需经参加大会的基金份额持有人所持表决权的</w:t>
      </w:r>
      <w:r>
        <w:rPr>
          <w:rFonts w:hint="eastAsia"/>
          <w:bCs/>
          <w:color w:val="000000" w:themeColor="text1"/>
          <w:sz w:val="24"/>
          <w14:textFill>
            <w14:solidFill>
              <w14:schemeClr w14:val="tx1"/>
            </w14:solidFill>
          </w14:textFill>
        </w:rPr>
        <w:t>三分之二</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三分之二</w:t>
      </w:r>
      <w:r>
        <w:rPr>
          <w:bCs/>
          <w:color w:val="000000" w:themeColor="text1"/>
          <w:sz w:val="24"/>
          <w14:textFill>
            <w14:solidFill>
              <w14:schemeClr w14:val="tx1"/>
            </w14:solidFill>
          </w14:textFill>
        </w:rPr>
        <w:t>）表决通过，决议自表决通过之日起生效；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3、临时基金管理人：新任基金管理人产生之前，由中国证监会指定临时基金管理人；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备案</w:t>
      </w:r>
      <w:r>
        <w:rPr>
          <w:bCs/>
          <w:color w:val="000000" w:themeColor="text1"/>
          <w:sz w:val="24"/>
          <w14:textFill>
            <w14:solidFill>
              <w14:schemeClr w14:val="tx1"/>
            </w14:solidFill>
          </w14:textFill>
        </w:rPr>
        <w:t>：基金份额持有人大会</w:t>
      </w:r>
      <w:r>
        <w:rPr>
          <w:rFonts w:hint="eastAsia"/>
          <w:bCs/>
          <w:color w:val="000000" w:themeColor="text1"/>
          <w:sz w:val="24"/>
          <w14:textFill>
            <w14:solidFill>
              <w14:schemeClr w14:val="tx1"/>
            </w14:solidFill>
          </w14:textFill>
        </w:rPr>
        <w:t>更换</w:t>
      </w:r>
      <w:r>
        <w:rPr>
          <w:bCs/>
          <w:color w:val="000000" w:themeColor="text1"/>
          <w:sz w:val="24"/>
          <w14:textFill>
            <w14:solidFill>
              <w14:schemeClr w14:val="tx1"/>
            </w14:solidFill>
          </w14:textFill>
        </w:rPr>
        <w:t>基金管理人的决议须</w:t>
      </w:r>
      <w:r>
        <w:rPr>
          <w:rFonts w:hint="eastAsia"/>
          <w:bCs/>
          <w:color w:val="000000" w:themeColor="text1"/>
          <w:sz w:val="24"/>
          <w14:textFill>
            <w14:solidFill>
              <w14:schemeClr w14:val="tx1"/>
            </w14:solidFill>
          </w14:textFill>
        </w:rPr>
        <w:t>报</w:t>
      </w:r>
      <w:r>
        <w:rPr>
          <w:bCs/>
          <w:color w:val="000000" w:themeColor="text1"/>
          <w:sz w:val="24"/>
          <w14:textFill>
            <w14:solidFill>
              <w14:schemeClr w14:val="tx1"/>
            </w14:solidFill>
          </w14:textFill>
        </w:rPr>
        <w:t>中国证监会</w:t>
      </w:r>
      <w:r>
        <w:rPr>
          <w:rFonts w:hint="eastAsia"/>
          <w:bCs/>
          <w:color w:val="000000" w:themeColor="text1"/>
          <w:sz w:val="24"/>
          <w14:textFill>
            <w14:solidFill>
              <w14:schemeClr w14:val="tx1"/>
            </w14:solidFill>
          </w14:textFill>
        </w:rPr>
        <w:t>备案</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5、公告：基金管理人更换后，由基金托管人在更换基金管理人的基金份额持有人大会决议生效后2日内在</w:t>
      </w:r>
      <w:r>
        <w:rPr>
          <w:rFonts w:hint="eastAsia"/>
          <w:bCs/>
          <w:color w:val="000000" w:themeColor="text1"/>
          <w:sz w:val="24"/>
          <w14:textFill>
            <w14:solidFill>
              <w14:schemeClr w14:val="tx1"/>
            </w14:solidFill>
          </w14:textFill>
        </w:rPr>
        <w:t>规定媒介</w:t>
      </w:r>
      <w:r>
        <w:rPr>
          <w:bCs/>
          <w:color w:val="000000" w:themeColor="text1"/>
          <w:sz w:val="24"/>
          <w14:textFill>
            <w14:solidFill>
              <w14:schemeClr w14:val="tx1"/>
            </w14:solidFill>
          </w14:textFill>
        </w:rPr>
        <w:t>公告</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hint="eastAsia"/>
          <w:bCs/>
          <w:color w:val="000000" w:themeColor="text1"/>
          <w:sz w:val="24"/>
          <w14:textFill>
            <w14:solidFill>
              <w14:schemeClr w14:val="tx1"/>
            </w14:solidFill>
          </w14:textFill>
        </w:rPr>
        <w:t>或临时基金管理人</w:t>
      </w:r>
      <w:r>
        <w:rPr>
          <w:bCs/>
          <w:color w:val="000000" w:themeColor="text1"/>
          <w:sz w:val="24"/>
          <w14:textFill>
            <w14:solidFill>
              <w14:schemeClr w14:val="tx1"/>
            </w14:solidFill>
          </w14:textFill>
        </w:rPr>
        <w:t>应与基金托管人核对基金资产总值</w:t>
      </w:r>
      <w:r>
        <w:rPr>
          <w:rFonts w:hint="eastAsia"/>
          <w:bCs/>
          <w:color w:val="000000" w:themeColor="text1"/>
          <w:sz w:val="24"/>
          <w14:textFill>
            <w14:solidFill>
              <w14:schemeClr w14:val="tx1"/>
            </w14:solidFill>
          </w14:textFill>
        </w:rPr>
        <w:t>和净值</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7、审计：基金管理人职责终止的，应当按照法律法规规定聘请会计师事务所对基金财产进行审计，并将审计结果予以公告，同时报中国证监会备案</w:t>
      </w:r>
      <w:r>
        <w:rPr>
          <w:rFonts w:hint="eastAsia"/>
          <w:bCs/>
          <w:color w:val="000000" w:themeColor="text1"/>
          <w:sz w:val="24"/>
          <w14:textFill>
            <w14:solidFill>
              <w14:schemeClr w14:val="tx1"/>
            </w14:solidFill>
          </w14:textFill>
        </w:rPr>
        <w:t>，审计费用从基金财产中列支</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8、基金名称变更：基金管理人更换后，如果原任或新任基金管理人要求，应按其要求替换或删除基金名称中与原基金管理人有关的名称字样。</w:t>
      </w:r>
      <w:bookmarkStart w:id="236" w:name="_Toc22005975"/>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w:t>
      </w:r>
      <w:r>
        <w:rPr>
          <w:bCs/>
          <w:color w:val="000000" w:themeColor="text1"/>
          <w:sz w:val="24"/>
          <w14:textFill>
            <w14:solidFill>
              <w14:schemeClr w14:val="tx1"/>
            </w14:solidFill>
          </w14:textFill>
        </w:rPr>
        <w:t>基金托管人的更换程序</w:t>
      </w:r>
      <w:bookmarkEnd w:id="236"/>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1、提名：新任基金托管人由基金管理人或由单独或合计持有</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）基金份额的基金</w:t>
      </w:r>
      <w:r>
        <w:rPr>
          <w:rFonts w:hint="eastAsia"/>
          <w:bCs/>
          <w:color w:val="000000" w:themeColor="text1"/>
          <w:sz w:val="24"/>
          <w14:textFill>
            <w14:solidFill>
              <w14:schemeClr w14:val="tx1"/>
            </w14:solidFill>
          </w14:textFill>
        </w:rPr>
        <w:t>份额</w:t>
      </w:r>
      <w:r>
        <w:rPr>
          <w:bCs/>
          <w:color w:val="000000" w:themeColor="text1"/>
          <w:sz w:val="24"/>
          <w14:textFill>
            <w14:solidFill>
              <w14:schemeClr w14:val="tx1"/>
            </w14:solidFill>
          </w14:textFill>
        </w:rPr>
        <w:t>持有人提名；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2、决议：基金份额持有人大会在基金托管人职责终止后</w:t>
      </w:r>
      <w:r>
        <w:rPr>
          <w:rFonts w:hint="eastAsia"/>
          <w:bCs/>
          <w:color w:val="000000" w:themeColor="text1"/>
          <w:sz w:val="24"/>
          <w14:textFill>
            <w14:solidFill>
              <w14:schemeClr w14:val="tx1"/>
            </w14:solidFill>
          </w14:textFill>
        </w:rPr>
        <w:t>6</w:t>
      </w:r>
      <w:r>
        <w:rPr>
          <w:bCs/>
          <w:color w:val="000000" w:themeColor="text1"/>
          <w:sz w:val="24"/>
          <w14:textFill>
            <w14:solidFill>
              <w14:schemeClr w14:val="tx1"/>
            </w14:solidFill>
          </w14:textFill>
        </w:rPr>
        <w:t>个月内对被提名的基金托管人形成决议，该决议需经参加大会的基金份额持有人所持表决权的</w:t>
      </w:r>
      <w:r>
        <w:rPr>
          <w:rFonts w:hint="eastAsia"/>
          <w:bCs/>
          <w:color w:val="000000" w:themeColor="text1"/>
          <w:sz w:val="24"/>
          <w14:textFill>
            <w14:solidFill>
              <w14:schemeClr w14:val="tx1"/>
            </w14:solidFill>
          </w14:textFill>
        </w:rPr>
        <w:t>三分之二</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三分之二</w:t>
      </w:r>
      <w:r>
        <w:rPr>
          <w:bCs/>
          <w:color w:val="000000" w:themeColor="text1"/>
          <w:sz w:val="24"/>
          <w14:textFill>
            <w14:solidFill>
              <w14:schemeClr w14:val="tx1"/>
            </w14:solidFill>
          </w14:textFill>
        </w:rPr>
        <w:t>）表决通过</w:t>
      </w:r>
      <w:r>
        <w:rPr>
          <w:rFonts w:hint="eastAsia"/>
          <w:bCs/>
          <w:color w:val="000000" w:themeColor="text1"/>
          <w:sz w:val="24"/>
          <w14:textFill>
            <w14:solidFill>
              <w14:schemeClr w14:val="tx1"/>
            </w14:solidFill>
          </w14:textFill>
        </w:rPr>
        <w:t>，决议自表决通过之日起生效</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3、临时基金托管人：新任基金托管人产生之前，由中国证监会指定临时基金托管人；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备案</w:t>
      </w:r>
      <w:r>
        <w:rPr>
          <w:bCs/>
          <w:color w:val="000000" w:themeColor="text1"/>
          <w:sz w:val="24"/>
          <w14:textFill>
            <w14:solidFill>
              <w14:schemeClr w14:val="tx1"/>
            </w14:solidFill>
          </w14:textFill>
        </w:rPr>
        <w:t>：基金份额持有人大会更换基金托管人的决议须</w:t>
      </w:r>
      <w:r>
        <w:rPr>
          <w:rFonts w:hint="eastAsia"/>
          <w:bCs/>
          <w:color w:val="000000" w:themeColor="text1"/>
          <w:sz w:val="24"/>
          <w14:textFill>
            <w14:solidFill>
              <w14:schemeClr w14:val="tx1"/>
            </w14:solidFill>
          </w14:textFill>
        </w:rPr>
        <w:t>报</w:t>
      </w:r>
      <w:r>
        <w:rPr>
          <w:bCs/>
          <w:color w:val="000000" w:themeColor="text1"/>
          <w:sz w:val="24"/>
          <w14:textFill>
            <w14:solidFill>
              <w14:schemeClr w14:val="tx1"/>
            </w14:solidFill>
          </w14:textFill>
        </w:rPr>
        <w:t>中国证监会</w:t>
      </w:r>
      <w:r>
        <w:rPr>
          <w:rFonts w:hint="eastAsia"/>
          <w:bCs/>
          <w:color w:val="000000" w:themeColor="text1"/>
          <w:sz w:val="24"/>
          <w14:textFill>
            <w14:solidFill>
              <w14:schemeClr w14:val="tx1"/>
            </w14:solidFill>
          </w14:textFill>
        </w:rPr>
        <w:t>备案</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5、公告：基金托管人更换后，由基金管理人在更换基金托管人的基金份额持有人大会决议生效后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日内在</w:t>
      </w:r>
      <w:r>
        <w:rPr>
          <w:rFonts w:hint="eastAsia"/>
          <w:bCs/>
          <w:color w:val="000000" w:themeColor="text1"/>
          <w:sz w:val="24"/>
          <w14:textFill>
            <w14:solidFill>
              <w14:schemeClr w14:val="tx1"/>
            </w14:solidFill>
          </w14:textFill>
        </w:rPr>
        <w:t>规定媒介</w:t>
      </w:r>
      <w:r>
        <w:rPr>
          <w:bCs/>
          <w:color w:val="000000" w:themeColor="text1"/>
          <w:sz w:val="24"/>
          <w14:textFill>
            <w14:solidFill>
              <w14:schemeClr w14:val="tx1"/>
            </w14:solidFill>
          </w14:textFill>
        </w:rPr>
        <w:t>公告</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color w:val="000000" w:themeColor="text1"/>
          <w:sz w:val="24"/>
          <w14:textFill>
            <w14:solidFill>
              <w14:schemeClr w14:val="tx1"/>
            </w14:solidFill>
          </w14:textFill>
        </w:rPr>
        <w:t>或者临时基金托管人应</w:t>
      </w:r>
      <w:r>
        <w:rPr>
          <w:bCs/>
          <w:color w:val="000000" w:themeColor="text1"/>
          <w:sz w:val="24"/>
          <w14:textFill>
            <w14:solidFill>
              <w14:schemeClr w14:val="tx1"/>
            </w14:solidFill>
          </w14:textFill>
        </w:rPr>
        <w:t>与基金管理人核对基金资产总值</w:t>
      </w:r>
      <w:r>
        <w:rPr>
          <w:rFonts w:hint="eastAsia"/>
          <w:bCs/>
          <w:color w:val="000000" w:themeColor="text1"/>
          <w:sz w:val="24"/>
          <w14:textFill>
            <w14:solidFill>
              <w14:schemeClr w14:val="tx1"/>
            </w14:solidFill>
          </w14:textFill>
        </w:rPr>
        <w:t>和净值</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7、审计：基金托管人职责终止的，应当按照法律法规规定聘请会计师事务所对基金财产进行审计，并将审计结果予以公告，同时报中国证监会备案</w:t>
      </w:r>
      <w:r>
        <w:rPr>
          <w:rFonts w:hint="eastAsia"/>
          <w:bCs/>
          <w:color w:val="000000" w:themeColor="text1"/>
          <w:sz w:val="24"/>
          <w14:textFill>
            <w14:solidFill>
              <w14:schemeClr w14:val="tx1"/>
            </w14:solidFill>
          </w14:textFill>
        </w:rPr>
        <w:t>，审计费用从基金财产中列支</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bookmarkStart w:id="237" w:name="_Toc1357"/>
      <w:r>
        <w:rPr>
          <w:bCs/>
          <w:color w:val="000000" w:themeColor="text1"/>
          <w:sz w:val="24"/>
          <w14:textFill>
            <w14:solidFill>
              <w14:schemeClr w14:val="tx1"/>
            </w14:solidFill>
          </w14:textFill>
        </w:rPr>
        <w:t>（三）基金管理人与基金托管人同时更换的条件和程序</w:t>
      </w:r>
      <w:bookmarkEnd w:id="237"/>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提名：如果基金管理人和基金托管人同时更换，由单独或合计持有基金总份额</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以上（含</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）的基金份额持有人提名新的基金管理人和基金托管人；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基金管理人和基金托管人的更换分别按上述程序进行；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公告：新任基金管理人和新任基金托管人应在更换基金管理人和基金托管人的基金份额持有人大会决议</w:t>
      </w:r>
      <w:r>
        <w:rPr>
          <w:rFonts w:hint="eastAsia"/>
          <w:bCs/>
          <w:color w:val="000000" w:themeColor="text1"/>
          <w:sz w:val="24"/>
          <w14:textFill>
            <w14:solidFill>
              <w14:schemeClr w14:val="tx1"/>
            </w14:solidFill>
          </w14:textFill>
        </w:rPr>
        <w:t>生效</w:t>
      </w:r>
      <w:r>
        <w:rPr>
          <w:bCs/>
          <w:color w:val="000000" w:themeColor="text1"/>
          <w:sz w:val="24"/>
          <w14:textFill>
            <w14:solidFill>
              <w14:schemeClr w14:val="tx1"/>
            </w14:solidFill>
          </w14:textFill>
        </w:rPr>
        <w:t>后2日内在</w:t>
      </w:r>
      <w:r>
        <w:rPr>
          <w:rFonts w:hint="eastAsia"/>
          <w:bCs/>
          <w:color w:val="000000" w:themeColor="text1"/>
          <w:sz w:val="24"/>
          <w14:textFill>
            <w14:solidFill>
              <w14:schemeClr w14:val="tx1"/>
            </w14:solidFill>
          </w14:textFill>
        </w:rPr>
        <w:t>规定媒介</w:t>
      </w:r>
      <w:r>
        <w:rPr>
          <w:bCs/>
          <w:color w:val="000000" w:themeColor="text1"/>
          <w:sz w:val="24"/>
          <w14:textFill>
            <w14:solidFill>
              <w14:schemeClr w14:val="tx1"/>
            </w14:solidFill>
          </w14:textFill>
        </w:rPr>
        <w:t>上联合公告。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三、新任基金管理人或临时基金管理人接收基金管理业务，或新任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基金合同的规定收取基金管理费或基金托管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四、本部分关于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pPr>
        <w:spacing w:line="360" w:lineRule="auto"/>
        <w:ind w:firstLine="480" w:firstLineChars="200"/>
        <w:rPr>
          <w:bCs/>
          <w:color w:val="000000" w:themeColor="text1"/>
          <w:sz w:val="24"/>
          <w14:textFill>
            <w14:solidFill>
              <w14:schemeClr w14:val="tx1"/>
            </w14:solidFill>
          </w14:textFill>
        </w:rPr>
      </w:pP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2"/>
          <w14:textFill>
            <w14:solidFill>
              <w14:schemeClr w14:val="tx1"/>
            </w14:solidFill>
          </w14:textFill>
        </w:rPr>
        <w:br w:type="page"/>
      </w:r>
      <w:bookmarkStart w:id="238" w:name="_Toc98560356"/>
      <w:bookmarkStart w:id="239" w:name="_Toc95997121"/>
      <w:bookmarkStart w:id="240" w:name="_Toc29408"/>
      <w:bookmarkStart w:id="241" w:name="_Toc5170"/>
      <w:bookmarkStart w:id="242" w:name="_Toc32584"/>
      <w:bookmarkStart w:id="243" w:name="_Toc123112238"/>
      <w:bookmarkStart w:id="244" w:name="_Toc141703890"/>
      <w:bookmarkStart w:id="245" w:name="_Toc123102457"/>
      <w:bookmarkStart w:id="246" w:name="_Toc739"/>
      <w:bookmarkStart w:id="247" w:name="_Toc123051456"/>
      <w:bookmarkStart w:id="248" w:name="_Toc3329"/>
      <w:bookmarkStart w:id="249" w:name="_Toc8791"/>
      <w:bookmarkStart w:id="250" w:name="_Toc139991740"/>
      <w:bookmarkStart w:id="251" w:name="_Toc21237"/>
      <w:bookmarkStart w:id="252" w:name="_Toc48649708"/>
      <w:bookmarkStart w:id="253" w:name="_Toc17920"/>
      <w:bookmarkStart w:id="254" w:name="_Toc17198"/>
      <w:bookmarkStart w:id="255" w:name="_Toc79392622"/>
      <w:bookmarkStart w:id="256" w:name="_Toc32092"/>
      <w:r>
        <w:rPr>
          <w:rFonts w:ascii="Times New Roman"/>
          <w:color w:val="000000" w:themeColor="text1"/>
          <w:sz w:val="30"/>
          <w14:textFill>
            <w14:solidFill>
              <w14:schemeClr w14:val="tx1"/>
            </w14:solidFill>
          </w14:textFill>
        </w:rPr>
        <w:t>第十部分  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autoSpaceDE w:val="0"/>
        <w:autoSpaceDN w:val="0"/>
        <w:spacing w:line="360" w:lineRule="auto"/>
        <w:textAlignment w:val="bottom"/>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基金托管人和基金管理人按照《基金法》、《基金合同》及其他有关规定订立托管协议。</w:t>
      </w:r>
    </w:p>
    <w:p>
      <w:pPr>
        <w:autoSpaceDE w:val="0"/>
        <w:autoSpaceDN w:val="0"/>
        <w:spacing w:line="360" w:lineRule="auto"/>
        <w:ind w:firstLine="480" w:firstLineChars="200"/>
        <w:textAlignment w:val="bottom"/>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257" w:name="_Toc123112239"/>
      <w:bookmarkStart w:id="258" w:name="_Toc139991741"/>
      <w:bookmarkStart w:id="259" w:name="_Toc123051457"/>
      <w:bookmarkStart w:id="260" w:name="_Toc2255"/>
      <w:bookmarkStart w:id="261" w:name="_Toc21886"/>
      <w:bookmarkStart w:id="262" w:name="_Toc26152"/>
      <w:bookmarkStart w:id="263" w:name="_Toc22674"/>
      <w:bookmarkStart w:id="264" w:name="_Toc26383"/>
      <w:bookmarkStart w:id="265" w:name="_Toc95997122"/>
      <w:bookmarkStart w:id="266" w:name="_Toc26084"/>
      <w:bookmarkStart w:id="267" w:name="_Toc16789"/>
      <w:bookmarkStart w:id="268" w:name="_Toc79392624"/>
      <w:bookmarkStart w:id="269" w:name="_Toc123102458"/>
      <w:bookmarkStart w:id="270" w:name="_Toc14725"/>
      <w:bookmarkStart w:id="271" w:name="_Toc3244"/>
      <w:bookmarkStart w:id="272" w:name="_Toc48649710"/>
      <w:bookmarkStart w:id="273" w:name="_Toc98560357"/>
      <w:bookmarkStart w:id="274" w:name="_Toc141703891"/>
      <w:bookmarkStart w:id="275" w:name="_Toc19520"/>
      <w:r>
        <w:rPr>
          <w:rFonts w:ascii="Times New Roman"/>
          <w:color w:val="000000" w:themeColor="text1"/>
          <w:sz w:val="30"/>
          <w14:textFill>
            <w14:solidFill>
              <w14:schemeClr w14:val="tx1"/>
            </w14:solidFill>
          </w14:textFill>
        </w:rPr>
        <w:t>第十一部分  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autoSpaceDE w:val="0"/>
        <w:autoSpaceDN w:val="0"/>
        <w:spacing w:line="360" w:lineRule="auto"/>
        <w:textAlignment w:val="bottom"/>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一、基金份额的登记业务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color w:val="000000" w:themeColor="text1"/>
          <w:sz w:val="24"/>
          <w14:textFill>
            <w14:solidFill>
              <w14:schemeClr w14:val="tx1"/>
            </w14:solidFill>
          </w14:textFill>
        </w:rPr>
        <w:t>和办理非交易过户</w:t>
      </w:r>
      <w:r>
        <w:rPr>
          <w:bCs/>
          <w:color w:val="000000" w:themeColor="text1"/>
          <w:sz w:val="24"/>
          <w14:textFill>
            <w14:solidFill>
              <w14:schemeClr w14:val="tx1"/>
            </w14:solidFill>
          </w14:textFill>
        </w:rPr>
        <w:t>等</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二、基金登记业务办理机构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color w:val="000000" w:themeColor="text1"/>
          <w:sz w:val="24"/>
          <w14:textFill>
            <w14:solidFill>
              <w14:schemeClr w14:val="tx1"/>
            </w14:solidFill>
          </w14:textFill>
        </w:rPr>
        <w:t>和办理非交易过户</w:t>
      </w:r>
      <w:r>
        <w:rPr>
          <w:bCs/>
          <w:color w:val="000000" w:themeColor="text1"/>
          <w:sz w:val="24"/>
          <w14:textFill>
            <w14:solidFill>
              <w14:schemeClr w14:val="tx1"/>
            </w14:solidFill>
          </w14:textFill>
        </w:rPr>
        <w:t>等事宜中的权利和义务，保护基金份额持有人的合法权益。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三、基金登记机构的权利</w:t>
      </w:r>
      <w:bookmarkStart w:id="276" w:name="_Hlt88820748"/>
      <w:bookmarkEnd w:id="276"/>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基金登记机构享有以下权利：</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1、取得登记费；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2、建立和管理投资者基金账户；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3、保管基金份额持有人开户资料、交易资料、基金份额持有人名册等；</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4、在法律法规允许的范围内，</w:t>
      </w:r>
      <w:r>
        <w:rPr>
          <w:rFonts w:hint="eastAsia"/>
          <w:bCs/>
          <w:color w:val="000000" w:themeColor="text1"/>
          <w:sz w:val="24"/>
          <w14:textFill>
            <w14:solidFill>
              <w14:schemeClr w14:val="tx1"/>
            </w14:solidFill>
          </w14:textFill>
        </w:rPr>
        <w:t>制定和调整</w:t>
      </w:r>
      <w:r>
        <w:rPr>
          <w:bCs/>
          <w:color w:val="000000" w:themeColor="text1"/>
          <w:sz w:val="24"/>
          <w14:textFill>
            <w14:solidFill>
              <w14:schemeClr w14:val="tx1"/>
            </w14:solidFill>
          </w14:textFill>
        </w:rPr>
        <w:t>登记业务的</w:t>
      </w:r>
      <w:r>
        <w:rPr>
          <w:rFonts w:hint="eastAsia"/>
          <w:bCs/>
          <w:color w:val="000000" w:themeColor="text1"/>
          <w:sz w:val="24"/>
          <w14:textFill>
            <w14:solidFill>
              <w14:schemeClr w14:val="tx1"/>
            </w14:solidFill>
          </w14:textFill>
        </w:rPr>
        <w:t>相关规则</w:t>
      </w:r>
      <w:r>
        <w:rPr>
          <w:bCs/>
          <w:color w:val="000000" w:themeColor="text1"/>
          <w:sz w:val="24"/>
          <w14:textFill>
            <w14:solidFill>
              <w14:schemeClr w14:val="tx1"/>
            </w14:solidFill>
          </w14:textFill>
        </w:rPr>
        <w:t>，并依照有关规定于开始实施前在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法律法规及中国证监会规定的和《基金合同》约定的其他</w:t>
      </w:r>
      <w:r>
        <w:rPr>
          <w:bCs/>
          <w:color w:val="000000" w:themeColor="text1"/>
          <w:sz w:val="24"/>
          <w14:textFill>
            <w14:solidFill>
              <w14:schemeClr w14:val="tx1"/>
            </w14:solidFill>
          </w14:textFill>
        </w:rPr>
        <w:t>权利。</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四、基金登记机构的义务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基金登记机构承担以下义务：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1、配备足够的专业人员办理本基金份额的登记业务；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2、严格按照法律法规和《基金合同》规定的条件办理本基金份额的登记业务；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3、妥善保存登记数据，并将基金份额持有人名称、身份信息及基金份额明细等数据备份至中国证监会认定的机构。其保存期限自基金账户销户之日起不得少于20年；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4、对基金份额持有人的基金账户信息负有保密义务，因违反该保密义务对投资者或基金带来的损失，须承担相应的赔偿责任，但司法强制检查情形及</w:t>
      </w:r>
      <w:r>
        <w:rPr>
          <w:rFonts w:hint="eastAsia"/>
          <w:bCs/>
          <w:color w:val="000000" w:themeColor="text1"/>
          <w:sz w:val="24"/>
          <w14:textFill>
            <w14:solidFill>
              <w14:schemeClr w14:val="tx1"/>
            </w14:solidFill>
          </w14:textFill>
        </w:rPr>
        <w:t>法律法规及中国证监会规定的和《基金合同》约定的其他</w:t>
      </w:r>
      <w:r>
        <w:rPr>
          <w:bCs/>
          <w:color w:val="000000" w:themeColor="text1"/>
          <w:sz w:val="24"/>
          <w14:textFill>
            <w14:solidFill>
              <w14:schemeClr w14:val="tx1"/>
            </w14:solidFill>
          </w14:textFill>
        </w:rPr>
        <w:t>情形除外；</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5、按《基金合同》及招募说明书规定为投资者办理非交易过户业务、提供其他必要的服务；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6、接受基金管理人的监督；</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法律法规及中国证监会规定的和《基金合同》约定的其他</w:t>
      </w:r>
      <w:r>
        <w:rPr>
          <w:bCs/>
          <w:color w:val="000000" w:themeColor="text1"/>
          <w:sz w:val="24"/>
          <w14:textFill>
            <w14:solidFill>
              <w14:schemeClr w14:val="tx1"/>
            </w14:solidFill>
          </w14:textFill>
        </w:rPr>
        <w:t>义务。</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277" w:name="_Toc11351"/>
      <w:bookmarkStart w:id="278" w:name="_Toc578"/>
      <w:bookmarkStart w:id="279" w:name="_Toc5477"/>
      <w:bookmarkStart w:id="280" w:name="_Toc95997123"/>
      <w:bookmarkStart w:id="281" w:name="_Toc2981"/>
      <w:bookmarkStart w:id="282" w:name="_Toc11395"/>
      <w:bookmarkStart w:id="283" w:name="_Toc21917"/>
      <w:bookmarkStart w:id="284" w:name="_Toc22538"/>
      <w:bookmarkStart w:id="285" w:name="_Toc3872"/>
      <w:bookmarkStart w:id="286" w:name="_Toc801"/>
      <w:bookmarkStart w:id="287" w:name="_Toc16437"/>
      <w:r>
        <w:rPr>
          <w:rFonts w:ascii="Times New Roman"/>
          <w:color w:val="000000" w:themeColor="text1"/>
          <w:sz w:val="30"/>
          <w14:textFill>
            <w14:solidFill>
              <w14:schemeClr w14:val="tx1"/>
            </w14:solidFill>
          </w14:textFill>
        </w:rPr>
        <w:t>第十二部分  基金的投资</w:t>
      </w:r>
      <w:bookmarkEnd w:id="277"/>
      <w:bookmarkEnd w:id="278"/>
      <w:bookmarkEnd w:id="279"/>
      <w:bookmarkEnd w:id="280"/>
      <w:bookmarkEnd w:id="281"/>
      <w:bookmarkEnd w:id="282"/>
      <w:bookmarkEnd w:id="283"/>
      <w:bookmarkEnd w:id="284"/>
      <w:bookmarkEnd w:id="285"/>
      <w:bookmarkEnd w:id="286"/>
      <w:bookmarkEnd w:id="287"/>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一、投资目标</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本基金在严格控制投资组合风险的前提下，重点投资央企债，力争为基金份额持有人获取超越业绩比较基准的投资回报。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二、投资范围</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的投资范围主要为具有良好流动性的金融工具，包括公开发行的债券（包括国债、地方政府债、金融债、央行票据、公司债、企业债、中期票据、短期融资券、超短期融资券、政府支持机构债、政府支持债券、次级债、</w:t>
      </w:r>
      <w:r>
        <w:rPr>
          <w:bCs/>
          <w:color w:val="000000" w:themeColor="text1"/>
          <w:sz w:val="24"/>
          <w14:textFill>
            <w14:solidFill>
              <w14:schemeClr w14:val="tx1"/>
            </w14:solidFill>
          </w14:textFill>
        </w:rPr>
        <w:t>可分离交易可转债的纯债部分</w:t>
      </w:r>
      <w:r>
        <w:rPr>
          <w:rFonts w:hint="eastAsia"/>
          <w:bCs/>
          <w:color w:val="000000" w:themeColor="text1"/>
          <w:sz w:val="24"/>
          <w14:textFill>
            <w14:solidFill>
              <w14:schemeClr w14:val="tx1"/>
            </w14:solidFill>
          </w14:textFill>
        </w:rPr>
        <w:t>）、债券回购、银行存款（包括协议存款、通知存款、定期存款及其他银行存款）、同业存单、货币市场工具以及法律法规或中国证监会允许基金投资的其他金融工具，但须符合中国证监会相关规定。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本基金不投资于股票资产，也不投资于可转换债券（可分离交易可转债的纯债部分除外）、可交换债券。</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如法律法规或监管机构以后允许基金投资其他品种，基金管理人在履行适当程序后，可以将其纳入投资范围，其投资比例遵循届时有效的法律法规和相关规定。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基金的投资组合比例为：本基金对债券的投资比例不低于基金资产的80%，其中投资于本基金界定的央企债的比例不低于非现金基金资产的80%；但应开放期流动性需要，为保护基金份额持有人利益，在每次开放期前</w:t>
      </w:r>
      <w:r>
        <w:rPr>
          <w:rFonts w:hint="eastAsia"/>
          <w:bCs/>
          <w:color w:val="000000" w:themeColor="text1"/>
          <w:sz w:val="24"/>
          <w14:textFill>
            <w14:solidFill>
              <w14:schemeClr w14:val="tx1"/>
            </w14:solidFill>
          </w14:textFill>
        </w:rPr>
        <w:t>15个工作日</w:t>
      </w:r>
      <w:r>
        <w:rPr>
          <w:bCs/>
          <w:color w:val="000000" w:themeColor="text1"/>
          <w:sz w:val="24"/>
          <w14:textFill>
            <w14:solidFill>
              <w14:schemeClr w14:val="tx1"/>
            </w14:solidFill>
          </w14:textFill>
        </w:rPr>
        <w:t>、开放期及开放期结束后</w:t>
      </w:r>
      <w:r>
        <w:rPr>
          <w:rFonts w:hint="eastAsia"/>
          <w:bCs/>
          <w:color w:val="000000" w:themeColor="text1"/>
          <w:sz w:val="24"/>
          <w14:textFill>
            <w14:solidFill>
              <w14:schemeClr w14:val="tx1"/>
            </w14:solidFill>
          </w14:textFill>
        </w:rPr>
        <w:t>15个工作日</w:t>
      </w:r>
      <w:r>
        <w:rPr>
          <w:bCs/>
          <w:color w:val="000000" w:themeColor="text1"/>
          <w:sz w:val="24"/>
          <w14:textFill>
            <w14:solidFill>
              <w14:schemeClr w14:val="tx1"/>
            </w14:solidFill>
          </w14:textFill>
        </w:rPr>
        <w:t>的期间内，基金投资不受上述比例限制。开放期内，本基金持有的现金或者到期日在一年以内的政府债券不低于基金资产净值的5％，其中现金不包括结算备付金、存出保证金、应收申购款等；在封闭期内，本基金不受上述5%的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如法律法规或中国证监会变更投资品种的投资比例限制，基金管理人、基金托管人协商一致并履行适当程序后，可以调整上述投资品种的投资比例。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三、投资策略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（一）封闭期</w:t>
      </w:r>
      <w:r>
        <w:rPr>
          <w:bCs/>
          <w:color w:val="000000" w:themeColor="text1"/>
          <w:sz w:val="24"/>
          <w14:textFill>
            <w14:solidFill>
              <w14:schemeClr w14:val="tx1"/>
            </w14:solidFill>
          </w14:textFill>
        </w:rPr>
        <w:t>投资</w:t>
      </w:r>
      <w:r>
        <w:rPr>
          <w:rFonts w:hint="eastAsia"/>
          <w:bCs/>
          <w:color w:val="000000" w:themeColor="text1"/>
          <w:sz w:val="24"/>
          <w14:textFill>
            <w14:solidFill>
              <w14:schemeClr w14:val="tx1"/>
            </w14:solidFill>
          </w14:textFill>
        </w:rPr>
        <w:t>策略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主要投资于央企债，将通过综合分析国内外宏观经济运行状况和金融市场运行趋势等因素，根据整体资产配置策略动态调整大类金融资产的比例；在充分分析债券市场环境及市场流动性的基础上，决定组合的久期水平、期限结构和类属配置，并在此基础之上实施积极的债券投资组合管理，以获取较高的投资收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1、央企债主题界定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本基金将根据国务院国有资产监督管理委员会和财政部等国务院各部委发布的央企名录明确央企发行人。本基金所界定的央企债，</w:t>
      </w:r>
      <w:r>
        <w:rPr>
          <w:bCs/>
          <w:color w:val="000000" w:themeColor="text1"/>
          <w:sz w:val="24"/>
          <w14:textFill>
            <w14:solidFill>
              <w14:schemeClr w14:val="tx1"/>
            </w14:solidFill>
          </w14:textFill>
        </w:rPr>
        <w:t>为以上央企发行人及其控股的</w:t>
      </w:r>
      <w:r>
        <w:rPr>
          <w:rFonts w:hint="eastAsia"/>
          <w:bCs/>
          <w:color w:val="000000" w:themeColor="text1"/>
          <w:sz w:val="24"/>
          <w14:textFill>
            <w14:solidFill>
              <w14:schemeClr w14:val="tx1"/>
            </w14:solidFill>
          </w14:textFill>
        </w:rPr>
        <w:t>1级和2级企业</w:t>
      </w:r>
      <w:r>
        <w:rPr>
          <w:bCs/>
          <w:color w:val="000000" w:themeColor="text1"/>
          <w:sz w:val="24"/>
          <w14:textFill>
            <w14:solidFill>
              <w14:schemeClr w14:val="tx1"/>
            </w14:solidFill>
          </w14:textFill>
        </w:rPr>
        <w:t>发行的债券</w:t>
      </w:r>
      <w:r>
        <w:rPr>
          <w:rFonts w:hint="eastAsia"/>
          <w:bCs/>
          <w:color w:val="000000" w:themeColor="text1"/>
          <w:sz w:val="24"/>
          <w14:textFill>
            <w14:solidFill>
              <w14:schemeClr w14:val="tx1"/>
            </w14:solidFill>
          </w14:textFill>
        </w:rPr>
        <w:t>，包括</w:t>
      </w:r>
      <w:r>
        <w:rPr>
          <w:bCs/>
          <w:color w:val="000000" w:themeColor="text1"/>
          <w:sz w:val="24"/>
          <w14:textFill>
            <w14:solidFill>
              <w14:schemeClr w14:val="tx1"/>
            </w14:solidFill>
          </w14:textFill>
        </w:rPr>
        <w:t>这类企业所发行的金融债、公司债、企业债、中期票据、短期融资券、超短期融资券、政府支持机构债券、政府支持债券、</w:t>
      </w:r>
      <w:r>
        <w:rPr>
          <w:rFonts w:hint="eastAsia"/>
          <w:bCs/>
          <w:color w:val="000000" w:themeColor="text1"/>
          <w:sz w:val="24"/>
          <w14:textFill>
            <w14:solidFill>
              <w14:schemeClr w14:val="tx1"/>
            </w14:solidFill>
          </w14:textFill>
        </w:rPr>
        <w:t>次级债、</w:t>
      </w:r>
      <w:r>
        <w:rPr>
          <w:bCs/>
          <w:color w:val="000000" w:themeColor="text1"/>
          <w:sz w:val="24"/>
          <w14:textFill>
            <w14:solidFill>
              <w14:schemeClr w14:val="tx1"/>
            </w14:solidFill>
          </w14:textFill>
        </w:rPr>
        <w:t>可分离交易可转债的纯债部分等。</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2、债券资产配置策略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宏观经济趋势研究、货币及财政政策趋势研究的基础上，以中长期利率趋势分析和债券市场供求关系研究为核心，自上而下地决定债券组合久期、动态调整各类金融资产比例，结合收益率水平曲线形态分析和类属资产相对估值分析，优化债券组合的期限结构和类属配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（1）久期配置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人将通过积极主动地预测市场利率的变动趋势，相应调整债券组合的久期配置，以达到提高债券组合收益、降低债券组合利率风险的目的。在确定债券组合久期的过程中，基金管理人将在判断市场利率波动趋势的基础上，根据债券市场收益率曲线的当前形态，通过合理假设下的情景分析和压力测试，最后确定最优的债券组合久期。</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根据对市场利率变化趋势的预期，可适当调整组合久期，预期市场利率水平将上升时，适当降低组合久期；预期市场利率将下降时，适当提高组合久期。</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（2）期限结构配置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对同一类属收益率曲线形态和期限结构变动进行分析，在给定组合久期以及其它组合约束条件的情形下，通过建立债券组合优化数量模型，确定最优的期限结构。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（3）类属配置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对不同类型固定收益品种的利率风险、流动性等因素进行分析，研究各类型投资品种的利差和变化趋势，制定债券类属配置策略，以获取不同债券类属之间利差变化所带来的投资收益。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3、信用类固定收益类证券的投资策略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信用品种收益率的主要影响因素为利率品种基准收益与信用利差。信用利差是信用产品相对于国债、央行票据等利率产品获取较高收益的来源，主要受两方面的影响：一是债券所对应的信用等级的市场平均信用利差水平，另一方面为发行人本身的信用状况。</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信用债市场整体的信用利差水平和信用债发行主体自身信用状况的变化都会对信用债个券的利差水平产生重要影响。信用利差方面，本基金将从经济周期、国家政策、行业景气度和债券市场的供求状况等多方面考量信用利差的整体变化趋势。发债主体信用状况方面，本基金采取内部评级与外部评级相结合的办法，对所持债券面临的信用风险进行综合评估。获取数据不仅限于经营和财务数据，同时看重外部支持和公司内部治理结构。本基金对进入债券库中的信用债券通过内部信用评级，运用定性和定量相结合、动态和静态相结合的方法，建立相应的债券库。具体操作上，采用指标定量打分制，对债券发行人进行综合打分评级，并动态跟踪债券发行人的状况，建立相应预警指标，及时对信用债券库进行更新维护。同时，本基金结合适度分散的投资策略，适时调整投资组合，降低信用债券投资的信用风险。</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为控制信用风险，基金管理人将根据国家有权机构批准或认可的信用评级机构提供的信用评级，并主要依靠内部评级系统分析信用债的相对信用水平、违约风险及理论信用利差。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对于信用债券，本基金仅投资于央企债，其中，主动投资的信用债为信用评级在AA+级（含）以上的信用债，对信用评级的认定参照基金管理人选定的评级机构出具的信用评级，其中，信用债的信用评级依照评级机构出具的债项信用评级，若无债项信用评级的，依照其主体信用评级。</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投资于评级AA+的信用债比例不高于信用债资产的50%，投资于评级AAA的信用债比例不低于信用债资产的50%。因信用评级下降、证券市场波动、基金规模变动等基金管理人之外的因素致使基金投资比例不符合上述规定的，基金管理人应当在评级报告发布之日或不符合上述规定之日起3个月内予以全部卖出或完成调整。</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4、息差策略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利用回购等方式融入低成本资金，购买较高收益的债券，以期获取超额收益的操作方式。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5、互换策略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不同券种在利息、违约风险、久期、流动性、税收和衍生条款等方面存在差别，基金管理人可以同时买入和卖出具有相近特性的两个或两个以上券种，赚取收益级差。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6、回购策略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本基金在基础组合的基础上，使用基础组合持有的债券进行回购融入短期资金滚动操作，投资于收益率高于融资成本的其它获利机会，从而获得杠杆放大收益。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7、流动性管理策略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考虑到本基金封闭运作和开放运作交替循环的情形，对投资组合进行流动性管理，确保基金资产的变现能力。</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（二）开放期投资策略</w:t>
      </w:r>
    </w:p>
    <w:p>
      <w:pPr>
        <w:spacing w:line="360" w:lineRule="auto"/>
        <w:ind w:firstLine="480" w:firstLineChars="200"/>
        <w:rPr>
          <w:rFonts w:hint="eastAsia"/>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开放期内，</w:t>
      </w:r>
      <w:r>
        <w:rPr>
          <w:bCs/>
          <w:color w:val="000000" w:themeColor="text1"/>
          <w:sz w:val="24"/>
          <w14:textFill>
            <w14:solidFill>
              <w14:schemeClr w14:val="tx1"/>
            </w14:solidFill>
          </w14:textFill>
        </w:rPr>
        <w:t>本基金为保持较高的组合流动性，方便投资人安排投资，在遵守本基金有关投资限制与投资比例的前提下，将主要投资于高流动性的投资品种，防范流动性风险，满足开放期的流动性需求。同时</w:t>
      </w:r>
      <w:r>
        <w:rPr>
          <w:rFonts w:hint="eastAsia"/>
          <w:bCs/>
          <w:color w:val="000000" w:themeColor="text1"/>
          <w:sz w:val="24"/>
          <w14:textFill>
            <w14:solidFill>
              <w14:schemeClr w14:val="tx1"/>
            </w14:solidFill>
          </w14:textFill>
        </w:rPr>
        <w:t>，基金管理人将密切关注基金的申购赎回情况，对投资组合的现金比例进行结构化管理。也会通过回购的滚动操作和债券品种的期限结构搭配，有效分配基金的现金流，保持本基金在开放期的流动性，方便投资人安排投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四、投资限制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1、组合限制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基金的投资组合应遵循以下限制：</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（1）本基金对债券的投资比例不低于基金资产的80%，其中投资于本基金界定的央企债的比例不低于非现金基金资产的80%；但应开放期流动性需要，为保护基金份额持有人利益，在每次开放期前</w:t>
      </w:r>
      <w:r>
        <w:rPr>
          <w:rFonts w:hint="eastAsia" w:ascii="宋体" w:hAnsi="宋体"/>
          <w:bCs/>
          <w:color w:val="000000" w:themeColor="text1"/>
          <w:sz w:val="24"/>
          <w:lang w:val="en-US" w:eastAsia="zh-CN"/>
          <w14:textFill>
            <w14:solidFill>
              <w14:schemeClr w14:val="tx1"/>
            </w14:solidFill>
          </w14:textFill>
        </w:rPr>
        <w:t>15个工作日</w:t>
      </w:r>
      <w:r>
        <w:rPr>
          <w:rFonts w:ascii="宋体" w:hAnsi="宋体"/>
          <w:bCs/>
          <w:color w:val="000000" w:themeColor="text1"/>
          <w:sz w:val="24"/>
          <w14:textFill>
            <w14:solidFill>
              <w14:schemeClr w14:val="tx1"/>
            </w14:solidFill>
          </w14:textFill>
        </w:rPr>
        <w:t>、开放期及开放期结束后</w:t>
      </w:r>
      <w:r>
        <w:rPr>
          <w:rFonts w:hint="eastAsia" w:ascii="宋体" w:hAnsi="宋体"/>
          <w:bCs/>
          <w:color w:val="000000" w:themeColor="text1"/>
          <w:sz w:val="24"/>
          <w:lang w:val="en-US" w:eastAsia="zh-CN"/>
          <w14:textFill>
            <w14:solidFill>
              <w14:schemeClr w14:val="tx1"/>
            </w14:solidFill>
          </w14:textFill>
        </w:rPr>
        <w:t>15个工作日</w:t>
      </w:r>
      <w:r>
        <w:rPr>
          <w:rFonts w:ascii="宋体" w:hAnsi="宋体"/>
          <w:bCs/>
          <w:color w:val="000000" w:themeColor="text1"/>
          <w:sz w:val="24"/>
          <w14:textFill>
            <w14:solidFill>
              <w14:schemeClr w14:val="tx1"/>
            </w14:solidFill>
          </w14:textFill>
        </w:rPr>
        <w:t>的期间内，基金投资不受上述比例限制；</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2</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开放期内，本基金持有的现金或者到期日在一年以内的政府债券不低于基金资产净值的5％，其中现金不包括结算备付金、存出保证金、应收申购款等；在封闭期内，本基金不受上述5%的限制</w:t>
      </w:r>
      <w:r>
        <w:rPr>
          <w:rFonts w:ascii="宋体" w:hAnsi="宋体"/>
          <w:bCs/>
          <w:color w:val="000000" w:themeColor="text1"/>
          <w:sz w:val="24"/>
          <w14:textFill>
            <w14:solidFill>
              <w14:schemeClr w14:val="tx1"/>
            </w14:solidFill>
          </w14:textFill>
        </w:rPr>
        <w:t>；</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3</w:t>
      </w:r>
      <w:r>
        <w:rPr>
          <w:rFonts w:ascii="宋体" w:hAnsi="宋体"/>
          <w:bCs/>
          <w:color w:val="000000" w:themeColor="text1"/>
          <w:sz w:val="24"/>
          <w14:textFill>
            <w14:solidFill>
              <w14:schemeClr w14:val="tx1"/>
            </w14:solidFill>
          </w14:textFill>
        </w:rPr>
        <w:t>）本基金持有一家公司</w:t>
      </w:r>
      <w:r>
        <w:rPr>
          <w:rFonts w:hint="eastAsia" w:ascii="宋体" w:hAnsi="宋体"/>
          <w:bCs/>
          <w:color w:val="000000" w:themeColor="text1"/>
          <w:sz w:val="24"/>
          <w14:textFill>
            <w14:solidFill>
              <w14:schemeClr w14:val="tx1"/>
            </w14:solidFill>
          </w14:textFill>
        </w:rPr>
        <w:t>发行</w:t>
      </w:r>
      <w:r>
        <w:rPr>
          <w:rFonts w:ascii="宋体" w:hAnsi="宋体"/>
          <w:bCs/>
          <w:color w:val="000000" w:themeColor="text1"/>
          <w:sz w:val="24"/>
          <w14:textFill>
            <w14:solidFill>
              <w14:schemeClr w14:val="tx1"/>
            </w14:solidFill>
          </w14:textFill>
        </w:rPr>
        <w:t>的</w:t>
      </w:r>
      <w:r>
        <w:rPr>
          <w:rFonts w:hint="eastAsia" w:ascii="宋体" w:hAnsi="宋体"/>
          <w:bCs/>
          <w:color w:val="000000" w:themeColor="text1"/>
          <w:sz w:val="24"/>
          <w14:textFill>
            <w14:solidFill>
              <w14:schemeClr w14:val="tx1"/>
            </w14:solidFill>
          </w14:textFill>
        </w:rPr>
        <w:t>证券</w:t>
      </w:r>
      <w:r>
        <w:rPr>
          <w:rFonts w:ascii="宋体" w:hAnsi="宋体"/>
          <w:bCs/>
          <w:color w:val="000000" w:themeColor="text1"/>
          <w:sz w:val="24"/>
          <w14:textFill>
            <w14:solidFill>
              <w14:schemeClr w14:val="tx1"/>
            </w14:solidFill>
          </w14:textFill>
        </w:rPr>
        <w:t>，其市值不超过基金资产净值的10%；</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4</w:t>
      </w:r>
      <w:r>
        <w:rPr>
          <w:rFonts w:ascii="宋体" w:hAnsi="宋体"/>
          <w:bCs/>
          <w:color w:val="000000" w:themeColor="text1"/>
          <w:sz w:val="24"/>
          <w14:textFill>
            <w14:solidFill>
              <w14:schemeClr w14:val="tx1"/>
            </w14:solidFill>
          </w14:textFill>
        </w:rPr>
        <w:t>）本基金管理人管理的全部基金持有一家公司发行的证券，不超过该证券的10%；</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5</w:t>
      </w:r>
      <w:r>
        <w:rPr>
          <w:rFonts w:ascii="宋体" w:hAnsi="宋体"/>
          <w:bCs/>
          <w:color w:val="000000" w:themeColor="text1"/>
          <w:sz w:val="24"/>
          <w14:textFill>
            <w14:solidFill>
              <w14:schemeClr w14:val="tx1"/>
            </w14:solidFill>
          </w14:textFill>
        </w:rPr>
        <w:t>）本基金</w:t>
      </w:r>
      <w:r>
        <w:rPr>
          <w:rFonts w:hint="eastAsia" w:ascii="宋体" w:hAnsi="宋体"/>
          <w:bCs/>
          <w:color w:val="000000" w:themeColor="text1"/>
          <w:sz w:val="24"/>
          <w14:textFill>
            <w14:solidFill>
              <w14:schemeClr w14:val="tx1"/>
            </w14:solidFill>
          </w14:textFill>
        </w:rPr>
        <w:t>进入全国银行间同业市场进行债券回购的最长期限为1年，债券回购到期后不得展期</w:t>
      </w:r>
      <w:r>
        <w:rPr>
          <w:rFonts w:ascii="宋体" w:hAnsi="宋体"/>
          <w:bCs/>
          <w:color w:val="000000" w:themeColor="text1"/>
          <w:sz w:val="24"/>
          <w14:textFill>
            <w14:solidFill>
              <w14:schemeClr w14:val="tx1"/>
            </w14:solidFill>
          </w14:textFill>
        </w:rPr>
        <w:t>；</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（6）</w:t>
      </w:r>
      <w:r>
        <w:rPr>
          <w:rFonts w:hint="eastAsia" w:ascii="宋体" w:hAnsi="宋体"/>
          <w:bCs/>
          <w:color w:val="000000" w:themeColor="text1"/>
          <w:sz w:val="24"/>
          <w14:textFill>
            <w14:solidFill>
              <w14:schemeClr w14:val="tx1"/>
            </w14:solidFill>
          </w14:textFill>
        </w:rPr>
        <w:t>封闭期内，本</w:t>
      </w:r>
      <w:r>
        <w:rPr>
          <w:rFonts w:ascii="宋体" w:hAnsi="宋体"/>
          <w:bCs/>
          <w:color w:val="000000" w:themeColor="text1"/>
          <w:sz w:val="24"/>
          <w14:textFill>
            <w14:solidFill>
              <w14:schemeClr w14:val="tx1"/>
            </w14:solidFill>
          </w14:textFill>
        </w:rPr>
        <w:t>基金资产</w:t>
      </w:r>
      <w:r>
        <w:rPr>
          <w:rFonts w:hint="eastAsia" w:ascii="宋体" w:hAnsi="宋体"/>
          <w:bCs/>
          <w:color w:val="000000" w:themeColor="text1"/>
          <w:sz w:val="24"/>
          <w14:textFill>
            <w14:solidFill>
              <w14:schemeClr w14:val="tx1"/>
            </w14:solidFill>
          </w14:textFill>
        </w:rPr>
        <w:t>总值不得</w:t>
      </w:r>
      <w:r>
        <w:rPr>
          <w:rFonts w:ascii="宋体" w:hAnsi="宋体"/>
          <w:bCs/>
          <w:color w:val="000000" w:themeColor="text1"/>
          <w:sz w:val="24"/>
          <w14:textFill>
            <w14:solidFill>
              <w14:schemeClr w14:val="tx1"/>
            </w14:solidFill>
          </w14:textFill>
        </w:rPr>
        <w:t>超过基金资产</w:t>
      </w:r>
      <w:r>
        <w:rPr>
          <w:rFonts w:hint="eastAsia" w:ascii="宋体" w:hAnsi="宋体"/>
          <w:bCs/>
          <w:color w:val="000000" w:themeColor="text1"/>
          <w:sz w:val="24"/>
          <w14:textFill>
            <w14:solidFill>
              <w14:schemeClr w14:val="tx1"/>
            </w14:solidFill>
          </w14:textFill>
        </w:rPr>
        <w:t>净值</w:t>
      </w:r>
      <w:r>
        <w:rPr>
          <w:rFonts w:ascii="宋体" w:hAnsi="宋体"/>
          <w:bCs/>
          <w:color w:val="000000" w:themeColor="text1"/>
          <w:sz w:val="24"/>
          <w14:textFill>
            <w14:solidFill>
              <w14:schemeClr w14:val="tx1"/>
            </w14:solidFill>
          </w14:textFill>
        </w:rPr>
        <w:t>的</w:t>
      </w:r>
      <w:r>
        <w:rPr>
          <w:rFonts w:hint="eastAsia" w:ascii="宋体" w:hAnsi="宋体"/>
          <w:bCs/>
          <w:color w:val="000000" w:themeColor="text1"/>
          <w:sz w:val="24"/>
          <w14:textFill>
            <w14:solidFill>
              <w14:schemeClr w14:val="tx1"/>
            </w14:solidFill>
          </w14:textFill>
        </w:rPr>
        <w:t>200%；开放期内，</w:t>
      </w:r>
      <w:r>
        <w:rPr>
          <w:rFonts w:ascii="宋体" w:hAnsi="宋体"/>
          <w:bCs/>
          <w:color w:val="000000" w:themeColor="text1"/>
          <w:sz w:val="24"/>
          <w14:textFill>
            <w14:solidFill>
              <w14:schemeClr w14:val="tx1"/>
            </w14:solidFill>
          </w14:textFill>
        </w:rPr>
        <w:t>本基金资产总值不超过基金资产净值的140%</w:t>
      </w:r>
      <w:r>
        <w:rPr>
          <w:rFonts w:hint="eastAsia" w:ascii="宋体" w:hAnsi="宋体"/>
          <w:bCs/>
          <w:color w:val="000000" w:themeColor="text1"/>
          <w:sz w:val="24"/>
          <w14:textFill>
            <w14:solidFill>
              <w14:schemeClr w14:val="tx1"/>
            </w14:solidFill>
          </w14:textFill>
        </w:rPr>
        <w:t>；</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（7）</w:t>
      </w:r>
      <w:r>
        <w:rPr>
          <w:rFonts w:hint="eastAsia" w:ascii="宋体" w:hAnsi="宋体"/>
          <w:bCs/>
          <w:color w:val="000000" w:themeColor="text1"/>
          <w:sz w:val="24"/>
          <w14:textFill>
            <w14:solidFill>
              <w14:schemeClr w14:val="tx1"/>
            </w14:solidFill>
          </w14:textFill>
        </w:rPr>
        <w:t>开放期内，</w:t>
      </w:r>
      <w:r>
        <w:rPr>
          <w:rFonts w:ascii="宋体" w:hAnsi="宋体"/>
          <w:bCs/>
          <w:color w:val="000000" w:themeColor="text1"/>
          <w:sz w:val="24"/>
          <w14:textFill>
            <w14:solidFill>
              <w14:schemeClr w14:val="tx1"/>
            </w14:solidFill>
          </w14:textFill>
        </w:rPr>
        <w:t>本基金主动投资于流动性受限资产的市值合计不得超过该基金资产净值的15%；因证券市场波动、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（8）本基金与私募类证券资管产品及中国证监会认定的其他主体为交易对手开展逆回购交易的，可接受质押品的资质要求应当与本基金合同约定的投资范围保持一致；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（9）</w:t>
      </w:r>
      <w:r>
        <w:rPr>
          <w:rFonts w:hint="eastAsia" w:ascii="宋体" w:hAnsi="宋体"/>
          <w:bCs/>
          <w:color w:val="000000" w:themeColor="text1"/>
          <w:sz w:val="24"/>
          <w14:textFill>
            <w14:solidFill>
              <w14:schemeClr w14:val="tx1"/>
            </w14:solidFill>
          </w14:textFill>
        </w:rPr>
        <w:t>法律法规及中国证监会规定的和《基金合同》约定的其他投资限制。</w:t>
      </w:r>
    </w:p>
    <w:p>
      <w:pPr>
        <w:spacing w:line="360" w:lineRule="auto"/>
        <w:ind w:firstLine="480" w:firstLineChars="200"/>
        <w:rPr>
          <w:rFonts w:ascii="宋体" w:hAnsi="宋体"/>
          <w:bCs/>
          <w:color w:val="000000" w:themeColor="text1"/>
          <w14:textFill>
            <w14:solidFill>
              <w14:schemeClr w14:val="tx1"/>
            </w14:solidFill>
          </w14:textFill>
        </w:rPr>
      </w:pPr>
      <w:r>
        <w:rPr>
          <w:rFonts w:ascii="宋体" w:hAnsi="宋体"/>
          <w:bCs/>
          <w:color w:val="000000" w:themeColor="text1"/>
          <w:sz w:val="24"/>
          <w14:textFill>
            <w14:solidFill>
              <w14:schemeClr w14:val="tx1"/>
            </w14:solidFill>
          </w14:textFill>
        </w:rPr>
        <w:t>除上述（2）、（7）、（8）情形之外，因证券市场波动、</w:t>
      </w:r>
      <w:r>
        <w:rPr>
          <w:rFonts w:hint="eastAsia" w:ascii="宋体" w:hAnsi="宋体"/>
          <w:bCs/>
          <w:color w:val="000000" w:themeColor="text1"/>
          <w:sz w:val="24"/>
          <w14:textFill>
            <w14:solidFill>
              <w14:schemeClr w14:val="tx1"/>
            </w14:solidFill>
          </w14:textFill>
        </w:rPr>
        <w:t>证券发行人</w:t>
      </w:r>
      <w:r>
        <w:rPr>
          <w:rFonts w:ascii="宋体" w:hAnsi="宋体"/>
          <w:bCs/>
          <w:color w:val="000000" w:themeColor="text1"/>
          <w:sz w:val="24"/>
          <w14:textFill>
            <w14:solidFill>
              <w14:schemeClr w14:val="tx1"/>
            </w14:solidFill>
          </w14:textFill>
        </w:rPr>
        <w:t>合并、基金规模变动等基金管理人之外的因素致使基金投资比例不符合上述规定投资比例的，基金管理人应当在10个交易日内进行调整</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但中国证监会规定的特殊情形除外。</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基金管理人应当自基金合同生效之日起</w:t>
      </w:r>
      <w:r>
        <w:rPr>
          <w:rFonts w:hint="eastAsia" w:ascii="宋体" w:hAnsi="宋体"/>
          <w:bCs/>
          <w:color w:val="000000" w:themeColor="text1"/>
          <w:sz w:val="24"/>
          <w14:textFill>
            <w14:solidFill>
              <w14:schemeClr w14:val="tx1"/>
            </w14:solidFill>
          </w14:textFill>
        </w:rPr>
        <w:t>6</w:t>
      </w:r>
      <w:r>
        <w:rPr>
          <w:rFonts w:ascii="宋体" w:hAnsi="宋体"/>
          <w:bCs/>
          <w:color w:val="000000" w:themeColor="text1"/>
          <w:sz w:val="24"/>
          <w14:textFill>
            <w14:solidFill>
              <w14:schemeClr w14:val="tx1"/>
            </w14:solidFill>
          </w14:textFill>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如果法律法规或监管部门对上述投资组合比例限制进行变更的，则本基金投资以变更后的规定为准。</w:t>
      </w:r>
      <w:r>
        <w:rPr>
          <w:rFonts w:ascii="宋体" w:hAnsi="宋体"/>
          <w:bCs/>
          <w:color w:val="000000" w:themeColor="text1"/>
          <w:sz w:val="24"/>
          <w14:textFill>
            <w14:solidFill>
              <w14:schemeClr w14:val="tx1"/>
            </w14:solidFill>
          </w14:textFill>
        </w:rPr>
        <w:t>法律法规或监管部门取消上述限制，如适用于本基金，基金管理人</w:t>
      </w:r>
      <w:r>
        <w:rPr>
          <w:rFonts w:hint="eastAsia" w:ascii="宋体" w:hAnsi="宋体"/>
          <w:bCs/>
          <w:color w:val="000000" w:themeColor="text1"/>
          <w:sz w:val="24"/>
          <w14:textFill>
            <w14:solidFill>
              <w14:schemeClr w14:val="tx1"/>
            </w14:solidFill>
          </w14:textFill>
        </w:rPr>
        <w:t>在</w:t>
      </w:r>
      <w:r>
        <w:rPr>
          <w:rFonts w:ascii="宋体" w:hAnsi="宋体"/>
          <w:bCs/>
          <w:color w:val="000000" w:themeColor="text1"/>
          <w:sz w:val="24"/>
          <w14:textFill>
            <w14:solidFill>
              <w14:schemeClr w14:val="tx1"/>
            </w14:solidFill>
          </w14:textFill>
        </w:rPr>
        <w:t>履行适当程序后，则本基金投资不再受相关限制。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禁止行为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为维护基金份额持有人的合法权益，基金财产不得用于下列投资或者活动：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（1）承销证券；</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违反规定</w:t>
      </w:r>
      <w:r>
        <w:rPr>
          <w:bCs/>
          <w:color w:val="000000" w:themeColor="text1"/>
          <w:sz w:val="24"/>
          <w14:textFill>
            <w14:solidFill>
              <w14:schemeClr w14:val="tx1"/>
            </w14:solidFill>
          </w14:textFill>
        </w:rPr>
        <w:t>向他人贷款或者提供担保；</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）从事承担无限责任的投资；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）买卖其他基金份额，但是</w:t>
      </w:r>
      <w:r>
        <w:rPr>
          <w:rFonts w:hint="eastAsia"/>
          <w:bCs/>
          <w:color w:val="000000" w:themeColor="text1"/>
          <w:sz w:val="24"/>
          <w14:textFill>
            <w14:solidFill>
              <w14:schemeClr w14:val="tx1"/>
            </w14:solidFill>
          </w14:textFill>
        </w:rPr>
        <w:t>中国证监会</w:t>
      </w:r>
      <w:r>
        <w:rPr>
          <w:bCs/>
          <w:color w:val="000000" w:themeColor="text1"/>
          <w:sz w:val="24"/>
          <w14:textFill>
            <w14:solidFill>
              <w14:schemeClr w14:val="tx1"/>
            </w14:solidFill>
          </w14:textFill>
        </w:rPr>
        <w:t>另有规定的除外；</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）向其基金管理人、基金托管人出资；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6</w:t>
      </w:r>
      <w:r>
        <w:rPr>
          <w:bCs/>
          <w:color w:val="000000" w:themeColor="text1"/>
          <w:sz w:val="24"/>
          <w14:textFill>
            <w14:solidFill>
              <w14:schemeClr w14:val="tx1"/>
            </w14:solidFill>
          </w14:textFill>
        </w:rPr>
        <w:t>）从事内幕交易、操纵证券交易价格及其他不正当的证券交易活动；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7</w:t>
      </w:r>
      <w:r>
        <w:rPr>
          <w:bCs/>
          <w:color w:val="000000" w:themeColor="text1"/>
          <w:sz w:val="24"/>
          <w14:textFill>
            <w14:solidFill>
              <w14:schemeClr w14:val="tx1"/>
            </w14:solidFill>
          </w14:textFill>
        </w:rPr>
        <w:t>）法律</w:t>
      </w:r>
      <w:r>
        <w:rPr>
          <w:rFonts w:hint="eastAsia"/>
          <w:bCs/>
          <w:color w:val="000000" w:themeColor="text1"/>
          <w:sz w:val="24"/>
          <w14:textFill>
            <w14:solidFill>
              <w14:schemeClr w14:val="tx1"/>
            </w14:solidFill>
          </w14:textFill>
        </w:rPr>
        <w:t>、行政</w:t>
      </w:r>
      <w:r>
        <w:rPr>
          <w:bCs/>
          <w:color w:val="000000" w:themeColor="text1"/>
          <w:sz w:val="24"/>
          <w14:textFill>
            <w14:solidFill>
              <w14:schemeClr w14:val="tx1"/>
            </w14:solidFill>
          </w14:textFill>
        </w:rPr>
        <w:t>法规</w:t>
      </w:r>
      <w:r>
        <w:rPr>
          <w:rFonts w:hint="eastAsia"/>
          <w:bCs/>
          <w:color w:val="000000" w:themeColor="text1"/>
          <w:sz w:val="24"/>
          <w14:textFill>
            <w14:solidFill>
              <w14:schemeClr w14:val="tx1"/>
            </w14:solidFill>
          </w14:textFill>
        </w:rPr>
        <w:t>和</w:t>
      </w:r>
      <w:r>
        <w:rPr>
          <w:bCs/>
          <w:color w:val="000000" w:themeColor="text1"/>
          <w:sz w:val="24"/>
          <w14:textFill>
            <w14:solidFill>
              <w14:schemeClr w14:val="tx1"/>
            </w14:solidFill>
          </w14:textFill>
        </w:rPr>
        <w:t>中国证监会规定禁止的其他活动</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法律、行政法规或监管部门取消或变更上述禁止性或限制性规定，如适用于本基金，则基金管理人在履行适当程序后，本基金可不受上述规定的限制或以变更后的规定为准。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五、业绩比较基准</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本基金的业绩比较基准为：</w:t>
      </w:r>
      <w:r>
        <w:rPr>
          <w:bCs/>
          <w:color w:val="000000" w:themeColor="text1"/>
          <w:sz w:val="24"/>
          <w14:textFill>
            <w14:solidFill>
              <w14:schemeClr w14:val="tx1"/>
            </w14:solidFill>
          </w14:textFill>
        </w:rPr>
        <w:t>中债综合全价（总值）指数收益率。</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中债综合全价（总值）指数是中国全市场债券指数，以2001年12月31日为基期，基点为100点，并于2002年12月31日起发布。中债综合全价（总值）指数的样本具有广泛的市场代表性，其样本范围涵盖银行间市场和交易所市场，成分债券包括国债、企业债券、央行票据等所有主要债券种类</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该指数由中央国债登记结算有限责任公司编制，并在中国债券网（www.chinabond.com.cn）公开发布，具有较强的权威性和市场影响力；同时</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该指数的样本券涵盖面广，能较好地反映债券市场的整体收益。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如果指数编制单位停止计算编制指数或更改指数名称，或者今后法律法规发生变化，或者有更权威的、更能为市场普遍接受的业绩比较基准推出，经与基金托管人协商一致，本基金可在报中国证监会备案后变更业绩比较基准并及时公告，无需召开基金份额持有人大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六、风险收益特征</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本基金为债券型基金，预期收益和预期风险高于货币市场基金，但低于混合型基金、股票型基金。</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七、基金管理人代表基金行使债权人权利的处理原则及方法</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1、基金管理人按照国家有关规定代表基金独立行使债权人权利，保护基金份额持有人的利益；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2、有利于基金财产的安全与增值；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3、不通过关联交易为自身、雇员、授权代理人或任何存在利害关系的第三人牟取任何不当利益。</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八、侧袋机制的实施和投资运作安排</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侧袋机制实施期间，本部分约定的投资组合比例、投资策略、组合限制、业绩比较基准、风险收益特征等约定仅适用于主袋账户。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侧袋账户的实施条件、实施程序、运作安排、投资安排、特定资产的处置变现和支付等对投资者权益有重大影响的事项详见招募说明书的规定。</w:t>
      </w:r>
    </w:p>
    <w:p>
      <w:pPr>
        <w:rPr>
          <w:bCs/>
          <w:color w:val="000000" w:themeColor="text1"/>
          <w:sz w:val="24"/>
          <w14:textFill>
            <w14:solidFill>
              <w14:schemeClr w14:val="tx1"/>
            </w14:solidFill>
          </w14:textFill>
        </w:rPr>
      </w:pP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44"/>
          <w:sz w:val="21"/>
          <w14:textFill>
            <w14:solidFill>
              <w14:schemeClr w14:val="tx1"/>
            </w14:solidFill>
          </w14:textFill>
        </w:rPr>
        <w:br w:type="page"/>
      </w:r>
      <w:bookmarkStart w:id="288" w:name="_Toc93226145"/>
      <w:bookmarkStart w:id="289" w:name="_Toc92662704"/>
      <w:bookmarkStart w:id="290" w:name="_Toc26114"/>
      <w:bookmarkStart w:id="291" w:name="_Toc29561"/>
      <w:bookmarkStart w:id="292" w:name="_Toc32030"/>
      <w:bookmarkStart w:id="293" w:name="_Toc31611"/>
      <w:bookmarkStart w:id="294" w:name="_Toc128310496"/>
      <w:bookmarkStart w:id="295" w:name="_Toc20782"/>
      <w:bookmarkStart w:id="296" w:name="_Toc139991743"/>
      <w:bookmarkStart w:id="297" w:name="_Toc24474"/>
      <w:bookmarkStart w:id="298" w:name="_Toc141703893"/>
      <w:bookmarkStart w:id="299" w:name="_Toc18000"/>
      <w:bookmarkStart w:id="300" w:name="_Toc3054"/>
      <w:bookmarkStart w:id="301" w:name="_Toc95997124"/>
      <w:bookmarkStart w:id="302" w:name="_Toc20102"/>
      <w:bookmarkStart w:id="303" w:name="_Toc21642"/>
      <w:r>
        <w:rPr>
          <w:rFonts w:ascii="Times New Roman"/>
          <w:color w:val="000000" w:themeColor="text1"/>
          <w:sz w:val="30"/>
          <w14:textFill>
            <w14:solidFill>
              <w14:schemeClr w14:val="tx1"/>
            </w14:solidFill>
          </w14:textFill>
        </w:rPr>
        <w:t>第十三部分  基金</w:t>
      </w:r>
      <w:bookmarkEnd w:id="288"/>
      <w:bookmarkEnd w:id="289"/>
      <w:r>
        <w:rPr>
          <w:rFonts w:ascii="Times New Roman"/>
          <w:color w:val="000000" w:themeColor="text1"/>
          <w:sz w:val="30"/>
          <w14:textFill>
            <w14:solidFill>
              <w14:schemeClr w14:val="tx1"/>
            </w14:solidFill>
          </w14:textFill>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一、基金资产总值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基金资产总值是指基金购买的各类证券及票据价值、银行存款本息和基金应收的申购基金款以及其他投资所形成的价值总和。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二、基金资产净值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基金资产净值是指基金资产总值减去基金负债后的价值。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三、基金财产的账户</w:t>
      </w:r>
    </w:p>
    <w:p>
      <w:pPr>
        <w:spacing w:line="360" w:lineRule="auto"/>
        <w:ind w:firstLine="480" w:firstLineChars="200"/>
        <w:rPr>
          <w:color w:val="000000" w:themeColor="text1"/>
          <w14:textFill>
            <w14:solidFill>
              <w14:schemeClr w14:val="tx1"/>
            </w14:solidFill>
          </w14:textFill>
        </w:rPr>
      </w:pPr>
      <w:r>
        <w:rPr>
          <w:bCs/>
          <w:color w:val="000000" w:themeColor="text1"/>
          <w:sz w:val="24"/>
          <w14:textFill>
            <w14:solidFill>
              <w14:schemeClr w14:val="tx1"/>
            </w14:solidFill>
          </w14:textFill>
        </w:rPr>
        <w:t>基金托管人根据相关法律法规、规范性文件为本基金开立资金</w:t>
      </w:r>
      <w:r>
        <w:rPr>
          <w:rFonts w:hint="eastAsia"/>
          <w:bCs/>
          <w:color w:val="000000" w:themeColor="text1"/>
          <w:sz w:val="24"/>
          <w14:textFill>
            <w14:solidFill>
              <w14:schemeClr w14:val="tx1"/>
            </w14:solidFill>
          </w14:textFill>
        </w:rPr>
        <w:t>账户</w:t>
      </w:r>
      <w:r>
        <w:rPr>
          <w:bCs/>
          <w:color w:val="000000" w:themeColor="text1"/>
          <w:sz w:val="24"/>
          <w14:textFill>
            <w14:solidFill>
              <w14:schemeClr w14:val="tx1"/>
            </w14:solidFill>
          </w14:textFill>
        </w:rPr>
        <w:t>、证券</w:t>
      </w:r>
      <w:r>
        <w:rPr>
          <w:rFonts w:hint="eastAsia"/>
          <w:bCs/>
          <w:color w:val="000000" w:themeColor="text1"/>
          <w:sz w:val="24"/>
          <w14:textFill>
            <w14:solidFill>
              <w14:schemeClr w14:val="tx1"/>
            </w14:solidFill>
          </w14:textFill>
        </w:rPr>
        <w:t>账户</w:t>
      </w:r>
      <w:r>
        <w:rPr>
          <w:bCs/>
          <w:color w:val="000000" w:themeColor="text1"/>
          <w:sz w:val="24"/>
          <w14:textFill>
            <w14:solidFill>
              <w14:schemeClr w14:val="tx1"/>
            </w14:solidFill>
          </w14:textFill>
        </w:rPr>
        <w:t>以及投资所需的其他专用</w:t>
      </w:r>
      <w:r>
        <w:rPr>
          <w:rFonts w:hint="eastAsia"/>
          <w:bCs/>
          <w:color w:val="000000" w:themeColor="text1"/>
          <w:sz w:val="24"/>
          <w14:textFill>
            <w14:solidFill>
              <w14:schemeClr w14:val="tx1"/>
            </w14:solidFill>
          </w14:textFill>
        </w:rPr>
        <w:t>账户</w:t>
      </w:r>
      <w:r>
        <w:rPr>
          <w:bCs/>
          <w:color w:val="000000" w:themeColor="text1"/>
          <w:sz w:val="24"/>
          <w14:textFill>
            <w14:solidFill>
              <w14:schemeClr w14:val="tx1"/>
            </w14:solidFill>
          </w14:textFill>
        </w:rPr>
        <w:t>。开立的基金专用账户与基金管理人、基金托管人、基金销售机构和基金登记机构自有的财产账户以及其他基金财产账户相独立。</w:t>
      </w:r>
      <w:bookmarkStart w:id="304" w:name="_Hlt88841837"/>
      <w:bookmarkEnd w:id="304"/>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四、基金财产的保管和处分</w:t>
      </w:r>
      <w:bookmarkStart w:id="305" w:name="_Hlt88900062"/>
      <w:bookmarkEnd w:id="305"/>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本基金财产独立于基金管理人、基金托管人和基金</w:t>
      </w:r>
      <w:r>
        <w:rPr>
          <w:rFonts w:hint="eastAsia"/>
          <w:bCs/>
          <w:color w:val="000000" w:themeColor="text1"/>
          <w:sz w:val="24"/>
          <w14:textFill>
            <w14:solidFill>
              <w14:schemeClr w14:val="tx1"/>
            </w14:solidFill>
          </w14:textFill>
        </w:rPr>
        <w:t>销售</w:t>
      </w:r>
      <w:r>
        <w:rPr>
          <w:bCs/>
          <w:color w:val="000000" w:themeColor="text1"/>
          <w:sz w:val="24"/>
          <w14:textFill>
            <w14:solidFill>
              <w14:schemeClr w14:val="tx1"/>
            </w14:solidFill>
          </w14:textFill>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spacing w:line="360" w:lineRule="auto"/>
        <w:ind w:firstLine="480" w:firstLineChars="200"/>
        <w:rPr>
          <w:bCs/>
          <w:color w:val="000000" w:themeColor="text1"/>
          <w:sz w:val="24"/>
          <w14:textFill>
            <w14:solidFill>
              <w14:schemeClr w14:val="tx1"/>
            </w14:solidFill>
          </w14:textFill>
        </w:rPr>
      </w:pP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44"/>
          <w:sz w:val="21"/>
          <w14:textFill>
            <w14:solidFill>
              <w14:schemeClr w14:val="tx1"/>
            </w14:solidFill>
          </w14:textFill>
        </w:rPr>
        <w:br w:type="page"/>
      </w:r>
      <w:bookmarkStart w:id="306" w:name="_Toc7802"/>
      <w:bookmarkStart w:id="307" w:name="_Toc31917"/>
      <w:bookmarkStart w:id="308" w:name="_Toc95997125"/>
      <w:bookmarkStart w:id="309" w:name="_Toc17782"/>
      <w:bookmarkStart w:id="310" w:name="_Toc19714"/>
      <w:bookmarkStart w:id="311" w:name="_Toc871"/>
      <w:bookmarkStart w:id="312" w:name="_Toc27832"/>
      <w:bookmarkStart w:id="313" w:name="_Toc141703894"/>
      <w:bookmarkStart w:id="314" w:name="_Toc139991744"/>
      <w:r>
        <w:rPr>
          <w:rFonts w:ascii="Times New Roman"/>
          <w:color w:val="000000" w:themeColor="text1"/>
          <w:sz w:val="30"/>
          <w14:textFill>
            <w14:solidFill>
              <w14:schemeClr w14:val="tx1"/>
            </w14:solidFill>
          </w14:textFill>
        </w:rPr>
        <w:t>第十四部分  基金资产估值</w:t>
      </w:r>
      <w:bookmarkEnd w:id="306"/>
      <w:bookmarkEnd w:id="307"/>
      <w:bookmarkEnd w:id="308"/>
      <w:bookmarkEnd w:id="309"/>
      <w:bookmarkEnd w:id="310"/>
      <w:bookmarkEnd w:id="311"/>
      <w:bookmarkEnd w:id="312"/>
    </w:p>
    <w:p>
      <w:pPr>
        <w:spacing w:line="360" w:lineRule="auto"/>
        <w:ind w:firstLine="480" w:firstLineChars="200"/>
        <w:rPr>
          <w:bCs/>
          <w:color w:val="000000" w:themeColor="text1"/>
          <w:sz w:val="24"/>
          <w14:textFill>
            <w14:solidFill>
              <w14:schemeClr w14:val="tx1"/>
            </w14:solidFill>
          </w14:textFill>
        </w:rPr>
      </w:pPr>
    </w:p>
    <w:bookmarkEnd w:id="313"/>
    <w:bookmarkEnd w:id="314"/>
    <w:p>
      <w:pPr>
        <w:spacing w:line="360" w:lineRule="auto"/>
        <w:ind w:firstLine="480" w:firstLineChars="200"/>
        <w:rPr>
          <w:bCs/>
          <w:color w:val="000000" w:themeColor="text1"/>
          <w:sz w:val="24"/>
          <w14:textFill>
            <w14:solidFill>
              <w14:schemeClr w14:val="tx1"/>
            </w14:solidFill>
          </w14:textFill>
        </w:rPr>
      </w:pPr>
      <w:bookmarkStart w:id="315" w:name="_Toc141703895"/>
      <w:bookmarkStart w:id="316" w:name="_Toc139991745"/>
      <w:bookmarkStart w:id="317" w:name="_Toc32046"/>
      <w:r>
        <w:rPr>
          <w:bCs/>
          <w:color w:val="000000" w:themeColor="text1"/>
          <w:sz w:val="24"/>
          <w14:textFill>
            <w14:solidFill>
              <w14:schemeClr w14:val="tx1"/>
            </w14:solidFill>
          </w14:textFill>
        </w:rPr>
        <w:t>一、估值日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本基金的估值日为本基金相关的证券交易场所的交易日以及国家法律法规规定需要对外披露基金净值的非交易日。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二、估值对象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基金所拥有的债券</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银行存款本息、应收款项、其它投资等资产及负债。</w:t>
      </w:r>
    </w:p>
    <w:p>
      <w:pPr>
        <w:numPr>
          <w:ilvl w:val="0"/>
          <w:numId w:val="3"/>
        </w:num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估值原则</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基金管理人在确定相关金融资产和金融负债的公允价值时，应符合《企业会计准则》、监管部门有关规定。</w:t>
      </w:r>
    </w:p>
    <w:p>
      <w:pPr>
        <w:numPr>
          <w:ilvl w:val="0"/>
          <w:numId w:val="4"/>
        </w:num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与上述投资品种</w:t>
      </w:r>
      <w:r>
        <w:rPr>
          <w:bCs/>
          <w:color w:val="000000" w:themeColor="text1"/>
          <w:sz w:val="24"/>
          <w:szCs w:val="24"/>
          <w14:textFill>
            <w14:solidFill>
              <w14:schemeClr w14:val="tx1"/>
            </w14:solidFill>
          </w14:textFill>
        </w:rPr>
        <w:t>形</w:t>
      </w:r>
      <w:r>
        <w:rPr>
          <w:rFonts w:hint="eastAsia"/>
          <w:bCs/>
          <w:color w:val="000000" w:themeColor="text1"/>
          <w:sz w:val="24"/>
          <w:szCs w:val="24"/>
          <w14:textFill>
            <w14:solidFill>
              <w14:schemeClr w14:val="tx1"/>
            </w14:solidFill>
          </w14:textFill>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numPr>
          <w:ilvl w:val="0"/>
          <w:numId w:val="4"/>
        </w:num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四</w:t>
      </w:r>
      <w:r>
        <w:rPr>
          <w:bCs/>
          <w:color w:val="000000" w:themeColor="text1"/>
          <w:sz w:val="24"/>
          <w14:textFill>
            <w14:solidFill>
              <w14:schemeClr w14:val="tx1"/>
            </w14:solidFill>
          </w14:textFill>
        </w:rPr>
        <w:t>、估值方法</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1、证券交易所上市的有价证券的估值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除本部分另有约定的品种外，</w:t>
      </w:r>
      <w:r>
        <w:rPr>
          <w:bCs/>
          <w:color w:val="000000" w:themeColor="text1"/>
          <w:sz w:val="24"/>
          <w14:textFill>
            <w14:solidFill>
              <w14:schemeClr w14:val="tx1"/>
            </w14:solidFill>
          </w14:textFill>
        </w:rPr>
        <w:t>交易所上市的有价证券，以其估值日在证券交易所挂牌的市价（收盘价）估值；估值日无交易的，且最近交易日后经济环境未发生重大变化</w:t>
      </w:r>
      <w:r>
        <w:rPr>
          <w:rFonts w:hint="eastAsia"/>
          <w:bCs/>
          <w:color w:val="000000" w:themeColor="text1"/>
          <w:sz w:val="24"/>
          <w14:textFill>
            <w14:solidFill>
              <w14:schemeClr w14:val="tx1"/>
            </w14:solidFill>
          </w14:textFill>
        </w:rPr>
        <w:t>或</w:t>
      </w:r>
      <w:r>
        <w:rPr>
          <w:bCs/>
          <w:color w:val="000000" w:themeColor="text1"/>
          <w:sz w:val="24"/>
          <w14:textFill>
            <w14:solidFill>
              <w14:schemeClr w14:val="tx1"/>
            </w14:solidFill>
          </w14:textFill>
        </w:rPr>
        <w:t>证券发行机构未发生影响证券价格的重大事件的，以最近交易日的市价（收盘价）估值；如最近交易日后经济环境发生了重大变化</w:t>
      </w:r>
      <w:r>
        <w:rPr>
          <w:rFonts w:hint="eastAsia"/>
          <w:bCs/>
          <w:color w:val="000000" w:themeColor="text1"/>
          <w:sz w:val="24"/>
          <w14:textFill>
            <w14:solidFill>
              <w14:schemeClr w14:val="tx1"/>
            </w14:solidFill>
          </w14:textFill>
        </w:rPr>
        <w:t>或</w:t>
      </w:r>
      <w:r>
        <w:rPr>
          <w:bCs/>
          <w:color w:val="000000" w:themeColor="text1"/>
          <w:sz w:val="24"/>
          <w14:textFill>
            <w14:solidFill>
              <w14:schemeClr w14:val="tx1"/>
            </w14:solidFill>
          </w14:textFill>
        </w:rPr>
        <w:t>证券发行机构发生影响证券价格的重大事件的，可参考类似投资品种的现行市价及重大变化因素，调整最近交易市价，确定公允价格。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（2）交易所上市交易或挂牌转让的不含权固定收益品种，选取估值日第三方估值机构提供的相应品种当日的估值净价进行估值；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（4）交易所上市不存在活跃市场的有价证券，采用估值技术确定公允价值。</w:t>
      </w:r>
      <w:r>
        <w:rPr>
          <w:rFonts w:hint="eastAsia"/>
          <w:bCs/>
          <w:color w:val="000000" w:themeColor="text1"/>
          <w:sz w:val="24"/>
          <w14:textFill>
            <w14:solidFill>
              <w14:schemeClr w14:val="tx1"/>
            </w14:solidFill>
          </w14:textFill>
        </w:rPr>
        <w:t>交易所市场挂牌转让</w:t>
      </w:r>
      <w:r>
        <w:rPr>
          <w:bCs/>
          <w:color w:val="000000" w:themeColor="text1"/>
          <w:sz w:val="24"/>
          <w14:textFill>
            <w14:solidFill>
              <w14:schemeClr w14:val="tx1"/>
            </w14:solidFill>
          </w14:textFill>
        </w:rPr>
        <w:t>的资产支持证券，采用估值技术确定公允价值</w:t>
      </w:r>
      <w:r>
        <w:rPr>
          <w:rFonts w:hint="eastAsia"/>
          <w:bCs/>
          <w:color w:val="000000" w:themeColor="text1"/>
          <w:sz w:val="24"/>
          <w14:textFill>
            <w14:solidFill>
              <w14:schemeClr w14:val="tx1"/>
            </w14:solidFill>
          </w14:textFill>
        </w:rPr>
        <w:t>，在估值技术难以可靠计量公允价值的情况下，按成本估值；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color w:val="000000" w:themeColor="text1"/>
          <w:sz w:val="24"/>
          <w14:textFill>
            <w14:solidFill>
              <w14:schemeClr w14:val="tx1"/>
            </w14:solidFill>
          </w14:textFill>
        </w:rPr>
        <w:t>市场活动</w:t>
      </w:r>
      <w:r>
        <w:rPr>
          <w:bCs/>
          <w:color w:val="000000" w:themeColor="text1"/>
          <w:sz w:val="24"/>
          <w14:textFill>
            <w14:solidFill>
              <w14:schemeClr w14:val="tx1"/>
            </w14:solidFill>
          </w14:textFill>
        </w:rPr>
        <w:t>或市场活动很少的情况下，应采用估值技术确定其公允价值。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2、首次公开发行未上市的债券，采用估值技术确定公允价值，在估值技术难以可靠计量公允价值的情况下，按成本估值。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color w:val="000000" w:themeColor="text1"/>
          <w:sz w:val="24"/>
          <w14:textFill>
            <w14:solidFill>
              <w14:schemeClr w14:val="tx1"/>
            </w14:solidFill>
          </w14:textFill>
        </w:rPr>
        <w:t>期</w:t>
      </w:r>
      <w:r>
        <w:rPr>
          <w:bCs/>
          <w:color w:val="000000" w:themeColor="text1"/>
          <w:sz w:val="24"/>
          <w14:textFill>
            <w14:solidFill>
              <w14:schemeClr w14:val="tx1"/>
            </w14:solidFill>
          </w14:textFill>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4" w:firstLineChars="202"/>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同一债券同时在两个或两个以上市场交易的，按债券所处的市场分别估值。</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基金投资同业存单，按估值日第三方估值机构提供的估值净价估值；选定的第三方估值机构未提供估值价格的，按成本估值。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6、本基金持有的回购以成本列示，按合同利率在实际持有期内逐日计提利息。</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7、本基金持有的银行存款和备付金余额以本金列示，按相应利率逐日确认利息收入。</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8、如有确凿证据表明按上述方法进行估值不能客观反映其公允价值的，基金管理人可根据具体情况与基金托管人商定后，按最能反映公允价值的价格估值。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9、当发生大额申购或赎回情形时，基金管理人可以采用摆动定价机制，以确保基金估值的公平性。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10、相关法律法规以及监管部门有强制规定的，从其规定。如有新增事项，按国家最新规定估值。</w:t>
      </w:r>
    </w:p>
    <w:p>
      <w:pPr>
        <w:spacing w:line="360" w:lineRule="auto"/>
        <w:ind w:firstLine="480" w:firstLineChars="200"/>
        <w:rPr>
          <w:rStyle w:val="42"/>
          <w:bCs/>
          <w:color w:val="000000" w:themeColor="text1"/>
          <w:sz w:val="24"/>
          <w14:textFill>
            <w14:solidFill>
              <w14:schemeClr w14:val="tx1"/>
            </w14:solidFill>
          </w14:textFill>
        </w:rPr>
      </w:pPr>
      <w:r>
        <w:rPr>
          <w:rStyle w:val="42"/>
          <w:bCs/>
          <w:color w:val="000000" w:themeColor="text1"/>
          <w:sz w:val="24"/>
          <w14:textFill>
            <w14:solidFill>
              <w14:schemeClr w14:val="tx1"/>
            </w14:solidFill>
          </w14:textFill>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五</w:t>
      </w:r>
      <w:r>
        <w:rPr>
          <w:bCs/>
          <w:color w:val="000000" w:themeColor="text1"/>
          <w:sz w:val="24"/>
          <w14:textFill>
            <w14:solidFill>
              <w14:schemeClr w14:val="tx1"/>
            </w14:solidFill>
          </w14:textFill>
        </w:rPr>
        <w:t>、估值程序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1、基金份额净值是按照每个工作日闭市后，基金资产净值除以当日基金份额的余额数量计算，精确到</w:t>
      </w:r>
      <w:r>
        <w:rPr>
          <w:rFonts w:hint="eastAsia"/>
          <w:bCs/>
          <w:color w:val="000000" w:themeColor="text1"/>
          <w:sz w:val="24"/>
          <w14:textFill>
            <w14:solidFill>
              <w14:schemeClr w14:val="tx1"/>
            </w14:solidFill>
          </w14:textFill>
        </w:rPr>
        <w:t>0.0001</w:t>
      </w:r>
      <w:r>
        <w:rPr>
          <w:bCs/>
          <w:color w:val="000000" w:themeColor="text1"/>
          <w:sz w:val="24"/>
          <w14:textFill>
            <w14:solidFill>
              <w14:schemeClr w14:val="tx1"/>
            </w14:solidFill>
          </w14:textFill>
        </w:rPr>
        <w:t>元，小数点后第</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位四舍五入，由此产生的收益或损失由基金资产承担。基金管理人可以设立大额赎回情形下的净值精度应急调整机制。国家另有规定的，从其规定。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基金管理人</w:t>
      </w:r>
      <w:r>
        <w:rPr>
          <w:bCs/>
          <w:color w:val="000000" w:themeColor="text1"/>
          <w:sz w:val="24"/>
          <w14:textFill>
            <w14:solidFill>
              <w14:schemeClr w14:val="tx1"/>
            </w14:solidFill>
          </w14:textFill>
        </w:rPr>
        <w:t>每个工作日计算基金资产净值及基金份额净值，并按规定公告。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color w:val="000000" w:themeColor="text1"/>
          <w:sz w:val="24"/>
          <w14:textFill>
            <w14:solidFill>
              <w14:schemeClr w14:val="tx1"/>
            </w14:solidFill>
          </w14:textFill>
        </w:rPr>
        <w:t>按约定</w:t>
      </w:r>
      <w:r>
        <w:rPr>
          <w:bCs/>
          <w:color w:val="000000" w:themeColor="text1"/>
          <w:sz w:val="24"/>
          <w14:textFill>
            <w14:solidFill>
              <w14:schemeClr w14:val="tx1"/>
            </w14:solidFill>
          </w14:textFill>
        </w:rPr>
        <w:t>对外公布。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六</w:t>
      </w:r>
      <w:r>
        <w:rPr>
          <w:bCs/>
          <w:color w:val="000000" w:themeColor="text1"/>
          <w:sz w:val="24"/>
          <w14:textFill>
            <w14:solidFill>
              <w14:schemeClr w14:val="tx1"/>
            </w14:solidFill>
          </w14:textFill>
        </w:rPr>
        <w:t>、估值错误的处理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基金管理人和基金托管人将采取必要、适当、合理的措施确保基金资产估值的准确性、及时性。当基金份额净值小数点后</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位以内（含第</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位）发生估值错误时，视为基金份额净值错误。</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本基金合同的当事人应按照以下约定处理：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1、估值错误类型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上述估值错误的主要类型包括但不限于：资料申报差错、数据传输差错、数据计算差错、系统故障差错、下达指令差错等。</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2、估值错误处理原则</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）估值错误的责任方对有关当事人的直接损失负责，不对间接损失负责，并且仅对估值错误的有关直接当事人负责，不对第三方负责。</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）估值错误调整采用尽量恢复至假设未发生估值错误的正确情形的方式。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（5）按法律法规规定的其他原则处理差错。</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3、估值错误处理程序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估值错误被发现后，有关的当事人应当及时进行处理，处理的程序如下：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（1）查明估值错误发生的原因，列明所有的当事人，并根据估值错误发生的原因确定估值错误的责任方；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）根据估值错误处理原则或当事人协商的方法对因估值错误造成的损失进行评估；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）根据估值错误处理原则或当事人协商的方法由估值错误的责任方进行更正和赔偿损失；</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）根据估值错误处理的方法，需要修改基金登记机构交易数据的，由基金登记机构进行更正，并就估值错误的更正向有关当事人进行确认。</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4、基金份额净值估值错误处理的方法如下：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（1）基金份额净值计算出现错误时，基金管理人应当立即予以纠正，通报基金托管人，并采取合理的措施防止损失进一步扩大。</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基金管理人和基金托管人由于各自技术系统设置而产生的净值计算尾差，以基金管理人计算结果为准。</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前述内容如法律法规或监管机关另有规定的，从其规定处理。</w:t>
      </w:r>
      <w:r>
        <w:rPr>
          <w:rFonts w:hint="eastAsia"/>
          <w:bCs/>
          <w:color w:val="000000" w:themeColor="text1"/>
          <w:sz w:val="24"/>
          <w14:textFill>
            <w14:solidFill>
              <w14:schemeClr w14:val="tx1"/>
            </w14:solidFill>
          </w14:textFill>
        </w:rPr>
        <w:t>如果法律法规或监管机关没有规定的，基金管理人、基金托管人应本着平等和保护基金份额持有人利益的原则协商一致后参照行业惯例处理。</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七</w:t>
      </w:r>
      <w:r>
        <w:rPr>
          <w:bCs/>
          <w:color w:val="000000" w:themeColor="text1"/>
          <w:sz w:val="24"/>
          <w14:textFill>
            <w14:solidFill>
              <w14:schemeClr w14:val="tx1"/>
            </w14:solidFill>
          </w14:textFill>
        </w:rPr>
        <w:t>、暂停估值的情形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1、基金投资所涉及的证券交易市场遇法定节假日或因其他原因暂停营业时；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2、因不可抗力致使基金管理人、基金托管人无法准确评估基金资产价值时；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3、当特定资产占前一估值日基金资产净值50%以上的，经与基金托管人协商确认后，基金管理人应当暂停估值；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法律法规、</w:t>
      </w:r>
      <w:r>
        <w:rPr>
          <w:bCs/>
          <w:color w:val="000000" w:themeColor="text1"/>
          <w:sz w:val="24"/>
          <w14:textFill>
            <w14:solidFill>
              <w14:schemeClr w14:val="tx1"/>
            </w14:solidFill>
          </w14:textFill>
        </w:rPr>
        <w:t>中国证监会和基金合同认定的其它情形。</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八</w:t>
      </w:r>
      <w:r>
        <w:rPr>
          <w:bCs/>
          <w:color w:val="000000" w:themeColor="text1"/>
          <w:sz w:val="24"/>
          <w14:textFill>
            <w14:solidFill>
              <w14:schemeClr w14:val="tx1"/>
            </w14:solidFill>
          </w14:textFill>
        </w:rPr>
        <w:t>、基金净值的确认</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用于基金信息披露的基金资产净值和基金份额净值由基金管理人负责计算，基金托管人负责进行复核。基金管理人应于每个</w:t>
      </w:r>
      <w:r>
        <w:rPr>
          <w:rFonts w:hint="eastAsia"/>
          <w:bCs/>
          <w:color w:val="000000" w:themeColor="text1"/>
          <w:sz w:val="24"/>
          <w14:textFill>
            <w14:solidFill>
              <w14:schemeClr w14:val="tx1"/>
            </w14:solidFill>
          </w14:textFill>
        </w:rPr>
        <w:t>工作</w:t>
      </w:r>
      <w:r>
        <w:rPr>
          <w:bCs/>
          <w:color w:val="000000" w:themeColor="text1"/>
          <w:sz w:val="24"/>
          <w14:textFill>
            <w14:solidFill>
              <w14:schemeClr w14:val="tx1"/>
            </w14:solidFill>
          </w14:textFill>
        </w:rPr>
        <w:t>日交易结束后计算当日的基金资产净值和基金份额净值并发送给基金托管人。基金托管人对净值计算结果复核确认后发送给基金管理人，由基金管理人对基金净值予以公布。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九、实施侧袋机制期间的基金资产估值</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本基金实施侧袋机制的，应根据本部分的约定对主袋账户资产进行估值并披露主袋账户的基金净值信息，暂停披露侧袋账户份额净值。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十、特殊情况的处理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、基金管理人或基金托管人按估值方法的第</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项进行估值时，所造成的误差不作为基金资产估值错误处理。</w:t>
      </w:r>
    </w:p>
    <w:p>
      <w:pPr>
        <w:spacing w:line="360" w:lineRule="auto"/>
        <w:ind w:firstLine="480" w:firstLineChars="200"/>
        <w:rPr>
          <w:b/>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由于不可抗力原因，或证券交易所、登记机构及存款银行等第三方结算公司等机构发送的数据错误等非基金管理人与基金托管人原因，基金管理人和基金托管人虽然已经采取必要、适当、合理的措施进行检查，但是未能发现该错误的，由此造成的基金财产估值错误，基金管理人和基金托管人免除赔偿责任。但基金管理人和基金托管人应当积极采取必要的措施消除或减轻由此造成的影响。</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sz w:val="30"/>
          <w14:textFill>
            <w14:solidFill>
              <w14:schemeClr w14:val="tx1"/>
            </w14:solidFill>
          </w14:textFill>
        </w:rPr>
        <w:br w:type="page"/>
      </w:r>
      <w:bookmarkStart w:id="318" w:name="_Toc3365"/>
      <w:bookmarkStart w:id="319" w:name="_Toc19752"/>
      <w:bookmarkStart w:id="320" w:name="_Toc13987"/>
      <w:bookmarkStart w:id="321" w:name="_Toc95997126"/>
      <w:bookmarkStart w:id="322" w:name="_Toc24601"/>
      <w:bookmarkStart w:id="323" w:name="_Toc12105"/>
      <w:bookmarkStart w:id="324" w:name="_Toc32227"/>
      <w:bookmarkStart w:id="325" w:name="_Toc19706"/>
      <w:bookmarkStart w:id="326" w:name="_Toc15779"/>
      <w:bookmarkStart w:id="327" w:name="_Toc32041"/>
      <w:r>
        <w:rPr>
          <w:rFonts w:ascii="Times New Roman"/>
          <w:color w:val="000000" w:themeColor="text1"/>
          <w:sz w:val="30"/>
          <w14:textFill>
            <w14:solidFill>
              <w14:schemeClr w14:val="tx1"/>
            </w14:solidFill>
          </w14:textFill>
        </w:rPr>
        <w:t>第十五部分  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一、基金费用的种类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1、基金管理人的管理费；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2、基金托管人的托管费；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3、《基金合同》生效后与基金相关的信息披露费用；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4、《基金合同》生效后与基金相关的会计师费、律师费</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诉讼费</w:t>
      </w:r>
      <w:r>
        <w:rPr>
          <w:rFonts w:hint="eastAsia"/>
          <w:bCs/>
          <w:color w:val="000000" w:themeColor="text1"/>
          <w:sz w:val="24"/>
          <w14:textFill>
            <w14:solidFill>
              <w14:schemeClr w14:val="tx1"/>
            </w14:solidFill>
          </w14:textFill>
        </w:rPr>
        <w:t>和仲裁费等费用</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5、基金份额持有人大会费用；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6、基金的证券交易费用；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7、基金的银行汇划费用；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基金的账户开户费用、账户维护费用；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9、按照国家有关规定和《基金合同》约定，可以在基金财产中列支的其他费用。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二、基金费用计提方法、计提标准和支付方式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1、基金管理人的管理费</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本基金的管理费按前一日基金资产净值的</w:t>
      </w:r>
      <w:r>
        <w:rPr>
          <w:rFonts w:ascii="宋体" w:hAnsi="宋体"/>
          <w:color w:val="000000" w:themeColor="text1"/>
          <w:sz w:val="24"/>
          <w:szCs w:val="24"/>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0</w:t>
      </w:r>
      <w:r>
        <w:rPr>
          <w:bCs/>
          <w:color w:val="000000" w:themeColor="text1"/>
          <w:sz w:val="24"/>
          <w:szCs w:val="24"/>
          <w14:textFill>
            <w14:solidFill>
              <w14:schemeClr w14:val="tx1"/>
            </w14:solidFill>
          </w14:textFill>
        </w:rPr>
        <w:t>%年费率计提。管理费的计算方法如下：</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H＝E×</w:t>
      </w:r>
      <w:r>
        <w:rPr>
          <w:rFonts w:ascii="宋体" w:hAnsi="宋体"/>
          <w:color w:val="000000" w:themeColor="text1"/>
          <w:sz w:val="24"/>
          <w:szCs w:val="24"/>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0</w:t>
      </w:r>
      <w:r>
        <w:rPr>
          <w:bCs/>
          <w:color w:val="000000" w:themeColor="text1"/>
          <w:sz w:val="24"/>
          <w:szCs w:val="24"/>
          <w14:textFill>
            <w14:solidFill>
              <w14:schemeClr w14:val="tx1"/>
            </w14:solidFill>
          </w14:textFill>
        </w:rPr>
        <w:t>%÷当年天数</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H为每日应计提的基金管理费</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E为前一日的基金资产净值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费每日计算，逐日累计至每月月末，按月支付，由基金管理人向基金托管人发送基金管理费划款指令，基金托管人复核后于次月前5个工作日内从基金财产中一次性支付给基金管理人。若遇法定节假日、公休</w:t>
      </w:r>
      <w:r>
        <w:rPr>
          <w:rFonts w:hint="eastAsia"/>
          <w:bCs/>
          <w:color w:val="000000" w:themeColor="text1"/>
          <w:sz w:val="24"/>
          <w14:textFill>
            <w14:solidFill>
              <w14:schemeClr w14:val="tx1"/>
            </w14:solidFill>
          </w14:textFill>
        </w:rPr>
        <w:t>日或不可抗力致使无法按时</w:t>
      </w:r>
      <w:r>
        <w:rPr>
          <w:bCs/>
          <w:color w:val="000000" w:themeColor="text1"/>
          <w:sz w:val="24"/>
          <w14:textFill>
            <w14:solidFill>
              <w14:schemeClr w14:val="tx1"/>
            </w14:solidFill>
          </w14:textFill>
        </w:rPr>
        <w:t>支付</w:t>
      </w:r>
      <w:r>
        <w:rPr>
          <w:rFonts w:hint="eastAsia"/>
          <w:bCs/>
          <w:color w:val="000000" w:themeColor="text1"/>
          <w:sz w:val="24"/>
          <w14:textFill>
            <w14:solidFill>
              <w14:schemeClr w14:val="tx1"/>
            </w14:solidFill>
          </w14:textFill>
        </w:rPr>
        <w:t>的，</w:t>
      </w:r>
      <w:r>
        <w:rPr>
          <w:bCs/>
          <w:color w:val="000000" w:themeColor="text1"/>
          <w:sz w:val="24"/>
          <w14:textFill>
            <w14:solidFill>
              <w14:schemeClr w14:val="tx1"/>
            </w14:solidFill>
          </w14:textFill>
        </w:rPr>
        <w:t>顺延至最近可支付日支付。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2、基金托管人的托管费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本基金的托管费按前一日基金资产净值的0.</w:t>
      </w:r>
      <w:r>
        <w:rPr>
          <w:rFonts w:hint="eastAsia"/>
          <w:bCs/>
          <w:color w:val="000000" w:themeColor="text1"/>
          <w:sz w:val="24"/>
          <w14:textFill>
            <w14:solidFill>
              <w14:schemeClr w14:val="tx1"/>
            </w14:solidFill>
          </w14:textFill>
        </w:rPr>
        <w:t>05</w:t>
      </w:r>
      <w:r>
        <w:rPr>
          <w:bCs/>
          <w:color w:val="000000" w:themeColor="text1"/>
          <w:sz w:val="24"/>
          <w14:textFill>
            <w14:solidFill>
              <w14:schemeClr w14:val="tx1"/>
            </w14:solidFill>
          </w14:textFill>
        </w:rPr>
        <w:t>%的年费率计提。托管费的计算方法如下：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H＝E×0.</w:t>
      </w:r>
      <w:r>
        <w:rPr>
          <w:rFonts w:hint="eastAsia"/>
          <w:bCs/>
          <w:color w:val="000000" w:themeColor="text1"/>
          <w:sz w:val="24"/>
          <w14:textFill>
            <w14:solidFill>
              <w14:schemeClr w14:val="tx1"/>
            </w14:solidFill>
          </w14:textFill>
        </w:rPr>
        <w:t>05</w:t>
      </w:r>
      <w:r>
        <w:rPr>
          <w:bCs/>
          <w:color w:val="000000" w:themeColor="text1"/>
          <w:sz w:val="24"/>
          <w14:textFill>
            <w14:solidFill>
              <w14:schemeClr w14:val="tx1"/>
            </w14:solidFill>
          </w14:textFill>
        </w:rPr>
        <w:t>%÷当年天数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H为每日应计提的基金托管费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E为前一日的基金资产净值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基金托管费每日计算，逐日累计至每月月末，按月支付，由基金管理人向基金托管人发送基金托管费划款指令，基金托管人复核后于次月前5个工作日内从基金财产中一次性支取。若遇法定节假日、公休日</w:t>
      </w:r>
      <w:r>
        <w:rPr>
          <w:rFonts w:hint="eastAsia"/>
          <w:bCs/>
          <w:color w:val="000000" w:themeColor="text1"/>
          <w:sz w:val="24"/>
          <w14:textFill>
            <w14:solidFill>
              <w14:schemeClr w14:val="tx1"/>
            </w14:solidFill>
          </w14:textFill>
        </w:rPr>
        <w:t>或不可抗力致使无法按时</w:t>
      </w:r>
      <w:r>
        <w:rPr>
          <w:bCs/>
          <w:color w:val="000000" w:themeColor="text1"/>
          <w:sz w:val="24"/>
          <w14:textFill>
            <w14:solidFill>
              <w14:schemeClr w14:val="tx1"/>
            </w14:solidFill>
          </w14:textFill>
        </w:rPr>
        <w:t>支付</w:t>
      </w:r>
      <w:r>
        <w:rPr>
          <w:rFonts w:hint="eastAsia"/>
          <w:bCs/>
          <w:color w:val="000000" w:themeColor="text1"/>
          <w:sz w:val="24"/>
          <w14:textFill>
            <w14:solidFill>
              <w14:schemeClr w14:val="tx1"/>
            </w14:solidFill>
          </w14:textFill>
        </w:rPr>
        <w:t>的，</w:t>
      </w:r>
      <w:r>
        <w:rPr>
          <w:bCs/>
          <w:color w:val="000000" w:themeColor="text1"/>
          <w:sz w:val="24"/>
          <w14:textFill>
            <w14:solidFill>
              <w14:schemeClr w14:val="tx1"/>
            </w14:solidFill>
          </w14:textFill>
        </w:rPr>
        <w:t>顺延至最近可支付日支付。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上述“</w:t>
      </w:r>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基金费用的种类</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中第3－9项费用，根据有关法规及相应协议规定，按费用实际支出金额列入</w:t>
      </w:r>
      <w:r>
        <w:rPr>
          <w:rFonts w:hint="eastAsia"/>
          <w:bCs/>
          <w:color w:val="000000" w:themeColor="text1"/>
          <w:sz w:val="24"/>
          <w14:textFill>
            <w14:solidFill>
              <w14:schemeClr w14:val="tx1"/>
            </w14:solidFill>
          </w14:textFill>
        </w:rPr>
        <w:t>或摊入</w:t>
      </w:r>
      <w:r>
        <w:rPr>
          <w:bCs/>
          <w:color w:val="000000" w:themeColor="text1"/>
          <w:sz w:val="24"/>
          <w14:textFill>
            <w14:solidFill>
              <w14:schemeClr w14:val="tx1"/>
            </w14:solidFill>
          </w14:textFill>
        </w:rPr>
        <w:t>当期费用，由基金托管人从基金财产中支付。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三、不列入基金费用的项目</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下列费用不列入基金费用：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1、基金管理人和基金托管人因未履行或未完全履行义务导致的费用支出或基金财产的损失；</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2、基金管理人和基金托管人处理与基金运作无关的事项发生的费用；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3、《基金合同》生效前的相关费用；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4、其他根据相关法律法规及中国证监会的有关规定不得列入基金费用的项目。</w:t>
      </w:r>
      <w:bookmarkStart w:id="328" w:name="_Hlt88827255"/>
      <w:bookmarkEnd w:id="328"/>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四、实施侧袋机制期间的基金费用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五</w:t>
      </w:r>
      <w:r>
        <w:rPr>
          <w:bCs/>
          <w:color w:val="000000" w:themeColor="text1"/>
          <w:sz w:val="24"/>
          <w14:textFill>
            <w14:solidFill>
              <w14:schemeClr w14:val="tx1"/>
            </w14:solidFill>
          </w14:textFill>
        </w:rPr>
        <w:t>、基金税收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本基金运作过程中涉及的各纳税主体，其纳税义务按国家税收法律、法规执行。基金财产投资的相关税收，由基金份额持有人承担，基金管理人或者其他扣缴义务人按照国家有关税收征收的规定代扣代缴。</w:t>
      </w:r>
    </w:p>
    <w:p>
      <w:pPr>
        <w:pStyle w:val="2"/>
        <w:spacing w:before="0" w:after="0"/>
        <w:jc w:val="center"/>
        <w:rPr>
          <w:rFonts w:ascii="Times New Roman"/>
          <w:color w:val="000000" w:themeColor="text1"/>
          <w:sz w:val="30"/>
          <w14:textFill>
            <w14:solidFill>
              <w14:schemeClr w14:val="tx1"/>
            </w14:solidFill>
          </w14:textFill>
        </w:rPr>
      </w:pPr>
      <w:bookmarkStart w:id="329" w:name="_Toc92662707"/>
      <w:bookmarkStart w:id="330" w:name="_Toc93226149"/>
      <w:bookmarkStart w:id="331" w:name="_Toc128310499"/>
      <w:bookmarkStart w:id="332" w:name="_Toc139991746"/>
      <w:bookmarkStart w:id="333" w:name="_Toc22552"/>
      <w:bookmarkStart w:id="334" w:name="_Toc141703896"/>
      <w:r>
        <w:rPr>
          <w:rFonts w:ascii="Times New Roman"/>
          <w:b w:val="0"/>
          <w:bCs/>
          <w:color w:val="000000" w:themeColor="text1"/>
          <w:sz w:val="30"/>
          <w14:textFill>
            <w14:solidFill>
              <w14:schemeClr w14:val="tx1"/>
            </w14:solidFill>
          </w14:textFill>
        </w:rPr>
        <w:br w:type="page"/>
      </w:r>
      <w:bookmarkStart w:id="335" w:name="_Toc25883"/>
      <w:bookmarkStart w:id="336" w:name="_Toc15525"/>
      <w:bookmarkStart w:id="337" w:name="_Toc3656"/>
      <w:bookmarkStart w:id="338" w:name="_Toc20052"/>
      <w:bookmarkStart w:id="339" w:name="_Toc19558"/>
      <w:bookmarkStart w:id="340" w:name="_Toc95997127"/>
      <w:bookmarkStart w:id="341" w:name="_Toc12761"/>
      <w:bookmarkStart w:id="342" w:name="_Toc178"/>
      <w:bookmarkStart w:id="343" w:name="_Toc21829"/>
      <w:bookmarkStart w:id="344" w:name="_Toc1617"/>
      <w:r>
        <w:rPr>
          <w:rFonts w:ascii="Times New Roman"/>
          <w:color w:val="000000" w:themeColor="text1"/>
          <w:sz w:val="30"/>
          <w14:textFill>
            <w14:solidFill>
              <w14:schemeClr w14:val="tx1"/>
            </w14:solidFill>
          </w14:textFill>
        </w:rPr>
        <w:t>第十六部分  基金</w:t>
      </w:r>
      <w:bookmarkEnd w:id="329"/>
      <w:bookmarkEnd w:id="330"/>
      <w:r>
        <w:rPr>
          <w:rFonts w:ascii="Times New Roman"/>
          <w:color w:val="000000" w:themeColor="text1"/>
          <w:sz w:val="30"/>
          <w14:textFill>
            <w14:solidFill>
              <w14:schemeClr w14:val="tx1"/>
            </w14:solidFill>
          </w14:textFill>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rPr>
          <w:bCs/>
          <w:color w:val="000000" w:themeColor="text1"/>
          <w14:textFill>
            <w14:solidFill>
              <w14:schemeClr w14:val="tx1"/>
            </w14:solidFill>
          </w14:textFill>
        </w:rPr>
      </w:pP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一、基金利润的构成</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二、基金可供分配利润</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基金可供分配利润指截至收益分配基准日基金未分配利润与未分配利润中已实现收益的孰低数。</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三、基金收益分配原则</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在符合有关基金分红条件的前提下，本基金每年收益分配次数最少为1次，每次分红不低于可供分配利润50%，若《基金合同》生效不满3个月可不进行收益分配；</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、基金收益分配后基金份额净值不能低于面值；即基金收益分配基准日的基金份额净值减去每单位基金份额收益分配金额后不能低于面值</w:t>
      </w:r>
      <w:r>
        <w:rPr>
          <w:rFonts w:hint="eastAsia"/>
          <w:bCs/>
          <w:color w:val="000000" w:themeColor="text1"/>
          <w:sz w:val="24"/>
          <w14:textFill>
            <w14:solidFill>
              <w14:schemeClr w14:val="tx1"/>
            </w14:solidFill>
          </w14:textFill>
        </w:rPr>
        <w:t>；</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、每一基金份额享有同等分配权；</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、法律法规或监管机关另有规定的，从其规定。</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在符合法律法规及基金合同约定，并对基金份额持有人利益无实质不利影响的前提下，基金管理人可对基金收益分配原则和支付方式进行调整，不需召开基金份额持有人大会。</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四、收益分配方案</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基金收益分配方案中应载明截止收益分配基准日的可供分配利润、基金收益分配对象、分配时间、分配数额及比例、分配方式等内容。</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五、收益分配方案的确定、公告与实施</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本基金收益分配方案由基金管理人拟定，并由基金托管人复核，在2日内在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公告。</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六、基金收益分配中发生的费用</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基金收益分配时所发生的银行转账或其他手续费用由投资者自行承担。当投资者的现金红利小于一定金额，不足</w:t>
      </w:r>
      <w:r>
        <w:rPr>
          <w:rFonts w:hint="eastAsia"/>
          <w:bCs/>
          <w:color w:val="000000" w:themeColor="text1"/>
          <w:sz w:val="24"/>
          <w14:textFill>
            <w14:solidFill>
              <w14:schemeClr w14:val="tx1"/>
            </w14:solidFill>
          </w14:textFill>
        </w:rPr>
        <w:t>以</w:t>
      </w:r>
      <w:r>
        <w:rPr>
          <w:bCs/>
          <w:color w:val="000000" w:themeColor="text1"/>
          <w:sz w:val="24"/>
          <w14:textFill>
            <w14:solidFill>
              <w14:schemeClr w14:val="tx1"/>
            </w14:solidFill>
          </w14:textFill>
        </w:rPr>
        <w:t>支付银行转账或其他手续费用时，基金登记机构可将基金份额持有人的现金红利自动转为基金份额。红利再投资的计算方法，依照《业务规则》执行。</w:t>
      </w:r>
    </w:p>
    <w:p>
      <w:pPr>
        <w:spacing w:line="360" w:lineRule="auto"/>
        <w:ind w:firstLine="540" w:firstLineChars="22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七、实施侧袋机制期间的收益分配</w:t>
      </w:r>
    </w:p>
    <w:p>
      <w:pPr>
        <w:spacing w:line="360" w:lineRule="auto"/>
        <w:ind w:firstLine="540" w:firstLineChars="22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本基金实施侧袋机制的，侧袋账户不进行收益分配，详见招募说明书的规定。</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44"/>
          <w:sz w:val="21"/>
          <w14:textFill>
            <w14:solidFill>
              <w14:schemeClr w14:val="tx1"/>
            </w14:solidFill>
          </w14:textFill>
        </w:rPr>
        <w:br w:type="page"/>
      </w:r>
      <w:bookmarkStart w:id="345" w:name="_Toc92662708"/>
      <w:bookmarkStart w:id="346" w:name="_Toc93226150"/>
      <w:bookmarkStart w:id="347" w:name="_Toc29695"/>
      <w:bookmarkStart w:id="348" w:name="_Toc10894"/>
      <w:bookmarkStart w:id="349" w:name="_Toc21206"/>
      <w:bookmarkStart w:id="350" w:name="_Toc1043"/>
      <w:bookmarkStart w:id="351" w:name="_Toc31736"/>
      <w:bookmarkStart w:id="352" w:name="_Toc95997128"/>
      <w:bookmarkStart w:id="353" w:name="_Toc128310500"/>
      <w:bookmarkStart w:id="354" w:name="_Toc13255"/>
      <w:bookmarkStart w:id="355" w:name="_Toc23859"/>
      <w:bookmarkStart w:id="356" w:name="_Toc139991747"/>
      <w:bookmarkStart w:id="357" w:name="_Toc141703897"/>
      <w:bookmarkStart w:id="358" w:name="_Toc17499"/>
      <w:bookmarkStart w:id="359" w:name="_Toc28961"/>
      <w:bookmarkStart w:id="360" w:name="_Toc18007"/>
      <w:r>
        <w:rPr>
          <w:rFonts w:ascii="Times New Roman"/>
          <w:color w:val="000000" w:themeColor="text1"/>
          <w:sz w:val="30"/>
          <w14:textFill>
            <w14:solidFill>
              <w14:schemeClr w14:val="tx1"/>
            </w14:solidFill>
          </w14:textFill>
        </w:rPr>
        <w:t>第十七部分  基金</w:t>
      </w:r>
      <w:bookmarkEnd w:id="345"/>
      <w:bookmarkEnd w:id="346"/>
      <w:r>
        <w:rPr>
          <w:rFonts w:ascii="Times New Roman"/>
          <w:color w:val="000000" w:themeColor="text1"/>
          <w:sz w:val="30"/>
          <w14:textFill>
            <w14:solidFill>
              <w14:schemeClr w14:val="tx1"/>
            </w14:solidFill>
          </w14:textFill>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一、基金会计政策</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1、基金管理人为本基金的基金会计责任方；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2、基金的会计年度为公历年度的1月1日至12月31日；基金首次募集的会计年度按如下原则：如果《基金合同》生效少于2个月，可以并入下一个会计年度披露；</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3、基金核算以人民币为记账本位币，以人民币元为记账单位；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4、会计制度执行国家有关会计制度；</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5、本基金独立建账、独立核算；</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6、基金管理人及基金托管人各自保留完整的会计账目、凭证并进行日常的会计核算，按照有关规定编制基金会计报表；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7、基金托管人每月与基金管理人就基金的会计核算、报表编制等进行核对并以</w:t>
      </w:r>
      <w:r>
        <w:rPr>
          <w:rFonts w:hint="eastAsia"/>
          <w:bCs/>
          <w:color w:val="000000" w:themeColor="text1"/>
          <w:sz w:val="24"/>
          <w14:textFill>
            <w14:solidFill>
              <w14:schemeClr w14:val="tx1"/>
            </w14:solidFill>
          </w14:textFill>
        </w:rPr>
        <w:t>基金管理人、基金托管人约定的</w:t>
      </w:r>
      <w:r>
        <w:rPr>
          <w:bCs/>
          <w:color w:val="000000" w:themeColor="text1"/>
          <w:sz w:val="24"/>
          <w14:textFill>
            <w14:solidFill>
              <w14:schemeClr w14:val="tx1"/>
            </w14:solidFill>
          </w14:textFill>
        </w:rPr>
        <w:t>方式确认。</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二、基金的年度审计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1、基金管理人聘请与基金管理人、基金托管人相互独立的</w:t>
      </w:r>
      <w:r>
        <w:rPr>
          <w:rFonts w:hint="eastAsia"/>
          <w:bCs/>
          <w:color w:val="000000" w:themeColor="text1"/>
          <w:sz w:val="24"/>
          <w14:textFill>
            <w14:solidFill>
              <w14:schemeClr w14:val="tx1"/>
            </w14:solidFill>
          </w14:textFill>
        </w:rPr>
        <w:t>符合《中华人民共和国证券法》规定</w:t>
      </w:r>
      <w:r>
        <w:rPr>
          <w:bCs/>
          <w:color w:val="000000" w:themeColor="text1"/>
          <w:sz w:val="24"/>
          <w14:textFill>
            <w14:solidFill>
              <w14:schemeClr w14:val="tx1"/>
            </w14:solidFill>
          </w14:textFill>
        </w:rPr>
        <w:t>的会计师事务所及其注册会计师对本基金的年度财务报表进行审计。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2、会计师事务所更换经办注册会计师，应事先征得基金管理人同意。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bookmarkStart w:id="361" w:name="_Hlt4221115"/>
      <w:bookmarkEnd w:id="361"/>
      <w:r>
        <w:rPr>
          <w:bCs/>
          <w:color w:val="000000" w:themeColor="text1"/>
          <w:sz w:val="24"/>
          <w14:textFill>
            <w14:solidFill>
              <w14:schemeClr w14:val="tx1"/>
            </w14:solidFill>
          </w14:textFill>
        </w:rPr>
        <w:t>基金管理人认为有充足理由更换会计师事务所，须通报基金托管人。更换会计师事务所需在2日内在</w:t>
      </w:r>
      <w:r>
        <w:rPr>
          <w:rFonts w:hint="eastAsia"/>
          <w:bCs/>
          <w:color w:val="000000" w:themeColor="text1"/>
          <w:sz w:val="24"/>
          <w14:textFill>
            <w14:solidFill>
              <w14:schemeClr w14:val="tx1"/>
            </w14:solidFill>
          </w14:textFill>
        </w:rPr>
        <w:t>规定媒介</w:t>
      </w:r>
      <w:r>
        <w:rPr>
          <w:bCs/>
          <w:color w:val="000000" w:themeColor="text1"/>
          <w:sz w:val="24"/>
          <w14:textFill>
            <w14:solidFill>
              <w14:schemeClr w14:val="tx1"/>
            </w14:solidFill>
          </w14:textFill>
        </w:rPr>
        <w:t>公告。</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362" w:name="_Toc93226151"/>
      <w:bookmarkStart w:id="363" w:name="_Toc92662709"/>
      <w:bookmarkStart w:id="364" w:name="_Toc31866"/>
      <w:bookmarkStart w:id="365" w:name="_Toc193"/>
      <w:bookmarkStart w:id="366" w:name="_Toc1173"/>
      <w:bookmarkStart w:id="367" w:name="_Toc29289"/>
      <w:bookmarkStart w:id="368" w:name="_Toc141703898"/>
      <w:bookmarkStart w:id="369" w:name="_Toc3056"/>
      <w:bookmarkStart w:id="370" w:name="_Toc11802"/>
      <w:bookmarkStart w:id="371" w:name="_Toc12028"/>
      <w:bookmarkStart w:id="372" w:name="_Toc1421"/>
      <w:bookmarkStart w:id="373" w:name="_Toc139991748"/>
      <w:bookmarkStart w:id="374" w:name="_Toc11049"/>
      <w:bookmarkStart w:id="375" w:name="_Toc128310501"/>
      <w:bookmarkStart w:id="376" w:name="_Toc95997129"/>
      <w:bookmarkStart w:id="377" w:name="_Toc8512"/>
      <w:r>
        <w:rPr>
          <w:rFonts w:ascii="Times New Roman"/>
          <w:color w:val="000000" w:themeColor="text1"/>
          <w:sz w:val="30"/>
          <w14:textFill>
            <w14:solidFill>
              <w14:schemeClr w14:val="tx1"/>
            </w14:solidFill>
          </w14:textFill>
        </w:rPr>
        <w:t>第十八部分  基金</w:t>
      </w:r>
      <w:bookmarkEnd w:id="362"/>
      <w:bookmarkEnd w:id="363"/>
      <w:r>
        <w:rPr>
          <w:rFonts w:ascii="Times New Roman"/>
          <w:color w:val="000000" w:themeColor="text1"/>
          <w:sz w:val="30"/>
          <w14:textFill>
            <w14:solidFill>
              <w14:schemeClr w14:val="tx1"/>
            </w14:solidFill>
          </w14:textFill>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一、本基金的信息披露应符合《基金法》、《运作办法》、《信息披露办法》、</w:t>
      </w:r>
      <w:r>
        <w:rPr>
          <w:rFonts w:hint="eastAsia"/>
          <w:bCs/>
          <w:color w:val="000000" w:themeColor="text1"/>
          <w:sz w:val="24"/>
          <w14:textFill>
            <w14:solidFill>
              <w14:schemeClr w14:val="tx1"/>
            </w14:solidFill>
          </w14:textFill>
        </w:rPr>
        <w:t>《流动性风险管理规定》、</w:t>
      </w:r>
      <w:r>
        <w:rPr>
          <w:bCs/>
          <w:color w:val="000000" w:themeColor="text1"/>
          <w:sz w:val="24"/>
          <w14:textFill>
            <w14:solidFill>
              <w14:schemeClr w14:val="tx1"/>
            </w14:solidFill>
          </w14:textFill>
        </w:rPr>
        <w:t>《基金合同》及其他有关规定。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二、信息披露义务人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本基金信息披露义务人包括基金管理人、基金托管人、召集基金份额持有人大会的基金份额持有人等法律法规和中国证监会规定的自然人、法人和</w:t>
      </w:r>
      <w:r>
        <w:rPr>
          <w:rFonts w:hint="eastAsia"/>
          <w:bCs/>
          <w:color w:val="000000" w:themeColor="text1"/>
          <w:sz w:val="24"/>
          <w14:textFill>
            <w14:solidFill>
              <w14:schemeClr w14:val="tx1"/>
            </w14:solidFill>
          </w14:textFill>
        </w:rPr>
        <w:t>非法人</w:t>
      </w:r>
      <w:r>
        <w:rPr>
          <w:bCs/>
          <w:color w:val="000000" w:themeColor="text1"/>
          <w:sz w:val="24"/>
          <w14:textFill>
            <w14:solidFill>
              <w14:schemeClr w14:val="tx1"/>
            </w14:solidFill>
          </w14:textFill>
        </w:rPr>
        <w:t>组织。</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本基金信息披露义务人</w:t>
      </w:r>
      <w:r>
        <w:rPr>
          <w:rFonts w:hint="eastAsia"/>
          <w:bCs/>
          <w:color w:val="000000" w:themeColor="text1"/>
          <w:sz w:val="24"/>
          <w14:textFill>
            <w14:solidFill>
              <w14:schemeClr w14:val="tx1"/>
            </w14:solidFill>
          </w14:textFill>
        </w:rPr>
        <w:t>以保护基金份额持有人利益为根本出发点，</w:t>
      </w:r>
      <w:r>
        <w:rPr>
          <w:bCs/>
          <w:color w:val="000000" w:themeColor="text1"/>
          <w:sz w:val="24"/>
          <w14:textFill>
            <w14:solidFill>
              <w14:schemeClr w14:val="tx1"/>
            </w14:solidFill>
          </w14:textFill>
        </w:rPr>
        <w:t>按照法律法规和中国证监会的规定披露基金信息，并保证所披露信息的真实性、准确性和完整性</w:t>
      </w:r>
      <w:r>
        <w:rPr>
          <w:rFonts w:hint="eastAsia"/>
          <w:bCs/>
          <w:color w:val="000000" w:themeColor="text1"/>
          <w:sz w:val="24"/>
          <w14:textFill>
            <w14:solidFill>
              <w14:schemeClr w14:val="tx1"/>
            </w14:solidFill>
          </w14:textFill>
        </w:rPr>
        <w:t>、及时性、简明性和易得性</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本基金信息披露义务人应当在中国证监会规定时间内，将应予披露的基金信息通过符合中国证监会</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定条件的</w:t>
      </w:r>
      <w:r>
        <w:rPr>
          <w:rFonts w:hint="eastAsia"/>
          <w:bCs/>
          <w:color w:val="000000" w:themeColor="text1"/>
          <w:sz w:val="24"/>
          <w14:textFill>
            <w14:solidFill>
              <w14:schemeClr w14:val="tx1"/>
            </w14:solidFill>
          </w14:textFill>
        </w:rPr>
        <w:t>全国性报刊</w:t>
      </w:r>
      <w:r>
        <w:rPr>
          <w:bCs/>
          <w:color w:val="000000" w:themeColor="text1"/>
          <w:sz w:val="24"/>
          <w14:textFill>
            <w14:solidFill>
              <w14:schemeClr w14:val="tx1"/>
            </w14:solidFill>
          </w14:textFill>
        </w:rPr>
        <w:t>（以下简称“</w:t>
      </w:r>
      <w:r>
        <w:rPr>
          <w:rFonts w:hint="eastAsia"/>
          <w:bCs/>
          <w:color w:val="000000" w:themeColor="text1"/>
          <w:sz w:val="24"/>
          <w14:textFill>
            <w14:solidFill>
              <w14:schemeClr w14:val="tx1"/>
            </w14:solidFill>
          </w14:textFill>
        </w:rPr>
        <w:t>规定报刊</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 xml:space="preserve"> 及《信息披露办法》规定的</w:t>
      </w:r>
      <w:r>
        <w:rPr>
          <w:bCs/>
          <w:color w:val="000000" w:themeColor="text1"/>
          <w:sz w:val="24"/>
          <w14:textFill>
            <w14:solidFill>
              <w14:schemeClr w14:val="tx1"/>
            </w14:solidFill>
          </w14:textFill>
        </w:rPr>
        <w:t>互联网网站（以下简称“规定网站”）等媒介披露，并保证基金投资者能够按照《基金合同》约定的时间和方式查阅或者复制公开披露的信息资料。</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三、本基金信息披露义务人承诺公开披露的基金信息，不得有下列行为：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1、虚假记载、误导性陈述或者重大遗漏；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2、对证券投资业绩进行预测；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3、违规承诺收益或者承担损失；</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4、诋毁其他基金管理人、基金托管人或者基金销售机构；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5、登载任何自然人、法人</w:t>
      </w:r>
      <w:r>
        <w:rPr>
          <w:rFonts w:hint="eastAsia"/>
          <w:bCs/>
          <w:color w:val="000000" w:themeColor="text1"/>
          <w:sz w:val="24"/>
          <w14:textFill>
            <w14:solidFill>
              <w14:schemeClr w14:val="tx1"/>
            </w14:solidFill>
          </w14:textFill>
        </w:rPr>
        <w:t>和非法人</w:t>
      </w:r>
      <w:r>
        <w:rPr>
          <w:bCs/>
          <w:color w:val="000000" w:themeColor="text1"/>
          <w:sz w:val="24"/>
          <w14:textFill>
            <w14:solidFill>
              <w14:schemeClr w14:val="tx1"/>
            </w14:solidFill>
          </w14:textFill>
        </w:rPr>
        <w:t>组织的祝贺性、恭维性或推荐性的文字；</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6、中国证监会禁止的其他行为。</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四、本基金公开披露的信息应采用中文文本。如同时采用外文文本的，基金信息披露义务人应保证</w:t>
      </w:r>
      <w:r>
        <w:rPr>
          <w:rFonts w:hint="eastAsia"/>
          <w:bCs/>
          <w:color w:val="000000" w:themeColor="text1"/>
          <w:sz w:val="24"/>
          <w14:textFill>
            <w14:solidFill>
              <w14:schemeClr w14:val="tx1"/>
            </w14:solidFill>
          </w14:textFill>
        </w:rPr>
        <w:t>不同</w:t>
      </w:r>
      <w:r>
        <w:rPr>
          <w:bCs/>
          <w:color w:val="000000" w:themeColor="text1"/>
          <w:sz w:val="24"/>
          <w14:textFill>
            <w14:solidFill>
              <w14:schemeClr w14:val="tx1"/>
            </w14:solidFill>
          </w14:textFill>
        </w:rPr>
        <w:t>文本的内容一致。</w:t>
      </w:r>
      <w:r>
        <w:rPr>
          <w:rFonts w:hint="eastAsia"/>
          <w:bCs/>
          <w:color w:val="000000" w:themeColor="text1"/>
          <w:sz w:val="24"/>
          <w14:textFill>
            <w14:solidFill>
              <w14:schemeClr w14:val="tx1"/>
            </w14:solidFill>
          </w14:textFill>
        </w:rPr>
        <w:t>不同</w:t>
      </w:r>
      <w:r>
        <w:rPr>
          <w:bCs/>
          <w:color w:val="000000" w:themeColor="text1"/>
          <w:sz w:val="24"/>
          <w14:textFill>
            <w14:solidFill>
              <w14:schemeClr w14:val="tx1"/>
            </w14:solidFill>
          </w14:textFill>
        </w:rPr>
        <w:t>文本之间发生歧义的，以中文文本为准。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本基金公开披露的信息采用阿拉伯数字；除特别说明外，货币单位为人民币元。</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五、公开披露的基金信息</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公开披露的基金信息包括：</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（一）基金招募说明书、《基金合同》、基金托管协议</w:t>
      </w:r>
      <w:r>
        <w:rPr>
          <w:rFonts w:hint="eastAsia"/>
          <w:bCs/>
          <w:color w:val="000000" w:themeColor="text1"/>
          <w:sz w:val="24"/>
          <w14:textFill>
            <w14:solidFill>
              <w14:schemeClr w14:val="tx1"/>
            </w14:solidFill>
          </w14:textFill>
        </w:rPr>
        <w:t>、基金产品资料概要</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color w:val="000000" w:themeColor="text1"/>
          <w:sz w:val="24"/>
          <w14:textFill>
            <w14:solidFill>
              <w14:schemeClr w14:val="tx1"/>
            </w14:solidFill>
          </w14:textFill>
        </w:rPr>
        <w:t>基金招募说明书的信息发生重大变更的，</w:t>
      </w:r>
      <w:r>
        <w:rPr>
          <w:bCs/>
          <w:color w:val="000000" w:themeColor="text1"/>
          <w:sz w:val="24"/>
          <w14:textFill>
            <w14:solidFill>
              <w14:schemeClr w14:val="tx1"/>
            </w14:solidFill>
          </w14:textFill>
        </w:rPr>
        <w:t>基金管理人</w:t>
      </w:r>
      <w:r>
        <w:rPr>
          <w:rFonts w:hint="eastAsia"/>
          <w:bCs/>
          <w:color w:val="000000" w:themeColor="text1"/>
          <w:sz w:val="24"/>
          <w14:textFill>
            <w14:solidFill>
              <w14:schemeClr w14:val="tx1"/>
            </w14:solidFill>
          </w14:textFill>
        </w:rPr>
        <w:t>应当</w:t>
      </w:r>
      <w:r>
        <w:rPr>
          <w:bCs/>
          <w:color w:val="000000" w:themeColor="text1"/>
          <w:sz w:val="24"/>
          <w14:textFill>
            <w14:solidFill>
              <w14:schemeClr w14:val="tx1"/>
            </w14:solidFill>
          </w14:textFill>
        </w:rPr>
        <w:t>在</w:t>
      </w:r>
      <w:r>
        <w:rPr>
          <w:rFonts w:hint="eastAsia"/>
          <w:bCs/>
          <w:color w:val="000000" w:themeColor="text1"/>
          <w:sz w:val="24"/>
          <w14:textFill>
            <w14:solidFill>
              <w14:schemeClr w14:val="tx1"/>
            </w14:solidFill>
          </w14:textFill>
        </w:rPr>
        <w:t>三个工作日</w:t>
      </w:r>
      <w:r>
        <w:rPr>
          <w:bCs/>
          <w:color w:val="000000" w:themeColor="text1"/>
          <w:sz w:val="24"/>
          <w14:textFill>
            <w14:solidFill>
              <w14:schemeClr w14:val="tx1"/>
            </w14:solidFill>
          </w14:textFill>
        </w:rPr>
        <w:t>内，更新基金招募说明书并登载在规定网站上</w:t>
      </w:r>
      <w:r>
        <w:rPr>
          <w:rFonts w:hint="eastAsia"/>
          <w:bCs/>
          <w:color w:val="000000" w:themeColor="text1"/>
          <w:sz w:val="24"/>
          <w14:textFill>
            <w14:solidFill>
              <w14:schemeClr w14:val="tx1"/>
            </w14:solidFill>
          </w14:textFill>
        </w:rPr>
        <w:t>；基金</w:t>
      </w:r>
      <w:r>
        <w:rPr>
          <w:bCs/>
          <w:color w:val="000000" w:themeColor="text1"/>
          <w:sz w:val="24"/>
          <w14:textFill>
            <w14:solidFill>
              <w14:schemeClr w14:val="tx1"/>
            </w14:solidFill>
          </w14:textFill>
        </w:rPr>
        <w:t>招募说明书</w:t>
      </w:r>
      <w:r>
        <w:rPr>
          <w:rFonts w:hint="eastAsia"/>
          <w:bCs/>
          <w:color w:val="000000" w:themeColor="text1"/>
          <w:sz w:val="24"/>
          <w14:textFill>
            <w14:solidFill>
              <w14:schemeClr w14:val="tx1"/>
            </w14:solidFill>
          </w14:textFill>
        </w:rPr>
        <w:t>其他信息发生变更的，</w:t>
      </w:r>
      <w:r>
        <w:rPr>
          <w:bCs/>
          <w:color w:val="000000" w:themeColor="text1"/>
          <w:sz w:val="24"/>
          <w14:textFill>
            <w14:solidFill>
              <w14:schemeClr w14:val="tx1"/>
            </w14:solidFill>
          </w14:textFill>
        </w:rPr>
        <w:t>基金管理人</w:t>
      </w:r>
      <w:r>
        <w:rPr>
          <w:rFonts w:hint="eastAsia"/>
          <w:bCs/>
          <w:color w:val="000000" w:themeColor="text1"/>
          <w:sz w:val="24"/>
          <w14:textFill>
            <w14:solidFill>
              <w14:schemeClr w14:val="tx1"/>
            </w14:solidFill>
          </w14:textFill>
        </w:rPr>
        <w:t>至少每年更新一次。基金终止运作的，基金管理人不再</w:t>
      </w:r>
      <w:r>
        <w:rPr>
          <w:bCs/>
          <w:color w:val="000000" w:themeColor="text1"/>
          <w:sz w:val="24"/>
          <w14:textFill>
            <w14:solidFill>
              <w14:schemeClr w14:val="tx1"/>
            </w14:solidFill>
          </w14:textFill>
        </w:rPr>
        <w:t>更新基金招募说明书。</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3、基金托管协议是界定基金托管人和基金管理人在基金财产保管及基金运作监督等活动中的权利、义务关系的法律文件。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基金募集申请经中国证监会</w:t>
      </w:r>
      <w:r>
        <w:rPr>
          <w:rFonts w:hint="eastAsia"/>
          <w:bCs/>
          <w:color w:val="000000" w:themeColor="text1"/>
          <w:sz w:val="24"/>
          <w14:textFill>
            <w14:solidFill>
              <w14:schemeClr w14:val="tx1"/>
            </w14:solidFill>
          </w14:textFill>
        </w:rPr>
        <w:t>注册</w:t>
      </w:r>
      <w:r>
        <w:rPr>
          <w:bCs/>
          <w:color w:val="000000" w:themeColor="text1"/>
          <w:sz w:val="24"/>
          <w14:textFill>
            <w14:solidFill>
              <w14:schemeClr w14:val="tx1"/>
            </w14:solidFill>
          </w14:textFill>
        </w:rPr>
        <w:t>后，基金管理人应当在基金份额发售的3日前，将</w:t>
      </w:r>
      <w:r>
        <w:rPr>
          <w:rFonts w:hint="eastAsia"/>
          <w:bCs/>
          <w:color w:val="000000" w:themeColor="text1"/>
          <w:sz w:val="24"/>
          <w14:textFill>
            <w14:solidFill>
              <w14:schemeClr w14:val="tx1"/>
            </w14:solidFill>
          </w14:textFill>
        </w:rPr>
        <w:t>基金份额发售公告、</w:t>
      </w:r>
      <w:r>
        <w:rPr>
          <w:bCs/>
          <w:color w:val="000000" w:themeColor="text1"/>
          <w:sz w:val="24"/>
          <w14:textFill>
            <w14:solidFill>
              <w14:schemeClr w14:val="tx1"/>
            </w14:solidFill>
          </w14:textFill>
        </w:rPr>
        <w:t>基金招募说明书</w:t>
      </w:r>
      <w:r>
        <w:rPr>
          <w:rFonts w:hint="eastAsia"/>
          <w:bCs/>
          <w:color w:val="000000" w:themeColor="text1"/>
          <w:sz w:val="24"/>
          <w14:textFill>
            <w14:solidFill>
              <w14:schemeClr w14:val="tx1"/>
            </w14:solidFill>
          </w14:textFill>
        </w:rPr>
        <w:t>提示性公告</w:t>
      </w:r>
      <w:r>
        <w:rPr>
          <w:bCs/>
          <w:color w:val="000000" w:themeColor="text1"/>
          <w:sz w:val="24"/>
          <w14:textFill>
            <w14:solidFill>
              <w14:schemeClr w14:val="tx1"/>
            </w14:solidFill>
          </w14:textFill>
        </w:rPr>
        <w:t>、《基金合同》</w:t>
      </w:r>
      <w:r>
        <w:rPr>
          <w:rFonts w:hint="eastAsia"/>
          <w:bCs/>
          <w:color w:val="000000" w:themeColor="text1"/>
          <w:sz w:val="24"/>
          <w14:textFill>
            <w14:solidFill>
              <w14:schemeClr w14:val="tx1"/>
            </w14:solidFill>
          </w14:textFill>
        </w:rPr>
        <w:t>提示性公告</w:t>
      </w:r>
      <w:r>
        <w:rPr>
          <w:bCs/>
          <w:color w:val="000000" w:themeColor="text1"/>
          <w:sz w:val="24"/>
          <w14:textFill>
            <w14:solidFill>
              <w14:schemeClr w14:val="tx1"/>
            </w14:solidFill>
          </w14:textFill>
        </w:rPr>
        <w:t>登载在</w:t>
      </w:r>
      <w:r>
        <w:rPr>
          <w:rFonts w:hint="eastAsia"/>
          <w:bCs/>
          <w:color w:val="000000" w:themeColor="text1"/>
          <w:sz w:val="24"/>
          <w14:textFill>
            <w14:solidFill>
              <w14:schemeClr w14:val="tx1"/>
            </w14:solidFill>
          </w14:textFill>
        </w:rPr>
        <w:t>规定报刊</w:t>
      </w:r>
      <w:r>
        <w:rPr>
          <w:bCs/>
          <w:color w:val="000000" w:themeColor="text1"/>
          <w:sz w:val="24"/>
          <w14:textFill>
            <w14:solidFill>
              <w14:schemeClr w14:val="tx1"/>
            </w14:solidFill>
          </w14:textFill>
        </w:rPr>
        <w:t>上</w:t>
      </w:r>
      <w:r>
        <w:rPr>
          <w:rFonts w:hint="eastAsia"/>
          <w:bCs/>
          <w:color w:val="000000" w:themeColor="text1"/>
          <w:sz w:val="24"/>
          <w14:textFill>
            <w14:solidFill>
              <w14:schemeClr w14:val="tx1"/>
            </w14:solidFill>
          </w14:textFill>
        </w:rPr>
        <w:t>，将基金份额发售公告、基金招募说明书、基金产品资料概要、《基金合同》和基金托管协议登载在规定网站上，并将基金产品资料概要登载在基金销售机构网站或营业网点</w:t>
      </w:r>
      <w:r>
        <w:rPr>
          <w:bCs/>
          <w:color w:val="000000" w:themeColor="text1"/>
          <w:sz w:val="24"/>
          <w14:textFill>
            <w14:solidFill>
              <w14:schemeClr w14:val="tx1"/>
            </w14:solidFill>
          </w14:textFill>
        </w:rPr>
        <w:t>；基金托管人应当同时将《基金合同》、基金托管协议登载在规定网站上。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（二）基金份额发售公告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（三）《基金合同》生效公告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基金管理人应当在收到中国证监会确认文件的次日在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上登载《基金合同》生效公告。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（四）基金净值</w:t>
      </w:r>
      <w:r>
        <w:rPr>
          <w:rFonts w:hint="eastAsia"/>
          <w:bCs/>
          <w:color w:val="000000" w:themeColor="text1"/>
          <w:sz w:val="24"/>
          <w14:textFill>
            <w14:solidFill>
              <w14:schemeClr w14:val="tx1"/>
            </w14:solidFill>
          </w14:textFill>
        </w:rPr>
        <w:t>信息</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《基金合同》生效后，在</w:t>
      </w:r>
      <w:r>
        <w:rPr>
          <w:rFonts w:hint="eastAsia"/>
          <w:bCs/>
          <w:color w:val="000000" w:themeColor="text1"/>
          <w:sz w:val="24"/>
          <w14:textFill>
            <w14:solidFill>
              <w14:schemeClr w14:val="tx1"/>
            </w14:solidFill>
          </w14:textFill>
        </w:rPr>
        <w:t>本</w:t>
      </w:r>
      <w:r>
        <w:rPr>
          <w:bCs/>
          <w:color w:val="000000" w:themeColor="text1"/>
          <w:sz w:val="24"/>
          <w14:textFill>
            <w14:solidFill>
              <w14:schemeClr w14:val="tx1"/>
            </w14:solidFill>
          </w14:textFill>
        </w:rPr>
        <w:t>基金</w:t>
      </w:r>
      <w:r>
        <w:rPr>
          <w:rFonts w:hint="eastAsia"/>
          <w:bCs/>
          <w:color w:val="000000" w:themeColor="text1"/>
          <w:sz w:val="24"/>
          <w14:textFill>
            <w14:solidFill>
              <w14:schemeClr w14:val="tx1"/>
            </w14:solidFill>
          </w14:textFill>
        </w:rPr>
        <w:t>封闭期内，</w:t>
      </w:r>
      <w:r>
        <w:rPr>
          <w:bCs/>
          <w:color w:val="000000" w:themeColor="text1"/>
          <w:sz w:val="24"/>
          <w14:textFill>
            <w14:solidFill>
              <w14:schemeClr w14:val="tx1"/>
            </w14:solidFill>
          </w14:textFill>
        </w:rPr>
        <w:t>份额申购或者赎回前，基金管理人应当至少每周在规定网站披露一次基金</w:t>
      </w:r>
      <w:r>
        <w:rPr>
          <w:rFonts w:hint="eastAsia"/>
          <w:bCs/>
          <w:color w:val="000000" w:themeColor="text1"/>
          <w:sz w:val="24"/>
          <w14:textFill>
            <w14:solidFill>
              <w14:schemeClr w14:val="tx1"/>
            </w14:solidFill>
          </w14:textFill>
        </w:rPr>
        <w:t>份额</w:t>
      </w:r>
      <w:r>
        <w:rPr>
          <w:bCs/>
          <w:color w:val="000000" w:themeColor="text1"/>
          <w:sz w:val="24"/>
          <w14:textFill>
            <w14:solidFill>
              <w14:schemeClr w14:val="tx1"/>
            </w14:solidFill>
          </w14:textFill>
        </w:rPr>
        <w:t>净值和基金份额累计净值。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w:t>
      </w:r>
      <w:r>
        <w:rPr>
          <w:rFonts w:hint="eastAsia"/>
          <w:bCs/>
          <w:color w:val="000000" w:themeColor="text1"/>
          <w:sz w:val="24"/>
          <w14:textFill>
            <w14:solidFill>
              <w14:schemeClr w14:val="tx1"/>
            </w14:solidFill>
          </w14:textFill>
        </w:rPr>
        <w:t>开放期内</w:t>
      </w:r>
      <w:r>
        <w:rPr>
          <w:bCs/>
          <w:color w:val="000000" w:themeColor="text1"/>
          <w:sz w:val="24"/>
          <w14:textFill>
            <w14:solidFill>
              <w14:schemeClr w14:val="tx1"/>
            </w14:solidFill>
          </w14:textFill>
        </w:rPr>
        <w:t>，基金管理人应当在不晚于每个开放日的次日，通过规定网站、基金份额</w:t>
      </w:r>
      <w:r>
        <w:rPr>
          <w:rFonts w:hint="eastAsia"/>
          <w:bCs/>
          <w:color w:val="000000" w:themeColor="text1"/>
          <w:sz w:val="24"/>
          <w14:textFill>
            <w14:solidFill>
              <w14:schemeClr w14:val="tx1"/>
            </w14:solidFill>
          </w14:textFill>
        </w:rPr>
        <w:t>销售机构网站或者营业</w:t>
      </w:r>
      <w:r>
        <w:rPr>
          <w:bCs/>
          <w:color w:val="000000" w:themeColor="text1"/>
          <w:sz w:val="24"/>
          <w14:textFill>
            <w14:solidFill>
              <w14:schemeClr w14:val="tx1"/>
            </w14:solidFill>
          </w14:textFill>
        </w:rPr>
        <w:t>网点，披露开放日的基金份额净值和基金份额累计净值。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基金管理人应当</w:t>
      </w:r>
      <w:r>
        <w:rPr>
          <w:rFonts w:hint="eastAsia"/>
          <w:bCs/>
          <w:color w:val="000000" w:themeColor="text1"/>
          <w:sz w:val="24"/>
          <w14:textFill>
            <w14:solidFill>
              <w14:schemeClr w14:val="tx1"/>
            </w14:solidFill>
          </w14:textFill>
        </w:rPr>
        <w:t>在不晚于</w:t>
      </w:r>
      <w:r>
        <w:rPr>
          <w:bCs/>
          <w:color w:val="000000" w:themeColor="text1"/>
          <w:sz w:val="24"/>
          <w14:textFill>
            <w14:solidFill>
              <w14:schemeClr w14:val="tx1"/>
            </w14:solidFill>
          </w14:textFill>
        </w:rPr>
        <w:t>半年度和年度最后一</w:t>
      </w:r>
      <w:r>
        <w:rPr>
          <w:rFonts w:hint="eastAsia"/>
          <w:bCs/>
          <w:color w:val="000000" w:themeColor="text1"/>
          <w:sz w:val="24"/>
          <w14:textFill>
            <w14:solidFill>
              <w14:schemeClr w14:val="tx1"/>
            </w14:solidFill>
          </w14:textFill>
        </w:rPr>
        <w:t>日的次日，在规定网站披露半年度和年度最后一日的</w:t>
      </w:r>
      <w:r>
        <w:rPr>
          <w:bCs/>
          <w:color w:val="000000" w:themeColor="text1"/>
          <w:sz w:val="24"/>
          <w14:textFill>
            <w14:solidFill>
              <w14:schemeClr w14:val="tx1"/>
            </w14:solidFill>
          </w14:textFill>
        </w:rPr>
        <w:t>基金份额净值和基金份额累计净值。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（五）基金份额申购、赎回价格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基金管理人应当在《基金合同》、招募说明书等信息披露文件上载明基金份额申购、赎回价格的计算方式及有关申购、赎回费率，并保证投资者能够在基金</w:t>
      </w:r>
      <w:r>
        <w:rPr>
          <w:rFonts w:hint="eastAsia"/>
          <w:bCs/>
          <w:color w:val="000000" w:themeColor="text1"/>
          <w:sz w:val="24"/>
          <w14:textFill>
            <w14:solidFill>
              <w14:schemeClr w14:val="tx1"/>
            </w14:solidFill>
          </w14:textFill>
        </w:rPr>
        <w:t>销售机构网站或营业</w:t>
      </w:r>
      <w:r>
        <w:rPr>
          <w:bCs/>
          <w:color w:val="000000" w:themeColor="text1"/>
          <w:sz w:val="24"/>
          <w14:textFill>
            <w14:solidFill>
              <w14:schemeClr w14:val="tx1"/>
            </w14:solidFill>
          </w14:textFill>
        </w:rPr>
        <w:t>网点查阅或者复制前述信息资料。</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（六）基金定期报告，包括基金年度报告、基金</w:t>
      </w:r>
      <w:r>
        <w:rPr>
          <w:rFonts w:hint="eastAsia"/>
          <w:bCs/>
          <w:color w:val="000000" w:themeColor="text1"/>
          <w:sz w:val="24"/>
          <w14:textFill>
            <w14:solidFill>
              <w14:schemeClr w14:val="tx1"/>
            </w14:solidFill>
          </w14:textFill>
        </w:rPr>
        <w:t>中期</w:t>
      </w:r>
      <w:r>
        <w:rPr>
          <w:bCs/>
          <w:color w:val="000000" w:themeColor="text1"/>
          <w:sz w:val="24"/>
          <w14:textFill>
            <w14:solidFill>
              <w14:schemeClr w14:val="tx1"/>
            </w14:solidFill>
          </w14:textFill>
        </w:rPr>
        <w:t>报告和基金季度报告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基金管理人应当在每年结束之日起</w:t>
      </w:r>
      <w:r>
        <w:rPr>
          <w:rFonts w:hint="eastAsia"/>
          <w:bCs/>
          <w:color w:val="000000" w:themeColor="text1"/>
          <w:sz w:val="24"/>
          <w14:textFill>
            <w14:solidFill>
              <w14:schemeClr w14:val="tx1"/>
            </w14:solidFill>
          </w14:textFill>
        </w:rPr>
        <w:t>三个月</w:t>
      </w:r>
      <w:r>
        <w:rPr>
          <w:bCs/>
          <w:color w:val="000000" w:themeColor="text1"/>
          <w:sz w:val="24"/>
          <w14:textFill>
            <w14:solidFill>
              <w14:schemeClr w14:val="tx1"/>
            </w14:solidFill>
          </w14:textFill>
        </w:rPr>
        <w:t>内，编制完成基金年度报告，将年度报告登载</w:t>
      </w:r>
      <w:r>
        <w:rPr>
          <w:rFonts w:hint="eastAsia"/>
          <w:bCs/>
          <w:color w:val="000000" w:themeColor="text1"/>
          <w:sz w:val="24"/>
          <w14:textFill>
            <w14:solidFill>
              <w14:schemeClr w14:val="tx1"/>
            </w14:solidFill>
          </w14:textFill>
        </w:rPr>
        <w:t>在</w:t>
      </w:r>
      <w:r>
        <w:rPr>
          <w:bCs/>
          <w:color w:val="000000" w:themeColor="text1"/>
          <w:sz w:val="24"/>
          <w14:textFill>
            <w14:solidFill>
              <w14:schemeClr w14:val="tx1"/>
            </w14:solidFill>
          </w14:textFill>
        </w:rPr>
        <w:t>规定网站上，并将年度报告</w:t>
      </w:r>
      <w:r>
        <w:rPr>
          <w:rFonts w:hint="eastAsia"/>
          <w:bCs/>
          <w:color w:val="000000" w:themeColor="text1"/>
          <w:sz w:val="24"/>
          <w14:textFill>
            <w14:solidFill>
              <w14:schemeClr w14:val="tx1"/>
            </w14:solidFill>
          </w14:textFill>
        </w:rPr>
        <w:t>提示性公告</w:t>
      </w:r>
      <w:r>
        <w:rPr>
          <w:bCs/>
          <w:color w:val="000000" w:themeColor="text1"/>
          <w:sz w:val="24"/>
          <w14:textFill>
            <w14:solidFill>
              <w14:schemeClr w14:val="tx1"/>
            </w14:solidFill>
          </w14:textFill>
        </w:rPr>
        <w:t>登载在</w:t>
      </w:r>
      <w:r>
        <w:rPr>
          <w:rFonts w:hint="eastAsia"/>
          <w:bCs/>
          <w:color w:val="000000" w:themeColor="text1"/>
          <w:sz w:val="24"/>
          <w14:textFill>
            <w14:solidFill>
              <w14:schemeClr w14:val="tx1"/>
            </w14:solidFill>
          </w14:textFill>
        </w:rPr>
        <w:t>规定报刊</w:t>
      </w:r>
      <w:r>
        <w:rPr>
          <w:bCs/>
          <w:color w:val="000000" w:themeColor="text1"/>
          <w:sz w:val="24"/>
          <w14:textFill>
            <w14:solidFill>
              <w14:schemeClr w14:val="tx1"/>
            </w14:solidFill>
          </w14:textFill>
        </w:rPr>
        <w:t>上。基金年度报告中的财务会计报告应当经过</w:t>
      </w:r>
      <w:r>
        <w:rPr>
          <w:rFonts w:hint="eastAsia"/>
          <w:bCs/>
          <w:color w:val="000000" w:themeColor="text1"/>
          <w:sz w:val="24"/>
          <w14:textFill>
            <w14:solidFill>
              <w14:schemeClr w14:val="tx1"/>
            </w14:solidFill>
          </w14:textFill>
        </w:rPr>
        <w:t>符合《中华人民共和国证券法》规定的会计师事务所</w:t>
      </w:r>
      <w:r>
        <w:rPr>
          <w:bCs/>
          <w:color w:val="000000" w:themeColor="text1"/>
          <w:sz w:val="24"/>
          <w14:textFill>
            <w14:solidFill>
              <w14:schemeClr w14:val="tx1"/>
            </w14:solidFill>
          </w14:textFill>
        </w:rPr>
        <w:t>审计。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基金管理人应当在上半年结束之日起</w:t>
      </w:r>
      <w:r>
        <w:rPr>
          <w:rFonts w:hint="eastAsia"/>
          <w:bCs/>
          <w:color w:val="000000" w:themeColor="text1"/>
          <w:sz w:val="24"/>
          <w14:textFill>
            <w14:solidFill>
              <w14:schemeClr w14:val="tx1"/>
            </w14:solidFill>
          </w14:textFill>
        </w:rPr>
        <w:t>两个月</w:t>
      </w:r>
      <w:r>
        <w:rPr>
          <w:bCs/>
          <w:color w:val="000000" w:themeColor="text1"/>
          <w:sz w:val="24"/>
          <w14:textFill>
            <w14:solidFill>
              <w14:schemeClr w14:val="tx1"/>
            </w14:solidFill>
          </w14:textFill>
        </w:rPr>
        <w:t>内，编制完成基金</w:t>
      </w:r>
      <w:r>
        <w:rPr>
          <w:rFonts w:hint="eastAsia"/>
          <w:bCs/>
          <w:color w:val="000000" w:themeColor="text1"/>
          <w:sz w:val="24"/>
          <w14:textFill>
            <w14:solidFill>
              <w14:schemeClr w14:val="tx1"/>
            </w14:solidFill>
          </w14:textFill>
        </w:rPr>
        <w:t>中期</w:t>
      </w:r>
      <w:r>
        <w:rPr>
          <w:bCs/>
          <w:color w:val="000000" w:themeColor="text1"/>
          <w:sz w:val="24"/>
          <w14:textFill>
            <w14:solidFill>
              <w14:schemeClr w14:val="tx1"/>
            </w14:solidFill>
          </w14:textFill>
        </w:rPr>
        <w:t>报告，并将</w:t>
      </w:r>
      <w:r>
        <w:rPr>
          <w:rFonts w:hint="eastAsia"/>
          <w:bCs/>
          <w:color w:val="000000" w:themeColor="text1"/>
          <w:sz w:val="24"/>
          <w14:textFill>
            <w14:solidFill>
              <w14:schemeClr w14:val="tx1"/>
            </w14:solidFill>
          </w14:textFill>
        </w:rPr>
        <w:t>中期</w:t>
      </w:r>
      <w:r>
        <w:rPr>
          <w:bCs/>
          <w:color w:val="000000" w:themeColor="text1"/>
          <w:sz w:val="24"/>
          <w14:textFill>
            <w14:solidFill>
              <w14:schemeClr w14:val="tx1"/>
            </w14:solidFill>
          </w14:textFill>
        </w:rPr>
        <w:t>报告正文登载在规定网站上，并将</w:t>
      </w:r>
      <w:r>
        <w:rPr>
          <w:rFonts w:hint="eastAsia"/>
          <w:bCs/>
          <w:color w:val="000000" w:themeColor="text1"/>
          <w:sz w:val="24"/>
          <w14:textFill>
            <w14:solidFill>
              <w14:schemeClr w14:val="tx1"/>
            </w14:solidFill>
          </w14:textFill>
        </w:rPr>
        <w:t>中期</w:t>
      </w:r>
      <w:r>
        <w:rPr>
          <w:bCs/>
          <w:color w:val="000000" w:themeColor="text1"/>
          <w:sz w:val="24"/>
          <w14:textFill>
            <w14:solidFill>
              <w14:schemeClr w14:val="tx1"/>
            </w14:solidFill>
          </w14:textFill>
        </w:rPr>
        <w:t>报告</w:t>
      </w:r>
      <w:r>
        <w:rPr>
          <w:rFonts w:hint="eastAsia"/>
          <w:bCs/>
          <w:color w:val="000000" w:themeColor="text1"/>
          <w:sz w:val="24"/>
          <w14:textFill>
            <w14:solidFill>
              <w14:schemeClr w14:val="tx1"/>
            </w14:solidFill>
          </w14:textFill>
        </w:rPr>
        <w:t>提示性公告</w:t>
      </w:r>
      <w:r>
        <w:rPr>
          <w:bCs/>
          <w:color w:val="000000" w:themeColor="text1"/>
          <w:sz w:val="24"/>
          <w14:textFill>
            <w14:solidFill>
              <w14:schemeClr w14:val="tx1"/>
            </w14:solidFill>
          </w14:textFill>
        </w:rPr>
        <w:t>登载在</w:t>
      </w:r>
      <w:r>
        <w:rPr>
          <w:rFonts w:hint="eastAsia"/>
          <w:bCs/>
          <w:color w:val="000000" w:themeColor="text1"/>
          <w:sz w:val="24"/>
          <w14:textFill>
            <w14:solidFill>
              <w14:schemeClr w14:val="tx1"/>
            </w14:solidFill>
          </w14:textFill>
        </w:rPr>
        <w:t>规定报刊</w:t>
      </w:r>
      <w:r>
        <w:rPr>
          <w:bCs/>
          <w:color w:val="000000" w:themeColor="text1"/>
          <w:sz w:val="24"/>
          <w14:textFill>
            <w14:solidFill>
              <w14:schemeClr w14:val="tx1"/>
            </w14:solidFill>
          </w14:textFill>
        </w:rPr>
        <w:t>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基金管理人应当在每个季度结束之日起</w:t>
      </w:r>
      <w:r>
        <w:rPr>
          <w:rFonts w:hint="eastAsia"/>
          <w:bCs/>
          <w:color w:val="000000" w:themeColor="text1"/>
          <w:sz w:val="24"/>
          <w14:textFill>
            <w14:solidFill>
              <w14:schemeClr w14:val="tx1"/>
            </w14:solidFill>
          </w14:textFill>
        </w:rPr>
        <w:t>十五</w:t>
      </w:r>
      <w:r>
        <w:rPr>
          <w:bCs/>
          <w:color w:val="000000" w:themeColor="text1"/>
          <w:sz w:val="24"/>
          <w14:textFill>
            <w14:solidFill>
              <w14:schemeClr w14:val="tx1"/>
            </w14:solidFill>
          </w14:textFill>
        </w:rPr>
        <w:t>个工作日内，编制完成基金季度报告，并将季度报告登载在</w:t>
      </w:r>
      <w:r>
        <w:rPr>
          <w:rFonts w:hint="eastAsia"/>
          <w:bCs/>
          <w:color w:val="000000" w:themeColor="text1"/>
          <w:sz w:val="24"/>
          <w14:textFill>
            <w14:solidFill>
              <w14:schemeClr w14:val="tx1"/>
            </w14:solidFill>
          </w14:textFill>
        </w:rPr>
        <w:t>规定网站</w:t>
      </w:r>
      <w:r>
        <w:rPr>
          <w:bCs/>
          <w:color w:val="000000" w:themeColor="text1"/>
          <w:sz w:val="24"/>
          <w14:textFill>
            <w14:solidFill>
              <w14:schemeClr w14:val="tx1"/>
            </w14:solidFill>
          </w14:textFill>
        </w:rPr>
        <w:t>上</w:t>
      </w:r>
      <w:r>
        <w:rPr>
          <w:rFonts w:hint="eastAsia"/>
          <w:bCs/>
          <w:color w:val="000000" w:themeColor="text1"/>
          <w:sz w:val="24"/>
          <w14:textFill>
            <w14:solidFill>
              <w14:schemeClr w14:val="tx1"/>
            </w14:solidFill>
          </w14:textFill>
        </w:rPr>
        <w:t>，并将季度报告提示性公告登载在规定报刊</w:t>
      </w:r>
      <w:r>
        <w:rPr>
          <w:bCs/>
          <w:color w:val="000000" w:themeColor="text1"/>
          <w:sz w:val="24"/>
          <w14:textFill>
            <w14:solidFill>
              <w14:schemeClr w14:val="tx1"/>
            </w14:solidFill>
          </w14:textFill>
        </w:rPr>
        <w:t>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《基金合同》生效不足</w:t>
      </w:r>
      <w:r>
        <w:rPr>
          <w:rFonts w:hint="eastAsia"/>
          <w:bCs/>
          <w:color w:val="000000" w:themeColor="text1"/>
          <w:sz w:val="24"/>
          <w14:textFill>
            <w14:solidFill>
              <w14:schemeClr w14:val="tx1"/>
            </w14:solidFill>
          </w14:textFill>
        </w:rPr>
        <w:t>两</w:t>
      </w:r>
      <w:r>
        <w:rPr>
          <w:bCs/>
          <w:color w:val="000000" w:themeColor="text1"/>
          <w:sz w:val="24"/>
          <w14:textFill>
            <w14:solidFill>
              <w14:schemeClr w14:val="tx1"/>
            </w14:solidFill>
          </w14:textFill>
        </w:rPr>
        <w:t>个月的，基金管理人可以不编制当期季度报告、</w:t>
      </w:r>
      <w:r>
        <w:rPr>
          <w:rFonts w:hint="eastAsia"/>
          <w:bCs/>
          <w:color w:val="000000" w:themeColor="text1"/>
          <w:sz w:val="24"/>
          <w14:textFill>
            <w14:solidFill>
              <w14:schemeClr w14:val="tx1"/>
            </w14:solidFill>
          </w14:textFill>
        </w:rPr>
        <w:t>中期</w:t>
      </w:r>
      <w:r>
        <w:rPr>
          <w:bCs/>
          <w:color w:val="000000" w:themeColor="text1"/>
          <w:sz w:val="24"/>
          <w14:textFill>
            <w14:solidFill>
              <w14:schemeClr w14:val="tx1"/>
            </w14:solidFill>
          </w14:textFill>
        </w:rPr>
        <w:t>报告或者年度报告。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bCs/>
          <w:color w:val="000000" w:themeColor="text1"/>
          <w14:textFill>
            <w14:solidFill>
              <w14:schemeClr w14:val="tx1"/>
            </w14:solidFill>
          </w14:textFill>
        </w:rPr>
      </w:pPr>
      <w:r>
        <w:rPr>
          <w:bCs/>
          <w:color w:val="000000" w:themeColor="text1"/>
          <w:sz w:val="24"/>
          <w14:textFill>
            <w14:solidFill>
              <w14:schemeClr w14:val="tx1"/>
            </w14:solidFill>
          </w14:textFill>
        </w:rPr>
        <w:t>基金管理人应当在基金年度报告和</w:t>
      </w:r>
      <w:r>
        <w:rPr>
          <w:rFonts w:hint="eastAsia"/>
          <w:bCs/>
          <w:color w:val="000000" w:themeColor="text1"/>
          <w:sz w:val="24"/>
          <w14:textFill>
            <w14:solidFill>
              <w14:schemeClr w14:val="tx1"/>
            </w14:solidFill>
          </w14:textFill>
        </w:rPr>
        <w:t>中期</w:t>
      </w:r>
      <w:r>
        <w:rPr>
          <w:bCs/>
          <w:color w:val="000000" w:themeColor="text1"/>
          <w:sz w:val="24"/>
          <w14:textFill>
            <w14:solidFill>
              <w14:schemeClr w14:val="tx1"/>
            </w14:solidFill>
          </w14:textFill>
        </w:rPr>
        <w:t>报告中披露基金组合资产情况及其流动性风险分析等。</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（七）临时报告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本基金发生重大事件，有关信息披露义务人应当在2日内编制临时报告书，并</w:t>
      </w:r>
      <w:r>
        <w:rPr>
          <w:rFonts w:hint="eastAsia"/>
          <w:bCs/>
          <w:color w:val="000000" w:themeColor="text1"/>
          <w:sz w:val="24"/>
          <w14:textFill>
            <w14:solidFill>
              <w14:schemeClr w14:val="tx1"/>
            </w14:solidFill>
          </w14:textFill>
        </w:rPr>
        <w:t>登载</w:t>
      </w:r>
      <w:r>
        <w:rPr>
          <w:bCs/>
          <w:color w:val="000000" w:themeColor="text1"/>
          <w:sz w:val="24"/>
          <w14:textFill>
            <w14:solidFill>
              <w14:schemeClr w14:val="tx1"/>
            </w14:solidFill>
          </w14:textFill>
        </w:rPr>
        <w:t>在</w:t>
      </w:r>
      <w:r>
        <w:rPr>
          <w:rFonts w:hint="eastAsia"/>
          <w:bCs/>
          <w:color w:val="000000" w:themeColor="text1"/>
          <w:sz w:val="24"/>
          <w14:textFill>
            <w14:solidFill>
              <w14:schemeClr w14:val="tx1"/>
            </w14:solidFill>
          </w14:textFill>
        </w:rPr>
        <w:t>规定报刊</w:t>
      </w:r>
      <w:r>
        <w:rPr>
          <w:bCs/>
          <w:color w:val="000000" w:themeColor="text1"/>
          <w:sz w:val="24"/>
          <w14:textFill>
            <w14:solidFill>
              <w14:schemeClr w14:val="tx1"/>
            </w14:solidFill>
          </w14:textFill>
        </w:rPr>
        <w:t>和</w:t>
      </w:r>
      <w:r>
        <w:rPr>
          <w:rFonts w:hint="eastAsia"/>
          <w:bCs/>
          <w:color w:val="000000" w:themeColor="text1"/>
          <w:sz w:val="24"/>
          <w14:textFill>
            <w14:solidFill>
              <w14:schemeClr w14:val="tx1"/>
            </w14:solidFill>
          </w14:textFill>
        </w:rPr>
        <w:t>规定网站上</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前款所称重大事件，是指可能对基金份额持有人权益或者基金份额的价格产生重大影响的下列事件：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1、基金份额持有人大会的召开</w:t>
      </w:r>
      <w:r>
        <w:rPr>
          <w:rFonts w:hint="eastAsia"/>
          <w:bCs/>
          <w:color w:val="000000" w:themeColor="text1"/>
          <w:sz w:val="24"/>
          <w14:textFill>
            <w14:solidFill>
              <w14:schemeClr w14:val="tx1"/>
            </w14:solidFill>
          </w14:textFill>
        </w:rPr>
        <w:t>及决定的事项</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2、终止《基金合同》</w:t>
      </w:r>
      <w:r>
        <w:rPr>
          <w:rFonts w:hint="eastAsia"/>
          <w:bCs/>
          <w:color w:val="000000" w:themeColor="text1"/>
          <w:sz w:val="24"/>
          <w14:textFill>
            <w14:solidFill>
              <w14:schemeClr w14:val="tx1"/>
            </w14:solidFill>
          </w14:textFill>
        </w:rPr>
        <w:t>、基金清算</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3、转换基金运作方式</w:t>
      </w:r>
      <w:r>
        <w:rPr>
          <w:rFonts w:hint="eastAsia"/>
          <w:bCs/>
          <w:color w:val="000000" w:themeColor="text1"/>
          <w:sz w:val="24"/>
          <w14:textFill>
            <w14:solidFill>
              <w14:schemeClr w14:val="tx1"/>
            </w14:solidFill>
          </w14:textFill>
        </w:rPr>
        <w:t>（不包括本基金开放期与封闭期运作方式的转换）、基金合并</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4、更换基金管理人、基金托管人</w:t>
      </w:r>
      <w:r>
        <w:rPr>
          <w:rFonts w:hint="eastAsia"/>
          <w:bCs/>
          <w:color w:val="000000" w:themeColor="text1"/>
          <w:sz w:val="24"/>
          <w14:textFill>
            <w14:solidFill>
              <w14:schemeClr w14:val="tx1"/>
            </w14:solidFill>
          </w14:textFill>
        </w:rPr>
        <w:t>、基金份额登记机构，基金改聘会计师事务所</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5、基金管理人</w:t>
      </w:r>
      <w:r>
        <w:rPr>
          <w:rFonts w:hint="eastAsia"/>
          <w:bCs/>
          <w:color w:val="000000" w:themeColor="text1"/>
          <w:sz w:val="24"/>
          <w14:textFill>
            <w14:solidFill>
              <w14:schemeClr w14:val="tx1"/>
            </w14:solidFill>
          </w14:textFill>
        </w:rPr>
        <w:t>委托基金服务机构代为办理基金的份额登记、核算、估值等事项，基金托管人委托基金服务机构代为办理基金的核算、估值、复核等事项；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w:t>
      </w:r>
      <w:r>
        <w:rPr>
          <w:bCs/>
          <w:color w:val="000000" w:themeColor="text1"/>
          <w:sz w:val="24"/>
          <w14:textFill>
            <w14:solidFill>
              <w14:schemeClr w14:val="tx1"/>
            </w14:solidFill>
          </w14:textFill>
        </w:rPr>
        <w:t>基金管理人、基金托管人的法定名称、住所发生变更；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7、基金管理人</w:t>
      </w:r>
      <w:r>
        <w:rPr>
          <w:rFonts w:hint="eastAsia"/>
          <w:bCs/>
          <w:color w:val="000000" w:themeColor="text1"/>
          <w:sz w:val="24"/>
          <w14:textFill>
            <w14:solidFill>
              <w14:schemeClr w14:val="tx1"/>
            </w14:solidFill>
          </w14:textFill>
        </w:rPr>
        <w:t>变更持有百分之五以上股权的</w:t>
      </w:r>
      <w:r>
        <w:rPr>
          <w:bCs/>
          <w:color w:val="000000" w:themeColor="text1"/>
          <w:sz w:val="24"/>
          <w14:textFill>
            <w14:solidFill>
              <w14:schemeClr w14:val="tx1"/>
            </w14:solidFill>
          </w14:textFill>
        </w:rPr>
        <w:t>股东</w:t>
      </w:r>
      <w:r>
        <w:rPr>
          <w:rFonts w:hint="eastAsia"/>
          <w:bCs/>
          <w:color w:val="000000" w:themeColor="text1"/>
          <w:sz w:val="24"/>
          <w14:textFill>
            <w14:solidFill>
              <w14:schemeClr w14:val="tx1"/>
            </w14:solidFill>
          </w14:textFill>
        </w:rPr>
        <w:t>、基金管理人的实际控制人</w:t>
      </w:r>
      <w:r>
        <w:rPr>
          <w:bCs/>
          <w:color w:val="000000" w:themeColor="text1"/>
          <w:sz w:val="24"/>
          <w14:textFill>
            <w14:solidFill>
              <w14:schemeClr w14:val="tx1"/>
            </w14:solidFill>
          </w14:textFill>
        </w:rPr>
        <w:t>变更；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8、基金募集期延长</w:t>
      </w:r>
      <w:r>
        <w:rPr>
          <w:rFonts w:hint="eastAsia"/>
          <w:bCs/>
          <w:color w:val="000000" w:themeColor="text1"/>
          <w:sz w:val="24"/>
          <w14:textFill>
            <w14:solidFill>
              <w14:schemeClr w14:val="tx1"/>
            </w14:solidFill>
          </w14:textFill>
        </w:rPr>
        <w:t>或提前结束募集</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9、基金管理人的高级管理人员、基金经理和基金托管人的专门基金托管部门负责人发生变动；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10、基金管理人的董事在</w:t>
      </w:r>
      <w:r>
        <w:rPr>
          <w:rFonts w:hint="eastAsia"/>
          <w:bCs/>
          <w:color w:val="000000" w:themeColor="text1"/>
          <w:sz w:val="24"/>
          <w14:textFill>
            <w14:solidFill>
              <w14:schemeClr w14:val="tx1"/>
            </w14:solidFill>
          </w14:textFill>
        </w:rPr>
        <w:t>最近</w:t>
      </w: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个月</w:t>
      </w:r>
      <w:r>
        <w:rPr>
          <w:bCs/>
          <w:color w:val="000000" w:themeColor="text1"/>
          <w:sz w:val="24"/>
          <w14:textFill>
            <w14:solidFill>
              <w14:schemeClr w14:val="tx1"/>
            </w14:solidFill>
          </w14:textFill>
        </w:rPr>
        <w:t>内变更超过百分之五十；基金管理人、基金托管人专门基金托管部门的主要业务人员在</w:t>
      </w:r>
      <w:r>
        <w:rPr>
          <w:rFonts w:hint="eastAsia"/>
          <w:bCs/>
          <w:color w:val="000000" w:themeColor="text1"/>
          <w:sz w:val="24"/>
          <w14:textFill>
            <w14:solidFill>
              <w14:schemeClr w14:val="tx1"/>
            </w14:solidFill>
          </w14:textFill>
        </w:rPr>
        <w:t>最近</w:t>
      </w: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个月</w:t>
      </w:r>
      <w:r>
        <w:rPr>
          <w:bCs/>
          <w:color w:val="000000" w:themeColor="text1"/>
          <w:sz w:val="24"/>
          <w14:textFill>
            <w14:solidFill>
              <w14:schemeClr w14:val="tx1"/>
            </w14:solidFill>
          </w14:textFill>
        </w:rPr>
        <w:t>内变动超过百分之三十；</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11、涉及基金管理</w:t>
      </w:r>
      <w:r>
        <w:rPr>
          <w:rFonts w:hint="eastAsia"/>
          <w:bCs/>
          <w:color w:val="000000" w:themeColor="text1"/>
          <w:sz w:val="24"/>
          <w14:textFill>
            <w14:solidFill>
              <w14:schemeClr w14:val="tx1"/>
            </w14:solidFill>
          </w14:textFill>
        </w:rPr>
        <w:t>业务</w:t>
      </w:r>
      <w:r>
        <w:rPr>
          <w:bCs/>
          <w:color w:val="000000" w:themeColor="text1"/>
          <w:sz w:val="24"/>
          <w14:textFill>
            <w14:solidFill>
              <w14:schemeClr w14:val="tx1"/>
            </w14:solidFill>
          </w14:textFill>
        </w:rPr>
        <w:t>、基金财产、基金托管业务的诉讼</w:t>
      </w:r>
      <w:r>
        <w:rPr>
          <w:rFonts w:hint="eastAsia"/>
          <w:bCs/>
          <w:color w:val="000000" w:themeColor="text1"/>
          <w:sz w:val="24"/>
          <w14:textFill>
            <w14:solidFill>
              <w14:schemeClr w14:val="tx1"/>
            </w14:solidFill>
          </w14:textFill>
        </w:rPr>
        <w:t>或者仲裁</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12、基金管理人</w:t>
      </w:r>
      <w:r>
        <w:rPr>
          <w:rFonts w:hint="eastAsia"/>
          <w:bCs/>
          <w:color w:val="000000" w:themeColor="text1"/>
          <w:sz w:val="24"/>
          <w14:textFill>
            <w14:solidFill>
              <w14:schemeClr w14:val="tx1"/>
            </w14:solidFill>
          </w14:textFill>
        </w:rPr>
        <w:t>或</w:t>
      </w:r>
      <w:r>
        <w:rPr>
          <w:bCs/>
          <w:color w:val="000000" w:themeColor="text1"/>
          <w:sz w:val="24"/>
          <w14:textFill>
            <w14:solidFill>
              <w14:schemeClr w14:val="tx1"/>
            </w14:solidFill>
          </w14:textFill>
        </w:rPr>
        <w:t>其高级管理人员、基金经理</w:t>
      </w:r>
      <w:r>
        <w:rPr>
          <w:rFonts w:hint="eastAsia"/>
          <w:bCs/>
          <w:color w:val="000000" w:themeColor="text1"/>
          <w:sz w:val="24"/>
          <w14:textFill>
            <w14:solidFill>
              <w14:schemeClr w14:val="tx1"/>
            </w14:solidFill>
          </w14:textFill>
        </w:rPr>
        <w:t>因基金管理业务相关行为受到重大</w:t>
      </w:r>
      <w:r>
        <w:rPr>
          <w:bCs/>
          <w:color w:val="000000" w:themeColor="text1"/>
          <w:sz w:val="24"/>
          <w14:textFill>
            <w14:solidFill>
              <w14:schemeClr w14:val="tx1"/>
            </w14:solidFill>
          </w14:textFill>
        </w:rPr>
        <w:t>行政处罚</w:t>
      </w:r>
      <w:r>
        <w:rPr>
          <w:rFonts w:hint="eastAsia"/>
          <w:bCs/>
          <w:color w:val="000000" w:themeColor="text1"/>
          <w:sz w:val="24"/>
          <w14:textFill>
            <w14:solidFill>
              <w14:schemeClr w14:val="tx1"/>
            </w14:solidFill>
          </w14:textFill>
        </w:rPr>
        <w:t>、刑事处罚</w:t>
      </w:r>
      <w:r>
        <w:rPr>
          <w:bCs/>
          <w:color w:val="000000" w:themeColor="text1"/>
          <w:sz w:val="24"/>
          <w14:textFill>
            <w14:solidFill>
              <w14:schemeClr w14:val="tx1"/>
            </w14:solidFill>
          </w14:textFill>
        </w:rPr>
        <w:t>，基金托管人</w:t>
      </w:r>
      <w:r>
        <w:rPr>
          <w:rFonts w:hint="eastAsia"/>
          <w:bCs/>
          <w:color w:val="000000" w:themeColor="text1"/>
          <w:sz w:val="24"/>
          <w14:textFill>
            <w14:solidFill>
              <w14:schemeClr w14:val="tx1"/>
            </w14:solidFill>
          </w14:textFill>
        </w:rPr>
        <w:t>或</w:t>
      </w:r>
      <w:r>
        <w:rPr>
          <w:bCs/>
          <w:color w:val="000000" w:themeColor="text1"/>
          <w:sz w:val="24"/>
          <w14:textFill>
            <w14:solidFill>
              <w14:schemeClr w14:val="tx1"/>
            </w14:solidFill>
          </w14:textFill>
        </w:rPr>
        <w:t>其专门基金托管部门负责人</w:t>
      </w:r>
      <w:r>
        <w:rPr>
          <w:rFonts w:hint="eastAsia"/>
          <w:bCs/>
          <w:color w:val="000000" w:themeColor="text1"/>
          <w:sz w:val="24"/>
          <w14:textFill>
            <w14:solidFill>
              <w14:schemeClr w14:val="tx1"/>
            </w14:solidFill>
          </w14:textFill>
        </w:rPr>
        <w:t>因基金托管业务相关行为受到重大</w:t>
      </w:r>
      <w:r>
        <w:rPr>
          <w:bCs/>
          <w:color w:val="000000" w:themeColor="text1"/>
          <w:sz w:val="24"/>
          <w14:textFill>
            <w14:solidFill>
              <w14:schemeClr w14:val="tx1"/>
            </w14:solidFill>
          </w14:textFill>
        </w:rPr>
        <w:t>行政处罚</w:t>
      </w:r>
      <w:r>
        <w:rPr>
          <w:rFonts w:hint="eastAsia"/>
          <w:bCs/>
          <w:color w:val="000000" w:themeColor="text1"/>
          <w:sz w:val="24"/>
          <w14:textFill>
            <w14:solidFill>
              <w14:schemeClr w14:val="tx1"/>
            </w14:solidFill>
          </w14:textFill>
        </w:rPr>
        <w:t>、刑事处罚</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13、基金管理人</w:t>
      </w:r>
      <w:r>
        <w:rPr>
          <w:rFonts w:hint="eastAsia"/>
          <w:bCs/>
          <w:color w:val="000000" w:themeColor="text1"/>
          <w:sz w:val="24"/>
          <w14:textFill>
            <w14:solidFill>
              <w14:schemeClr w14:val="tx1"/>
            </w14:solidFill>
          </w14:textFill>
        </w:rPr>
        <w:t>运用基金财产买卖基金管理人、基金托管人及其控股股东、实际控制人或者与其有重大利害关系的公司发行的证券或者承销期内承销的证券，或者从事其他</w:t>
      </w:r>
      <w:r>
        <w:rPr>
          <w:bCs/>
          <w:color w:val="000000" w:themeColor="text1"/>
          <w:sz w:val="24"/>
          <w14:textFill>
            <w14:solidFill>
              <w14:schemeClr w14:val="tx1"/>
            </w14:solidFill>
          </w14:textFill>
        </w:rPr>
        <w:t>重大关联交易事项</w:t>
      </w:r>
      <w:r>
        <w:rPr>
          <w:rFonts w:hint="eastAsia"/>
          <w:bCs/>
          <w:color w:val="000000" w:themeColor="text1"/>
          <w:sz w:val="24"/>
          <w14:textFill>
            <w14:solidFill>
              <w14:schemeClr w14:val="tx1"/>
            </w14:solidFill>
          </w14:textFill>
        </w:rPr>
        <w:t>，但中国证监会另有规定的除外</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14、基金收益分配事项；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15、管理费、托管费</w:t>
      </w:r>
      <w:r>
        <w:rPr>
          <w:rFonts w:hint="eastAsia"/>
          <w:bCs/>
          <w:color w:val="000000" w:themeColor="text1"/>
          <w:sz w:val="24"/>
          <w14:textFill>
            <w14:solidFill>
              <w14:schemeClr w14:val="tx1"/>
            </w14:solidFill>
          </w14:textFill>
        </w:rPr>
        <w:t>、申购费、赎回费</w:t>
      </w:r>
      <w:r>
        <w:rPr>
          <w:bCs/>
          <w:color w:val="000000" w:themeColor="text1"/>
          <w:sz w:val="24"/>
          <w14:textFill>
            <w14:solidFill>
              <w14:schemeClr w14:val="tx1"/>
            </w14:solidFill>
          </w14:textFill>
        </w:rPr>
        <w:t>等费用计提标准、计提方式和费率发生变更；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16、基金份额净值计价错误达基金份额净值百分之零点五；</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17、本基金进入开放期；</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18、本基金</w:t>
      </w:r>
      <w:r>
        <w:rPr>
          <w:rFonts w:hint="eastAsia"/>
          <w:bCs/>
          <w:color w:val="000000" w:themeColor="text1"/>
          <w:sz w:val="24"/>
          <w14:textFill>
            <w14:solidFill>
              <w14:schemeClr w14:val="tx1"/>
            </w14:solidFill>
          </w14:textFill>
        </w:rPr>
        <w:t>在开放期</w:t>
      </w:r>
      <w:r>
        <w:rPr>
          <w:bCs/>
          <w:color w:val="000000" w:themeColor="text1"/>
          <w:sz w:val="24"/>
          <w14:textFill>
            <w14:solidFill>
              <w14:schemeClr w14:val="tx1"/>
            </w14:solidFill>
          </w14:textFill>
        </w:rPr>
        <w:t>发生巨额赎回并</w:t>
      </w:r>
      <w:r>
        <w:rPr>
          <w:rFonts w:hint="eastAsia"/>
          <w:bCs/>
          <w:color w:val="000000" w:themeColor="text1"/>
          <w:sz w:val="24"/>
          <w14:textFill>
            <w14:solidFill>
              <w14:schemeClr w14:val="tx1"/>
            </w14:solidFill>
          </w14:textFill>
        </w:rPr>
        <w:t>延缓支付赎回款项</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19、</w:t>
      </w:r>
      <w:r>
        <w:rPr>
          <w:rFonts w:hint="eastAsia"/>
          <w:bCs/>
          <w:color w:val="000000" w:themeColor="text1"/>
          <w:sz w:val="24"/>
          <w14:textFill>
            <w14:solidFill>
              <w14:schemeClr w14:val="tx1"/>
            </w14:solidFill>
          </w14:textFill>
        </w:rPr>
        <w:t>本基金</w:t>
      </w:r>
      <w:r>
        <w:rPr>
          <w:bCs/>
          <w:color w:val="000000" w:themeColor="text1"/>
          <w:sz w:val="24"/>
          <w14:textFill>
            <w14:solidFill>
              <w14:schemeClr w14:val="tx1"/>
            </w14:solidFill>
          </w14:textFill>
        </w:rPr>
        <w:t>暂停接受申购、赎回申请</w:t>
      </w:r>
      <w:r>
        <w:rPr>
          <w:rFonts w:hint="eastAsia"/>
          <w:bCs/>
          <w:color w:val="000000" w:themeColor="text1"/>
          <w:sz w:val="24"/>
          <w14:textFill>
            <w14:solidFill>
              <w14:schemeClr w14:val="tx1"/>
            </w14:solidFill>
          </w14:textFill>
        </w:rPr>
        <w:t>或</w:t>
      </w:r>
      <w:r>
        <w:rPr>
          <w:bCs/>
          <w:color w:val="000000" w:themeColor="text1"/>
          <w:sz w:val="24"/>
          <w14:textFill>
            <w14:solidFill>
              <w14:schemeClr w14:val="tx1"/>
            </w14:solidFill>
          </w14:textFill>
        </w:rPr>
        <w:t>重新接受申购、赎回申请；</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20、发生涉及基金申购、赎回事项调整或潜在影响投资者赎回等重大事项时；</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21、基金管理人采用摆动定价机制进行估值；</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22、</w:t>
      </w:r>
      <w:r>
        <w:rPr>
          <w:rFonts w:hint="eastAsia"/>
          <w:bCs/>
          <w:color w:val="000000" w:themeColor="text1"/>
          <w:sz w:val="24"/>
          <w14:textFill>
            <w14:solidFill>
              <w14:schemeClr w14:val="tx1"/>
            </w14:solidFill>
          </w14:textFill>
        </w:rPr>
        <w:t>基金信息披露义务人认为可能对基金份额持有人权益或者基金份额的价格产生重大影响的其他事项或</w:t>
      </w:r>
      <w:r>
        <w:rPr>
          <w:bCs/>
          <w:color w:val="000000" w:themeColor="text1"/>
          <w:sz w:val="24"/>
          <w14:textFill>
            <w14:solidFill>
              <w14:schemeClr w14:val="tx1"/>
            </w14:solidFill>
          </w14:textFill>
        </w:rPr>
        <w:t>中国证监会规定的其他事项。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（八）澄清公告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在《基金合同》存续期限内，任何公共</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中出现的或者在市场上流传的消息可能对基金份额价格产生误导性影响或者引起较大波动的，</w:t>
      </w:r>
      <w:r>
        <w:rPr>
          <w:rFonts w:hint="eastAsia"/>
          <w:bCs/>
          <w:color w:val="000000" w:themeColor="text1"/>
          <w:sz w:val="24"/>
          <w14:textFill>
            <w14:solidFill>
              <w14:schemeClr w14:val="tx1"/>
            </w14:solidFill>
          </w14:textFill>
        </w:rPr>
        <w:t>以及可能损害基金份额持有人权益的，</w:t>
      </w:r>
      <w:r>
        <w:rPr>
          <w:bCs/>
          <w:color w:val="000000" w:themeColor="text1"/>
          <w:sz w:val="24"/>
          <w14:textFill>
            <w14:solidFill>
              <w14:schemeClr w14:val="tx1"/>
            </w14:solidFill>
          </w14:textFill>
        </w:rPr>
        <w:t>相关信息披露义务人知悉后应当立即对该消息进行公开澄清。</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（九）基金份额持有人大会决议</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基金份额持有人大会决定的事项，应当依法报</w:t>
      </w:r>
      <w:r>
        <w:rPr>
          <w:rFonts w:hint="eastAsia"/>
          <w:bCs/>
          <w:color w:val="000000" w:themeColor="text1"/>
          <w:sz w:val="24"/>
          <w14:textFill>
            <w14:solidFill>
              <w14:schemeClr w14:val="tx1"/>
            </w14:solidFill>
          </w14:textFill>
        </w:rPr>
        <w:t>中国证监会</w:t>
      </w:r>
      <w:r>
        <w:rPr>
          <w:bCs/>
          <w:color w:val="000000" w:themeColor="text1"/>
          <w:sz w:val="24"/>
          <w14:textFill>
            <w14:solidFill>
              <w14:schemeClr w14:val="tx1"/>
            </w14:solidFill>
          </w14:textFill>
        </w:rPr>
        <w:t>备案，并予以公告。</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（十）实施侧袋机制期间的信息披露</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本基金实施侧袋机制的，相关信息披露义务人应当根据法律法规、基金合同和招募说明书的规定进行信息披露，详见招募说明书的规定。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（十</w:t>
      </w:r>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）中国证监会规定的其他信息。</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六、信息披露事务管理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基金管理人、基金托管人应当建立健全信息披露管理制度，指定专</w:t>
      </w:r>
      <w:r>
        <w:rPr>
          <w:rFonts w:hint="eastAsia"/>
          <w:bCs/>
          <w:color w:val="000000" w:themeColor="text1"/>
          <w:sz w:val="24"/>
          <w14:textFill>
            <w14:solidFill>
              <w14:schemeClr w14:val="tx1"/>
            </w14:solidFill>
          </w14:textFill>
        </w:rPr>
        <w:t>门部门及高级管理人员</w:t>
      </w:r>
      <w:r>
        <w:rPr>
          <w:bCs/>
          <w:color w:val="000000" w:themeColor="text1"/>
          <w:sz w:val="24"/>
          <w14:textFill>
            <w14:solidFill>
              <w14:schemeClr w14:val="tx1"/>
            </w14:solidFill>
          </w14:textFill>
        </w:rPr>
        <w:t>负责管理信息披露事务。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基金信息披露义务人公开披露基金信息，应当符合中国证监会相关基金信息披露内容与格式准则</w:t>
      </w:r>
      <w:r>
        <w:rPr>
          <w:rFonts w:hint="eastAsia"/>
          <w:bCs/>
          <w:color w:val="000000" w:themeColor="text1"/>
          <w:sz w:val="24"/>
          <w14:textFill>
            <w14:solidFill>
              <w14:schemeClr w14:val="tx1"/>
            </w14:solidFill>
          </w14:textFill>
        </w:rPr>
        <w:t>等法规</w:t>
      </w:r>
      <w:r>
        <w:rPr>
          <w:bCs/>
          <w:color w:val="000000" w:themeColor="text1"/>
          <w:sz w:val="24"/>
          <w14:textFill>
            <w14:solidFill>
              <w14:schemeClr w14:val="tx1"/>
            </w14:solidFill>
          </w14:textFill>
        </w:rPr>
        <w:t>的规定。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基金托管人应当按照相关法律法规、中国证监会的规定和《基金合同》的约定，对基金管理人编制的基金资产净值、基金份额净值、基金份额申购赎回价格、基金定期报告</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更新的招募说明书</w:t>
      </w:r>
      <w:r>
        <w:rPr>
          <w:rFonts w:hint="eastAsia"/>
          <w:bCs/>
          <w:color w:val="000000" w:themeColor="text1"/>
          <w:sz w:val="24"/>
          <w14:textFill>
            <w14:solidFill>
              <w14:schemeClr w14:val="tx1"/>
            </w14:solidFill>
          </w14:textFill>
        </w:rPr>
        <w:t>、基金产品资料概要、基金清算报告</w:t>
      </w:r>
      <w:r>
        <w:rPr>
          <w:bCs/>
          <w:color w:val="000000" w:themeColor="text1"/>
          <w:sz w:val="24"/>
          <w14:textFill>
            <w14:solidFill>
              <w14:schemeClr w14:val="tx1"/>
            </w14:solidFill>
          </w14:textFill>
        </w:rPr>
        <w:t>等公开披露的相关基金信息进行复核、审查，并向基金管理人</w:t>
      </w:r>
      <w:r>
        <w:rPr>
          <w:rFonts w:hint="eastAsia"/>
          <w:bCs/>
          <w:color w:val="000000" w:themeColor="text1"/>
          <w:sz w:val="24"/>
          <w14:textFill>
            <w14:solidFill>
              <w14:schemeClr w14:val="tx1"/>
            </w14:solidFill>
          </w14:textFill>
        </w:rPr>
        <w:t>进行</w:t>
      </w:r>
      <w:r>
        <w:rPr>
          <w:bCs/>
          <w:color w:val="000000" w:themeColor="text1"/>
          <w:sz w:val="24"/>
          <w14:textFill>
            <w14:solidFill>
              <w14:schemeClr w14:val="tx1"/>
            </w14:solidFill>
          </w14:textFill>
        </w:rPr>
        <w:t>书面或</w:t>
      </w:r>
      <w:r>
        <w:rPr>
          <w:rFonts w:hint="eastAsia"/>
          <w:bCs/>
          <w:color w:val="000000" w:themeColor="text1"/>
          <w:sz w:val="24"/>
          <w14:textFill>
            <w14:solidFill>
              <w14:schemeClr w14:val="tx1"/>
            </w14:solidFill>
          </w14:textFill>
        </w:rPr>
        <w:t>电子</w:t>
      </w:r>
      <w:r>
        <w:rPr>
          <w:bCs/>
          <w:color w:val="000000" w:themeColor="text1"/>
          <w:sz w:val="24"/>
          <w14:textFill>
            <w14:solidFill>
              <w14:schemeClr w14:val="tx1"/>
            </w14:solidFill>
          </w14:textFill>
        </w:rPr>
        <w:t>确认。</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基金管理人、基金托管人应当在</w:t>
      </w:r>
      <w:r>
        <w:rPr>
          <w:rFonts w:hint="eastAsia"/>
          <w:bCs/>
          <w:color w:val="000000" w:themeColor="text1"/>
          <w:sz w:val="24"/>
          <w14:textFill>
            <w14:solidFill>
              <w14:schemeClr w14:val="tx1"/>
            </w14:solidFill>
          </w14:textFill>
        </w:rPr>
        <w:t>规定报刊</w:t>
      </w:r>
      <w:r>
        <w:rPr>
          <w:bCs/>
          <w:color w:val="000000" w:themeColor="text1"/>
          <w:sz w:val="24"/>
          <w14:textFill>
            <w14:solidFill>
              <w14:schemeClr w14:val="tx1"/>
            </w14:solidFill>
          </w14:textFill>
        </w:rPr>
        <w:t>中选择披露信息的报刊。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基金管理人、基金托管人应当向中国证监会基金电子披露网站报送拟披露的基金信息，并保证相关报送信息的真实、准确、完整、及时。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基金管理人、基金托管人除依法在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上披露信息外，还可以根据需要在其他公共</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披露信息，但是其他公共</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不得早于</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披露信息，并且在不同媒介上披露同一信息的内容应当一致。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为基金信息披露义务人公开披露的基金信息出具审计报告、法律意见书的专业机构，应当制作工作底稿，并将相关档案至少保存到《基金合同》终止后</w:t>
      </w:r>
      <w:r>
        <w:rPr>
          <w:rFonts w:hint="eastAsia"/>
          <w:bCs/>
          <w:color w:val="000000" w:themeColor="text1"/>
          <w:sz w:val="24"/>
          <w14:textFill>
            <w14:solidFill>
              <w14:schemeClr w14:val="tx1"/>
            </w14:solidFill>
          </w14:textFill>
        </w:rPr>
        <w:t>10</w:t>
      </w:r>
      <w:r>
        <w:rPr>
          <w:bCs/>
          <w:color w:val="000000" w:themeColor="text1"/>
          <w:sz w:val="24"/>
          <w14:textFill>
            <w14:solidFill>
              <w14:schemeClr w14:val="tx1"/>
            </w14:solidFill>
          </w14:textFill>
        </w:rPr>
        <w:t xml:space="preserve">     年。</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七、信息披露文件的存放与查阅</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依法必须披露的信息</w:t>
      </w:r>
      <w:r>
        <w:rPr>
          <w:bCs/>
          <w:color w:val="000000" w:themeColor="text1"/>
          <w:sz w:val="24"/>
          <w14:textFill>
            <w14:solidFill>
              <w14:schemeClr w14:val="tx1"/>
            </w14:solidFill>
          </w14:textFill>
        </w:rPr>
        <w:t>公布后，基金管理人、基金托管人</w:t>
      </w:r>
      <w:r>
        <w:rPr>
          <w:rFonts w:hint="eastAsia"/>
          <w:bCs/>
          <w:color w:val="000000" w:themeColor="text1"/>
          <w:sz w:val="24"/>
          <w14:textFill>
            <w14:solidFill>
              <w14:schemeClr w14:val="tx1"/>
            </w14:solidFill>
          </w14:textFill>
        </w:rPr>
        <w:t>应当按照相关法律法规规定将信息置备于各自</w:t>
      </w:r>
      <w:r>
        <w:rPr>
          <w:bCs/>
          <w:color w:val="000000" w:themeColor="text1"/>
          <w:sz w:val="24"/>
          <w14:textFill>
            <w14:solidFill>
              <w14:schemeClr w14:val="tx1"/>
            </w14:solidFill>
          </w14:textFill>
        </w:rPr>
        <w:t>住所，供社会公众查阅、复制。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八、暂停或延迟信息披露的情形</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当出现下述情况时，基金管理人和基金托管人可暂停或延迟披露基金相关信息：</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1、不可抗力；</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2、发生暂停估值的情形；</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3、法律法规规定、中国证监会或基金合同认定的其他情形。</w:t>
      </w:r>
    </w:p>
    <w:p>
      <w:pPr>
        <w:spacing w:line="360" w:lineRule="auto"/>
        <w:ind w:firstLine="480" w:firstLineChars="200"/>
        <w:rPr>
          <w:bCs/>
          <w:color w:val="000000" w:themeColor="text1"/>
          <w:sz w:val="24"/>
          <w14:textFill>
            <w14:solidFill>
              <w14:schemeClr w14:val="tx1"/>
            </w14:solidFill>
          </w14:textFill>
        </w:rPr>
      </w:pP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kern w:val="44"/>
          <w:sz w:val="21"/>
          <w14:textFill>
            <w14:solidFill>
              <w14:schemeClr w14:val="tx1"/>
            </w14:solidFill>
          </w14:textFill>
        </w:rPr>
        <w:br w:type="page"/>
      </w:r>
      <w:bookmarkStart w:id="378" w:name="_Toc123051465"/>
      <w:bookmarkStart w:id="379" w:name="_Toc25647"/>
      <w:bookmarkStart w:id="380" w:name="_Toc27464"/>
      <w:bookmarkStart w:id="381" w:name="_Toc6237"/>
      <w:bookmarkStart w:id="382" w:name="_Toc9005"/>
      <w:bookmarkStart w:id="383" w:name="_Toc8059"/>
      <w:bookmarkStart w:id="384" w:name="_Toc123102466"/>
      <w:bookmarkStart w:id="385" w:name="_Toc10006"/>
      <w:bookmarkStart w:id="386" w:name="_Toc141703899"/>
      <w:bookmarkStart w:id="387" w:name="_Toc98560364"/>
      <w:bookmarkStart w:id="388" w:name="_Toc123112247"/>
      <w:bookmarkStart w:id="389" w:name="_Toc95997130"/>
      <w:bookmarkStart w:id="390" w:name="_Toc8049"/>
      <w:bookmarkStart w:id="391" w:name="_Toc7170"/>
      <w:bookmarkStart w:id="392" w:name="_Toc22978"/>
      <w:bookmarkStart w:id="393" w:name="_Toc139991749"/>
      <w:bookmarkStart w:id="394" w:name="_Toc29891"/>
      <w:r>
        <w:rPr>
          <w:rFonts w:ascii="Times New Roman"/>
          <w:color w:val="000000" w:themeColor="text1"/>
          <w:sz w:val="30"/>
          <w14:textFill>
            <w14:solidFill>
              <w14:schemeClr w14:val="tx1"/>
            </w14:solidFill>
          </w14:textFill>
        </w:rPr>
        <w:t xml:space="preserve">第十九部分  </w:t>
      </w:r>
      <w:bookmarkStart w:id="395" w:name="_Hlt88828593"/>
      <w:r>
        <w:rPr>
          <w:rFonts w:ascii="Times New Roman"/>
          <w:color w:val="000000" w:themeColor="text1"/>
          <w:sz w:val="30"/>
          <w14:textFill>
            <w14:solidFill>
              <w14:schemeClr w14:val="tx1"/>
            </w14:solidFill>
          </w14:textFill>
        </w:rPr>
        <w:t>基金合同</w:t>
      </w:r>
      <w:bookmarkEnd w:id="395"/>
      <w:r>
        <w:rPr>
          <w:rFonts w:ascii="Times New Roman"/>
          <w:color w:val="000000" w:themeColor="text1"/>
          <w:sz w:val="30"/>
          <w14:textFill>
            <w14:solidFill>
              <w14:schemeClr w14:val="tx1"/>
            </w14:solidFill>
          </w14:textFill>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bookmarkStart w:id="396" w:name="_Toc79392639"/>
      <w:r>
        <w:rPr>
          <w:bCs/>
          <w:color w:val="000000" w:themeColor="text1"/>
          <w:sz w:val="24"/>
          <w14:textFill>
            <w14:solidFill>
              <w14:schemeClr w14:val="tx1"/>
            </w14:solidFill>
          </w14:textFill>
        </w:rPr>
        <w:t>一、《基金合同》的变更</w:t>
      </w:r>
      <w:bookmarkEnd w:id="396"/>
    </w:p>
    <w:p>
      <w:pPr>
        <w:autoSpaceDE w:val="0"/>
        <w:autoSpaceDN w:val="0"/>
        <w:adjustRightInd w:val="0"/>
        <w:spacing w:line="360" w:lineRule="auto"/>
        <w:ind w:firstLine="720" w:firstLineChars="3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1、变更基金合同</w:t>
      </w:r>
      <w:r>
        <w:rPr>
          <w:rFonts w:hint="eastAsia"/>
          <w:bCs/>
          <w:color w:val="000000" w:themeColor="text1"/>
          <w:sz w:val="24"/>
          <w14:textFill>
            <w14:solidFill>
              <w14:schemeClr w14:val="tx1"/>
            </w14:solidFill>
          </w14:textFill>
        </w:rPr>
        <w:t>涉及</w:t>
      </w:r>
      <w:r>
        <w:rPr>
          <w:bCs/>
          <w:color w:val="000000" w:themeColor="text1"/>
          <w:sz w:val="24"/>
          <w14:textFill>
            <w14:solidFill>
              <w14:schemeClr w14:val="tx1"/>
            </w14:solidFill>
          </w14:textFill>
        </w:rPr>
        <w:t>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2、关于《基金合同》变更的基金份额持有人大会决议</w:t>
      </w:r>
      <w:r>
        <w:rPr>
          <w:rFonts w:hint="eastAsia"/>
          <w:bCs/>
          <w:color w:val="000000" w:themeColor="text1"/>
          <w:sz w:val="24"/>
          <w14:textFill>
            <w14:solidFill>
              <w14:schemeClr w14:val="tx1"/>
            </w14:solidFill>
          </w14:textFill>
        </w:rPr>
        <w:t>自</w:t>
      </w:r>
      <w:r>
        <w:rPr>
          <w:bCs/>
          <w:color w:val="000000" w:themeColor="text1"/>
          <w:sz w:val="24"/>
          <w14:textFill>
            <w14:solidFill>
              <w14:schemeClr w14:val="tx1"/>
            </w14:solidFill>
          </w14:textFill>
        </w:rPr>
        <w:t>生效后方可执行，自决议生效后两日内在</w:t>
      </w:r>
      <w:r>
        <w:rPr>
          <w:rFonts w:hint="eastAsia"/>
          <w:bCs/>
          <w:color w:val="000000" w:themeColor="text1"/>
          <w:sz w:val="24"/>
          <w14:textFill>
            <w14:solidFill>
              <w14:schemeClr w14:val="tx1"/>
            </w14:solidFill>
          </w14:textFill>
        </w:rPr>
        <w:t>规</w:t>
      </w:r>
      <w:r>
        <w:rPr>
          <w:bCs/>
          <w:color w:val="000000" w:themeColor="text1"/>
          <w:sz w:val="24"/>
          <w14:textFill>
            <w14:solidFill>
              <w14:schemeClr w14:val="tx1"/>
            </w14:solidFill>
          </w14:textFill>
        </w:rPr>
        <w:t>定</w:t>
      </w:r>
      <w:r>
        <w:rPr>
          <w:rFonts w:hint="eastAsia"/>
          <w:bCs/>
          <w:color w:val="000000" w:themeColor="text1"/>
          <w:sz w:val="24"/>
          <w14:textFill>
            <w14:solidFill>
              <w14:schemeClr w14:val="tx1"/>
            </w14:solidFill>
          </w14:textFill>
        </w:rPr>
        <w:t>媒介</w:t>
      </w:r>
      <w:r>
        <w:rPr>
          <w:bCs/>
          <w:color w:val="000000" w:themeColor="text1"/>
          <w:sz w:val="24"/>
          <w14:textFill>
            <w14:solidFill>
              <w14:schemeClr w14:val="tx1"/>
            </w14:solidFill>
          </w14:textFill>
        </w:rPr>
        <w:t>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二、《基金合同》的终止事由</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有下列情形之一的，</w:t>
      </w:r>
      <w:r>
        <w:rPr>
          <w:rFonts w:hint="eastAsia"/>
          <w:bCs/>
          <w:color w:val="000000" w:themeColor="text1"/>
          <w:sz w:val="24"/>
          <w14:textFill>
            <w14:solidFill>
              <w14:schemeClr w14:val="tx1"/>
            </w14:solidFill>
          </w14:textFill>
        </w:rPr>
        <w:t>经履行相关程序后，</w:t>
      </w:r>
      <w:r>
        <w:rPr>
          <w:bCs/>
          <w:color w:val="000000" w:themeColor="text1"/>
          <w:sz w:val="24"/>
          <w14:textFill>
            <w14:solidFill>
              <w14:schemeClr w14:val="tx1"/>
            </w14:solidFill>
          </w14:textFill>
        </w:rPr>
        <w:t>《基金合同》应当终止：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1、基金份额持有人大会决定终止的；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2、基金管理人、基金托管人职责终止，在6个月内没有新基金管理人、新基金托管人承接的；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、《基金合同》约定的其他情形；</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、相关法律法规和中国证监会规定的其他情况。</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三、基金财产的清算</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2、基金财产清算小组组成：基金财产清算小组成员由基金管理人、基金托管人、具有从事证券相关业务资格的注册会计师、律师以及中国证监会指定的人员组成。基金财产清算小组可以聘用必要的工作人员。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3、基金财产清算小组职责：基金财产清算小组负责基金财产的保管、清理、估价、变现和分配。基金财产清算小组可以依法进行必要的民事活动。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4、基金财产清算程序：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（1）《基金合同》终止情形出现时，由基金财产清算小组统一接管基金；</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（2）对基金财产和债权债务进行清理和确认；</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（3）对基金财产进行估值和变现；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（4）制作清算报告；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（5）聘请会计师事务所对清算报告进行外部审计，聘请律师事务所对清算报告出具法律意见书；</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（6）将清算报告报中国证监会备案并公告</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（7）对基金</w:t>
      </w:r>
      <w:r>
        <w:rPr>
          <w:rFonts w:hint="eastAsia"/>
          <w:bCs/>
          <w:color w:val="000000" w:themeColor="text1"/>
          <w:sz w:val="24"/>
          <w14:textFill>
            <w14:solidFill>
              <w14:schemeClr w14:val="tx1"/>
            </w14:solidFill>
          </w14:textFill>
        </w:rPr>
        <w:t>剩余</w:t>
      </w:r>
      <w:r>
        <w:rPr>
          <w:bCs/>
          <w:color w:val="000000" w:themeColor="text1"/>
          <w:sz w:val="24"/>
          <w14:textFill>
            <w14:solidFill>
              <w14:schemeClr w14:val="tx1"/>
            </w14:solidFill>
          </w14:textFill>
        </w:rPr>
        <w:t>财产进行分配</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5、基金财产清算的期限为</w:t>
      </w:r>
      <w:r>
        <w:rPr>
          <w:rFonts w:hint="eastAsia"/>
          <w:bCs/>
          <w:color w:val="000000" w:themeColor="text1"/>
          <w:sz w:val="24"/>
          <w14:textFill>
            <w14:solidFill>
              <w14:schemeClr w14:val="tx1"/>
            </w14:solidFill>
          </w14:textFill>
        </w:rPr>
        <w:t>6</w:t>
      </w:r>
      <w:r>
        <w:rPr>
          <w:bCs/>
          <w:color w:val="000000" w:themeColor="text1"/>
          <w:sz w:val="24"/>
          <w14:textFill>
            <w14:solidFill>
              <w14:schemeClr w14:val="tx1"/>
            </w14:solidFill>
          </w14:textFill>
        </w:rPr>
        <w:t>个月，但因本基金所持证券的流动性受到限制而不能及时变现的，清算期限相应顺延。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四、清算费用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清算费用是指基金财产清算小组在进行基金清算过程中发生的所有合理费用，清算费用由基金财产清算小组优先从基金财产中支付。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五、基金财产清算剩余资产的分配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六、基金财产清算的公告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清算过程中的有关重大事项须及时公告；基金财产清算报告经</w:t>
      </w:r>
      <w:r>
        <w:rPr>
          <w:rFonts w:hint="eastAsia"/>
          <w:bCs/>
          <w:color w:val="000000" w:themeColor="text1"/>
          <w:sz w:val="24"/>
          <w14:textFill>
            <w14:solidFill>
              <w14:schemeClr w14:val="tx1"/>
            </w14:solidFill>
          </w14:textFill>
        </w:rPr>
        <w:t>符合《中华人民共和国证券法》规定的</w:t>
      </w:r>
      <w:r>
        <w:rPr>
          <w:bCs/>
          <w:color w:val="000000" w:themeColor="text1"/>
          <w:sz w:val="24"/>
          <w14:textFill>
            <w14:solidFill>
              <w14:schemeClr w14:val="tx1"/>
            </w14:solidFill>
          </w14:textFill>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bCs/>
          <w:color w:val="000000" w:themeColor="text1"/>
          <w:sz w:val="24"/>
          <w14:textFill>
            <w14:solidFill>
              <w14:schemeClr w14:val="tx1"/>
            </w14:solidFill>
          </w14:textFill>
        </w:rPr>
        <w:t>，基金财产清算小组应当将清算报告登载在规定网站上，并将清算报告提示性公告登载在规定报刊上</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七、基金财产清算账册及文件的保存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基金财产清算账册及有关文件由基金托管人保存</w:t>
      </w:r>
      <w:r>
        <w:rPr>
          <w:rFonts w:hint="eastAsia"/>
          <w:bCs/>
          <w:color w:val="000000" w:themeColor="text1"/>
          <w:sz w:val="24"/>
          <w14:textFill>
            <w14:solidFill>
              <w14:schemeClr w14:val="tx1"/>
            </w14:solidFill>
          </w14:textFill>
        </w:rPr>
        <w:t>不低于法律法规规定的最低期限</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p>
    <w:p>
      <w:pPr>
        <w:pStyle w:val="2"/>
        <w:spacing w:before="0" w:after="0"/>
        <w:jc w:val="center"/>
        <w:rPr>
          <w:rFonts w:ascii="Times New Roman"/>
          <w:color w:val="000000" w:themeColor="text1"/>
          <w:sz w:val="30"/>
          <w14:textFill>
            <w14:solidFill>
              <w14:schemeClr w14:val="tx1"/>
            </w14:solidFill>
          </w14:textFill>
        </w:rPr>
      </w:pPr>
      <w:bookmarkStart w:id="397" w:name="_Toc123051466"/>
      <w:bookmarkStart w:id="398" w:name="_Toc98560365"/>
      <w:bookmarkStart w:id="399" w:name="_Toc79392641"/>
      <w:bookmarkStart w:id="400" w:name="_Toc48649720"/>
      <w:bookmarkStart w:id="401" w:name="_Toc123102467"/>
      <w:bookmarkStart w:id="402" w:name="_Toc123112248"/>
      <w:r>
        <w:rPr>
          <w:rFonts w:ascii="Times New Roman"/>
          <w:b w:val="0"/>
          <w:bCs/>
          <w:color w:val="000000" w:themeColor="text1"/>
          <w14:textFill>
            <w14:solidFill>
              <w14:schemeClr w14:val="tx1"/>
            </w14:solidFill>
          </w14:textFill>
        </w:rPr>
        <w:br w:type="page"/>
      </w:r>
      <w:bookmarkStart w:id="403" w:name="_Toc12191"/>
      <w:bookmarkStart w:id="404" w:name="_Toc95997131"/>
      <w:bookmarkStart w:id="405" w:name="_Toc8710"/>
      <w:bookmarkStart w:id="406" w:name="_Toc27058"/>
      <w:bookmarkStart w:id="407" w:name="_Toc21240"/>
      <w:bookmarkStart w:id="408" w:name="_Toc13398"/>
      <w:bookmarkStart w:id="409" w:name="_Toc139991750"/>
      <w:bookmarkStart w:id="410" w:name="_Toc30645"/>
      <w:bookmarkStart w:id="411" w:name="_Toc28549"/>
      <w:bookmarkStart w:id="412" w:name="_Toc141703901"/>
      <w:bookmarkStart w:id="413" w:name="_Toc9708"/>
      <w:bookmarkStart w:id="414" w:name="_Toc23022"/>
      <w:bookmarkStart w:id="415" w:name="_Toc7367"/>
      <w:r>
        <w:rPr>
          <w:rFonts w:ascii="Times New Roman"/>
          <w:color w:val="000000" w:themeColor="text1"/>
          <w:sz w:val="30"/>
          <w14:textFill>
            <w14:solidFill>
              <w14:schemeClr w14:val="tx1"/>
            </w14:solidFill>
          </w14:textFill>
        </w:rPr>
        <w:t>第二十部分  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color w:val="000000" w:themeColor="text1"/>
          <w:sz w:val="24"/>
          <w14:textFill>
            <w14:solidFill>
              <w14:schemeClr w14:val="tx1"/>
            </w14:solidFill>
          </w14:textFill>
        </w:rPr>
        <w:t>但是发生下列情况的，当事人免责：</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1、不可抗力；</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2、基金管理人和/或基金托管人按照当时有效的法律法规或中国证监会的规定作为或不作为而造成的损失等；</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3、基金管理人由于按照基金合同规定的投资原则行使或不行使其投资权而造成的损失等。</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color w:val="000000" w:themeColor="text1"/>
          <w:sz w:val="24"/>
          <w14:textFill>
            <w14:solidFill>
              <w14:schemeClr w14:val="tx1"/>
            </w14:solidFill>
          </w14:textFill>
        </w:rPr>
        <w:t>减轻或</w:t>
      </w:r>
      <w:r>
        <w:rPr>
          <w:bCs/>
          <w:color w:val="000000" w:themeColor="text1"/>
          <w:sz w:val="24"/>
          <w14:textFill>
            <w14:solidFill>
              <w14:schemeClr w14:val="tx1"/>
            </w14:solidFill>
          </w14:textFill>
        </w:rPr>
        <w:t>消除由此造成的影响。</w:t>
      </w:r>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416" w:name="_Toc21983"/>
      <w:bookmarkStart w:id="417" w:name="_Toc25651"/>
      <w:bookmarkStart w:id="418" w:name="_Toc98560366"/>
      <w:bookmarkStart w:id="419" w:name="_Toc3319"/>
      <w:bookmarkStart w:id="420" w:name="_Toc1790"/>
      <w:bookmarkStart w:id="421" w:name="_Toc8636"/>
      <w:bookmarkStart w:id="422" w:name="_Toc123051467"/>
      <w:bookmarkStart w:id="423" w:name="_Toc23999"/>
      <w:bookmarkStart w:id="424" w:name="_Toc123102468"/>
      <w:bookmarkStart w:id="425" w:name="_Toc7288"/>
      <w:bookmarkStart w:id="426" w:name="_Toc6202"/>
      <w:bookmarkStart w:id="427" w:name="_Toc30350"/>
      <w:bookmarkStart w:id="428" w:name="_Toc95997132"/>
      <w:bookmarkStart w:id="429" w:name="_Toc139991751"/>
      <w:bookmarkStart w:id="430" w:name="_Toc123112249"/>
      <w:bookmarkStart w:id="431" w:name="_Toc24923"/>
      <w:bookmarkStart w:id="432" w:name="_Toc141703902"/>
      <w:r>
        <w:rPr>
          <w:rFonts w:ascii="Times New Roman"/>
          <w:color w:val="000000" w:themeColor="text1"/>
          <w:sz w:val="30"/>
          <w14:textFill>
            <w14:solidFill>
              <w14:schemeClr w14:val="tx1"/>
            </w14:solidFill>
          </w14:textFill>
        </w:rPr>
        <w:t>第二十一部分  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各方当事人同意，因《基金合同》而产生的或与《基金合同》有关的一切争议，如经友好协商未能解决的，应提交</w:t>
      </w:r>
      <w:r>
        <w:rPr>
          <w:rFonts w:hint="eastAsia"/>
          <w:bCs/>
          <w:color w:val="000000" w:themeColor="text1"/>
          <w:sz w:val="24"/>
          <w14:textFill>
            <w14:solidFill>
              <w14:schemeClr w14:val="tx1"/>
            </w14:solidFill>
          </w14:textFill>
        </w:rPr>
        <w:t>上海国际经济贸易仲裁委员会根据该会当时有效的仲裁规则进行仲裁，仲裁地点为上海市</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仲裁裁决是终局性的并对各方当事人具有约束力。仲裁费用由败诉方承担，仲裁裁决另有规定除外。</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争议处理期间，基金管理人、基金托管人应恪守各自的职责，继续忠实、勤勉、尽责地履行《基金合同》规定的义务，维护基金份额持有人的合法权益。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《基金合同》受中国法律</w:t>
      </w:r>
      <w:r>
        <w:rPr>
          <w:rFonts w:hint="eastAsia"/>
          <w:bCs/>
          <w:color w:val="000000" w:themeColor="text1"/>
          <w:sz w:val="24"/>
          <w14:textFill>
            <w14:solidFill>
              <w14:schemeClr w14:val="tx1"/>
            </w14:solidFill>
          </w14:textFill>
        </w:rPr>
        <w:t>（为《基金合同》之目的，在此不包括香港、澳门特别行政区和台湾地区的有关规定）</w:t>
      </w:r>
      <w:r>
        <w:rPr>
          <w:bCs/>
          <w:color w:val="000000" w:themeColor="text1"/>
          <w:sz w:val="24"/>
          <w14:textFill>
            <w14:solidFill>
              <w14:schemeClr w14:val="tx1"/>
            </w14:solidFill>
          </w14:textFill>
        </w:rPr>
        <w:t>管辖</w:t>
      </w:r>
      <w:r>
        <w:rPr>
          <w:rFonts w:hint="eastAsia"/>
          <w:bCs/>
          <w:color w:val="000000" w:themeColor="text1"/>
          <w:sz w:val="24"/>
          <w14:textFill>
            <w14:solidFill>
              <w14:schemeClr w14:val="tx1"/>
            </w14:solidFill>
          </w14:textFill>
        </w:rPr>
        <w:t>，并从其解释</w:t>
      </w:r>
      <w:r>
        <w:rPr>
          <w:bCs/>
          <w:color w:val="000000" w:themeColor="text1"/>
          <w:sz w:val="24"/>
          <w14:textFill>
            <w14:solidFill>
              <w14:schemeClr w14:val="tx1"/>
            </w14:solidFill>
          </w14:textFill>
        </w:rPr>
        <w:t>。</w:t>
      </w:r>
    </w:p>
    <w:p>
      <w:pPr>
        <w:widowControl/>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br w:type="page"/>
      </w:r>
    </w:p>
    <w:p>
      <w:pPr>
        <w:pStyle w:val="2"/>
        <w:spacing w:before="0" w:after="0"/>
        <w:jc w:val="center"/>
        <w:rPr>
          <w:rFonts w:ascii="Times New Roman"/>
          <w:color w:val="000000" w:themeColor="text1"/>
          <w:sz w:val="30"/>
          <w14:textFill>
            <w14:solidFill>
              <w14:schemeClr w14:val="tx1"/>
            </w14:solidFill>
          </w14:textFill>
        </w:rPr>
      </w:pPr>
      <w:bookmarkStart w:id="433" w:name="_Toc31966"/>
      <w:bookmarkStart w:id="434" w:name="_Toc2532"/>
      <w:bookmarkStart w:id="435" w:name="_Toc95997133"/>
      <w:bookmarkStart w:id="436" w:name="_Toc123102469"/>
      <w:bookmarkStart w:id="437" w:name="_Toc139991752"/>
      <w:bookmarkStart w:id="438" w:name="_Toc26461"/>
      <w:bookmarkStart w:id="439" w:name="_Toc8454"/>
      <w:bookmarkStart w:id="440" w:name="_Toc484"/>
      <w:bookmarkStart w:id="441" w:name="_Toc29505"/>
      <w:bookmarkStart w:id="442" w:name="_Toc8703"/>
      <w:bookmarkStart w:id="443" w:name="_Toc23991"/>
      <w:bookmarkStart w:id="444" w:name="_Toc141703903"/>
      <w:bookmarkStart w:id="445" w:name="_Toc20350"/>
      <w:bookmarkStart w:id="446" w:name="_Toc123112250"/>
      <w:bookmarkStart w:id="447" w:name="_Toc123051468"/>
      <w:bookmarkStart w:id="448" w:name="_Toc11618"/>
      <w:r>
        <w:rPr>
          <w:rFonts w:ascii="Times New Roman"/>
          <w:color w:val="000000" w:themeColor="text1"/>
          <w:sz w:val="30"/>
          <w14:textFill>
            <w14:solidFill>
              <w14:schemeClr w14:val="tx1"/>
            </w14:solidFill>
          </w14:textFill>
        </w:rPr>
        <w:t>第二十二部分  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spacing w:line="360" w:lineRule="auto"/>
        <w:ind w:firstLine="480" w:firstLineChars="200"/>
        <w:rPr>
          <w:bCs/>
          <w:color w:val="000000" w:themeColor="text1"/>
          <w:sz w:val="24"/>
          <w14:textFill>
            <w14:solidFill>
              <w14:schemeClr w14:val="tx1"/>
            </w14:solidFill>
          </w14:textFill>
        </w:rPr>
      </w:pP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《基金合同》是约定</w:t>
      </w:r>
      <w:r>
        <w:rPr>
          <w:rFonts w:hint="eastAsia"/>
          <w:bCs/>
          <w:color w:val="000000" w:themeColor="text1"/>
          <w:sz w:val="24"/>
          <w14:textFill>
            <w14:solidFill>
              <w14:schemeClr w14:val="tx1"/>
            </w14:solidFill>
          </w14:textFill>
        </w:rPr>
        <w:t>基金合同当事人</w:t>
      </w:r>
      <w:r>
        <w:rPr>
          <w:bCs/>
          <w:color w:val="000000" w:themeColor="text1"/>
          <w:sz w:val="24"/>
          <w14:textFill>
            <w14:solidFill>
              <w14:schemeClr w14:val="tx1"/>
            </w14:solidFill>
          </w14:textFill>
        </w:rPr>
        <w:t>之间权利义务关系的法律文件。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1、《基金合同》经基金管理人、基金托管人双方盖章以及双方法定代表人或授权代表签字</w:t>
      </w:r>
      <w:r>
        <w:rPr>
          <w:rFonts w:hint="eastAsia"/>
          <w:bCs/>
          <w:color w:val="000000" w:themeColor="text1"/>
          <w:sz w:val="24"/>
          <w14:textFill>
            <w14:solidFill>
              <w14:schemeClr w14:val="tx1"/>
            </w14:solidFill>
          </w14:textFill>
        </w:rPr>
        <w:t>或盖章</w:t>
      </w:r>
      <w:r>
        <w:rPr>
          <w:bCs/>
          <w:color w:val="000000" w:themeColor="text1"/>
          <w:sz w:val="24"/>
          <w14:textFill>
            <w14:solidFill>
              <w14:schemeClr w14:val="tx1"/>
            </w14:solidFill>
          </w14:textFill>
        </w:rPr>
        <w:t>并在募集结束后经基金管理人向中国证监会办理基金备案手续，并经中国证监会书面确认后生效。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2、《基金合同》的有效期自其生效之日起至基金财产清算结果报中国证监会</w:t>
      </w:r>
      <w:r>
        <w:rPr>
          <w:rFonts w:hint="eastAsia"/>
          <w:bCs/>
          <w:color w:val="000000" w:themeColor="text1"/>
          <w:sz w:val="24"/>
          <w14:textFill>
            <w14:solidFill>
              <w14:schemeClr w14:val="tx1"/>
            </w14:solidFill>
          </w14:textFill>
        </w:rPr>
        <w:t>备案</w:t>
      </w:r>
      <w:r>
        <w:rPr>
          <w:bCs/>
          <w:color w:val="000000" w:themeColor="text1"/>
          <w:sz w:val="24"/>
          <w14:textFill>
            <w14:solidFill>
              <w14:schemeClr w14:val="tx1"/>
            </w14:solidFill>
          </w14:textFill>
        </w:rPr>
        <w:t>并公告之日止。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3、《基金合同》自生效之日起对包括基金管理人、基金托管人和基金份额持有人在内的《基金合同》各方当事人具有同等的法律约束力。</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4、《基金合同》正本一式</w:t>
      </w:r>
      <w:r>
        <w:rPr>
          <w:rFonts w:hint="eastAsia"/>
          <w:bCs/>
          <w:color w:val="000000" w:themeColor="text1"/>
          <w:sz w:val="24"/>
          <w14:textFill>
            <w14:solidFill>
              <w14:schemeClr w14:val="tx1"/>
            </w14:solidFill>
          </w14:textFill>
        </w:rPr>
        <w:t>三</w:t>
      </w:r>
      <w:r>
        <w:rPr>
          <w:bCs/>
          <w:color w:val="000000" w:themeColor="text1"/>
          <w:sz w:val="24"/>
          <w14:textFill>
            <w14:solidFill>
              <w14:schemeClr w14:val="tx1"/>
            </w14:solidFill>
          </w14:textFill>
        </w:rPr>
        <w:t>份，除上报有关监管机构一式</w:t>
      </w:r>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份外，基金管理人、基金托管人各持有</w:t>
      </w:r>
      <w:r>
        <w:rPr>
          <w:rFonts w:hint="eastAsia"/>
          <w:bCs/>
          <w:color w:val="000000" w:themeColor="text1"/>
          <w:sz w:val="24"/>
          <w14:textFill>
            <w14:solidFill>
              <w14:schemeClr w14:val="tx1"/>
            </w14:solidFill>
          </w14:textFill>
        </w:rPr>
        <w:t>一</w:t>
      </w:r>
      <w:r>
        <w:rPr>
          <w:bCs/>
          <w:color w:val="000000" w:themeColor="text1"/>
          <w:sz w:val="24"/>
          <w14:textFill>
            <w14:solidFill>
              <w14:schemeClr w14:val="tx1"/>
            </w14:solidFill>
          </w14:textFill>
        </w:rPr>
        <w:t>份，每份具有同等的法律效力。</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5、《基金合同》可印制成册，供投资者在基金管理人、基金托管人、销售机构的办公场所和营业场所查阅。</w:t>
      </w:r>
    </w:p>
    <w:p>
      <w:pPr>
        <w:pStyle w:val="2"/>
        <w:spacing w:before="0" w:after="0"/>
        <w:jc w:val="center"/>
        <w:rPr>
          <w:rFonts w:ascii="Times New Roman"/>
          <w:color w:val="000000" w:themeColor="text1"/>
          <w:sz w:val="30"/>
          <w14:textFill>
            <w14:solidFill>
              <w14:schemeClr w14:val="tx1"/>
            </w14:solidFill>
          </w14:textFill>
        </w:rPr>
      </w:pPr>
      <w:r>
        <w:rPr>
          <w:rFonts w:ascii="Times New Roman"/>
          <w:b w:val="0"/>
          <w:bCs/>
          <w:color w:val="000000" w:themeColor="text1"/>
          <w14:textFill>
            <w14:solidFill>
              <w14:schemeClr w14:val="tx1"/>
            </w14:solidFill>
          </w14:textFill>
        </w:rPr>
        <w:br w:type="page"/>
      </w:r>
      <w:bookmarkStart w:id="449" w:name="_Toc21726"/>
      <w:bookmarkStart w:id="450" w:name="_Toc95997134"/>
      <w:r>
        <w:rPr>
          <w:rFonts w:hint="eastAsia" w:ascii="Times New Roman"/>
          <w:color w:val="000000" w:themeColor="text1"/>
          <w:sz w:val="30"/>
          <w14:textFill>
            <w14:solidFill>
              <w14:schemeClr w14:val="tx1"/>
            </w14:solidFill>
          </w14:textFill>
        </w:rPr>
        <w:t>第二十三部分  其他事项</w:t>
      </w:r>
      <w:bookmarkEnd w:id="449"/>
      <w:bookmarkEnd w:id="450"/>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《基金合同》如有未尽事宜，由《基金合同》当事人各方按有关法律法规协商解决。</w:t>
      </w:r>
    </w:p>
    <w:p>
      <w:pPr>
        <w:widowControl/>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p>
    <w:p>
      <w:pPr>
        <w:pStyle w:val="2"/>
        <w:spacing w:before="0" w:after="0"/>
        <w:jc w:val="center"/>
        <w:rPr>
          <w:rFonts w:ascii="Times New Roman"/>
          <w:color w:val="000000" w:themeColor="text1"/>
          <w:sz w:val="30"/>
          <w14:textFill>
            <w14:solidFill>
              <w14:schemeClr w14:val="tx1"/>
            </w14:solidFill>
          </w14:textFill>
        </w:rPr>
      </w:pPr>
      <w:bookmarkStart w:id="451" w:name="_Toc7437"/>
      <w:bookmarkStart w:id="452" w:name="_Toc17263"/>
      <w:bookmarkStart w:id="453" w:name="_Toc1360"/>
      <w:bookmarkStart w:id="454" w:name="_Toc32355"/>
      <w:bookmarkStart w:id="455" w:name="_Toc5108"/>
      <w:bookmarkStart w:id="456" w:name="_Toc20098"/>
      <w:bookmarkStart w:id="457" w:name="_Toc95997135"/>
      <w:bookmarkStart w:id="458" w:name="_Toc12499"/>
      <w:bookmarkStart w:id="459" w:name="_Toc15664"/>
      <w:bookmarkStart w:id="460" w:name="_Toc9054"/>
      <w:bookmarkStart w:id="461" w:name="_Toc141703905"/>
      <w:bookmarkStart w:id="462" w:name="_Toc21122"/>
      <w:r>
        <w:rPr>
          <w:rFonts w:ascii="Times New Roman"/>
          <w:color w:val="000000" w:themeColor="text1"/>
          <w:sz w:val="30"/>
          <w14:textFill>
            <w14:solidFill>
              <w14:schemeClr w14:val="tx1"/>
            </w14:solidFill>
          </w14:textFill>
        </w:rPr>
        <w:t>第二十四部分  基金合同内容摘要</w:t>
      </w:r>
      <w:bookmarkEnd w:id="69"/>
      <w:bookmarkEnd w:id="70"/>
      <w:bookmarkEnd w:id="451"/>
      <w:bookmarkEnd w:id="452"/>
      <w:bookmarkEnd w:id="453"/>
      <w:bookmarkEnd w:id="454"/>
      <w:bookmarkEnd w:id="455"/>
      <w:bookmarkEnd w:id="456"/>
      <w:bookmarkEnd w:id="457"/>
      <w:bookmarkEnd w:id="458"/>
      <w:bookmarkEnd w:id="459"/>
      <w:bookmarkEnd w:id="460"/>
      <w:bookmarkEnd w:id="461"/>
      <w:bookmarkEnd w:id="462"/>
    </w:p>
    <w:p>
      <w:pPr>
        <w:rPr>
          <w:color w:val="000000" w:themeColor="text1"/>
          <w:sz w:val="28"/>
          <w:szCs w:val="28"/>
          <w14:textFill>
            <w14:solidFill>
              <w14:schemeClr w14:val="tx1"/>
            </w14:solidFill>
          </w14:textFill>
        </w:rPr>
      </w:pP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一、基金份额持有人、基金管理人和基金托管人的权利、义务</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（一）基金份额持有人的权利与义务</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每份基金份额具有同等的合法权益。</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、根据《基金法》、《运作办法》及其他有关规定，基金份额持有人的权利包括但不限于：</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）分享基金财产收益；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）参与分配清算后的剩余基金财产；</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）依法转让或者在开放期内申请赎回其持有的基金份额；</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）按照规定要求召开基金份额持有人大会或者召集基金份额持有人大会；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）出席或者委派代表出席基金份额持有人大会，对基金份额持有人大会审议事项行使表决权；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）查阅或者复制公开披露的基金信息资料；</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）监督基金管理人的投资运作；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）对基金管理人、基金托管人、基金服务机构损害其合法权益的行为依法提起诉讼或仲裁；</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）法律法规及中国证监会规定的和《基金合同》约定的其他权利。</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、根据《基金法》、《运作办法》及其他有关规定，基金份额持有人的义务包括但不限于：</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）认真阅读并遵守《基金合同》</w:t>
      </w:r>
      <w:r>
        <w:rPr>
          <w:rFonts w:hint="eastAsia"/>
          <w:bCs/>
          <w:color w:val="000000" w:themeColor="text1"/>
          <w:sz w:val="24"/>
          <w:szCs w:val="24"/>
          <w14:textFill>
            <w14:solidFill>
              <w14:schemeClr w14:val="tx1"/>
            </w14:solidFill>
          </w14:textFill>
        </w:rPr>
        <w:t>、招募说明书等信息披露文件</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）了解所投资基金产品，了解自身风险承受能力，自主判断基金的投资价值，自主做出投资决策，自行承担投资风险；</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）关注基金信息披露，及时行使权利和履行义务；</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）交纳基金认购、申购款项及法律法规和《基金合同》所规定的费用；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）在其持有的基金份额范围内，承担基金亏损或者《基金合同》终止的有限责任；</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）不从事任何有损基金及其他《基金合同》当事人合法权益的活动；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）执行生效的基金份额持有人大会的决议；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）返还在基金交易过程中因任何原因获得的不当得利；</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）提供基金管理人和监管机构依法要求提供的信息，以及不时地更新和补充，并保证其真实性；</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）法律法规及中国证监会规定的和《基金合同》约定的其他义务。</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（二）基金管理人的权利与义务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、根据《基金法》、《运作办法》及其他有关规定，基金管理人的权利包括但不限于：</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）依法募集资金；</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）自《基金合同》生效之日起，根据法律法规和《基金合同》独立运用并管理基金财产；</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）依照《基金合同》收取基金管理费以及法律法规规定或中国证监会批准的其他费用；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）销售基金份额；</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）按照规定召集基金份额持有人大会；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）在基金托管人更换时，提名新的基金托管人；</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）选择、更换基金销售机构，对基金销售机构的相关行为进行监督和处理；</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）担任或委托其他符合条件的机构担任基金登记机构办理基金登记业务并获得《基金合同》规定的费用；</w:t>
      </w:r>
      <w:r>
        <w:rPr>
          <w:bCs/>
          <w:color w:val="000000" w:themeColor="text1"/>
          <w:sz w:val="24"/>
          <w14:textFill>
            <w14:solidFill>
              <w14:schemeClr w14:val="tx1"/>
            </w14:solidFill>
          </w14:textFill>
        </w:rPr>
        <w:t xml:space="preserve"> </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）依据《基金合同》及有关法律规定决定基金收益的分配方案；</w:t>
      </w:r>
      <w:r>
        <w:rPr>
          <w:bCs/>
          <w:color w:val="000000" w:themeColor="text1"/>
          <w:sz w:val="24"/>
          <w14:textFill>
            <w14:solidFill>
              <w14:schemeClr w14:val="tx1"/>
            </w14:solidFill>
          </w14:textFill>
        </w:rPr>
        <w:tab/>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11</w:t>
      </w:r>
      <w:r>
        <w:rPr>
          <w:rFonts w:hint="eastAsia"/>
          <w:bCs/>
          <w:color w:val="000000" w:themeColor="text1"/>
          <w:sz w:val="24"/>
          <w14:textFill>
            <w14:solidFill>
              <w14:schemeClr w14:val="tx1"/>
            </w14:solidFill>
          </w14:textFill>
        </w:rPr>
        <w:t>）在《基金合同》约定的范围内，拒绝或暂停受理申购、赎回或转换申请；</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）依照法律法规为基金的利益对被投资公司行使证券持有人权利，为基金的利益行使因基金财产投资于证券所产生的权利；</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13</w:t>
      </w:r>
      <w:r>
        <w:rPr>
          <w:rFonts w:hint="eastAsia"/>
          <w:bCs/>
          <w:color w:val="000000" w:themeColor="text1"/>
          <w:sz w:val="24"/>
          <w14:textFill>
            <w14:solidFill>
              <w14:schemeClr w14:val="tx1"/>
            </w14:solidFill>
          </w14:textFill>
        </w:rPr>
        <w:t>）在法律法规允许的前提下，为基金的利益依法为基金进行融资；</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14</w:t>
      </w:r>
      <w:r>
        <w:rPr>
          <w:rFonts w:hint="eastAsia"/>
          <w:bCs/>
          <w:color w:val="000000" w:themeColor="text1"/>
          <w:sz w:val="24"/>
          <w14:textFill>
            <w14:solidFill>
              <w14:schemeClr w14:val="tx1"/>
            </w14:solidFill>
          </w14:textFill>
        </w:rPr>
        <w:t>）以基金管理人的名义，代表基金份额持有人的利益行使诉讼权利或者实施其他法律行为；</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15</w:t>
      </w:r>
      <w:r>
        <w:rPr>
          <w:rFonts w:hint="eastAsia"/>
          <w:bCs/>
          <w:color w:val="000000" w:themeColor="text1"/>
          <w:sz w:val="24"/>
          <w14:textFill>
            <w14:solidFill>
              <w14:schemeClr w14:val="tx1"/>
            </w14:solidFill>
          </w14:textFill>
        </w:rPr>
        <w:t>）选择、更换律师事务所、会计师事务所、证券经纪商或其他为基金提供服务的外部机构；</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16</w:t>
      </w:r>
      <w:r>
        <w:rPr>
          <w:rFonts w:hint="eastAsia"/>
          <w:bCs/>
          <w:color w:val="000000" w:themeColor="text1"/>
          <w:sz w:val="24"/>
          <w14:textFill>
            <w14:solidFill>
              <w14:schemeClr w14:val="tx1"/>
            </w14:solidFill>
          </w14:textFill>
        </w:rPr>
        <w:t>）在符合有关法律、法规的前提下，制订和调整有关基金认购、申购、赎回、转换和非交易过户等业务规则；</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17</w:t>
      </w:r>
      <w:r>
        <w:rPr>
          <w:rFonts w:hint="eastAsia"/>
          <w:bCs/>
          <w:color w:val="000000" w:themeColor="text1"/>
          <w:sz w:val="24"/>
          <w14:textFill>
            <w14:solidFill>
              <w14:schemeClr w14:val="tx1"/>
            </w14:solidFill>
          </w14:textFill>
        </w:rPr>
        <w:t>）法律法规及中国证监会规定的和《基金合同》约定的其他权利。</w:t>
      </w:r>
    </w:p>
    <w:p>
      <w:pPr>
        <w:spacing w:line="440" w:lineRule="atLeas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、根据《基金法》、《运作办法》及其他有关规定，基金管理人的义务包括但不限于：</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）依法募集资金，办理或者委托经中国证监会认定的其他机构代为办理基金份额的发售、申购、赎回和登记事宜；</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）办理基金备案手续；</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）自《基金合同》生效之日起</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以诚实信用、谨慎勤勉的原则管理和运用基金财产；</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）配备足够的具有专业资格的人员进行基金投资分析、决策，以专业化的经营方式管理和运作基金财产；</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）建立健全内部风险控制、监察与稽核、财务管理及人事管理等制度，保证所管理的基金财产和基金管理人的财产相互独立</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对所管理的不同基金分别管理，分别记账，进行证券投资；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）除依据《基金法》、《基金合同》及其他有关规定外</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不得利用基金财产为自己及任何第三人谋取利益，不得委托第三人运作基金财产；</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）依法接受基金托管人的监督；</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）进行基金会计核算并编制基金财务会计报告；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）编制季度报告、中期报告和年度报告；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11</w:t>
      </w:r>
      <w:r>
        <w:rPr>
          <w:rFonts w:hint="eastAsia"/>
          <w:bCs/>
          <w:color w:val="000000" w:themeColor="text1"/>
          <w:sz w:val="24"/>
          <w14:textFill>
            <w14:solidFill>
              <w14:schemeClr w14:val="tx1"/>
            </w14:solidFill>
          </w14:textFill>
        </w:rPr>
        <w:t>）严格按照《基金法》、《信息披露办法》、《基金合同》及其他有关规定，履行信息披露及报告义务；</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）保守基金商业秘密，不泄露基金投资计划、投资意向等。除《基金法》、《信息披露办法》、《基金合同》及其他有关规定另有规定外，在基金信息公开披露前应予保密，不向他人泄露；</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13</w:t>
      </w:r>
      <w:r>
        <w:rPr>
          <w:rFonts w:hint="eastAsia"/>
          <w:bCs/>
          <w:color w:val="000000" w:themeColor="text1"/>
          <w:sz w:val="24"/>
          <w14:textFill>
            <w14:solidFill>
              <w14:schemeClr w14:val="tx1"/>
            </w14:solidFill>
          </w14:textFill>
        </w:rPr>
        <w:t>）按《基金合同》的约定确定基金收益分配方案，及时向基金份额持有人分配基金收益；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14</w:t>
      </w:r>
      <w:r>
        <w:rPr>
          <w:rFonts w:hint="eastAsia"/>
          <w:bCs/>
          <w:color w:val="000000" w:themeColor="text1"/>
          <w:sz w:val="24"/>
          <w14:textFill>
            <w14:solidFill>
              <w14:schemeClr w14:val="tx1"/>
            </w14:solidFill>
          </w14:textFill>
        </w:rPr>
        <w:t>）按规定受理申购与赎回申请，及时、足额支付赎回款项；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15</w:t>
      </w:r>
      <w:r>
        <w:rPr>
          <w:rFonts w:hint="eastAsia"/>
          <w:bCs/>
          <w:color w:val="000000" w:themeColor="text1"/>
          <w:sz w:val="24"/>
          <w14:textFill>
            <w14:solidFill>
              <w14:schemeClr w14:val="tx1"/>
            </w14:solidFill>
          </w14:textFill>
        </w:rPr>
        <w:t>）依据《基金法》、《基金合同》及其他有关规定召集基金份额持有人大会或配合基金托管人、基金份额持有人依法召集基金份额持有人大会；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16</w:t>
      </w:r>
      <w:r>
        <w:rPr>
          <w:rFonts w:hint="eastAsia"/>
          <w:bCs/>
          <w:color w:val="000000" w:themeColor="text1"/>
          <w:sz w:val="24"/>
          <w14:textFill>
            <w14:solidFill>
              <w14:schemeClr w14:val="tx1"/>
            </w14:solidFill>
          </w14:textFill>
        </w:rPr>
        <w:t>）按规定保存基金财产管理业务活动的会计账册、报表、记录和其他相关资料，保存期限不低于法律法规规定的最低期限；</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17</w:t>
      </w:r>
      <w:r>
        <w:rPr>
          <w:rFonts w:hint="eastAsia"/>
          <w:bCs/>
          <w:color w:val="000000" w:themeColor="text1"/>
          <w:sz w:val="24"/>
          <w14:textFill>
            <w14:solidFill>
              <w14:schemeClr w14:val="tx1"/>
            </w14:solidFill>
          </w14:textFill>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18</w:t>
      </w:r>
      <w:r>
        <w:rPr>
          <w:rFonts w:hint="eastAsia"/>
          <w:bCs/>
          <w:color w:val="000000" w:themeColor="text1"/>
          <w:sz w:val="24"/>
          <w14:textFill>
            <w14:solidFill>
              <w14:schemeClr w14:val="tx1"/>
            </w14:solidFill>
          </w14:textFill>
        </w:rPr>
        <w:t>）组织并参加基金财产清算小组</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参与基金财产的保管、清理、估价、变现和分配；</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19</w:t>
      </w:r>
      <w:r>
        <w:rPr>
          <w:rFonts w:hint="eastAsia"/>
          <w:bCs/>
          <w:color w:val="000000" w:themeColor="text1"/>
          <w:sz w:val="24"/>
          <w14:textFill>
            <w14:solidFill>
              <w14:schemeClr w14:val="tx1"/>
            </w14:solidFill>
          </w14:textFill>
        </w:rPr>
        <w:t>）面临解散、依法被撤销或者被依法宣告破产时，及时报告中国证监会并通知基金托管人；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）因违反《基金合同》导致基金财产的损失或损害基金份额持有人合法权益时，应当承担赔偿责任，其赔偿责任不因其退任而免除；</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21</w:t>
      </w:r>
      <w:r>
        <w:rPr>
          <w:rFonts w:hint="eastAsia"/>
          <w:bCs/>
          <w:color w:val="000000" w:themeColor="text1"/>
          <w:sz w:val="24"/>
          <w14:textFill>
            <w14:solidFill>
              <w14:schemeClr w14:val="tx1"/>
            </w14:solidFill>
          </w14:textFill>
        </w:rPr>
        <w:t>）监督基金托管人按法律法规和《基金合同》规定履行自己的义务，基金托管人违反《基金合同》造成基金财产损失时，基金管理人应为基金份额持有人利益向基金托管人追偿；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22</w:t>
      </w:r>
      <w:r>
        <w:rPr>
          <w:rFonts w:hint="eastAsia"/>
          <w:bCs/>
          <w:color w:val="000000" w:themeColor="text1"/>
          <w:sz w:val="24"/>
          <w14:textFill>
            <w14:solidFill>
              <w14:schemeClr w14:val="tx1"/>
            </w14:solidFill>
          </w14:textFill>
        </w:rPr>
        <w:t>）当基金管理人将其义务委托第三方处理时，应当对第三方处理有关基金事务的行为承担责任；</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23</w:t>
      </w:r>
      <w:r>
        <w:rPr>
          <w:rFonts w:hint="eastAsia"/>
          <w:bCs/>
          <w:color w:val="000000" w:themeColor="text1"/>
          <w:sz w:val="24"/>
          <w14:textFill>
            <w14:solidFill>
              <w14:schemeClr w14:val="tx1"/>
            </w14:solidFill>
          </w14:textFill>
        </w:rPr>
        <w:t>）以基金管理人名义，代表基金份额持有人利益行使诉讼权利或实施其他法律行为；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24</w:t>
      </w:r>
      <w:r>
        <w:rPr>
          <w:rFonts w:hint="eastAsia"/>
          <w:bCs/>
          <w:color w:val="000000" w:themeColor="text1"/>
          <w:sz w:val="24"/>
          <w14:textFill>
            <w14:solidFill>
              <w14:schemeClr w14:val="tx1"/>
            </w14:solidFill>
          </w14:textFill>
        </w:rPr>
        <w:t>）基金在募集期间未能达到基金的备案条件，《基金合同》不能生效，基金管理人承担全部募集费用，将已募集资金并加计银行同期活期存款利息在基金募集期结束后</w:t>
      </w:r>
      <w:r>
        <w:rPr>
          <w:bCs/>
          <w:color w:val="000000" w:themeColor="text1"/>
          <w:sz w:val="24"/>
          <w14:textFill>
            <w14:solidFill>
              <w14:schemeClr w14:val="tx1"/>
            </w14:solidFill>
          </w14:textFill>
        </w:rPr>
        <w:t>30</w:t>
      </w:r>
      <w:r>
        <w:rPr>
          <w:rFonts w:hint="eastAsia"/>
          <w:bCs/>
          <w:color w:val="000000" w:themeColor="text1"/>
          <w:sz w:val="24"/>
          <w14:textFill>
            <w14:solidFill>
              <w14:schemeClr w14:val="tx1"/>
            </w14:solidFill>
          </w14:textFill>
        </w:rPr>
        <w:t>日内退还基金认购人；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25</w:t>
      </w:r>
      <w:r>
        <w:rPr>
          <w:rFonts w:hint="eastAsia"/>
          <w:bCs/>
          <w:color w:val="000000" w:themeColor="text1"/>
          <w:sz w:val="24"/>
          <w14:textFill>
            <w14:solidFill>
              <w14:schemeClr w14:val="tx1"/>
            </w14:solidFill>
          </w14:textFill>
        </w:rPr>
        <w:t>）执行生效的基金份额持有人大会的决议；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26</w:t>
      </w:r>
      <w:r>
        <w:rPr>
          <w:rFonts w:hint="eastAsia"/>
          <w:bCs/>
          <w:color w:val="000000" w:themeColor="text1"/>
          <w:sz w:val="24"/>
          <w14:textFill>
            <w14:solidFill>
              <w14:schemeClr w14:val="tx1"/>
            </w14:solidFill>
          </w14:textFill>
        </w:rPr>
        <w:t>）建立并保存基金份额持有人名册；</w:t>
      </w:r>
    </w:p>
    <w:p>
      <w:pPr>
        <w:autoSpaceDE w:val="0"/>
        <w:autoSpaceDN w:val="0"/>
        <w:adjustRightInd w:val="0"/>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27</w:t>
      </w:r>
      <w:r>
        <w:rPr>
          <w:rFonts w:hint="eastAsia"/>
          <w:bCs/>
          <w:color w:val="000000" w:themeColor="text1"/>
          <w:sz w:val="24"/>
          <w14:textFill>
            <w14:solidFill>
              <w14:schemeClr w14:val="tx1"/>
            </w14:solidFill>
          </w14:textFill>
        </w:rPr>
        <w:t>）法律法规及中国证监会规定的和《基金合同》约定的其他义务。</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（三）基金托管人的权利与义务</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、根据《基金法》、《运作办法》及其他有关规定，基金托管人的权利包括但不限于：</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）自《基金合同》生效之日起，依法律法规和《基金合同》的规定安全保管基金财产；</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）依《基金合同》约定获得基金托管费以及法律法规规定或监管部门批准的其他费用；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）根据相关市场规则，为基金开设</w:t>
      </w:r>
      <w:r>
        <w:rPr>
          <w:rFonts w:hint="eastAsia"/>
          <w:bCs/>
          <w:color w:val="000000" w:themeColor="text1"/>
          <w:sz w:val="24"/>
          <w:szCs w:val="24"/>
          <w14:textFill>
            <w14:solidFill>
              <w14:schemeClr w14:val="tx1"/>
            </w14:solidFill>
          </w14:textFill>
        </w:rPr>
        <w:t>资金</w:t>
      </w:r>
      <w:r>
        <w:rPr>
          <w:bCs/>
          <w:color w:val="000000" w:themeColor="text1"/>
          <w:sz w:val="24"/>
          <w:szCs w:val="24"/>
          <w14:textFill>
            <w14:solidFill>
              <w14:schemeClr w14:val="tx1"/>
            </w14:solidFill>
          </w14:textFill>
        </w:rPr>
        <w:t>/</w:t>
      </w:r>
      <w:r>
        <w:rPr>
          <w:rFonts w:hint="eastAsia"/>
          <w:bCs/>
          <w:color w:val="000000" w:themeColor="text1"/>
          <w:sz w:val="24"/>
          <w14:textFill>
            <w14:solidFill>
              <w14:schemeClr w14:val="tx1"/>
            </w14:solidFill>
          </w14:textFill>
        </w:rPr>
        <w:t>证券账户等投资所需账户、为基金办理证券交易资金清算；</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）提议召开或召集基金份额持有人大会；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）在基金管理人更换时，提名新的基金管理人；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）法律法规及中国证监会规定的和《基金合同》约定的其他权利。</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、根据《基金法》、《运作办法》及其他有关规定，基金托管人的义务包括但不限于：</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）以诚实信用、勤勉尽责的原则持有并安全保管基金财产；</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）设立专门的基金托管部门，具有符合要求的营业场所，配备足够的、合格的熟悉基金托管业务的专职人员，负责基金财产托管事宜；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）除依据《基金法》、《基金合同》及其他有关规定外，不得利用基金财产为自己及任何第三人谋取利益，不得委托第三人托管基金财产；</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）保管由基金管理人代表基金签订的与基金有关的重大合同及有关凭证；</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）按规定开设基金财产的资金账户和证券账户等投资所需账户</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按照《基金合同》的约定，根据基金管理人的投资指令，及时办理清算、交割事宜；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）保守基金商业秘密，除《基金法》、《基金合同》及其他有关规定另有规定外，在基金信息公开披露前予以保密，不得向他人泄露；</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）复核、审查基金管理人计算的基金资产净值、基金份额净值、基金份额申购、赎回价格；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）办理与基金托管业务活动有关的信息披露事项；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11</w:t>
      </w:r>
      <w:r>
        <w:rPr>
          <w:rFonts w:hint="eastAsia"/>
          <w:bCs/>
          <w:color w:val="000000" w:themeColor="text1"/>
          <w:sz w:val="24"/>
          <w14:textFill>
            <w14:solidFill>
              <w14:schemeClr w14:val="tx1"/>
            </w14:solidFill>
          </w14:textFill>
        </w:rPr>
        <w:t>）保存基金托管业务活动的记录、账册、报表和其他相关资料不低于法律法规规定的最低期限；</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）从基金管理人或其委托的登记机构处接收并保存基金份额持有人名册；</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13</w:t>
      </w:r>
      <w:r>
        <w:rPr>
          <w:rFonts w:hint="eastAsia"/>
          <w:bCs/>
          <w:color w:val="000000" w:themeColor="text1"/>
          <w:sz w:val="24"/>
          <w14:textFill>
            <w14:solidFill>
              <w14:schemeClr w14:val="tx1"/>
            </w14:solidFill>
          </w14:textFill>
        </w:rPr>
        <w:t>）按规定制作相关账册并与基金管理人核对；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14</w:t>
      </w:r>
      <w:r>
        <w:rPr>
          <w:rFonts w:hint="eastAsia"/>
          <w:bCs/>
          <w:color w:val="000000" w:themeColor="text1"/>
          <w:sz w:val="24"/>
          <w14:textFill>
            <w14:solidFill>
              <w14:schemeClr w14:val="tx1"/>
            </w14:solidFill>
          </w14:textFill>
        </w:rPr>
        <w:t>）依据基金管理人的指令或有关规定向基金份额持有人支付基金收益和赎回款项；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15</w:t>
      </w:r>
      <w:r>
        <w:rPr>
          <w:rFonts w:hint="eastAsia"/>
          <w:bCs/>
          <w:color w:val="000000" w:themeColor="text1"/>
          <w:sz w:val="24"/>
          <w14:textFill>
            <w14:solidFill>
              <w14:schemeClr w14:val="tx1"/>
            </w14:solidFill>
          </w14:textFill>
        </w:rPr>
        <w:t>）依据《基金法》、《基金合同》及其他有关规定，召集基金份额持有人大会或配合基金管理人、基金份额持有人依法召集基金份额持有人大会；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16</w:t>
      </w:r>
      <w:r>
        <w:rPr>
          <w:rFonts w:hint="eastAsia"/>
          <w:bCs/>
          <w:color w:val="000000" w:themeColor="text1"/>
          <w:sz w:val="24"/>
          <w14:textFill>
            <w14:solidFill>
              <w14:schemeClr w14:val="tx1"/>
            </w14:solidFill>
          </w14:textFill>
        </w:rPr>
        <w:t>）按照法律法规和《基金合同》的规定监督基金管理人的投资运作；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17</w:t>
      </w:r>
      <w:r>
        <w:rPr>
          <w:rFonts w:hint="eastAsia"/>
          <w:bCs/>
          <w:color w:val="000000" w:themeColor="text1"/>
          <w:sz w:val="24"/>
          <w14:textFill>
            <w14:solidFill>
              <w14:schemeClr w14:val="tx1"/>
            </w14:solidFill>
          </w14:textFill>
        </w:rPr>
        <w:t>）参加基金财产清算小组，参与基金财产的保管、清理、估价、变现和分配；</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18</w:t>
      </w:r>
      <w:r>
        <w:rPr>
          <w:rFonts w:hint="eastAsia"/>
          <w:bCs/>
          <w:color w:val="000000" w:themeColor="text1"/>
          <w:sz w:val="24"/>
          <w14:textFill>
            <w14:solidFill>
              <w14:schemeClr w14:val="tx1"/>
            </w14:solidFill>
          </w14:textFill>
        </w:rPr>
        <w:t>）面临解散、依法被撤销或者被依法宣告破产时，及时报告中国证监会和银行业监督管理机构，并通知基金管理人；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19</w:t>
      </w:r>
      <w:r>
        <w:rPr>
          <w:rFonts w:hint="eastAsia"/>
          <w:bCs/>
          <w:color w:val="000000" w:themeColor="text1"/>
          <w:sz w:val="24"/>
          <w14:textFill>
            <w14:solidFill>
              <w14:schemeClr w14:val="tx1"/>
            </w14:solidFill>
          </w14:textFill>
        </w:rPr>
        <w:t>）因违反《基金合同》导致基金财产损失时，应承担赔偿责任，其赔偿责任不因其退任而免除；</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20</w:t>
      </w:r>
      <w:r>
        <w:rPr>
          <w:rFonts w:hint="eastAsia"/>
          <w:bCs/>
          <w:color w:val="000000" w:themeColor="text1"/>
          <w:sz w:val="24"/>
          <w14:textFill>
            <w14:solidFill>
              <w14:schemeClr w14:val="tx1"/>
            </w14:solidFill>
          </w14:textFill>
        </w:rPr>
        <w:t>）按规定监督基金管理人按法律法规和《基金合同》规定履行自己的义务，基金管理人因违反《基金合同》造成基金财产损失时，应为基金份额持有人利益向基金管理人追偿；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21</w:t>
      </w:r>
      <w:r>
        <w:rPr>
          <w:rFonts w:hint="eastAsia"/>
          <w:bCs/>
          <w:color w:val="000000" w:themeColor="text1"/>
          <w:sz w:val="24"/>
          <w14:textFill>
            <w14:solidFill>
              <w14:schemeClr w14:val="tx1"/>
            </w14:solidFill>
          </w14:textFill>
        </w:rPr>
        <w:t>）执行生效的基金份额持有人大会的决议；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22</w:t>
      </w:r>
      <w:r>
        <w:rPr>
          <w:rFonts w:hint="eastAsia"/>
          <w:bCs/>
          <w:color w:val="000000" w:themeColor="text1"/>
          <w:sz w:val="24"/>
          <w14:textFill>
            <w14:solidFill>
              <w14:schemeClr w14:val="tx1"/>
            </w14:solidFill>
          </w14:textFill>
        </w:rPr>
        <w:t>）法律法规及中国证监会规定的和《基金合同》约定的其他义务。</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二、基金份额持有人大会召集、议事及表决的程序和规则</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本基金份额持有人大会不设日常机构。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（一）召开事由</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、当出现或需要决定下列事由之一的，应当召开基金份额持有人大会，法律法规或中国证监会另有规定或基金合同另有约定的除外：</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）终止《基金合同》；</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）更换基金管理人；</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）更换基金托管人；</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）转换基金运作方式（不包括本基金开放期与封闭期运作方式的转换）；</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）调整基金管理人、基金托管人的报酬标准；</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）变更基金类别；</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）本基金与其他基金的合并；</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）变更基金投资目标、范围或策略；</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）变更基金份额持有人大会程序；</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）基金管理人或基金托管人要求召开基金份额持有人大会；</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11</w:t>
      </w:r>
      <w:r>
        <w:rPr>
          <w:rFonts w:hint="eastAsia"/>
          <w:bCs/>
          <w:color w:val="000000" w:themeColor="text1"/>
          <w:sz w:val="24"/>
          <w14:textFill>
            <w14:solidFill>
              <w14:schemeClr w14:val="tx1"/>
            </w14:solidFill>
          </w14:textFill>
        </w:rPr>
        <w:t>）单独或合计持有本基金总份额</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以上（含</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）基金份额的基金份额持有人（以基金管理人收到提议当日的基金份额计算，下同）就同一事项书面要求召开基金份额持有人大会；</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12</w:t>
      </w:r>
      <w:r>
        <w:rPr>
          <w:rFonts w:hint="eastAsia"/>
          <w:bCs/>
          <w:color w:val="000000" w:themeColor="text1"/>
          <w:sz w:val="24"/>
          <w14:textFill>
            <w14:solidFill>
              <w14:schemeClr w14:val="tx1"/>
            </w14:solidFill>
          </w14:textFill>
        </w:rPr>
        <w:t>）对基金合同当事人权利和义务产生重大影响的其他事项；</w:t>
      </w:r>
    </w:p>
    <w:p>
      <w:pPr>
        <w:spacing w:line="440" w:lineRule="atLeas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13</w:t>
      </w:r>
      <w:r>
        <w:rPr>
          <w:rFonts w:hint="eastAsia"/>
          <w:bCs/>
          <w:color w:val="000000" w:themeColor="text1"/>
          <w:sz w:val="24"/>
          <w14:textFill>
            <w14:solidFill>
              <w14:schemeClr w14:val="tx1"/>
            </w14:solidFill>
          </w14:textFill>
        </w:rPr>
        <w:t>）法律法规、《基金合同》或中国证监会规定的其他应当召开基金份额持有人大会的事项。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）法律法规要求增加的基金费用的收取；</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）调整本基金的申购费率、调低赎回费率</w:t>
      </w:r>
      <w:r>
        <w:rPr>
          <w:rFonts w:hint="eastAsia"/>
          <w:bCs/>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变更收费方式等或调整基金份额类别的设置</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）因相应的法律法规发生变动而应当对《基金合同》进行修改；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）对《基金合同》的修改对基金份额持有人利益无实质性不利影响或修改不涉及《基金合同》当事人权利义务关系发生重大变化；</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）调整有关基金认购、申购、赎回、转换、非交易过户、转托管等业务的规则；</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）按照法律法规和《基金合同》规定不需召开基金份额持有人大会的其他情形。</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（二）会议召集人及召集方式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、除法律法规规定或《基金合同》另有约定外，基金份额持有人大会由基金管理人召集；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、基金管理人未按规定召集或不能召集时，由基金托管人召集；</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、基金托管人认为有必要召开基金份额持有人大会的，应当向基金管理人提出书面提议。基金管理人应当自收到书面提议之日起</w:t>
      </w:r>
      <w:r>
        <w:rPr>
          <w:bCs/>
          <w:color w:val="000000" w:themeColor="text1"/>
          <w:sz w:val="24"/>
          <w14:textFill>
            <w14:solidFill>
              <w14:schemeClr w14:val="tx1"/>
            </w14:solidFill>
          </w14:textFill>
        </w:rPr>
        <w:t xml:space="preserve"> 10</w:t>
      </w:r>
      <w:r>
        <w:rPr>
          <w:rFonts w:hint="eastAsia"/>
          <w:bCs/>
          <w:color w:val="000000" w:themeColor="text1"/>
          <w:sz w:val="24"/>
          <w14:textFill>
            <w14:solidFill>
              <w14:schemeClr w14:val="tx1"/>
            </w14:solidFill>
          </w14:textFill>
        </w:rPr>
        <w:t>日内决定是否召集，并书面告知基金托管人。基金管理人决定召集的，应当自出具书面决定之日起</w:t>
      </w:r>
      <w:r>
        <w:rPr>
          <w:bCs/>
          <w:color w:val="000000" w:themeColor="text1"/>
          <w:sz w:val="24"/>
          <w14:textFill>
            <w14:solidFill>
              <w14:schemeClr w14:val="tx1"/>
            </w14:solidFill>
          </w14:textFill>
        </w:rPr>
        <w:t>60</w:t>
      </w:r>
      <w:r>
        <w:rPr>
          <w:rFonts w:hint="eastAsia"/>
          <w:bCs/>
          <w:color w:val="000000" w:themeColor="text1"/>
          <w:sz w:val="24"/>
          <w14:textFill>
            <w14:solidFill>
              <w14:schemeClr w14:val="tx1"/>
            </w14:solidFill>
          </w14:textFill>
        </w:rPr>
        <w:t>日内召开；基金管理人决定不召集，基金托管人仍认为有必要召开的，应当由基金托管人自行召集，并自出具书面决定之日起</w:t>
      </w:r>
      <w:r>
        <w:rPr>
          <w:bCs/>
          <w:color w:val="000000" w:themeColor="text1"/>
          <w:sz w:val="24"/>
          <w14:textFill>
            <w14:solidFill>
              <w14:schemeClr w14:val="tx1"/>
            </w14:solidFill>
          </w14:textFill>
        </w:rPr>
        <w:t>60</w:t>
      </w:r>
      <w:r>
        <w:rPr>
          <w:rFonts w:hint="eastAsia"/>
          <w:bCs/>
          <w:color w:val="000000" w:themeColor="text1"/>
          <w:sz w:val="24"/>
          <w14:textFill>
            <w14:solidFill>
              <w14:schemeClr w14:val="tx1"/>
            </w14:solidFill>
          </w14:textFill>
        </w:rPr>
        <w:t>日内召开并告知基金管理人，基金管理人应当配合。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、代表基金份额</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以上（含</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）的基金份额持有人就同一事项书面要求召开基金份额持有人大会，应当向基金管理人提出书面提议。基金管理人应当自收到书面提议之日起</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日内决定是否召集，并书面告知提出提议的基金份额持有人代表和基金托管人。基金管理人决定召集的，应当自出具书面决定之日起</w:t>
      </w:r>
    </w:p>
    <w:p>
      <w:pPr>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60</w:t>
      </w:r>
      <w:r>
        <w:rPr>
          <w:rFonts w:hint="eastAsia"/>
          <w:bCs/>
          <w:color w:val="000000" w:themeColor="text1"/>
          <w:sz w:val="24"/>
          <w14:textFill>
            <w14:solidFill>
              <w14:schemeClr w14:val="tx1"/>
            </w14:solidFill>
          </w14:textFill>
        </w:rPr>
        <w:t>日内召开；基金管理人决定不召集，代表基金份额</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以上（含</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）的基金份额持有人仍认为有必要召开的，应当向基金托管人提出书面提议。基金托管人应当自收到书面提议之日起</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日内决定是否召集，并书面告知提出提议的基金份额持有人代表和基金管理人；基金托管人决定召集的，应当自出具书面决定之日起</w:t>
      </w:r>
      <w:r>
        <w:rPr>
          <w:bCs/>
          <w:color w:val="000000" w:themeColor="text1"/>
          <w:sz w:val="24"/>
          <w14:textFill>
            <w14:solidFill>
              <w14:schemeClr w14:val="tx1"/>
            </w14:solidFill>
          </w14:textFill>
        </w:rPr>
        <w:t>60</w:t>
      </w:r>
      <w:r>
        <w:rPr>
          <w:rFonts w:hint="eastAsia"/>
          <w:bCs/>
          <w:color w:val="000000" w:themeColor="text1"/>
          <w:sz w:val="24"/>
          <w14:textFill>
            <w14:solidFill>
              <w14:schemeClr w14:val="tx1"/>
            </w14:solidFill>
          </w14:textFill>
        </w:rPr>
        <w:t>日内召开。并告知基金管理人，基金管理人应当配合。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、代表基金份额</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以上（含</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）的基金份额持有人就同一事项要求召开基金份额持有人大会，而基金管理人、基金托管人都不召集的，单独或合计代表基金份额</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以上（含</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）的基金份额持有人有权自行召集，并至少提前</w:t>
      </w:r>
      <w:r>
        <w:rPr>
          <w:bCs/>
          <w:color w:val="000000" w:themeColor="text1"/>
          <w:sz w:val="24"/>
          <w14:textFill>
            <w14:solidFill>
              <w14:schemeClr w14:val="tx1"/>
            </w14:solidFill>
          </w14:textFill>
        </w:rPr>
        <w:t>30</w:t>
      </w:r>
      <w:r>
        <w:rPr>
          <w:rFonts w:hint="eastAsia"/>
          <w:bCs/>
          <w:color w:val="000000" w:themeColor="text1"/>
          <w:sz w:val="24"/>
          <w14:textFill>
            <w14:solidFill>
              <w14:schemeClr w14:val="tx1"/>
            </w14:solidFill>
          </w14:textFill>
        </w:rPr>
        <w:t>日报中国证监会备案。基金份额持有人依法自行召集基金份额持有人大会的，基金管理人、基金托管人应当配合，不得阻碍、干扰。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、基金份额持有人会议的召集人负责选择确定开会时间、地点、方式和权益登记日。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（三）召开基金份额持有人大会的通知时间、通知内容、通知方式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、召开基金份额持有人大会，召集人应于会议召开前</w:t>
      </w:r>
      <w:r>
        <w:rPr>
          <w:bCs/>
          <w:color w:val="000000" w:themeColor="text1"/>
          <w:sz w:val="24"/>
          <w14:textFill>
            <w14:solidFill>
              <w14:schemeClr w14:val="tx1"/>
            </w14:solidFill>
          </w14:textFill>
        </w:rPr>
        <w:t>30</w:t>
      </w:r>
      <w:r>
        <w:rPr>
          <w:rFonts w:hint="eastAsia"/>
          <w:bCs/>
          <w:color w:val="000000" w:themeColor="text1"/>
          <w:sz w:val="24"/>
          <w14:textFill>
            <w14:solidFill>
              <w14:schemeClr w14:val="tx1"/>
            </w14:solidFill>
          </w14:textFill>
        </w:rPr>
        <w:t>日，在规定媒介公告。基金份额持有人大会通知应至少载明以下内容：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）会议召开的时间、地点和会议形式；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）会议拟审议的事项、议事程序和表决方式；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）有权出席基金份额持有人大会的基金份额持有人的权益登记日；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）授权委托证明的内容要求（包括但不限于代理人身份，代理权限和代理有效期限等）、送达时间和地点</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）会务常设联系人姓名及联系电话；</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）出席会议者必须准备的文件和必须履行的手续；</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）召集人需要通知的其他事项。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（四）基金份额持有人出席会议的方式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基金份额持有人大会可通过现场开会方式、通讯开会方式或法律法规、监管机构允许的其他方式召开，会议的召开方式由会议召集人确定。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个月以后、</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在同时符合以下条件时，通讯开会的方式视为有效：</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）会议召集人按《基金合同》约定公布会议通知后，在</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个工作日内连续公布相关提示性公告；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个月以后、</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个月以内，就原定审议事项重新召集基金份额持有人大会。重新召集的基金份额持有人大会应当有代表三分之一以上（含三分之一）基金份额的持有人直接出具书面意见或授权他人代表出具书面意见；</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）上述第（</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3</w:t>
      </w:r>
      <w:r>
        <w:rPr>
          <w:rFonts w:hint="eastAsia"/>
          <w:bCs/>
          <w:color w:val="000000" w:themeColor="text1"/>
          <w:sz w:val="24"/>
          <w:szCs w:val="24"/>
          <w14:textFill>
            <w14:solidFill>
              <w14:schemeClr w14:val="tx1"/>
            </w14:solidFill>
          </w14:textFill>
        </w:rPr>
        <w:t>、在法律法规和监管机关允许的情况下，本基金的基金份额持有人亦可采用网络、电话或其他方式进行表决，或者采用网络、电话或其他方式授权他人代为出席基金份额持有人大会并表决，具体方式由会议召集人确定并在会议通知中列明。</w:t>
      </w:r>
    </w:p>
    <w:p>
      <w:pPr>
        <w:spacing w:line="360" w:lineRule="auto"/>
        <w:ind w:firstLine="480" w:firstLineChars="200"/>
        <w:rPr>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、在会议召开方式上，本基金亦可采用其他非现场方式或者以现场方式与非现场方式相结合的方式召开基金份额持有人大会，会议程序比照现场开会和通讯方式开会的程序进行。</w:t>
      </w:r>
    </w:p>
    <w:p>
      <w:pPr>
        <w:spacing w:line="360" w:lineRule="auto"/>
        <w:ind w:firstLine="480" w:firstLineChars="200"/>
        <w:rPr>
          <w:bCs/>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（五）</w:t>
      </w:r>
      <w:r>
        <w:rPr>
          <w:rFonts w:hint="eastAsia"/>
          <w:bCs/>
          <w:color w:val="000000" w:themeColor="text1"/>
          <w:sz w:val="24"/>
          <w14:textFill>
            <w14:solidFill>
              <w14:schemeClr w14:val="tx1"/>
            </w14:solidFill>
          </w14:textFill>
        </w:rPr>
        <w:t>议事内容与程序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、议事内容及提案权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基金份额持有人大会的召集人发出召集会议的通知后，对原有提案的修改应当在基金份额持有人大会召开前及时公告。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基金份额持有人大会不得对未事先公告的议事内容进行表决。</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、议事程序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）现场开会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在现场开会的方式下，首先由大会主持人按照下列第（</w:t>
      </w:r>
      <w:r>
        <w:rPr>
          <w:bCs/>
          <w:color w:val="000000" w:themeColor="text1"/>
          <w:sz w:val="24"/>
          <w14:textFill>
            <w14:solidFill>
              <w14:schemeClr w14:val="tx1"/>
            </w14:solidFill>
          </w14:textFill>
        </w:rPr>
        <w:t>七</w:t>
      </w:r>
      <w:r>
        <w:rPr>
          <w:rFonts w:hint="eastAsia"/>
          <w:bCs/>
          <w:color w:val="000000" w:themeColor="text1"/>
          <w:sz w:val="24"/>
          <w14:textFill>
            <w14:solidFill>
              <w14:schemeClr w14:val="tx1"/>
            </w14:solidFill>
          </w14:textFill>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color w:val="000000" w:themeColor="text1"/>
          <w:sz w:val="24"/>
          <w14:textFill>
            <w14:solidFill>
              <w14:schemeClr w14:val="tx1"/>
            </w14:solidFill>
          </w14:textFill>
        </w:rPr>
        <w:t>50%</w:t>
      </w:r>
      <w:r>
        <w:rPr>
          <w:rFonts w:hint="eastAsia"/>
          <w:bCs/>
          <w:color w:val="000000" w:themeColor="text1"/>
          <w:sz w:val="24"/>
          <w14:textFill>
            <w14:solidFill>
              <w14:schemeClr w14:val="tx1"/>
            </w14:solidFill>
          </w14:textFill>
        </w:rPr>
        <w:t>以上（含</w:t>
      </w:r>
      <w:r>
        <w:rPr>
          <w:bCs/>
          <w:color w:val="000000" w:themeColor="text1"/>
          <w:sz w:val="24"/>
          <w14:textFill>
            <w14:solidFill>
              <w14:schemeClr w14:val="tx1"/>
            </w14:solidFill>
          </w14:textFill>
        </w:rPr>
        <w:t>50%</w:t>
      </w:r>
      <w:r>
        <w:rPr>
          <w:rFonts w:hint="eastAsia"/>
          <w:bCs/>
          <w:color w:val="000000" w:themeColor="text1"/>
          <w:sz w:val="24"/>
          <w14:textFill>
            <w14:solidFill>
              <w14:schemeClr w14:val="tx1"/>
            </w14:solidFill>
          </w14:textFill>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）通讯开会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在通讯开会的情况下，首先由召集人提前</w:t>
      </w:r>
      <w:r>
        <w:rPr>
          <w:bCs/>
          <w:color w:val="000000" w:themeColor="text1"/>
          <w:sz w:val="24"/>
          <w14:textFill>
            <w14:solidFill>
              <w14:schemeClr w14:val="tx1"/>
            </w14:solidFill>
          </w14:textFill>
        </w:rPr>
        <w:t>30</w:t>
      </w:r>
      <w:r>
        <w:rPr>
          <w:rFonts w:hint="eastAsia"/>
          <w:bCs/>
          <w:color w:val="000000" w:themeColor="text1"/>
          <w:sz w:val="24"/>
          <w14:textFill>
            <w14:solidFill>
              <w14:schemeClr w14:val="tx1"/>
            </w14:solidFill>
          </w14:textFill>
        </w:rPr>
        <w:t>日公布提案，在所通知的表决截止日期后</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个工作日内在公证机关监督下由召集人统计全部有效表决，在公证机关监督下形成决议。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（六）表决</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基金份额持有人所持每份基金份额有一票表决权。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基金份额持有人大会决议分为一般决议和特别决议：</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、一般决议，一般决议须经参加大会的基金份额持有人或其代理人所持表决权的二分之一以上（含二分之一）通过方为有效；除下列第</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项所规定的须以特别决议通过事项以外的其他事项均以一般决议的方式通过。</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、特别决议，特别决议应当经参加大会的基金份额持有人或其代理人所持表决权</w:t>
      </w:r>
      <w:r>
        <w:rPr>
          <w:rFonts w:hint="eastAsia"/>
          <w:bCs/>
          <w:color w:val="000000" w:themeColor="text1"/>
          <w:sz w:val="24"/>
          <w:szCs w:val="24"/>
          <w14:textFill>
            <w14:solidFill>
              <w14:schemeClr w14:val="tx1"/>
            </w14:solidFill>
          </w14:textFill>
        </w:rPr>
        <w:t>的</w:t>
      </w:r>
      <w:r>
        <w:rPr>
          <w:rFonts w:hint="eastAsia"/>
          <w:color w:val="000000" w:themeColor="text1"/>
          <w:sz w:val="24"/>
          <w:szCs w:val="24"/>
          <w14:textFill>
            <w14:solidFill>
              <w14:schemeClr w14:val="tx1"/>
            </w14:solidFill>
          </w14:textFill>
        </w:rPr>
        <w:t>三分之二以上（含三分之二）通</w:t>
      </w:r>
      <w:r>
        <w:rPr>
          <w:rFonts w:hint="eastAsia"/>
          <w:color w:val="000000" w:themeColor="text1"/>
          <w:sz w:val="24"/>
          <w14:textFill>
            <w14:solidFill>
              <w14:schemeClr w14:val="tx1"/>
            </w14:solidFill>
          </w14:textFill>
        </w:rPr>
        <w:t>过方可做出。转换基金运作方式、更换基金管理人或者基金托管人、终止《基金合同》、本基金与其他基金合并</w:t>
      </w:r>
      <w:r>
        <w:rPr>
          <w:rFonts w:hint="eastAsia"/>
          <w:bCs/>
          <w:color w:val="000000" w:themeColor="text1"/>
          <w:sz w:val="24"/>
          <w14:textFill>
            <w14:solidFill>
              <w14:schemeClr w14:val="tx1"/>
            </w14:solidFill>
          </w14:textFill>
        </w:rPr>
        <w:t>以特别决议通过方为有效。</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基金份额持有人大会采取记名方式进行投票表决。</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基金份额持有人大会的各项提案或同一项提案内并列的各项议题应当分开审议、逐项表决。</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（七）计票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、现场开会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）监票人应当在基金份额持有人表决后立即进行清点并由大会主持人当场公布计票结果。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）计票过程应由公证机关予以公证，基金管理人或基金托管人拒不出席大会的，不影响计票的效力。</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、通讯开会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（八）生效与公告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基金份额持有人大会的决议，召集人应当自通过之日起</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日内报中国证监会备案。</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基金份额持有人大会的决议自表决通过之日起生效。</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基金份额持有人大会决议自生效之日起</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日内在规定媒介上公告。如果采用通讯方式进行表决，在公告基金份额持有人大会决议时，必须将公证书全文、公证机构、公证员姓名等一同公告。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（九）实施侧袋机制期间基金份额持有人大会的特殊约定</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、基金份额持有人行使提议权、召集权、提名权所需单独或合计代表相关基金份额</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以上（含</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、现场开会的到会者在权益登记日代表的基金份额不少于本基金在权益登记日相关基金份额的二分之一（含二分之一）；</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、通讯开会的直接出具书面意见或授权他人代表出具书面意见的基金份额持有人所持有的基金份额不小于在权益登记日相关基金份额的二分之一（含二分之一）；</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、在参与基金份额持有人大会投票的基金份额持有人所持有的基金份额小于在权益登记日相关基金份额的二分之一、召集人在原公告的基金份额持有人大会召开时间的</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个月以后、</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、现场开会由出席大会的基金份额持有人和代理人所持表决权的</w:t>
      </w:r>
      <w:r>
        <w:rPr>
          <w:color w:val="000000" w:themeColor="text1"/>
          <w:sz w:val="24"/>
          <w14:textFill>
            <w14:solidFill>
              <w14:schemeClr w14:val="tx1"/>
            </w14:solidFill>
          </w14:textFill>
        </w:rPr>
        <w:t>50%</w:t>
      </w:r>
      <w:r>
        <w:rPr>
          <w:rFonts w:hint="eastAsia"/>
          <w:color w:val="000000" w:themeColor="text1"/>
          <w:sz w:val="24"/>
          <w14:textFill>
            <w14:solidFill>
              <w14:schemeClr w14:val="tx1"/>
            </w14:solidFill>
          </w14:textFill>
        </w:rPr>
        <w:t>以上（含</w:t>
      </w:r>
      <w:r>
        <w:rPr>
          <w:color w:val="000000" w:themeColor="text1"/>
          <w:sz w:val="24"/>
          <w14:textFill>
            <w14:solidFill>
              <w14:schemeClr w14:val="tx1"/>
            </w14:solidFill>
          </w14:textFill>
        </w:rPr>
        <w:t>50%</w:t>
      </w:r>
      <w:r>
        <w:rPr>
          <w:rFonts w:hint="eastAsia"/>
          <w:color w:val="000000" w:themeColor="text1"/>
          <w:sz w:val="24"/>
          <w14:textFill>
            <w14:solidFill>
              <w14:schemeClr w14:val="tx1"/>
            </w14:solidFill>
          </w14:textFill>
        </w:rPr>
        <w:t>）选举产生一名基金份额持有人作为该次基金份额持有人大会的主持人；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、一般决议须经参加大会的基金份额持有人或其代理人所持表决权的二分之一以上（含二分之一）通过；</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、特别决议应当经参加大会的基金份额持有人或其代理人所持表决权的三分之二以上（含三分之二）通过。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侧袋机制实施期间，关于基金份额持有人大会的相关规定以本节特殊约定内容为准，本节没有规定的适用本部分的一般规定，法律法规另有规定的除外。</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同一主侧袋账户内的每份基金份额具有平等的表决权。</w:t>
      </w:r>
    </w:p>
    <w:p>
      <w:pPr>
        <w:autoSpaceDE w:val="0"/>
        <w:autoSpaceDN w:val="0"/>
        <w:adjustRightInd w:val="0"/>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（十）</w:t>
      </w:r>
      <w:r>
        <w:rPr>
          <w:rFonts w:hint="eastAsia"/>
          <w:bCs/>
          <w:color w:val="000000" w:themeColor="text1"/>
          <w:sz w:val="24"/>
          <w14:textFill>
            <w14:solidFill>
              <w14:schemeClr w14:val="tx1"/>
            </w14:solidFill>
          </w14:textFill>
        </w:rPr>
        <w:t>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三、基金收益分配原则、执行方式</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（一）基金利润的构成</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（二）基金可供分配利润</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基金可供分配利润指截至收益分配基准日基金未分配利润与未分配利润中已实现收益的孰低数。</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（三）基金收益分配原则</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在符合有关基金分红条件的前提下，本基金每年收益分配次数最少为1次，每次分红不低于可供分配利润50%，若《基金合同》生效不满3个月可不进行收益分配；</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、基金收益分配后基金份额净值不能低于面值；即基金收益分配基准日的基金份额净值减去每单位基金份额收益分配金额后不能低于面值</w:t>
      </w:r>
      <w:r>
        <w:rPr>
          <w:rFonts w:hint="eastAsia"/>
          <w:bCs/>
          <w:color w:val="000000" w:themeColor="text1"/>
          <w:sz w:val="24"/>
          <w14:textFill>
            <w14:solidFill>
              <w14:schemeClr w14:val="tx1"/>
            </w14:solidFill>
          </w14:textFill>
        </w:rPr>
        <w:t>；</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、每一基金份额享有同等分配权；</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、法律法规或监管机关另有规定的，从其规定。</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在符合法律法规及基金合同约定，并对基金份额持有人利益无实质不利影响的前提下，基金管理人可对基金收益分配原则和支付方式进行调整，不需召开基金份额持有人大会。</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（四）收益分配方案</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基金收益分配方案中应载明截止收益分配基准日的可供分配利润、基金收益分配对象、分配时间、分配数额及比例、分配方式等内容。</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（五）收益分配方案的确定、公告与实施</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本基金收益分配方案由基金管理人拟定，并由基金托管人复核，在</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日内在规定媒介公告。</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（六）基金收益分配中发生的费用</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540" w:firstLineChars="22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（七）实施侧袋机制期间的收益分配</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本基金实施侧袋机制的，侧袋账户不进行收益分配，详见招募说明书的规定。</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四、与基金财产管理、运用有关费用的提取、支付方式与比例</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（一）基金费用的种类</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、基金管理人的管理费；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、基金托管人的托管费；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、《基金合同》生效后与基金相关的信息披露费用；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、《基金合同》生效后与基金相关的会计师费、律师费、诉讼费和仲裁费等费用；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、基金份额持有人大会费用；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、基金的证券交易费用；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、基金的银行汇划费用；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、基金的账户开户费用、账户维护费用；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、按照国家有关规定和《基金合同》约定，可以在基金财产中列支的其他费用。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（二）基金费用计提方法、计提标准和支付方式</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、基金管理人的管理费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本基金的管理费按前一日基金资产净值的</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年费率计提。管理费的计算方法如下：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H</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E×0.</w:t>
      </w: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当年天数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H</w:t>
      </w:r>
      <w:r>
        <w:rPr>
          <w:rFonts w:hint="eastAsia"/>
          <w:bCs/>
          <w:color w:val="000000" w:themeColor="text1"/>
          <w:sz w:val="24"/>
          <w14:textFill>
            <w14:solidFill>
              <w14:schemeClr w14:val="tx1"/>
            </w14:solidFill>
          </w14:textFill>
        </w:rPr>
        <w:t>为每日应计提的基金管理费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E</w:t>
      </w:r>
      <w:r>
        <w:rPr>
          <w:rFonts w:hint="eastAsia"/>
          <w:bCs/>
          <w:color w:val="000000" w:themeColor="text1"/>
          <w:sz w:val="24"/>
          <w14:textFill>
            <w14:solidFill>
              <w14:schemeClr w14:val="tx1"/>
            </w14:solidFill>
          </w14:textFill>
        </w:rPr>
        <w:t>为前一日的基金资产净值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基金管理费每日计算，逐日累计至每月月末，按月支付，由基金管理人向基金托管人发送基金管理费划款指令，基金托管人复核后于次月前</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个工作日内从基金财产中一次性支付给基金管理人。若遇法定节假日、公休日或不可抗力致使无法按时支付的，顺延至最近可支付日支付。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、基金托管人的托管费</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本基金的托管费按前一日基金资产净值的</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05</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的年费率计提。托管费的计算方法如下：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H</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E×0.</w:t>
      </w:r>
      <w:r>
        <w:rPr>
          <w:rFonts w:hint="eastAsia"/>
          <w:bCs/>
          <w:color w:val="000000" w:themeColor="text1"/>
          <w:sz w:val="24"/>
          <w14:textFill>
            <w14:solidFill>
              <w14:schemeClr w14:val="tx1"/>
            </w14:solidFill>
          </w14:textFill>
        </w:rPr>
        <w:t>05</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当年天数</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H</w:t>
      </w:r>
      <w:r>
        <w:rPr>
          <w:rFonts w:hint="eastAsia"/>
          <w:bCs/>
          <w:color w:val="000000" w:themeColor="text1"/>
          <w:sz w:val="24"/>
          <w14:textFill>
            <w14:solidFill>
              <w14:schemeClr w14:val="tx1"/>
            </w14:solidFill>
          </w14:textFill>
        </w:rPr>
        <w:t>为每日应计提的基金托管费</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E</w:t>
      </w:r>
      <w:r>
        <w:rPr>
          <w:rFonts w:hint="eastAsia"/>
          <w:bCs/>
          <w:color w:val="000000" w:themeColor="text1"/>
          <w:sz w:val="24"/>
          <w14:textFill>
            <w14:solidFill>
              <w14:schemeClr w14:val="tx1"/>
            </w14:solidFill>
          </w14:textFill>
        </w:rPr>
        <w:t>为前一日的基金资产净值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基金托管费每日计算，逐日累计至每月月末，按月支付，由基金管理人向基金托管人发送基金托管费划款指令，基金托管人复核后于次月前</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个工作日内从基金财产中一次性支取。若遇法定节假日、公休日或不可抗力致使无法按时支付的，顺延至最近可支付日支付。</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上述</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（一）基金费用的种类”中第</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项费用，根据有关法规及相应协议规定，按费用实际支出金额列入或摊入当期费用，由基金托管人从基金财产中支付。</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（三）不列入基金费用的项目</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下列费用不列入基金费用：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、基金管理人和基金托管人因未履行或未完全履行义务导致的费用支出或基金财产的损失；</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、基金管理人和基金托管人处理与基金运作无关的事项发生的费用；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、《基金合同》生效前的相关费用；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、其他根据相关法律法规及中国证监会的有关规定不得列入基金费用的项目。</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（四）实施侧袋机制期间的基金费用</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（五）基金税收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五、基金财产的投资方向和投资限制</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（一）投资范围</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的投资范围主要为具有良好流动性的金融工具，包括公开发行的债券（包括国债、地方政府债、金融债、央行票据、公司债、企业债、中期票据、短期融资券、超短期融资券、政府支持机构债、政府支持债券、次级债、</w:t>
      </w:r>
      <w:r>
        <w:rPr>
          <w:bCs/>
          <w:color w:val="000000" w:themeColor="text1"/>
          <w:sz w:val="24"/>
          <w14:textFill>
            <w14:solidFill>
              <w14:schemeClr w14:val="tx1"/>
            </w14:solidFill>
          </w14:textFill>
        </w:rPr>
        <w:t>可分离交易可转债的纯债部分</w:t>
      </w:r>
      <w:r>
        <w:rPr>
          <w:rFonts w:hint="eastAsia"/>
          <w:bCs/>
          <w:color w:val="000000" w:themeColor="text1"/>
          <w:sz w:val="24"/>
          <w14:textFill>
            <w14:solidFill>
              <w14:schemeClr w14:val="tx1"/>
            </w14:solidFill>
          </w14:textFill>
        </w:rPr>
        <w:t>）、债券回购、银行存款（包括协议存款、通知存款、定期存款及其他银行存款）、同业存单、货币市场工具以及法律法规或中国证监会允许基金投资的其他金融工具，但须符合中国证监会相关规定。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本基金不投资于股票资产，也不投资于可转换债券（可分离交易可转债的纯债部分除外）、可交换债券。</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如法律法规或监管机构以后允许基金投资其他品种，基金管理人在履行适当程序后，可以将其纳入投资范围，其投资比例遵循届时有效的法律法规和相关规定。</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基金的投资组合比例为：本基金对债券的投资比例不低于基金资产的80%，其中投资于本基金界定的央企债的比例不低于非现金基金资产的80%；但应开放期流动性需要，为保护基金份额持有人利益，在每次开放期前</w:t>
      </w:r>
      <w:r>
        <w:rPr>
          <w:rFonts w:hint="eastAsia"/>
          <w:bCs/>
          <w:color w:val="000000" w:themeColor="text1"/>
          <w:sz w:val="24"/>
          <w14:textFill>
            <w14:solidFill>
              <w14:schemeClr w14:val="tx1"/>
            </w14:solidFill>
          </w14:textFill>
        </w:rPr>
        <w:t>15个工作日</w:t>
      </w:r>
      <w:r>
        <w:rPr>
          <w:bCs/>
          <w:color w:val="000000" w:themeColor="text1"/>
          <w:sz w:val="24"/>
          <w14:textFill>
            <w14:solidFill>
              <w14:schemeClr w14:val="tx1"/>
            </w14:solidFill>
          </w14:textFill>
        </w:rPr>
        <w:t>、开放期及开放期结束后</w:t>
      </w:r>
      <w:r>
        <w:rPr>
          <w:rFonts w:hint="eastAsia"/>
          <w:bCs/>
          <w:color w:val="000000" w:themeColor="text1"/>
          <w:sz w:val="24"/>
          <w14:textFill>
            <w14:solidFill>
              <w14:schemeClr w14:val="tx1"/>
            </w14:solidFill>
          </w14:textFill>
        </w:rPr>
        <w:t>15个工作日</w:t>
      </w:r>
      <w:r>
        <w:rPr>
          <w:bCs/>
          <w:color w:val="000000" w:themeColor="text1"/>
          <w:sz w:val="24"/>
          <w14:textFill>
            <w14:solidFill>
              <w14:schemeClr w14:val="tx1"/>
            </w14:solidFill>
          </w14:textFill>
        </w:rPr>
        <w:t>的期间内，基金投资不受上述比例限制。开放期内，本基金持有的现金或者到期日在一年以内的政府债券不低于基金资产净值的5％，其中现金不包括结算备付金、存出保证金、应收申购款等；在封闭期内，本基金不受上述5%的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如法律法规或中国证监会变更投资品种的投资比例限制，基金管理人、基金托管人书面协商一致并履行适当程序后，可以调整上述投资品种的投资比例。</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（二）投资限制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、组合限制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基金的投资组合应遵循以下限制：</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本基金对债券的投资比例不低于基金资产的80%，其中投资于本基金界定的央企债的比例不低于非现金基金资产的80%；但应开放期流动性需要，为保护基金份额持有人利益，在每次开放期前</w:t>
      </w:r>
      <w:r>
        <w:rPr>
          <w:rFonts w:hint="eastAsia" w:ascii="宋体" w:hAnsi="宋体"/>
          <w:bCs/>
          <w:color w:val="000000" w:themeColor="text1"/>
          <w:sz w:val="24"/>
          <w:lang w:val="en-US" w:eastAsia="zh-CN"/>
          <w14:textFill>
            <w14:solidFill>
              <w14:schemeClr w14:val="tx1"/>
            </w14:solidFill>
          </w14:textFill>
        </w:rPr>
        <w:t>15个工作日</w:t>
      </w:r>
      <w:r>
        <w:rPr>
          <w:rFonts w:ascii="宋体" w:hAnsi="宋体"/>
          <w:bCs/>
          <w:color w:val="000000" w:themeColor="text1"/>
          <w:sz w:val="24"/>
          <w14:textFill>
            <w14:solidFill>
              <w14:schemeClr w14:val="tx1"/>
            </w14:solidFill>
          </w14:textFill>
        </w:rPr>
        <w:t>、开放期及开放期结束后</w:t>
      </w:r>
      <w:r>
        <w:rPr>
          <w:rFonts w:hint="eastAsia" w:ascii="宋体" w:hAnsi="宋体"/>
          <w:bCs/>
          <w:color w:val="000000" w:themeColor="text1"/>
          <w:sz w:val="24"/>
          <w:lang w:val="en-US" w:eastAsia="zh-CN"/>
          <w14:textFill>
            <w14:solidFill>
              <w14:schemeClr w14:val="tx1"/>
            </w14:solidFill>
          </w14:textFill>
        </w:rPr>
        <w:t>15个工作日</w:t>
      </w:r>
      <w:r>
        <w:rPr>
          <w:rFonts w:ascii="宋体" w:hAnsi="宋体"/>
          <w:bCs/>
          <w:color w:val="000000" w:themeColor="text1"/>
          <w:sz w:val="24"/>
          <w14:textFill>
            <w14:solidFill>
              <w14:schemeClr w14:val="tx1"/>
            </w14:solidFill>
          </w14:textFill>
        </w:rPr>
        <w:t>的期间内，基金投资不受上述比例限制；</w:t>
      </w:r>
    </w:p>
    <w:p>
      <w:pPr>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2</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开放期内，本基金持有的现金或者到期日在一年以内的政府债券不低于基金资产净值的5％，其中现金不包括结算备付金、存出保证金、应收申购款等；在封闭期内，本基金不受上述5%的限制</w:t>
      </w:r>
      <w:r>
        <w:rPr>
          <w:rFonts w:ascii="宋体" w:hAnsi="宋体"/>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）本基金持有一家公司发行的证券，其市值不超过基金资产净值的</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）本基金管理人管理的全部基金持有一家公司发行的证券，不超过该证券的</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）本基金进入全国银行间同业市场进行债券回购的最长期限为</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年，债券回购到期后不得展期；</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）封闭期内，本基金资产总值不得超过基金资产净值的</w:t>
      </w:r>
      <w:r>
        <w:rPr>
          <w:bCs/>
          <w:color w:val="000000" w:themeColor="text1"/>
          <w:sz w:val="24"/>
          <w14:textFill>
            <w14:solidFill>
              <w14:schemeClr w14:val="tx1"/>
            </w14:solidFill>
          </w14:textFill>
        </w:rPr>
        <w:t>200%</w:t>
      </w:r>
      <w:r>
        <w:rPr>
          <w:rFonts w:hint="eastAsia"/>
          <w:bCs/>
          <w:color w:val="000000" w:themeColor="text1"/>
          <w:sz w:val="24"/>
          <w14:textFill>
            <w14:solidFill>
              <w14:schemeClr w14:val="tx1"/>
            </w14:solidFill>
          </w14:textFill>
        </w:rPr>
        <w:t>；开放期内，本基金资产总值不超过基金资产净值的</w:t>
      </w:r>
      <w:r>
        <w:rPr>
          <w:bCs/>
          <w:color w:val="000000" w:themeColor="text1"/>
          <w:sz w:val="24"/>
          <w14:textFill>
            <w14:solidFill>
              <w14:schemeClr w14:val="tx1"/>
            </w14:solidFill>
          </w14:textFill>
        </w:rPr>
        <w:t>140%</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）开放期内，本基金主动投资于流动性受限资产的市值合计不得超过该基金资产净值的</w:t>
      </w:r>
      <w:r>
        <w:rPr>
          <w:bCs/>
          <w:color w:val="000000" w:themeColor="text1"/>
          <w:sz w:val="24"/>
          <w14:textFill>
            <w14:solidFill>
              <w14:schemeClr w14:val="tx1"/>
            </w14:solidFill>
          </w14:textFill>
        </w:rPr>
        <w:t>15%</w:t>
      </w:r>
      <w:r>
        <w:rPr>
          <w:rFonts w:hint="eastAsia"/>
          <w:bCs/>
          <w:color w:val="000000" w:themeColor="text1"/>
          <w:sz w:val="24"/>
          <w14:textFill>
            <w14:solidFill>
              <w14:schemeClr w14:val="tx1"/>
            </w14:solidFill>
          </w14:textFill>
        </w:rPr>
        <w:t>；因证券市场波动、基金规模变动等基金管理人之外的因素致使基金不符合该比例限制的，基金管理人不得主动新增流动性受限资产的投资；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9</w:t>
      </w:r>
      <w:r>
        <w:rPr>
          <w:rFonts w:hint="eastAsia"/>
          <w:bCs/>
          <w:color w:val="000000" w:themeColor="text1"/>
          <w:sz w:val="24"/>
          <w14:textFill>
            <w14:solidFill>
              <w14:schemeClr w14:val="tx1"/>
            </w14:solidFill>
          </w14:textFill>
        </w:rPr>
        <w:t>）法律法规及中国证监会规定的和《基金合同》约定的其他投资限制。</w:t>
      </w:r>
    </w:p>
    <w:p>
      <w:pPr>
        <w:spacing w:line="360" w:lineRule="auto"/>
        <w:ind w:firstLine="480" w:firstLineChars="200"/>
        <w:rPr>
          <w:bCs/>
          <w:color w:val="000000" w:themeColor="text1"/>
          <w14:textFill>
            <w14:solidFill>
              <w14:schemeClr w14:val="tx1"/>
            </w14:solidFill>
          </w14:textFill>
        </w:rPr>
      </w:pPr>
      <w:r>
        <w:rPr>
          <w:rFonts w:hint="eastAsia"/>
          <w:bCs/>
          <w:color w:val="000000" w:themeColor="text1"/>
          <w:sz w:val="24"/>
          <w14:textFill>
            <w14:solidFill>
              <w14:schemeClr w14:val="tx1"/>
            </w14:solidFill>
          </w14:textFill>
        </w:rPr>
        <w:t>除上述（</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8</w:t>
      </w:r>
      <w:r>
        <w:rPr>
          <w:rFonts w:hint="eastAsia"/>
          <w:bCs/>
          <w:color w:val="000000" w:themeColor="text1"/>
          <w:sz w:val="24"/>
          <w14:textFill>
            <w14:solidFill>
              <w14:schemeClr w14:val="tx1"/>
            </w14:solidFill>
          </w14:textFill>
        </w:rPr>
        <w:t>）情形之外，因证券市场波动、证券发行人合并、基金规模变动等基金管理人之外的因素致使基金投资比例不符合上述规定投资比例的，基金管理人应当在</w:t>
      </w:r>
      <w:r>
        <w:rPr>
          <w:bCs/>
          <w:color w:val="000000" w:themeColor="text1"/>
          <w:sz w:val="24"/>
          <w14:textFill>
            <w14:solidFill>
              <w14:schemeClr w14:val="tx1"/>
            </w14:solidFill>
          </w14:textFill>
        </w:rPr>
        <w:t>10</w:t>
      </w:r>
      <w:r>
        <w:rPr>
          <w:rFonts w:hint="eastAsia"/>
          <w:bCs/>
          <w:color w:val="000000" w:themeColor="text1"/>
          <w:sz w:val="24"/>
          <w14:textFill>
            <w14:solidFill>
              <w14:schemeClr w14:val="tx1"/>
            </w14:solidFill>
          </w14:textFill>
        </w:rPr>
        <w:t>个交易日内进行调整，但中国证监会规定的特殊情形除外。</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基金管理人应当自基金合同生效之日起</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如果法律法规或监管部门对上述投资组合比例限制进行变更的，则本基金投资以变更后的规定为准。法律法规或监管部门取消上述限制，如适用于本基金，基金管理人在履行适当程序后，则本基金投资不再受相关限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、禁止行为</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为维护基金份额持有人的合法权益，基金财产不得用于下列投资或者活动：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）承销证券；</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）违反规定向他人贷款或者提供担保；</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）从事承担无限责任的投资；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）买卖其他基金份额，但是中国证监会另有规定的除外；</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）向其基金管理人、基金托管人出资；</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）从事内幕交易、操纵证券交易价格及其他不正当的证券交易活动；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）法律、行政法规和中国证监会规定禁止的其他活动。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法律、行政法规或监管部门取消或变更上述禁止性或限制性规定，如适用于本基金，则基金管理人在履行适当程序后，本基金可不受上述规定的限制或以变更后的规定为准。</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（三）侧袋机制的实施和投资运作安排</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侧袋机制实施期间，本部分约定的投资组合比例、投资策略、组合限制、业绩比较基准、风险收益特征等约定仅适用于主袋账户。</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侧袋账户的实施条件、实施程序、运作安排、投资安排、特定资产的处置变现和支付等对投资者权益有重大影响的事项详见招募说明书的规定。</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六、基金资产净值的计算方法和公告方式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szCs w:val="24"/>
          <w14:textFill>
            <w14:solidFill>
              <w14:schemeClr w14:val="tx1"/>
            </w14:solidFill>
          </w14:textFill>
        </w:rPr>
        <w:t>（一）</w:t>
      </w:r>
      <w:r>
        <w:rPr>
          <w:rFonts w:hint="eastAsia"/>
          <w:bCs/>
          <w:color w:val="000000" w:themeColor="text1"/>
          <w:sz w:val="24"/>
          <w14:textFill>
            <w14:solidFill>
              <w14:schemeClr w14:val="tx1"/>
            </w14:solidFill>
          </w14:textFill>
        </w:rPr>
        <w:t>基金资产净值的计算方法</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、基金资产总值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基金资产总值是指基金购买的各类证券及票据价值、银行存款本息和基金应收的申购基金款以及其他投资所形成的价值总和。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、基金资产净值</w:t>
      </w:r>
    </w:p>
    <w:p>
      <w:pPr>
        <w:autoSpaceDE w:val="0"/>
        <w:autoSpaceDN w:val="0"/>
        <w:adjustRightInd w:val="0"/>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基金资产净值是指基金资产总值减去基金负债后的价值。</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（二）公告方式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《基金合同》生效后，在本基金封闭期内，份额申购或者赎回前，基金管理人应当至少每周在规定网站披露一次基金份额净值和基金份额累计净值。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在开放期内，基金管理人应当在不晚于每个开放日的次日，通过规定网站、基金份额销售机构网站或者营业网点，披露开放日的基金份额净值和基金份额累计净值。</w:t>
      </w:r>
    </w:p>
    <w:p>
      <w:pPr>
        <w:autoSpaceDE w:val="0"/>
        <w:autoSpaceDN w:val="0"/>
        <w:adjustRightInd w:val="0"/>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基金管理人应当在不晚于半年度和年度最后一日的次日，在规定网站披露半年度和年度最后一日的基金份额净值和基金份额累计净值。</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（三）实施侧袋机制期间的基金资产估值</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本基金实施侧袋机制的，应根据本部分的约定对主袋账户资产进行估值并披露主袋账户的基金净值信息，暂停披露侧袋账户份额净值。</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七、基金合同解除和终止的事由、程序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（一）《基金合同》的变更</w:t>
      </w:r>
    </w:p>
    <w:p>
      <w:pPr>
        <w:autoSpaceDE w:val="0"/>
        <w:autoSpaceDN w:val="0"/>
        <w:adjustRightInd w:val="0"/>
        <w:spacing w:line="360" w:lineRule="auto"/>
        <w:ind w:firstLine="720" w:firstLineChars="3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、关于《基金合同》变更的基金份额持有人大会决议自生效后方可执行，自决议生效后两日内在规定媒介公告。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（二）《基金合同》的终止事由</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有下列情形之一的，经履行相关程序后，《基金合同》应当终止：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、基金份额持有人大会决定终止的；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、基金管理人、基金托管人职责终止，在</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个月内没有新基金管理人、新基金托管人承接的；</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、《基金合同》约定的其他情形；</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、相关法律法规和中国证监会规定的其他情况。</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（三）基金财产的清算</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、基金财产清算小组：自出现《基金合同》终止事由之日起</w:t>
      </w:r>
      <w:r>
        <w:rPr>
          <w:bCs/>
          <w:color w:val="000000" w:themeColor="text1"/>
          <w:sz w:val="24"/>
          <w14:textFill>
            <w14:solidFill>
              <w14:schemeClr w14:val="tx1"/>
            </w14:solidFill>
          </w14:textFill>
        </w:rPr>
        <w:t>30</w:t>
      </w:r>
      <w:r>
        <w:rPr>
          <w:rFonts w:hint="eastAsia"/>
          <w:bCs/>
          <w:color w:val="000000" w:themeColor="text1"/>
          <w:sz w:val="24"/>
          <w14:textFill>
            <w14:solidFill>
              <w14:schemeClr w14:val="tx1"/>
            </w14:solidFill>
          </w14:textFill>
        </w:rPr>
        <w:t>个工作日内成立清算小组，基金管理人组织基金财产清算小组并在中国证监会的监督下进行基金清算。</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、基金财产清算小组组成：基金财产清算小组成员由基金管理人、基金托管人、具有从事证券相关业务资格的注册会计师、律师以及中国证监会指定的人员组成。基金财产清算小组可以聘用必要的工作人员。</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、基金财产清算小组职责：基金财产清算小组负责基金财产的保管、清理、估价、变现和分配。基金财产清算小组可以依法进行必要的民事活动。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、基金财产清算程序：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）《基金合同》终止情形出现时，由基金财产清算小组统一接管基金；</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）对基金财产和债权债务进行清理和确认；</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）对基金财产进行估值和变现；</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）制作清算报告；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）聘请会计师事务所对清算报告进行外部审计，聘请律师事务所对清算报告出具法律意见书；</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）将清算报告报中国证监会备案并公告；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）对基金剩余财产进行分配。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、基金财产清算的期限为</w:t>
      </w: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个月，但因本基金所持证券的流动性受到限制而不能及时变现的，清算期限相应顺延。</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（四）清算费用</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清算费用是指基金财产清算小组在进行基金清算过程中发生的所有合理费用，清算费用由基金财产清算小组优先从基金财产中支付。</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（五）基金财产清算剩余资产的分配</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（六）基金财产清算的公告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个工作日内由基金财产清算小组进行公告，基金财产清算小组应当将清算报告登载在规定网站上，并将清算报告提示性公告登载在规定报刊上。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（七）基金财产清算账册及文件的保存</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基金财产清算账册及有关文件由基金托管人保存不低于法律法规规定的最低期限。</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八、争议解决方式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各方当事人同意，因《基金合同》而产生的或与《基金合同》有关的一切争议，如经友好协商未能解决的，应提交上海国际经济贸易仲裁委员会根据该会当时有效的仲裁规则进行仲裁，仲裁地点为上海市。仲裁裁决是终局性的并对各方当事人具有约束力。仲裁费用由败诉方承担，仲裁裁决另有规定除外。</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争议处理期间，基金管理人、基金托管人应恪守各自的职责，继续忠实、勤勉、尽责地履行《基金合同》规定的义务，维护基金份额持有人的合法权益。</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《基金合同》受中国法律（为《基金合同》之目的，在此不包括香港、澳门特别行政区和台湾地区的有关规定）管辖，并从其解释。</w:t>
      </w:r>
    </w:p>
    <w:p>
      <w:pPr>
        <w:autoSpaceDE w:val="0"/>
        <w:autoSpaceDN w:val="0"/>
        <w:adjustRightInd w:val="0"/>
        <w:spacing w:line="360" w:lineRule="auto"/>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九、基金合同存放地和投资者取得基金合同的方式</w:t>
      </w:r>
    </w:p>
    <w:p>
      <w:pPr>
        <w:autoSpaceDE w:val="0"/>
        <w:autoSpaceDN w:val="0"/>
        <w:adjustRightInd w:val="0"/>
        <w:spacing w:line="360" w:lineRule="auto"/>
        <w:ind w:firstLine="480" w:firstLineChars="200"/>
        <w:jc w:val="left"/>
        <w:rPr>
          <w:bCs/>
          <w:color w:val="000000" w:themeColor="text1"/>
          <w:sz w:val="24"/>
          <w14:textFill>
            <w14:solidFill>
              <w14:schemeClr w14:val="tx1"/>
            </w14:solidFill>
          </w14:textFill>
        </w:rPr>
        <w:sectPr>
          <w:pgSz w:w="11906" w:h="16838"/>
          <w:pgMar w:top="1440" w:right="1800" w:bottom="1440" w:left="1800" w:header="851" w:footer="992" w:gutter="0"/>
          <w:pgNumType w:start="1"/>
          <w:cols w:space="720" w:num="1"/>
          <w:docGrid w:type="lines" w:linePitch="312" w:charSpace="0"/>
        </w:sectPr>
      </w:pPr>
      <w:r>
        <w:rPr>
          <w:rFonts w:hint="eastAsia"/>
          <w:bCs/>
          <w:color w:val="000000" w:themeColor="text1"/>
          <w:sz w:val="24"/>
          <w14:textFill>
            <w14:solidFill>
              <w14:schemeClr w14:val="tx1"/>
            </w14:solidFill>
          </w14:textFill>
        </w:rPr>
        <w:t>《基金合同》可印制成册，供投资者在基金管理人、基金托管人、销售机构的办公场所和营业场所查阅。</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本页无正文，为《</w:t>
      </w:r>
      <w:r>
        <w:rPr>
          <w:rFonts w:hint="eastAsia" w:ascii="宋体" w:hAnsi="宋体"/>
          <w:color w:val="000000" w:themeColor="text1"/>
          <w:sz w:val="24"/>
          <w:lang w:eastAsia="zh-CN"/>
          <w14:textFill>
            <w14:solidFill>
              <w14:schemeClr w14:val="tx1"/>
            </w14:solidFill>
          </w14:textFill>
        </w:rPr>
        <w:t>国新国证</w:t>
      </w:r>
      <w:r>
        <w:rPr>
          <w:rFonts w:hint="eastAsia" w:ascii="宋体" w:hAnsi="宋体"/>
          <w:color w:val="000000" w:themeColor="text1"/>
          <w:sz w:val="24"/>
          <w14:textFill>
            <w14:solidFill>
              <w14:schemeClr w14:val="tx1"/>
            </w14:solidFill>
          </w14:textFill>
        </w:rPr>
        <w:t>鑫裕央企债六个月定期开放债券型证券投资基金基金合同》的签字盖章页。</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w:t>
      </w:r>
      <w:r>
        <w:rPr>
          <w:rFonts w:hint="eastAsia" w:ascii="宋体" w:hAnsi="宋体"/>
          <w:color w:val="000000" w:themeColor="text1"/>
          <w:sz w:val="24"/>
          <w:lang w:eastAsia="zh-CN"/>
          <w14:textFill>
            <w14:solidFill>
              <w14:schemeClr w14:val="tx1"/>
            </w14:solidFill>
          </w14:textFill>
        </w:rPr>
        <w:t>国新国证</w:t>
      </w:r>
      <w:r>
        <w:rPr>
          <w:rFonts w:hint="eastAsia" w:ascii="宋体" w:hAnsi="宋体"/>
          <w:color w:val="000000" w:themeColor="text1"/>
          <w:sz w:val="24"/>
          <w14:textFill>
            <w14:solidFill>
              <w14:schemeClr w14:val="tx1"/>
            </w14:solidFill>
          </w14:textFill>
        </w:rPr>
        <w:t>基金管理有限公司（章）</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法定代表人或授权代表（签字或盖章）：</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签订地点：中国北京</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签订日：        年    月    日</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基金托管人：上海浦东发展银行股份有限公司（章）</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法定代表人或授权代表（签字或盖章）：</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签订地点：中国上海</w:t>
      </w:r>
    </w:p>
    <w:p>
      <w:pPr>
        <w:autoSpaceDE w:val="0"/>
        <w:autoSpaceDN w:val="0"/>
        <w:adjustRightInd w:val="0"/>
        <w:spacing w:line="360" w:lineRule="auto"/>
        <w:jc w:val="left"/>
        <w:rPr>
          <w:bCs/>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签订日：        年    月    </w:t>
      </w:r>
      <w:r>
        <w:rPr>
          <w:rFonts w:ascii="宋体" w:hAnsi="宋体"/>
          <w:color w:val="000000" w:themeColor="text1"/>
          <w:sz w:val="24"/>
          <w14:textFill>
            <w14:solidFill>
              <w14:schemeClr w14:val="tx1"/>
            </w14:solidFill>
          </w14:textFill>
        </w:rPr>
        <w:t>日</w:t>
      </w:r>
    </w:p>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Pr>
    <w:r>
      <w:rPr>
        <w:rFonts w:hint="eastAsia"/>
      </w:rPr>
      <w:fldChar w:fldCharType="begin"/>
    </w:r>
    <w:r>
      <w:rPr>
        <w:rStyle w:val="22"/>
        <w:rFonts w:hint="eastAsia"/>
      </w:rPr>
      <w:instrText xml:space="preserve"> PAGE  </w:instrText>
    </w:r>
    <w:r>
      <w:rPr>
        <w:rFonts w:hint="eastAsia"/>
      </w:rPr>
      <w:fldChar w:fldCharType="separate"/>
    </w:r>
    <w:r>
      <w:rPr>
        <w:rStyle w:val="22"/>
      </w:rPr>
      <w:t>93</w:t>
    </w:r>
    <w:r>
      <w:rPr>
        <w:rFonts w:hint="eastAsia"/>
      </w:rPr>
      <w:fldChar w:fldCharType="end"/>
    </w:r>
  </w:p>
  <w:p>
    <w:pPr>
      <w:pStyle w:val="13"/>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XXXX</w:t>
    </w:r>
    <w:r>
      <w:rPr>
        <w:rFonts w:hint="eastAsia"/>
      </w:rPr>
      <w:t>证券投资基金                             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lang w:eastAsia="zh-CN"/>
      </w:rPr>
      <w:t>国新国证</w:t>
    </w:r>
    <w:r>
      <w:rPr>
        <w:rFonts w:hint="eastAsia"/>
        <w:color w:val="000000"/>
      </w:rPr>
      <w:t>鑫裕央企债六个月定期开放债券型</w:t>
    </w:r>
    <w:r>
      <w:rPr>
        <w:rFonts w:hint="eastAsia"/>
      </w:rPr>
      <w:t xml:space="preserve">证券投资基金 </w:t>
    </w:r>
    <w: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lang w:eastAsia="zh-CN"/>
      </w:rPr>
      <w:t>国新国证</w:t>
    </w:r>
    <w:r>
      <w:rPr>
        <w:rFonts w:hint="eastAsia"/>
        <w:color w:val="000000"/>
      </w:rPr>
      <w:t>鑫裕央企债六个月定期开放债券型</w:t>
    </w:r>
    <w:r>
      <w:rPr>
        <w:rFonts w:hint="eastAsia"/>
      </w:rPr>
      <w:t xml:space="preserve">证券投资基金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bullet"/>
      <w:pStyle w:val="32"/>
      <w:lvlText w:val=""/>
      <w:lvlJc w:val="left"/>
      <w:pPr>
        <w:tabs>
          <w:tab w:val="left" w:pos="360"/>
        </w:tabs>
        <w:ind w:left="360" w:hanging="360"/>
      </w:pPr>
      <w:rPr>
        <w:rFonts w:hint="default" w:ascii="Symbol" w:hAnsi="Symbol"/>
        <w:color w:val="auto"/>
      </w:rPr>
    </w:lvl>
  </w:abstractNum>
  <w:abstractNum w:abstractNumId="1">
    <w:nsid w:val="00000003"/>
    <w:multiLevelType w:val="singleLevel"/>
    <w:tmpl w:val="00000003"/>
    <w:lvl w:ilvl="0" w:tentative="0">
      <w:start w:val="4"/>
      <w:numFmt w:val="chineseCounting"/>
      <w:suff w:val="nothing"/>
      <w:lvlText w:val="%1、"/>
      <w:lvlJc w:val="left"/>
    </w:lvl>
  </w:abstractNum>
  <w:abstractNum w:abstractNumId="2">
    <w:nsid w:val="5BD11B30"/>
    <w:multiLevelType w:val="singleLevel"/>
    <w:tmpl w:val="5BD11B30"/>
    <w:lvl w:ilvl="0" w:tentative="0">
      <w:start w:val="1"/>
      <w:numFmt w:val="chineseCounting"/>
      <w:suff w:val="nothing"/>
      <w:lvlText w:val="（%1）"/>
      <w:lvlJc w:val="left"/>
    </w:lvl>
  </w:abstractNum>
  <w:abstractNum w:abstractNumId="3">
    <w:nsid w:val="5BD28285"/>
    <w:multiLevelType w:val="singleLevel"/>
    <w:tmpl w:val="5BD28285"/>
    <w:lvl w:ilvl="0" w:tentative="0">
      <w:start w:val="3"/>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310"/>
    <w:rsid w:val="000343EB"/>
    <w:rsid w:val="00062B8C"/>
    <w:rsid w:val="00063627"/>
    <w:rsid w:val="00071F0D"/>
    <w:rsid w:val="000848AC"/>
    <w:rsid w:val="00096F5E"/>
    <w:rsid w:val="000978A8"/>
    <w:rsid w:val="000A47EB"/>
    <w:rsid w:val="000C5459"/>
    <w:rsid w:val="000C7E93"/>
    <w:rsid w:val="000D7256"/>
    <w:rsid w:val="000E29D6"/>
    <w:rsid w:val="000E3C11"/>
    <w:rsid w:val="000F02F7"/>
    <w:rsid w:val="000F45CD"/>
    <w:rsid w:val="000F6C46"/>
    <w:rsid w:val="001122B0"/>
    <w:rsid w:val="001156D9"/>
    <w:rsid w:val="0014460B"/>
    <w:rsid w:val="00147D8F"/>
    <w:rsid w:val="00152611"/>
    <w:rsid w:val="00172A27"/>
    <w:rsid w:val="00172E88"/>
    <w:rsid w:val="001A07FE"/>
    <w:rsid w:val="001B0C55"/>
    <w:rsid w:val="001F273C"/>
    <w:rsid w:val="001F766C"/>
    <w:rsid w:val="0020365D"/>
    <w:rsid w:val="0021341C"/>
    <w:rsid w:val="00232EAB"/>
    <w:rsid w:val="002331B2"/>
    <w:rsid w:val="00243A35"/>
    <w:rsid w:val="002510DC"/>
    <w:rsid w:val="002633E5"/>
    <w:rsid w:val="0027258E"/>
    <w:rsid w:val="00281416"/>
    <w:rsid w:val="00290C81"/>
    <w:rsid w:val="00291CF6"/>
    <w:rsid w:val="00291D37"/>
    <w:rsid w:val="002B045D"/>
    <w:rsid w:val="002B3814"/>
    <w:rsid w:val="002C48D5"/>
    <w:rsid w:val="002C6C2E"/>
    <w:rsid w:val="002D622A"/>
    <w:rsid w:val="00306599"/>
    <w:rsid w:val="00310CB0"/>
    <w:rsid w:val="00314D53"/>
    <w:rsid w:val="00346F31"/>
    <w:rsid w:val="003755FF"/>
    <w:rsid w:val="003A167E"/>
    <w:rsid w:val="003C1960"/>
    <w:rsid w:val="003D0EAB"/>
    <w:rsid w:val="003E4FEE"/>
    <w:rsid w:val="00424F4D"/>
    <w:rsid w:val="00440DA4"/>
    <w:rsid w:val="00470D88"/>
    <w:rsid w:val="004765FF"/>
    <w:rsid w:val="004902DB"/>
    <w:rsid w:val="004A7B74"/>
    <w:rsid w:val="004B4B59"/>
    <w:rsid w:val="004C10AB"/>
    <w:rsid w:val="004D4682"/>
    <w:rsid w:val="004D5B24"/>
    <w:rsid w:val="004F10FF"/>
    <w:rsid w:val="004F328D"/>
    <w:rsid w:val="004F6A7B"/>
    <w:rsid w:val="005421B6"/>
    <w:rsid w:val="005427AA"/>
    <w:rsid w:val="00544A9C"/>
    <w:rsid w:val="00545916"/>
    <w:rsid w:val="0054643A"/>
    <w:rsid w:val="0056097A"/>
    <w:rsid w:val="00581CC3"/>
    <w:rsid w:val="0058751E"/>
    <w:rsid w:val="005F0398"/>
    <w:rsid w:val="005F0C56"/>
    <w:rsid w:val="005F7B42"/>
    <w:rsid w:val="00615352"/>
    <w:rsid w:val="00642546"/>
    <w:rsid w:val="00667064"/>
    <w:rsid w:val="006A1225"/>
    <w:rsid w:val="006B1BFB"/>
    <w:rsid w:val="006C1B9A"/>
    <w:rsid w:val="006C4561"/>
    <w:rsid w:val="006C540B"/>
    <w:rsid w:val="006E0934"/>
    <w:rsid w:val="006E47BC"/>
    <w:rsid w:val="006F3F69"/>
    <w:rsid w:val="00710352"/>
    <w:rsid w:val="00720239"/>
    <w:rsid w:val="007265B7"/>
    <w:rsid w:val="007330DE"/>
    <w:rsid w:val="00745D26"/>
    <w:rsid w:val="00764D31"/>
    <w:rsid w:val="00765D8E"/>
    <w:rsid w:val="00794A28"/>
    <w:rsid w:val="007963CB"/>
    <w:rsid w:val="00797BCA"/>
    <w:rsid w:val="007A5059"/>
    <w:rsid w:val="007A640A"/>
    <w:rsid w:val="007B282F"/>
    <w:rsid w:val="007E6B8D"/>
    <w:rsid w:val="007F1EC8"/>
    <w:rsid w:val="007F4FD4"/>
    <w:rsid w:val="00810E3D"/>
    <w:rsid w:val="0083180D"/>
    <w:rsid w:val="00854F86"/>
    <w:rsid w:val="0086434B"/>
    <w:rsid w:val="0086526F"/>
    <w:rsid w:val="00874388"/>
    <w:rsid w:val="00887A3A"/>
    <w:rsid w:val="00892F95"/>
    <w:rsid w:val="00894DA7"/>
    <w:rsid w:val="008A39FF"/>
    <w:rsid w:val="008E4F10"/>
    <w:rsid w:val="008E6233"/>
    <w:rsid w:val="008F1E3F"/>
    <w:rsid w:val="0092522A"/>
    <w:rsid w:val="00947D97"/>
    <w:rsid w:val="00951B78"/>
    <w:rsid w:val="009531C9"/>
    <w:rsid w:val="00965368"/>
    <w:rsid w:val="0099259E"/>
    <w:rsid w:val="00993932"/>
    <w:rsid w:val="009B76D0"/>
    <w:rsid w:val="009D2DF1"/>
    <w:rsid w:val="009D6DE4"/>
    <w:rsid w:val="009F4C67"/>
    <w:rsid w:val="00A04C28"/>
    <w:rsid w:val="00A07A62"/>
    <w:rsid w:val="00A07AC5"/>
    <w:rsid w:val="00A07CE1"/>
    <w:rsid w:val="00A219DA"/>
    <w:rsid w:val="00A25C65"/>
    <w:rsid w:val="00A30410"/>
    <w:rsid w:val="00A51CFF"/>
    <w:rsid w:val="00A57325"/>
    <w:rsid w:val="00A71E6E"/>
    <w:rsid w:val="00A74477"/>
    <w:rsid w:val="00A744FA"/>
    <w:rsid w:val="00A834FB"/>
    <w:rsid w:val="00A85B19"/>
    <w:rsid w:val="00AA2258"/>
    <w:rsid w:val="00AC109C"/>
    <w:rsid w:val="00AD6D19"/>
    <w:rsid w:val="00AE2B6B"/>
    <w:rsid w:val="00B4096B"/>
    <w:rsid w:val="00B856CB"/>
    <w:rsid w:val="00B9517D"/>
    <w:rsid w:val="00BB5519"/>
    <w:rsid w:val="00BE0B3D"/>
    <w:rsid w:val="00BE36DC"/>
    <w:rsid w:val="00BE6888"/>
    <w:rsid w:val="00BF0B0B"/>
    <w:rsid w:val="00BF626A"/>
    <w:rsid w:val="00C02DFD"/>
    <w:rsid w:val="00C03569"/>
    <w:rsid w:val="00C36B81"/>
    <w:rsid w:val="00C37F63"/>
    <w:rsid w:val="00C55CB8"/>
    <w:rsid w:val="00C60FBB"/>
    <w:rsid w:val="00C63B3D"/>
    <w:rsid w:val="00C81458"/>
    <w:rsid w:val="00C90DBC"/>
    <w:rsid w:val="00CA1469"/>
    <w:rsid w:val="00CB0190"/>
    <w:rsid w:val="00CD14AC"/>
    <w:rsid w:val="00CD3BA6"/>
    <w:rsid w:val="00CD511F"/>
    <w:rsid w:val="00CD793A"/>
    <w:rsid w:val="00CE0D81"/>
    <w:rsid w:val="00CF50E1"/>
    <w:rsid w:val="00CF6D61"/>
    <w:rsid w:val="00D046A4"/>
    <w:rsid w:val="00D149D4"/>
    <w:rsid w:val="00D44D41"/>
    <w:rsid w:val="00D71A81"/>
    <w:rsid w:val="00DA1F3F"/>
    <w:rsid w:val="00DA30CA"/>
    <w:rsid w:val="00DA5826"/>
    <w:rsid w:val="00DA6A15"/>
    <w:rsid w:val="00DC19B7"/>
    <w:rsid w:val="00DD3DEE"/>
    <w:rsid w:val="00DE1DAD"/>
    <w:rsid w:val="00DE2D10"/>
    <w:rsid w:val="00DE736A"/>
    <w:rsid w:val="00E23960"/>
    <w:rsid w:val="00E246BF"/>
    <w:rsid w:val="00E255F5"/>
    <w:rsid w:val="00E435BE"/>
    <w:rsid w:val="00E505E8"/>
    <w:rsid w:val="00E544B0"/>
    <w:rsid w:val="00E547FE"/>
    <w:rsid w:val="00E81D07"/>
    <w:rsid w:val="00E847D3"/>
    <w:rsid w:val="00E97B61"/>
    <w:rsid w:val="00EB0295"/>
    <w:rsid w:val="00EB2674"/>
    <w:rsid w:val="00EB7B0C"/>
    <w:rsid w:val="00EB7E41"/>
    <w:rsid w:val="00EC5751"/>
    <w:rsid w:val="00EE5CC7"/>
    <w:rsid w:val="00EE709C"/>
    <w:rsid w:val="00EF0176"/>
    <w:rsid w:val="00EF2152"/>
    <w:rsid w:val="00F2531A"/>
    <w:rsid w:val="00F33759"/>
    <w:rsid w:val="00F3410D"/>
    <w:rsid w:val="00F352FC"/>
    <w:rsid w:val="00F70FE1"/>
    <w:rsid w:val="00F7491D"/>
    <w:rsid w:val="00FA1DC3"/>
    <w:rsid w:val="00FC4500"/>
    <w:rsid w:val="00FC5972"/>
    <w:rsid w:val="00FE3057"/>
    <w:rsid w:val="01213BA3"/>
    <w:rsid w:val="02C80D67"/>
    <w:rsid w:val="06511431"/>
    <w:rsid w:val="06995A09"/>
    <w:rsid w:val="0BFF0367"/>
    <w:rsid w:val="0ED204A0"/>
    <w:rsid w:val="15545754"/>
    <w:rsid w:val="193B357F"/>
    <w:rsid w:val="1F9A42D4"/>
    <w:rsid w:val="26256F50"/>
    <w:rsid w:val="2C2D6584"/>
    <w:rsid w:val="2DDC3E43"/>
    <w:rsid w:val="30404353"/>
    <w:rsid w:val="382A73EB"/>
    <w:rsid w:val="390B374D"/>
    <w:rsid w:val="40D13493"/>
    <w:rsid w:val="45156BB8"/>
    <w:rsid w:val="50742A3D"/>
    <w:rsid w:val="56E15F0E"/>
    <w:rsid w:val="5FF50BE6"/>
    <w:rsid w:val="66D96EAD"/>
    <w:rsid w:val="67CF5787"/>
    <w:rsid w:val="68C63391"/>
    <w:rsid w:val="698C4330"/>
    <w:rsid w:val="6DA92BCE"/>
    <w:rsid w:val="741C1958"/>
    <w:rsid w:val="7FF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8"/>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43"/>
    <w:qFormat/>
    <w:uiPriority w:val="0"/>
    <w:pPr>
      <w:jc w:val="left"/>
    </w:pPr>
  </w:style>
  <w:style w:type="paragraph" w:styleId="8">
    <w:name w:val="Body Text"/>
    <w:basedOn w:val="1"/>
    <w:link w:val="41"/>
    <w:qFormat/>
    <w:uiPriority w:val="0"/>
    <w:pPr>
      <w:autoSpaceDE w:val="0"/>
      <w:autoSpaceDN w:val="0"/>
      <w:adjustRightInd w:val="0"/>
      <w:spacing w:line="360" w:lineRule="auto"/>
      <w:jc w:val="left"/>
    </w:pPr>
    <w:rPr>
      <w:rFonts w:ascii="宋体"/>
      <w:kern w:val="0"/>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39"/>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Title"/>
    <w:basedOn w:val="1"/>
    <w:next w:val="1"/>
    <w:link w:val="40"/>
    <w:qFormat/>
    <w:uiPriority w:val="0"/>
    <w:pPr>
      <w:spacing w:before="240" w:after="60"/>
      <w:jc w:val="center"/>
      <w:outlineLvl w:val="0"/>
    </w:pPr>
    <w:rPr>
      <w:rFonts w:ascii="Cambria" w:hAnsi="Cambria"/>
      <w:b/>
      <w:sz w:val="32"/>
    </w:rPr>
  </w:style>
  <w:style w:type="paragraph" w:styleId="19">
    <w:name w:val="annotation subject"/>
    <w:basedOn w:val="7"/>
    <w:next w:val="7"/>
    <w:qFormat/>
    <w:uiPriority w:val="0"/>
    <w:rPr>
      <w:b/>
    </w:r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qFormat/>
    <w:uiPriority w:val="0"/>
    <w:rPr>
      <w:sz w:val="21"/>
    </w:rPr>
  </w:style>
  <w:style w:type="character" w:styleId="25">
    <w:name w:val="footnote reference"/>
    <w:qFormat/>
    <w:uiPriority w:val="0"/>
    <w:rPr>
      <w:vertAlign w:val="superscript"/>
    </w:rPr>
  </w:style>
  <w:style w:type="paragraph" w:customStyle="1" w:styleId="26">
    <w:name w:val="Char Char1"/>
    <w:basedOn w:val="1"/>
    <w:qFormat/>
    <w:uiPriority w:val="0"/>
  </w:style>
  <w:style w:type="paragraph" w:customStyle="1" w:styleId="27">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
    <w:name w:val="正文所"/>
    <w:basedOn w:val="1"/>
    <w:qFormat/>
    <w:uiPriority w:val="0"/>
    <w:pPr>
      <w:spacing w:line="360" w:lineRule="auto"/>
      <w:ind w:firstLine="420" w:firstLineChars="200"/>
    </w:pPr>
    <w:rPr>
      <w:rFonts w:ascii="宋体"/>
    </w:rPr>
  </w:style>
  <w:style w:type="paragraph" w:customStyle="1" w:styleId="29">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0">
    <w:name w:val="_Style 29"/>
    <w:semiHidden/>
    <w:qFormat/>
    <w:uiPriority w:val="99"/>
    <w:rPr>
      <w:rFonts w:ascii="Times New Roman" w:hAnsi="Times New Roman" w:eastAsia="宋体" w:cs="Times New Roman"/>
      <w:kern w:val="2"/>
      <w:sz w:val="21"/>
      <w:lang w:val="en-US" w:eastAsia="zh-CN" w:bidi="ar-SA"/>
    </w:rPr>
  </w:style>
  <w:style w:type="paragraph" w:customStyle="1" w:styleId="31">
    <w:name w:val="unnamed1"/>
    <w:basedOn w:val="1"/>
    <w:qFormat/>
    <w:uiPriority w:val="0"/>
    <w:pPr>
      <w:spacing w:before="60" w:after="60"/>
      <w:ind w:left="15" w:right="15"/>
    </w:pPr>
    <w:rPr>
      <w:rFonts w:hint="eastAsia" w:ascii="宋体" w:hAnsi="宋体"/>
      <w:color w:val="000000"/>
      <w:sz w:val="18"/>
      <w:szCs w:val="18"/>
    </w:rPr>
  </w:style>
  <w:style w:type="paragraph" w:customStyle="1" w:styleId="32">
    <w:name w:val="List_bullet"/>
    <w:basedOn w:val="1"/>
    <w:qFormat/>
    <w:uiPriority w:val="0"/>
    <w:pPr>
      <w:widowControl/>
      <w:numPr>
        <w:ilvl w:val="0"/>
        <w:numId w:val="1"/>
      </w:numPr>
      <w:jc w:val="left"/>
    </w:pPr>
    <w:rPr>
      <w:kern w:val="0"/>
      <w:sz w:val="24"/>
    </w:rPr>
  </w:style>
  <w:style w:type="paragraph" w:customStyle="1" w:styleId="33">
    <w:name w:val="Char"/>
    <w:basedOn w:val="1"/>
    <w:qFormat/>
    <w:uiPriority w:val="0"/>
  </w:style>
  <w:style w:type="paragraph" w:customStyle="1" w:styleId="34">
    <w:name w:val="Char Char Char Char"/>
    <w:basedOn w:val="1"/>
    <w:qFormat/>
    <w:uiPriority w:val="0"/>
    <w:pPr>
      <w:tabs>
        <w:tab w:val="left" w:pos="360"/>
      </w:tabs>
    </w:pPr>
  </w:style>
  <w:style w:type="paragraph" w:customStyle="1" w:styleId="35">
    <w:name w:val="正文正文"/>
    <w:basedOn w:val="1"/>
    <w:qFormat/>
    <w:uiPriority w:val="0"/>
    <w:pPr>
      <w:spacing w:after="78" w:afterLines="25" w:line="360" w:lineRule="auto"/>
      <w:ind w:firstLine="200" w:firstLineChars="200"/>
    </w:pPr>
    <w:rPr>
      <w:sz w:val="24"/>
    </w:rPr>
  </w:style>
  <w:style w:type="paragraph" w:customStyle="1" w:styleId="36">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37">
    <w:name w:val="Char1"/>
    <w:basedOn w:val="1"/>
    <w:qFormat/>
    <w:uiPriority w:val="0"/>
  </w:style>
  <w:style w:type="character" w:customStyle="1" w:styleId="38">
    <w:name w:val="标题 1 Char"/>
    <w:link w:val="2"/>
    <w:qFormat/>
    <w:uiPriority w:val="0"/>
    <w:rPr>
      <w:rFonts w:ascii="宋体"/>
      <w:b/>
      <w:color w:val="000000"/>
      <w:sz w:val="24"/>
    </w:rPr>
  </w:style>
  <w:style w:type="character" w:customStyle="1" w:styleId="39">
    <w:name w:val="页眉 Char"/>
    <w:link w:val="14"/>
    <w:qFormat/>
    <w:uiPriority w:val="0"/>
    <w:rPr>
      <w:rFonts w:eastAsia="宋体"/>
      <w:kern w:val="2"/>
      <w:sz w:val="18"/>
      <w:lang w:val="en-US" w:eastAsia="zh-CN"/>
    </w:rPr>
  </w:style>
  <w:style w:type="character" w:customStyle="1" w:styleId="40">
    <w:name w:val="标题 Char"/>
    <w:link w:val="18"/>
    <w:qFormat/>
    <w:uiPriority w:val="0"/>
    <w:rPr>
      <w:rFonts w:ascii="Cambria" w:hAnsi="Cambria"/>
      <w:b/>
      <w:kern w:val="2"/>
      <w:sz w:val="32"/>
    </w:rPr>
  </w:style>
  <w:style w:type="character" w:customStyle="1" w:styleId="41">
    <w:name w:val="正文文本 Char"/>
    <w:link w:val="8"/>
    <w:qFormat/>
    <w:uiPriority w:val="0"/>
    <w:rPr>
      <w:rFonts w:ascii="宋体"/>
      <w:kern w:val="0"/>
    </w:rPr>
  </w:style>
  <w:style w:type="character" w:customStyle="1" w:styleId="42">
    <w:name w:val="read"/>
    <w:basedOn w:val="21"/>
    <w:qFormat/>
    <w:uiPriority w:val="0"/>
  </w:style>
  <w:style w:type="character" w:customStyle="1" w:styleId="43">
    <w:name w:val="批注文字 Char"/>
    <w:link w:val="7"/>
    <w:qFormat/>
    <w:uiPriority w:val="0"/>
    <w:rPr>
      <w:kern w:val="2"/>
      <w:sz w:val="21"/>
    </w:rPr>
  </w:style>
  <w:style w:type="character" w:customStyle="1" w:styleId="44">
    <w:name w:val="unnamed11"/>
    <w:qFormat/>
    <w:uiPriority w:val="0"/>
    <w:rPr>
      <w:rFonts w:hint="eastAsia" w:ascii="宋体" w:hAnsi="宋体" w:eastAsia="宋体"/>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01A9F-90E3-4FB2-A36C-2EE637B67C6C}">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10154</Words>
  <Characters>57879</Characters>
  <Lines>482</Lines>
  <Paragraphs>135</Paragraphs>
  <TotalTime>51</TotalTime>
  <ScaleCrop>false</ScaleCrop>
  <LinksUpToDate>false</LinksUpToDate>
  <CharactersWithSpaces>67898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2021-10-22T07:55:00Z</dcterms:created>
  <dc:creator>LiuYunpeng</dc:creator>
  <cp:lastModifiedBy>LiuYunpeng</cp:lastModifiedBy>
  <dcterms:modified xsi:type="dcterms:W3CDTF">2022-11-09T07:52:27Z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