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7" w:rightChars="-8" w:firstLine="480" w:firstLineChars="200"/>
        <w:rPr>
          <w:rFonts w:eastAsia="黑体"/>
          <w:sz w:val="24"/>
        </w:rPr>
      </w:pPr>
      <w:r>
        <w:rPr>
          <w:rFonts w:hint="eastAsia"/>
          <w:sz w:val="24"/>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213995</wp:posOffset>
                </wp:positionV>
                <wp:extent cx="1256665" cy="494665"/>
                <wp:effectExtent l="0" t="0" r="0" b="63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wps:spPr>
                      <wps:txbx>
                        <w:txbxContent>
                          <w:p>
                            <w:pPr>
                              <w:jc w:val="left"/>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3pt;margin-top:16.85pt;height:38.95pt;width:98.95pt;z-index:251659264;mso-width-relative:page;mso-height-relative:page;" filled="f" stroked="f" coordsize="21600,21600" o:gfxdata="UEsDBAoAAAAAAIdO4kAAAAAAAAAAAAAAAAAEAAAAZHJzL1BLAwQUAAAACACHTuJA2VTQBdUAAAAJ&#10;AQAADwAAAGRycy9kb3ducmV2LnhtbE2Py07DMBBF90j8gzVI7KidloYS4nQBYguiPCR203iaRMTj&#10;KHab8PcMK1henas7Z8rt7Ht1ojF2gS1kCwOKuA6u48bC2+vj1QZUTMgO+8Bk4ZsibKvzsxILFyZ+&#10;odMuNUpGOBZooU1pKLSOdUse4yIMxMIOYfSYJI6NdiNOMu57vTQm1x47lgstDnTfUv21O3oL70+H&#10;z49r89w8+PUwhdlo9rfa2suLzNyBSjSnvzL86os6VOK0D0d2UfWSTS5NC6vVDSjhS7NZg9oLyLIc&#10;dFXq/x9UP1BLAwQUAAAACACHTuJAdonnjPkBAADHAwAADgAAAGRycy9lMm9Eb2MueG1srVPNbhMx&#10;EL4j8Q6W72STKAl0lU1VWhUhlR+p8AATrzdrsesxYye75QHgDXriwp3nynMw9qZpgBviYo1nxt98&#10;8814ed63jdhp8gZtISejsRTaKiyN3RTy44frZy+k8AFsCQ1aXcg77eX56umTZedyPcUam1KTYBDr&#10;884Vsg7B5VnmVa1b8CN02nKwQmoh8JU2WUnQMXrbZNPxeJF1SKUjVNp79l4NQblK+FWlVXhXVV4H&#10;0RSSuYV0UjrX8cxWS8g3BK426kAD/oFFC8Zy0SPUFQQQWzJ/QbVGEXqswkhhm2FVGaVTD9zNZPxH&#10;N7c1OJ16YXG8O8rk/x+sert7T8KUhZxLYaHlEe3vv+2//9z/+CrmUZ7O+Zyzbh3nhf4l9jzm1Kp3&#10;N6g+eWHxsga70RdE2NUaSqY3iS+zk6cDjo8g6+4NllwHtgETUF9RG7VjNQSj85jujqPRfRAqlpzO&#10;F4sFc1Qcm53Noh1LQP7w2pEPrzS2IhqFJB59QofdjQ9D6kNKLGbx2jQN+yFv7G8OxoyexD4SHqiH&#10;ft1zdmxpjeUd90E4bBNvPxs10hcpOt6kQvrPWyAtRfPashZnk9ksrl66zObPp3yh08j6NAJWMVQh&#10;gxSDeRmGdd06MpuaKw3qW7xg/SqTWntkdeDN25LEOWx2XMfTe8p6/H+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lU0AXVAAAACQEAAA8AAAAAAAAAAQAgAAAAIgAAAGRycy9kb3ducmV2LnhtbFBL&#10;AQIUABQAAAAIAIdO4kB2ieeM+QEAAMcDAAAOAAAAAAAAAAEAIAAAACQBAABkcnMvZTJvRG9jLnht&#10;bFBLBQYAAAAABgAGAFkBAACPBQAAAAA=&#10;">
                <v:fill on="f" focussize="0,0"/>
                <v:stroke on="f"/>
                <v:imagedata o:title=""/>
                <o:lock v:ext="edit" aspectratio="f"/>
                <v:textbox>
                  <w:txbxContent>
                    <w:p>
                      <w:pPr>
                        <w:jc w:val="left"/>
                        <w:rPr>
                          <w:b/>
                          <w:sz w:val="28"/>
                          <w:szCs w:val="28"/>
                        </w:rPr>
                      </w:pPr>
                      <w:r>
                        <w:rPr>
                          <w:rFonts w:hint="eastAsia"/>
                          <w:b/>
                          <w:sz w:val="28"/>
                          <w:szCs w:val="28"/>
                        </w:rPr>
                        <w:t>编号：</w:t>
                      </w:r>
                    </w:p>
                  </w:txbxContent>
                </v:textbox>
              </v:shape>
            </w:pict>
          </mc:Fallback>
        </mc:AlternateContent>
      </w:r>
    </w:p>
    <w:p>
      <w:pPr>
        <w:tabs>
          <w:tab w:val="left" w:pos="3495"/>
        </w:tabs>
        <w:spacing w:line="360" w:lineRule="auto"/>
        <w:ind w:firstLine="480" w:firstLineChars="200"/>
        <w:rPr>
          <w:rFonts w:eastAsia="黑体"/>
          <w:sz w:val="24"/>
        </w:rPr>
      </w:pPr>
    </w:p>
    <w:p>
      <w:pPr>
        <w:tabs>
          <w:tab w:val="center" w:pos="4164"/>
          <w:tab w:val="left" w:pos="5455"/>
        </w:tabs>
        <w:spacing w:line="360" w:lineRule="auto"/>
        <w:ind w:right="-17" w:rightChars="-8" w:firstLine="480" w:firstLineChars="200"/>
        <w:jc w:val="center"/>
        <w:rPr>
          <w:rFonts w:eastAsia="黑体"/>
          <w:sz w:val="24"/>
        </w:rPr>
      </w:pPr>
    </w:p>
    <w:p>
      <w:pPr>
        <w:spacing w:line="360" w:lineRule="auto"/>
        <w:ind w:firstLine="480" w:firstLineChars="200"/>
        <w:jc w:val="center"/>
        <w:rPr>
          <w:rFonts w:ascii="宋体" w:hAnsi="宋体"/>
          <w:sz w:val="24"/>
        </w:rPr>
      </w:pPr>
    </w:p>
    <w:p>
      <w:pPr>
        <w:spacing w:line="360" w:lineRule="auto"/>
        <w:ind w:firstLine="482" w:firstLineChars="200"/>
        <w:jc w:val="center"/>
        <w:rPr>
          <w:b/>
          <w:sz w:val="24"/>
        </w:rPr>
      </w:pPr>
    </w:p>
    <w:p>
      <w:pPr>
        <w:spacing w:line="360" w:lineRule="auto"/>
        <w:ind w:firstLine="482" w:firstLineChars="200"/>
        <w:jc w:val="center"/>
        <w:rPr>
          <w:rFonts w:ascii="仿宋_GB2312" w:eastAsia="仿宋_GB2312"/>
          <w:b/>
          <w:sz w:val="24"/>
        </w:rPr>
      </w:pPr>
    </w:p>
    <w:p>
      <w:pPr>
        <w:spacing w:line="360" w:lineRule="auto"/>
        <w:ind w:firstLine="723" w:firstLineChars="200"/>
        <w:jc w:val="center"/>
        <w:rPr>
          <w:rFonts w:ascii="黑体" w:hAnsi="黑体" w:eastAsia="黑体"/>
          <w:b/>
          <w:sz w:val="36"/>
          <w:szCs w:val="36"/>
        </w:rPr>
      </w:pPr>
      <w:r>
        <w:rPr>
          <w:rFonts w:hint="eastAsia" w:ascii="黑体" w:hAnsi="黑体" w:eastAsia="黑体"/>
          <w:b/>
          <w:sz w:val="36"/>
          <w:szCs w:val="36"/>
          <w:lang w:eastAsia="zh-CN"/>
        </w:rPr>
        <w:t>中泰安悦</w:t>
      </w:r>
      <w:r>
        <w:rPr>
          <w:rFonts w:hint="eastAsia" w:ascii="黑体" w:hAnsi="黑体" w:eastAsia="黑体"/>
          <w:b/>
          <w:sz w:val="36"/>
          <w:szCs w:val="36"/>
        </w:rPr>
        <w:t>6个月定期开放债券型证券投资基金托管协议</w:t>
      </w: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r>
        <w:rPr>
          <w:rFonts w:ascii="宋体" w:hAnsi="宋体"/>
          <w:sz w:val="24"/>
        </w:rPr>
        <w:t xml:space="preserve"> </w:t>
      </w: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rPr>
          <w:rFonts w:ascii="宋体"/>
          <w:sz w:val="24"/>
        </w:rPr>
      </w:pPr>
    </w:p>
    <w:p>
      <w:pPr>
        <w:spacing w:line="360" w:lineRule="auto"/>
        <w:ind w:firstLine="562" w:firstLineChars="200"/>
        <w:jc w:val="center"/>
        <w:rPr>
          <w:b/>
          <w:sz w:val="28"/>
          <w:szCs w:val="28"/>
        </w:rPr>
      </w:pPr>
      <w:bookmarkStart w:id="0" w:name="_Toc382818591"/>
      <w:bookmarkStart w:id="1" w:name="_Toc382819065"/>
      <w:r>
        <w:rPr>
          <w:rFonts w:hint="eastAsia"/>
          <w:b/>
          <w:sz w:val="28"/>
          <w:szCs w:val="28"/>
        </w:rPr>
        <w:t>基金管理人：</w:t>
      </w:r>
      <w:bookmarkEnd w:id="0"/>
      <w:bookmarkEnd w:id="1"/>
      <w:r>
        <w:rPr>
          <w:rFonts w:hint="eastAsia"/>
          <w:b/>
          <w:sz w:val="28"/>
          <w:szCs w:val="28"/>
        </w:rPr>
        <w:t>中泰证券（上海）资产管理有限公司</w:t>
      </w:r>
    </w:p>
    <w:p>
      <w:pPr>
        <w:spacing w:line="360" w:lineRule="auto"/>
        <w:ind w:firstLine="562" w:firstLineChars="200"/>
        <w:jc w:val="center"/>
        <w:rPr>
          <w:b/>
          <w:sz w:val="28"/>
          <w:szCs w:val="28"/>
        </w:rPr>
      </w:pPr>
      <w:bookmarkStart w:id="2" w:name="_Toc382819066"/>
      <w:bookmarkStart w:id="3" w:name="_Toc382818592"/>
      <w:r>
        <w:rPr>
          <w:rFonts w:hint="eastAsia"/>
          <w:b/>
          <w:sz w:val="28"/>
          <w:szCs w:val="28"/>
        </w:rPr>
        <w:t>基金托管人：上海浦东发展银行股份有限公司</w:t>
      </w:r>
      <w:bookmarkEnd w:id="2"/>
      <w:bookmarkEnd w:id="3"/>
    </w:p>
    <w:p>
      <w:pPr>
        <w:rPr>
          <w:sz w:val="24"/>
        </w:rPr>
      </w:pPr>
    </w:p>
    <w:p>
      <w:pPr>
        <w:rPr>
          <w:rFonts w:ascii="黑体" w:eastAsia="黑体"/>
          <w:sz w:val="24"/>
        </w:rPr>
      </w:pPr>
    </w:p>
    <w:p>
      <w:pPr>
        <w:rPr>
          <w:rFonts w:ascii="黑体" w:eastAsia="黑体"/>
          <w:sz w:val="24"/>
        </w:rPr>
      </w:pPr>
      <w:r>
        <w:rPr>
          <w:rFonts w:hint="eastAsia" w:ascii="黑体" w:eastAsia="黑体"/>
          <w:sz w:val="24"/>
        </w:rPr>
        <w:br w:type="page"/>
      </w:r>
      <w:bookmarkStart w:id="4" w:name="_Toc382819067"/>
      <w:bookmarkStart w:id="5" w:name="_Toc382818593"/>
    </w:p>
    <w:p>
      <w:pPr>
        <w:jc w:val="center"/>
        <w:rPr>
          <w:b/>
          <w:sz w:val="24"/>
        </w:rPr>
      </w:pPr>
      <w:r>
        <w:rPr>
          <w:rFonts w:hint="eastAsia"/>
          <w:b/>
          <w:sz w:val="24"/>
        </w:rPr>
        <w:t>目录</w:t>
      </w:r>
      <w:bookmarkEnd w:id="4"/>
      <w:bookmarkEnd w:id="5"/>
    </w:p>
    <w:p>
      <w:pPr>
        <w:pStyle w:val="16"/>
        <w:tabs>
          <w:tab w:val="left" w:pos="440"/>
          <w:tab w:val="right" w:leader="dot" w:pos="8296"/>
        </w:tabs>
        <w:spacing w:line="360" w:lineRule="auto"/>
        <w:ind w:firstLine="480" w:firstLineChars="200"/>
        <w:rPr>
          <w:rFonts w:ascii="Calibri" w:hAnsi="Calibri"/>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TOC \o "1-3" \h \z \u</w:instrText>
      </w:r>
      <w:r>
        <w:rPr>
          <w:rFonts w:ascii="宋体" w:hAnsi="宋体"/>
          <w:sz w:val="24"/>
        </w:rPr>
        <w:instrText xml:space="preserve"> </w:instrText>
      </w:r>
      <w:r>
        <w:rPr>
          <w:rFonts w:ascii="宋体" w:hAnsi="宋体"/>
          <w:sz w:val="24"/>
        </w:rPr>
        <w:fldChar w:fldCharType="separate"/>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"_Toc382819071" </w:instrText>
      </w:r>
      <w:r>
        <w:fldChar w:fldCharType="separate"/>
      </w:r>
      <w:r>
        <w:rPr>
          <w:rStyle w:val="22"/>
          <w:rFonts w:hint="eastAsia" w:ascii="宋体" w:hAnsi="宋体" w:cs="Arial"/>
          <w:sz w:val="24"/>
        </w:rPr>
        <w:t>一、基金托管协议的依据、目的、原则和解释</w:t>
      </w:r>
      <w:r>
        <w:rPr>
          <w:sz w:val="24"/>
        </w:rPr>
        <w:tab/>
      </w:r>
      <w:r>
        <w:rPr>
          <w:sz w:val="24"/>
        </w:rPr>
        <w:fldChar w:fldCharType="begin"/>
      </w:r>
      <w:r>
        <w:rPr>
          <w:sz w:val="24"/>
        </w:rPr>
        <w:instrText xml:space="preserve"> PAGEREF _Toc382819071 \h </w:instrText>
      </w:r>
      <w:r>
        <w:rPr>
          <w:sz w:val="24"/>
        </w:rPr>
        <w:fldChar w:fldCharType="separate"/>
      </w:r>
      <w:r>
        <w:rPr>
          <w:sz w:val="24"/>
        </w:rPr>
        <w:t>2</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"_Toc382819072" </w:instrText>
      </w:r>
      <w:r>
        <w:fldChar w:fldCharType="separate"/>
      </w:r>
      <w:r>
        <w:rPr>
          <w:rStyle w:val="22"/>
          <w:rFonts w:hint="eastAsia" w:ascii="宋体" w:hAnsi="宋体" w:cs="Arial"/>
          <w:sz w:val="24"/>
        </w:rPr>
        <w:t>二、基金托管人对基金管理人的业务监督和核查</w:t>
      </w:r>
      <w:r>
        <w:rPr>
          <w:sz w:val="24"/>
        </w:rPr>
        <w:tab/>
      </w:r>
      <w:r>
        <w:rPr>
          <w:sz w:val="24"/>
        </w:rPr>
        <w:fldChar w:fldCharType="begin"/>
      </w:r>
      <w:r>
        <w:rPr>
          <w:sz w:val="24"/>
        </w:rPr>
        <w:instrText xml:space="preserve"> PAGEREF _Toc382819072 \h </w:instrText>
      </w:r>
      <w:r>
        <w:rPr>
          <w:sz w:val="24"/>
        </w:rPr>
        <w:fldChar w:fldCharType="separate"/>
      </w:r>
      <w:r>
        <w:rPr>
          <w:sz w:val="24"/>
        </w:rPr>
        <w:t>2</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"_Toc382819076" </w:instrText>
      </w:r>
      <w:r>
        <w:fldChar w:fldCharType="separate"/>
      </w:r>
      <w:r>
        <w:rPr>
          <w:rStyle w:val="22"/>
          <w:rFonts w:hint="eastAsia" w:ascii="宋体" w:hAnsi="宋体" w:cs="Arial"/>
          <w:sz w:val="24"/>
        </w:rPr>
        <w:t>三、基金管理人对基金托管人的业务核查</w:t>
      </w:r>
      <w:r>
        <w:rPr>
          <w:sz w:val="24"/>
        </w:rPr>
        <w:tab/>
      </w:r>
      <w:r>
        <w:rPr>
          <w:sz w:val="24"/>
        </w:rPr>
        <w:fldChar w:fldCharType="begin"/>
      </w:r>
      <w:r>
        <w:rPr>
          <w:sz w:val="24"/>
        </w:rPr>
        <w:instrText xml:space="preserve"> PAGEREF _Toc382819076 \h </w:instrText>
      </w:r>
      <w:r>
        <w:rPr>
          <w:sz w:val="24"/>
        </w:rPr>
        <w:fldChar w:fldCharType="separate"/>
      </w:r>
      <w:r>
        <w:rPr>
          <w:sz w:val="24"/>
        </w:rPr>
        <w:t>9</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"_Toc382819078" </w:instrText>
      </w:r>
      <w:r>
        <w:fldChar w:fldCharType="separate"/>
      </w:r>
      <w:r>
        <w:rPr>
          <w:rStyle w:val="22"/>
          <w:rFonts w:hint="eastAsia" w:ascii="宋体" w:hAnsi="宋体" w:cs="Arial"/>
          <w:sz w:val="24"/>
        </w:rPr>
        <w:t>四、基金财产保管</w:t>
      </w:r>
      <w:r>
        <w:rPr>
          <w:sz w:val="24"/>
        </w:rPr>
        <w:tab/>
      </w:r>
      <w:r>
        <w:rPr>
          <w:sz w:val="24"/>
        </w:rPr>
        <w:fldChar w:fldCharType="begin"/>
      </w:r>
      <w:r>
        <w:rPr>
          <w:sz w:val="24"/>
        </w:rPr>
        <w:instrText xml:space="preserve"> PAGEREF _Toc382819078 \h </w:instrText>
      </w:r>
      <w:r>
        <w:rPr>
          <w:sz w:val="24"/>
        </w:rPr>
        <w:fldChar w:fldCharType="separate"/>
      </w:r>
      <w:r>
        <w:rPr>
          <w:sz w:val="24"/>
        </w:rPr>
        <w:t>10</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"_Toc382819088" </w:instrText>
      </w:r>
      <w:r>
        <w:fldChar w:fldCharType="separate"/>
      </w:r>
      <w:r>
        <w:rPr>
          <w:rStyle w:val="22"/>
          <w:rFonts w:hint="eastAsia" w:ascii="宋体" w:hAnsi="宋体" w:cs="Arial"/>
          <w:sz w:val="24"/>
        </w:rPr>
        <w:t>五、指令的发送、确认和执行</w:t>
      </w:r>
      <w:r>
        <w:rPr>
          <w:sz w:val="24"/>
        </w:rPr>
        <w:tab/>
      </w:r>
      <w:r>
        <w:rPr>
          <w:sz w:val="24"/>
        </w:rPr>
        <w:fldChar w:fldCharType="begin"/>
      </w:r>
      <w:r>
        <w:rPr>
          <w:sz w:val="24"/>
        </w:rPr>
        <w:instrText xml:space="preserve"> PAGEREF _Toc382819088 \h </w:instrText>
      </w:r>
      <w:r>
        <w:rPr>
          <w:sz w:val="24"/>
        </w:rPr>
        <w:fldChar w:fldCharType="separate"/>
      </w:r>
      <w:r>
        <w:rPr>
          <w:sz w:val="24"/>
        </w:rPr>
        <w:t>13</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"_Toc382819097" </w:instrText>
      </w:r>
      <w:r>
        <w:fldChar w:fldCharType="separate"/>
      </w:r>
      <w:r>
        <w:rPr>
          <w:rStyle w:val="22"/>
          <w:rFonts w:hint="eastAsia" w:ascii="宋体" w:hAnsi="宋体" w:cs="Arial"/>
          <w:sz w:val="24"/>
        </w:rPr>
        <w:t>六、交易及清算交收安排</w:t>
      </w:r>
      <w:r>
        <w:rPr>
          <w:sz w:val="24"/>
        </w:rPr>
        <w:tab/>
      </w:r>
      <w:r>
        <w:rPr>
          <w:sz w:val="24"/>
        </w:rPr>
        <w:fldChar w:fldCharType="begin"/>
      </w:r>
      <w:r>
        <w:rPr>
          <w:sz w:val="24"/>
        </w:rPr>
        <w:instrText xml:space="preserve"> PAGEREF _Toc382819097 \h </w:instrText>
      </w:r>
      <w:r>
        <w:rPr>
          <w:sz w:val="24"/>
        </w:rPr>
        <w:fldChar w:fldCharType="separate"/>
      </w:r>
      <w:r>
        <w:rPr>
          <w:sz w:val="24"/>
        </w:rPr>
        <w:t>16</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"_Toc382819103" </w:instrText>
      </w:r>
      <w:r>
        <w:fldChar w:fldCharType="separate"/>
      </w:r>
      <w:r>
        <w:rPr>
          <w:rStyle w:val="22"/>
          <w:rFonts w:hint="eastAsia" w:ascii="宋体" w:hAnsi="宋体" w:cs="Arial"/>
          <w:sz w:val="24"/>
        </w:rPr>
        <w:t>七、基金资产净值计算和会计核算</w:t>
      </w:r>
      <w:r>
        <w:rPr>
          <w:sz w:val="24"/>
        </w:rPr>
        <w:tab/>
      </w:r>
      <w:r>
        <w:rPr>
          <w:sz w:val="24"/>
        </w:rPr>
        <w:fldChar w:fldCharType="begin"/>
      </w:r>
      <w:r>
        <w:rPr>
          <w:sz w:val="24"/>
        </w:rPr>
        <w:instrText xml:space="preserve"> PAGEREF _Toc382819103 \h </w:instrText>
      </w:r>
      <w:r>
        <w:rPr>
          <w:sz w:val="24"/>
        </w:rPr>
        <w:fldChar w:fldCharType="separate"/>
      </w:r>
      <w:r>
        <w:rPr>
          <w:sz w:val="24"/>
        </w:rPr>
        <w:t>21</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"_Toc382819118" </w:instrText>
      </w:r>
      <w:r>
        <w:fldChar w:fldCharType="separate"/>
      </w:r>
      <w:r>
        <w:rPr>
          <w:rStyle w:val="22"/>
          <w:rFonts w:hint="eastAsia" w:ascii="宋体" w:hAnsi="宋体" w:cs="Arial"/>
          <w:sz w:val="24"/>
        </w:rPr>
        <w:t>八、基金收益分配</w:t>
      </w:r>
      <w:r>
        <w:rPr>
          <w:sz w:val="24"/>
        </w:rPr>
        <w:tab/>
      </w:r>
      <w:r>
        <w:rPr>
          <w:sz w:val="24"/>
        </w:rPr>
        <w:fldChar w:fldCharType="begin"/>
      </w:r>
      <w:r>
        <w:rPr>
          <w:sz w:val="24"/>
        </w:rPr>
        <w:instrText xml:space="preserve"> PAGEREF _Toc382819118 \h </w:instrText>
      </w:r>
      <w:r>
        <w:rPr>
          <w:sz w:val="24"/>
        </w:rPr>
        <w:fldChar w:fldCharType="separate"/>
      </w:r>
      <w:r>
        <w:rPr>
          <w:sz w:val="24"/>
        </w:rPr>
        <w:t>24</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"_Toc382819121" </w:instrText>
      </w:r>
      <w:r>
        <w:fldChar w:fldCharType="separate"/>
      </w:r>
      <w:r>
        <w:rPr>
          <w:rStyle w:val="22"/>
          <w:rFonts w:hint="eastAsia" w:ascii="宋体" w:hAnsi="宋体" w:cs="Arial"/>
          <w:sz w:val="24"/>
        </w:rPr>
        <w:t>九、信息披露</w:t>
      </w:r>
      <w:r>
        <w:rPr>
          <w:sz w:val="24"/>
        </w:rPr>
        <w:tab/>
      </w:r>
      <w:r>
        <w:rPr>
          <w:sz w:val="24"/>
        </w:rPr>
        <w:fldChar w:fldCharType="begin"/>
      </w:r>
      <w:r>
        <w:rPr>
          <w:sz w:val="24"/>
        </w:rPr>
        <w:instrText xml:space="preserve"> PAGEREF _Toc382819121 \h </w:instrText>
      </w:r>
      <w:r>
        <w:rPr>
          <w:sz w:val="24"/>
        </w:rPr>
        <w:fldChar w:fldCharType="separate"/>
      </w:r>
      <w:r>
        <w:rPr>
          <w:sz w:val="24"/>
        </w:rPr>
        <w:t>24</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"_Toc382819125" </w:instrText>
      </w:r>
      <w:r>
        <w:fldChar w:fldCharType="separate"/>
      </w:r>
      <w:r>
        <w:rPr>
          <w:rStyle w:val="22"/>
          <w:rFonts w:hint="eastAsia" w:ascii="宋体" w:hAnsi="宋体" w:cs="Arial"/>
          <w:sz w:val="24"/>
        </w:rPr>
        <w:t>十、基金费用</w:t>
      </w:r>
      <w:r>
        <w:rPr>
          <w:sz w:val="24"/>
        </w:rPr>
        <w:tab/>
      </w:r>
      <w:r>
        <w:rPr>
          <w:sz w:val="24"/>
        </w:rPr>
        <w:fldChar w:fldCharType="begin"/>
      </w:r>
      <w:r>
        <w:rPr>
          <w:sz w:val="24"/>
        </w:rPr>
        <w:instrText xml:space="preserve"> PAGEREF _Toc382819125 \h </w:instrText>
      </w:r>
      <w:r>
        <w:rPr>
          <w:sz w:val="24"/>
        </w:rPr>
        <w:fldChar w:fldCharType="separate"/>
      </w:r>
      <w:r>
        <w:rPr>
          <w:sz w:val="24"/>
        </w:rPr>
        <w:t>26</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"_Toc382819126" </w:instrText>
      </w:r>
      <w:r>
        <w:fldChar w:fldCharType="separate"/>
      </w:r>
      <w:r>
        <w:rPr>
          <w:rStyle w:val="22"/>
          <w:rFonts w:hint="eastAsia" w:ascii="宋体" w:hAnsi="宋体" w:cs="Arial"/>
          <w:sz w:val="24"/>
        </w:rPr>
        <w:t>十一、基金份额持有人名册的保管</w:t>
      </w:r>
      <w:r>
        <w:rPr>
          <w:sz w:val="24"/>
        </w:rPr>
        <w:tab/>
      </w:r>
      <w:r>
        <w:rPr>
          <w:sz w:val="24"/>
        </w:rPr>
        <w:fldChar w:fldCharType="begin"/>
      </w:r>
      <w:r>
        <w:rPr>
          <w:sz w:val="24"/>
        </w:rPr>
        <w:instrText xml:space="preserve"> PAGEREF _Toc382819126 \h </w:instrText>
      </w:r>
      <w:r>
        <w:rPr>
          <w:sz w:val="24"/>
        </w:rPr>
        <w:fldChar w:fldCharType="separate"/>
      </w:r>
      <w:r>
        <w:rPr>
          <w:sz w:val="24"/>
        </w:rPr>
        <w:t>26</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"_Toc382819127" </w:instrText>
      </w:r>
      <w:r>
        <w:fldChar w:fldCharType="separate"/>
      </w:r>
      <w:r>
        <w:rPr>
          <w:rStyle w:val="22"/>
          <w:rFonts w:hint="eastAsia" w:ascii="宋体" w:hAnsi="宋体" w:cs="Arial"/>
          <w:sz w:val="24"/>
        </w:rPr>
        <w:t>十二、基金有关文件和档案的保存</w:t>
      </w:r>
      <w:r>
        <w:rPr>
          <w:sz w:val="24"/>
        </w:rPr>
        <w:tab/>
      </w:r>
      <w:r>
        <w:rPr>
          <w:sz w:val="24"/>
        </w:rPr>
        <w:fldChar w:fldCharType="begin"/>
      </w:r>
      <w:r>
        <w:rPr>
          <w:sz w:val="24"/>
        </w:rPr>
        <w:instrText xml:space="preserve"> PAGEREF _Toc382819127 \h </w:instrText>
      </w:r>
      <w:r>
        <w:rPr>
          <w:sz w:val="24"/>
        </w:rPr>
        <w:fldChar w:fldCharType="separate"/>
      </w:r>
      <w:r>
        <w:rPr>
          <w:sz w:val="24"/>
        </w:rPr>
        <w:t>26</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"_Toc382819128" </w:instrText>
      </w:r>
      <w:r>
        <w:fldChar w:fldCharType="separate"/>
      </w:r>
      <w:r>
        <w:rPr>
          <w:rStyle w:val="22"/>
          <w:rFonts w:hint="eastAsia" w:ascii="宋体" w:hAnsi="宋体" w:cs="Arial"/>
          <w:sz w:val="24"/>
        </w:rPr>
        <w:t>十三、基金管理人和基金托管人的更换</w:t>
      </w:r>
      <w:r>
        <w:rPr>
          <w:sz w:val="24"/>
        </w:rPr>
        <w:tab/>
      </w:r>
      <w:r>
        <w:rPr>
          <w:sz w:val="24"/>
        </w:rPr>
        <w:fldChar w:fldCharType="begin"/>
      </w:r>
      <w:r>
        <w:rPr>
          <w:sz w:val="24"/>
        </w:rPr>
        <w:instrText xml:space="preserve"> PAGEREF _Toc382819128 \h </w:instrText>
      </w:r>
      <w:r>
        <w:rPr>
          <w:sz w:val="24"/>
        </w:rPr>
        <w:fldChar w:fldCharType="separate"/>
      </w:r>
      <w:r>
        <w:rPr>
          <w:sz w:val="24"/>
        </w:rPr>
        <w:t>27</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"_Toc382819131" </w:instrText>
      </w:r>
      <w:r>
        <w:fldChar w:fldCharType="separate"/>
      </w:r>
      <w:r>
        <w:rPr>
          <w:rStyle w:val="22"/>
          <w:rFonts w:hint="eastAsia" w:ascii="宋体" w:hAnsi="宋体" w:cs="Arial"/>
          <w:sz w:val="24"/>
        </w:rPr>
        <w:t>十四、禁止行为</w:t>
      </w:r>
      <w:r>
        <w:rPr>
          <w:sz w:val="24"/>
        </w:rPr>
        <w:tab/>
      </w:r>
      <w:r>
        <w:rPr>
          <w:sz w:val="24"/>
        </w:rPr>
        <w:fldChar w:fldCharType="begin"/>
      </w:r>
      <w:r>
        <w:rPr>
          <w:sz w:val="24"/>
        </w:rPr>
        <w:instrText xml:space="preserve"> PAGEREF _Toc382819131 \h </w:instrText>
      </w:r>
      <w:r>
        <w:rPr>
          <w:sz w:val="24"/>
        </w:rPr>
        <w:fldChar w:fldCharType="separate"/>
      </w:r>
      <w:r>
        <w:rPr>
          <w:sz w:val="24"/>
        </w:rPr>
        <w:t>29</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"_Toc382819132" </w:instrText>
      </w:r>
      <w:r>
        <w:fldChar w:fldCharType="separate"/>
      </w:r>
      <w:r>
        <w:rPr>
          <w:rStyle w:val="22"/>
          <w:rFonts w:hint="eastAsia" w:ascii="宋体" w:hAnsi="宋体" w:cs="Arial"/>
          <w:sz w:val="24"/>
        </w:rPr>
        <w:t>十五、基金托管协议的变更、终止与基金财产的清算</w:t>
      </w:r>
      <w:r>
        <w:rPr>
          <w:sz w:val="24"/>
        </w:rPr>
        <w:tab/>
      </w:r>
      <w:r>
        <w:rPr>
          <w:sz w:val="24"/>
        </w:rPr>
        <w:fldChar w:fldCharType="begin"/>
      </w:r>
      <w:r>
        <w:rPr>
          <w:sz w:val="24"/>
        </w:rPr>
        <w:instrText xml:space="preserve"> PAGEREF _Toc382819132 \h </w:instrText>
      </w:r>
      <w:r>
        <w:rPr>
          <w:sz w:val="24"/>
        </w:rPr>
        <w:fldChar w:fldCharType="separate"/>
      </w:r>
      <w:r>
        <w:rPr>
          <w:sz w:val="24"/>
        </w:rPr>
        <w:t>30</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"_Toc382819133" </w:instrText>
      </w:r>
      <w:r>
        <w:fldChar w:fldCharType="separate"/>
      </w:r>
      <w:r>
        <w:rPr>
          <w:rStyle w:val="22"/>
          <w:rFonts w:hint="eastAsia" w:ascii="宋体" w:hAnsi="宋体" w:cs="Arial"/>
          <w:sz w:val="24"/>
        </w:rPr>
        <w:t>十六、违约责任</w:t>
      </w:r>
      <w:r>
        <w:rPr>
          <w:sz w:val="24"/>
        </w:rPr>
        <w:tab/>
      </w:r>
      <w:r>
        <w:rPr>
          <w:sz w:val="24"/>
        </w:rPr>
        <w:fldChar w:fldCharType="begin"/>
      </w:r>
      <w:r>
        <w:rPr>
          <w:sz w:val="24"/>
        </w:rPr>
        <w:instrText xml:space="preserve"> PAGEREF _Toc382819133 \h </w:instrText>
      </w:r>
      <w:r>
        <w:rPr>
          <w:sz w:val="24"/>
        </w:rPr>
        <w:fldChar w:fldCharType="separate"/>
      </w:r>
      <w:r>
        <w:rPr>
          <w:sz w:val="24"/>
        </w:rPr>
        <w:t>32</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"_Toc382819134" </w:instrText>
      </w:r>
      <w:r>
        <w:fldChar w:fldCharType="separate"/>
      </w:r>
      <w:r>
        <w:rPr>
          <w:rStyle w:val="22"/>
          <w:rFonts w:hint="eastAsia" w:ascii="宋体" w:hAnsi="宋体" w:cs="Arial"/>
          <w:sz w:val="24"/>
        </w:rPr>
        <w:t>十七、适用法律及争议解决方式</w:t>
      </w:r>
      <w:r>
        <w:rPr>
          <w:sz w:val="24"/>
        </w:rPr>
        <w:tab/>
      </w:r>
      <w:r>
        <w:rPr>
          <w:sz w:val="24"/>
        </w:rPr>
        <w:fldChar w:fldCharType="begin"/>
      </w:r>
      <w:r>
        <w:rPr>
          <w:sz w:val="24"/>
        </w:rPr>
        <w:instrText xml:space="preserve"> PAGEREF _Toc382819134 \h </w:instrText>
      </w:r>
      <w:r>
        <w:rPr>
          <w:sz w:val="24"/>
        </w:rPr>
        <w:fldChar w:fldCharType="separate"/>
      </w:r>
      <w:r>
        <w:rPr>
          <w:sz w:val="24"/>
        </w:rPr>
        <w:t>33</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"_Toc382819135" </w:instrText>
      </w:r>
      <w:r>
        <w:fldChar w:fldCharType="separate"/>
      </w:r>
      <w:r>
        <w:rPr>
          <w:rStyle w:val="22"/>
          <w:rFonts w:hint="eastAsia" w:ascii="宋体" w:hAnsi="宋体" w:cs="Arial"/>
          <w:sz w:val="24"/>
        </w:rPr>
        <w:t>十八、基金托管协议的效力和文本</w:t>
      </w:r>
      <w:r>
        <w:rPr>
          <w:sz w:val="24"/>
        </w:rPr>
        <w:tab/>
      </w:r>
      <w:r>
        <w:rPr>
          <w:sz w:val="24"/>
        </w:rPr>
        <w:fldChar w:fldCharType="begin"/>
      </w:r>
      <w:r>
        <w:rPr>
          <w:sz w:val="24"/>
        </w:rPr>
        <w:instrText xml:space="preserve"> PAGEREF _Toc382819135 \h </w:instrText>
      </w:r>
      <w:r>
        <w:rPr>
          <w:sz w:val="24"/>
        </w:rPr>
        <w:fldChar w:fldCharType="separate"/>
      </w:r>
      <w:r>
        <w:rPr>
          <w:sz w:val="24"/>
        </w:rPr>
        <w:t>33</w:t>
      </w:r>
      <w:r>
        <w:rPr>
          <w:sz w:val="24"/>
        </w:rPr>
        <w:fldChar w:fldCharType="end"/>
      </w:r>
      <w:r>
        <w:rPr>
          <w:sz w:val="24"/>
        </w:rPr>
        <w:fldChar w:fldCharType="end"/>
      </w:r>
    </w:p>
    <w:p>
      <w:pPr>
        <w:pStyle w:val="16"/>
        <w:tabs>
          <w:tab w:val="right" w:leader="dot" w:pos="8296"/>
        </w:tabs>
        <w:spacing w:line="360" w:lineRule="auto"/>
        <w:ind w:firstLine="420" w:firstLineChars="200"/>
        <w:rPr>
          <w:rFonts w:ascii="Calibri" w:hAnsi="Calibri"/>
          <w:sz w:val="24"/>
        </w:rPr>
      </w:pPr>
      <w:r>
        <w:fldChar w:fldCharType="begin"/>
      </w:r>
      <w:r>
        <w:instrText xml:space="preserve"> HYPERLINK \l "_Toc382819136" </w:instrText>
      </w:r>
      <w:r>
        <w:fldChar w:fldCharType="separate"/>
      </w:r>
      <w:r>
        <w:rPr>
          <w:rStyle w:val="22"/>
          <w:rFonts w:hint="eastAsia" w:ascii="宋体" w:hAnsi="宋体"/>
          <w:sz w:val="24"/>
        </w:rPr>
        <w:t>十九、</w:t>
      </w:r>
      <w:r>
        <w:rPr>
          <w:rStyle w:val="22"/>
          <w:rFonts w:hint="eastAsia" w:ascii="宋体" w:hAnsi="宋体" w:cs="Arial"/>
          <w:sz w:val="24"/>
        </w:rPr>
        <w:t>其他事项</w:t>
      </w:r>
      <w:r>
        <w:rPr>
          <w:sz w:val="24"/>
        </w:rPr>
        <w:tab/>
      </w:r>
      <w:r>
        <w:rPr>
          <w:sz w:val="24"/>
        </w:rPr>
        <w:fldChar w:fldCharType="begin"/>
      </w:r>
      <w:r>
        <w:rPr>
          <w:sz w:val="24"/>
        </w:rPr>
        <w:instrText xml:space="preserve"> PAGEREF _Toc382819136 \h </w:instrText>
      </w:r>
      <w:r>
        <w:rPr>
          <w:sz w:val="24"/>
        </w:rPr>
        <w:fldChar w:fldCharType="separate"/>
      </w:r>
      <w:r>
        <w:rPr>
          <w:sz w:val="24"/>
        </w:rPr>
        <w:t>33</w:t>
      </w:r>
      <w:r>
        <w:rPr>
          <w:sz w:val="24"/>
        </w:rPr>
        <w:fldChar w:fldCharType="end"/>
      </w:r>
      <w:r>
        <w:rPr>
          <w:sz w:val="24"/>
        </w:rPr>
        <w:fldChar w:fldCharType="end"/>
      </w:r>
    </w:p>
    <w:p>
      <w:pPr>
        <w:spacing w:line="360" w:lineRule="auto"/>
        <w:ind w:firstLine="480" w:firstLineChars="200"/>
        <w:rPr>
          <w:rFonts w:ascii="仿宋_GB2312" w:eastAsia="仿宋_GB2312"/>
          <w:sz w:val="24"/>
        </w:rPr>
      </w:pPr>
      <w:r>
        <w:rPr>
          <w:rFonts w:ascii="宋体" w:hAnsi="宋体"/>
          <w:sz w:val="24"/>
        </w:rPr>
        <w:fldChar w:fldCharType="end"/>
      </w:r>
    </w:p>
    <w:p>
      <w:pPr>
        <w:widowControl/>
        <w:spacing w:line="360" w:lineRule="auto"/>
        <w:ind w:firstLine="480" w:firstLineChars="200"/>
        <w:jc w:val="left"/>
        <w:rPr>
          <w:rFonts w:ascii="仿宋_GB2312" w:eastAsia="仿宋_GB2312"/>
          <w:sz w:val="24"/>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spacing w:line="360" w:lineRule="auto"/>
        <w:ind w:firstLine="482" w:firstLineChars="200"/>
        <w:rPr>
          <w:rFonts w:ascii="宋体" w:hAnsi="宋体"/>
          <w:b/>
          <w:sz w:val="24"/>
        </w:rPr>
      </w:pPr>
      <w:bookmarkStart w:id="6" w:name="_Toc382819068"/>
      <w:bookmarkStart w:id="7" w:name="_Toc382818594"/>
      <w:r>
        <w:rPr>
          <w:rFonts w:hint="eastAsia" w:ascii="宋体" w:hAnsi="宋体"/>
          <w:b/>
          <w:sz w:val="24"/>
        </w:rPr>
        <w:t>托管</w:t>
      </w:r>
      <w:r>
        <w:rPr>
          <w:rFonts w:ascii="宋体" w:hAnsi="宋体"/>
          <w:b/>
          <w:sz w:val="24"/>
        </w:rPr>
        <w:t>协议当事人：</w:t>
      </w:r>
    </w:p>
    <w:p>
      <w:pPr>
        <w:spacing w:line="360" w:lineRule="auto"/>
        <w:ind w:firstLine="482" w:firstLineChars="200"/>
        <w:rPr>
          <w:rFonts w:ascii="宋体" w:hAnsi="宋体"/>
          <w:b/>
          <w:sz w:val="24"/>
        </w:rPr>
      </w:pPr>
    </w:p>
    <w:bookmarkEnd w:id="6"/>
    <w:bookmarkEnd w:id="7"/>
    <w:p>
      <w:pPr>
        <w:spacing w:line="360" w:lineRule="auto"/>
        <w:ind w:firstLine="482" w:firstLineChars="200"/>
        <w:rPr>
          <w:rFonts w:ascii="宋体" w:hAnsi="宋体"/>
          <w:b/>
          <w:sz w:val="24"/>
        </w:rPr>
      </w:pPr>
      <w:bookmarkStart w:id="8" w:name="_Toc382819069"/>
      <w:bookmarkStart w:id="9" w:name="_Toc15118236"/>
      <w:r>
        <w:rPr>
          <w:rFonts w:hint="eastAsia" w:ascii="宋体" w:hAnsi="宋体"/>
          <w:b/>
          <w:sz w:val="24"/>
        </w:rPr>
        <w:t>基金管理人</w:t>
      </w:r>
      <w:r>
        <w:rPr>
          <w:rFonts w:ascii="宋体" w:hAnsi="宋体"/>
          <w:b/>
          <w:sz w:val="24"/>
        </w:rPr>
        <w:t>：</w:t>
      </w:r>
      <w:r>
        <w:rPr>
          <w:rFonts w:hint="eastAsia" w:ascii="宋体" w:hAnsi="宋体"/>
          <w:b/>
          <w:sz w:val="24"/>
        </w:rPr>
        <w:t>中泰证券（上海）资产管理有限公司</w:t>
      </w:r>
    </w:p>
    <w:p>
      <w:pPr>
        <w:spacing w:line="360" w:lineRule="auto"/>
        <w:ind w:firstLine="480" w:firstLineChars="200"/>
        <w:rPr>
          <w:rFonts w:ascii="宋体" w:hAnsi="宋体"/>
          <w:sz w:val="24"/>
        </w:rPr>
      </w:pPr>
      <w:r>
        <w:rPr>
          <w:rFonts w:ascii="宋体" w:hAnsi="宋体"/>
          <w:sz w:val="24"/>
        </w:rPr>
        <w:t>住所：</w:t>
      </w:r>
      <w:r>
        <w:rPr>
          <w:rFonts w:hint="eastAsia" w:ascii="宋体" w:hAnsi="宋体"/>
          <w:sz w:val="24"/>
        </w:rPr>
        <w:t>上海市黄浦区延安东路175号24楼05室</w:t>
      </w:r>
    </w:p>
    <w:p>
      <w:pPr>
        <w:spacing w:line="360" w:lineRule="auto"/>
        <w:ind w:firstLine="480" w:firstLineChars="200"/>
        <w:rPr>
          <w:rFonts w:ascii="宋体" w:hAnsi="宋体"/>
          <w:sz w:val="24"/>
        </w:rPr>
      </w:pPr>
      <w:r>
        <w:rPr>
          <w:rFonts w:hint="eastAsia" w:ascii="宋体" w:hAnsi="宋体"/>
          <w:sz w:val="24"/>
        </w:rPr>
        <w:t>办公</w:t>
      </w:r>
      <w:r>
        <w:rPr>
          <w:rFonts w:ascii="宋体" w:hAnsi="宋体"/>
          <w:sz w:val="24"/>
        </w:rPr>
        <w:t>地址：</w:t>
      </w:r>
      <w:r>
        <w:rPr>
          <w:rFonts w:hint="eastAsia" w:ascii="宋体" w:hAnsi="宋体"/>
          <w:sz w:val="24"/>
        </w:rPr>
        <w:t>上海市浦东新区银城中路488号太平金融大厦1002-1003室</w:t>
      </w:r>
    </w:p>
    <w:p>
      <w:pPr>
        <w:spacing w:line="360" w:lineRule="auto"/>
        <w:ind w:firstLine="480" w:firstLineChars="200"/>
        <w:rPr>
          <w:rFonts w:ascii="宋体" w:hAnsi="宋体"/>
          <w:sz w:val="24"/>
        </w:rPr>
      </w:pPr>
      <w:r>
        <w:rPr>
          <w:rFonts w:ascii="宋体" w:hAnsi="宋体"/>
          <w:sz w:val="24"/>
        </w:rPr>
        <w:t>法定代表人：</w:t>
      </w:r>
      <w:r>
        <w:rPr>
          <w:rFonts w:hint="eastAsia" w:ascii="宋体" w:hAnsi="宋体"/>
          <w:sz w:val="24"/>
        </w:rPr>
        <w:t>黄文卿</w:t>
      </w:r>
    </w:p>
    <w:p>
      <w:pPr>
        <w:spacing w:line="360" w:lineRule="auto"/>
        <w:ind w:firstLine="480" w:firstLineChars="200"/>
        <w:rPr>
          <w:rFonts w:ascii="宋体" w:hAnsi="宋体"/>
          <w:sz w:val="24"/>
        </w:rPr>
      </w:pPr>
      <w:r>
        <w:rPr>
          <w:rFonts w:ascii="宋体" w:hAnsi="宋体"/>
          <w:sz w:val="24"/>
        </w:rPr>
        <w:t>设立日期：2014</w:t>
      </w:r>
      <w:r>
        <w:rPr>
          <w:rFonts w:hint="eastAsia" w:ascii="宋体" w:hAnsi="宋体"/>
          <w:sz w:val="24"/>
        </w:rPr>
        <w:t>年</w:t>
      </w:r>
      <w:r>
        <w:rPr>
          <w:rFonts w:ascii="宋体" w:hAnsi="宋体"/>
          <w:sz w:val="24"/>
        </w:rPr>
        <w:t>8</w:t>
      </w:r>
      <w:r>
        <w:rPr>
          <w:rFonts w:hint="eastAsia" w:ascii="宋体" w:hAnsi="宋体"/>
          <w:sz w:val="24"/>
        </w:rPr>
        <w:t>月</w:t>
      </w:r>
      <w:r>
        <w:rPr>
          <w:rFonts w:ascii="宋体" w:hAnsi="宋体"/>
          <w:sz w:val="24"/>
        </w:rPr>
        <w:t>13</w:t>
      </w:r>
      <w:r>
        <w:rPr>
          <w:rFonts w:hint="eastAsia" w:ascii="宋体" w:hAnsi="宋体"/>
          <w:sz w:val="24"/>
        </w:rPr>
        <w:t>日</w:t>
      </w:r>
    </w:p>
    <w:p>
      <w:pPr>
        <w:spacing w:line="360" w:lineRule="auto"/>
        <w:ind w:firstLine="480" w:firstLineChars="200"/>
        <w:rPr>
          <w:rFonts w:ascii="宋体" w:hAnsi="宋体"/>
          <w:sz w:val="24"/>
        </w:rPr>
      </w:pPr>
      <w:r>
        <w:rPr>
          <w:rFonts w:ascii="宋体" w:hAnsi="宋体"/>
          <w:sz w:val="24"/>
        </w:rPr>
        <w:t>批准设立机关及批准设立文号：</w:t>
      </w:r>
      <w:r>
        <w:rPr>
          <w:rFonts w:hint="eastAsia" w:ascii="宋体" w:hAnsi="宋体"/>
          <w:sz w:val="24"/>
        </w:rPr>
        <w:t>中国证监会</w:t>
      </w:r>
      <w:r>
        <w:rPr>
          <w:rFonts w:ascii="宋体" w:hAnsi="宋体"/>
          <w:sz w:val="24"/>
        </w:rPr>
        <w:t>证监许可</w:t>
      </w:r>
      <w:r>
        <w:rPr>
          <w:rFonts w:hint="eastAsia" w:ascii="宋体" w:hAnsi="宋体"/>
          <w:sz w:val="24"/>
        </w:rPr>
        <w:t>[2014]355号</w:t>
      </w:r>
    </w:p>
    <w:p>
      <w:pPr>
        <w:spacing w:line="360" w:lineRule="auto"/>
        <w:ind w:firstLine="480" w:firstLineChars="200"/>
        <w:rPr>
          <w:rFonts w:ascii="宋体" w:hAnsi="宋体"/>
          <w:sz w:val="24"/>
        </w:rPr>
      </w:pPr>
      <w:r>
        <w:rPr>
          <w:rFonts w:hint="eastAsia" w:ascii="宋体" w:hAnsi="宋体"/>
          <w:sz w:val="24"/>
        </w:rPr>
        <w:t>开展</w:t>
      </w:r>
      <w:r>
        <w:rPr>
          <w:rFonts w:ascii="宋体" w:hAnsi="宋体"/>
          <w:sz w:val="24"/>
        </w:rPr>
        <w:t>公开募集</w:t>
      </w:r>
      <w:r>
        <w:rPr>
          <w:rFonts w:hint="eastAsia" w:ascii="宋体" w:hAnsi="宋体"/>
          <w:sz w:val="24"/>
        </w:rPr>
        <w:t>证券</w:t>
      </w:r>
      <w:r>
        <w:rPr>
          <w:rFonts w:ascii="宋体" w:hAnsi="宋体"/>
          <w:sz w:val="24"/>
        </w:rPr>
        <w:t>投资基金</w:t>
      </w:r>
      <w:r>
        <w:rPr>
          <w:rFonts w:hint="eastAsia" w:ascii="宋体" w:hAnsi="宋体"/>
          <w:sz w:val="24"/>
        </w:rPr>
        <w:t>管理</w:t>
      </w:r>
      <w:r>
        <w:rPr>
          <w:rFonts w:ascii="宋体" w:hAnsi="宋体"/>
          <w:sz w:val="24"/>
        </w:rPr>
        <w:t>业务批准文号：</w:t>
      </w:r>
      <w:r>
        <w:rPr>
          <w:rFonts w:hint="eastAsia" w:ascii="宋体" w:hAnsi="宋体"/>
          <w:sz w:val="24"/>
        </w:rPr>
        <w:t>中国</w:t>
      </w:r>
      <w:r>
        <w:rPr>
          <w:rFonts w:ascii="宋体" w:hAnsi="宋体"/>
          <w:sz w:val="24"/>
        </w:rPr>
        <w:t>证监会证监许可</w:t>
      </w:r>
      <w:r>
        <w:rPr>
          <w:rFonts w:hint="eastAsia" w:ascii="宋体" w:hAnsi="宋体"/>
          <w:sz w:val="24"/>
        </w:rPr>
        <w:t>[2017]2342号</w:t>
      </w:r>
    </w:p>
    <w:p>
      <w:pPr>
        <w:spacing w:line="360" w:lineRule="auto"/>
        <w:ind w:firstLine="480" w:firstLineChars="200"/>
        <w:rPr>
          <w:rFonts w:ascii="宋体" w:hAnsi="宋体"/>
          <w:sz w:val="24"/>
        </w:rPr>
      </w:pPr>
      <w:r>
        <w:rPr>
          <w:rFonts w:ascii="宋体" w:hAnsi="宋体"/>
          <w:sz w:val="24"/>
        </w:rPr>
        <w:t>组织形式：</w:t>
      </w:r>
      <w:r>
        <w:rPr>
          <w:rFonts w:hint="eastAsia" w:ascii="宋体" w:hAnsi="宋体"/>
          <w:sz w:val="24"/>
        </w:rPr>
        <w:t>其他有限责任公司</w:t>
      </w:r>
    </w:p>
    <w:p>
      <w:pPr>
        <w:spacing w:line="360" w:lineRule="auto"/>
        <w:ind w:firstLine="480" w:firstLineChars="200"/>
        <w:rPr>
          <w:rFonts w:ascii="宋体" w:hAnsi="宋体"/>
          <w:sz w:val="24"/>
        </w:rPr>
      </w:pPr>
      <w:r>
        <w:rPr>
          <w:rFonts w:ascii="宋体" w:hAnsi="宋体"/>
          <w:sz w:val="24"/>
        </w:rPr>
        <w:t>注册资本：</w:t>
      </w:r>
      <w:r>
        <w:rPr>
          <w:rFonts w:hint="eastAsia" w:ascii="宋体" w:hAnsi="宋体"/>
          <w:sz w:val="24"/>
        </w:rPr>
        <w:t>壹</w:t>
      </w:r>
      <w:r>
        <w:rPr>
          <w:rFonts w:ascii="宋体" w:hAnsi="宋体"/>
          <w:sz w:val="24"/>
        </w:rPr>
        <w:t>亿陆</w:t>
      </w:r>
      <w:r>
        <w:rPr>
          <w:rFonts w:hint="eastAsia" w:ascii="宋体" w:hAnsi="宋体"/>
          <w:sz w:val="24"/>
        </w:rPr>
        <w:t>仟</w:t>
      </w:r>
      <w:r>
        <w:rPr>
          <w:rFonts w:ascii="宋体" w:hAnsi="宋体"/>
          <w:sz w:val="24"/>
        </w:rPr>
        <w:t>陆</w:t>
      </w:r>
      <w:r>
        <w:rPr>
          <w:rFonts w:hint="eastAsia" w:ascii="宋体" w:hAnsi="宋体"/>
          <w:sz w:val="24"/>
        </w:rPr>
        <w:t>佰陆</w:t>
      </w:r>
      <w:r>
        <w:rPr>
          <w:rFonts w:ascii="宋体" w:hAnsi="宋体"/>
          <w:sz w:val="24"/>
        </w:rPr>
        <w:t>拾陆</w:t>
      </w:r>
      <w:r>
        <w:rPr>
          <w:rFonts w:hint="eastAsia" w:ascii="宋体" w:hAnsi="宋体"/>
          <w:sz w:val="24"/>
        </w:rPr>
        <w:t>万元整</w:t>
      </w:r>
    </w:p>
    <w:p>
      <w:pPr>
        <w:spacing w:line="360" w:lineRule="auto"/>
        <w:ind w:firstLine="480" w:firstLineChars="200"/>
        <w:rPr>
          <w:rFonts w:ascii="宋体" w:hAnsi="宋体"/>
          <w:sz w:val="24"/>
        </w:rPr>
      </w:pPr>
      <w:r>
        <w:rPr>
          <w:rFonts w:ascii="宋体" w:hAnsi="宋体"/>
          <w:sz w:val="24"/>
        </w:rPr>
        <w:t>存续期限：</w:t>
      </w:r>
      <w:r>
        <w:rPr>
          <w:rFonts w:hint="eastAsia" w:ascii="宋体" w:hAnsi="宋体"/>
          <w:sz w:val="24"/>
        </w:rPr>
        <w:t>持续经营</w:t>
      </w:r>
    </w:p>
    <w:bookmarkEnd w:id="8"/>
    <w:bookmarkEnd w:id="9"/>
    <w:p>
      <w:pPr>
        <w:rPr>
          <w:sz w:val="24"/>
        </w:rPr>
      </w:pPr>
    </w:p>
    <w:p>
      <w:pPr>
        <w:rPr>
          <w:rFonts w:ascii="宋体" w:hAnsi="宋体"/>
          <w:sz w:val="24"/>
        </w:rPr>
      </w:pPr>
    </w:p>
    <w:p>
      <w:pPr>
        <w:spacing w:line="360" w:lineRule="auto"/>
        <w:ind w:firstLine="482" w:firstLineChars="200"/>
        <w:rPr>
          <w:rFonts w:ascii="宋体" w:hAnsi="宋体"/>
          <w:b/>
          <w:sz w:val="24"/>
        </w:rPr>
      </w:pPr>
      <w:bookmarkStart w:id="10" w:name="_Toc382819070"/>
      <w:r>
        <w:rPr>
          <w:rFonts w:hint="eastAsia" w:ascii="宋体" w:hAnsi="宋体"/>
          <w:b/>
          <w:sz w:val="24"/>
        </w:rPr>
        <w:t>基金托管人：上海浦东发展银行股份有限公司</w:t>
      </w:r>
      <w:bookmarkEnd w:id="10"/>
    </w:p>
    <w:p>
      <w:pPr>
        <w:spacing w:line="360" w:lineRule="auto"/>
        <w:ind w:firstLine="480" w:firstLineChars="200"/>
        <w:rPr>
          <w:rFonts w:ascii="宋体" w:hAnsi="宋体"/>
          <w:sz w:val="24"/>
        </w:rPr>
      </w:pPr>
      <w:r>
        <w:rPr>
          <w:rFonts w:hint="eastAsia" w:ascii="宋体" w:hAnsi="宋体"/>
          <w:sz w:val="24"/>
        </w:rPr>
        <w:t>办公地址：上海市中山东一路12号</w:t>
      </w:r>
    </w:p>
    <w:p>
      <w:pPr>
        <w:spacing w:line="360" w:lineRule="auto"/>
        <w:ind w:firstLine="480" w:firstLineChars="200"/>
        <w:rPr>
          <w:rFonts w:ascii="宋体" w:hAnsi="宋体"/>
          <w:sz w:val="24"/>
        </w:rPr>
      </w:pPr>
      <w:r>
        <w:rPr>
          <w:rFonts w:hint="eastAsia" w:ascii="宋体" w:hAnsi="宋体"/>
          <w:sz w:val="24"/>
        </w:rPr>
        <w:t>法定代表人：郑杨</w:t>
      </w:r>
    </w:p>
    <w:p>
      <w:pPr>
        <w:spacing w:line="360" w:lineRule="auto"/>
        <w:ind w:firstLine="480" w:firstLineChars="200"/>
        <w:rPr>
          <w:rFonts w:ascii="宋体" w:hAnsi="宋体"/>
          <w:sz w:val="24"/>
        </w:rPr>
      </w:pPr>
      <w:r>
        <w:rPr>
          <w:rFonts w:hint="eastAsia" w:ascii="宋体" w:hAnsi="宋体"/>
          <w:sz w:val="24"/>
        </w:rPr>
        <w:t>成立日期：1992年10月19日</w:t>
      </w:r>
    </w:p>
    <w:p>
      <w:pPr>
        <w:spacing w:line="360" w:lineRule="auto"/>
        <w:ind w:firstLine="480" w:firstLineChars="200"/>
        <w:rPr>
          <w:rFonts w:ascii="宋体" w:hAnsi="宋体"/>
          <w:sz w:val="24"/>
        </w:rPr>
      </w:pPr>
      <w:r>
        <w:rPr>
          <w:rFonts w:hint="eastAsia" w:ascii="宋体" w:hAnsi="宋体"/>
          <w:sz w:val="24"/>
        </w:rPr>
        <w:t>基金托管业务资格批准机关：中国证监会</w:t>
      </w:r>
    </w:p>
    <w:p>
      <w:pPr>
        <w:spacing w:line="360" w:lineRule="auto"/>
        <w:ind w:firstLine="480" w:firstLineChars="200"/>
        <w:rPr>
          <w:rFonts w:ascii="宋体" w:hAnsi="宋体"/>
          <w:sz w:val="24"/>
        </w:rPr>
      </w:pPr>
      <w:r>
        <w:rPr>
          <w:rFonts w:hint="eastAsia" w:ascii="宋体" w:hAnsi="宋体"/>
          <w:sz w:val="24"/>
        </w:rPr>
        <w:t>基金托管业务资格文号：证监基金字[2003]105号</w:t>
      </w:r>
    </w:p>
    <w:p>
      <w:pPr>
        <w:spacing w:line="360" w:lineRule="auto"/>
        <w:ind w:firstLine="480" w:firstLineChars="200"/>
        <w:rPr>
          <w:rFonts w:ascii="宋体" w:hAnsi="宋体"/>
          <w:sz w:val="24"/>
        </w:rPr>
      </w:pPr>
      <w:r>
        <w:rPr>
          <w:rFonts w:hint="eastAsia" w:ascii="宋体" w:hAnsi="宋体"/>
          <w:sz w:val="24"/>
        </w:rPr>
        <w:t>组织形式：股份有限公司（上市）</w:t>
      </w:r>
    </w:p>
    <w:p>
      <w:pPr>
        <w:spacing w:line="360" w:lineRule="auto"/>
        <w:ind w:firstLine="480" w:firstLineChars="200"/>
        <w:rPr>
          <w:rFonts w:ascii="宋体" w:hAnsi="宋体"/>
          <w:sz w:val="24"/>
        </w:rPr>
      </w:pPr>
      <w:r>
        <w:rPr>
          <w:rFonts w:hint="eastAsia" w:ascii="宋体" w:hAnsi="宋体"/>
          <w:sz w:val="24"/>
        </w:rPr>
        <w:t>注册资本：人民币</w:t>
      </w:r>
      <w:r>
        <w:rPr>
          <w:rFonts w:ascii="宋体" w:hAnsi="宋体"/>
          <w:sz w:val="24"/>
        </w:rPr>
        <w:t>293.52</w:t>
      </w:r>
      <w:r>
        <w:rPr>
          <w:rFonts w:hint="eastAsia" w:ascii="宋体" w:hAnsi="宋体"/>
          <w:sz w:val="24"/>
        </w:rPr>
        <w:t>亿元</w:t>
      </w:r>
    </w:p>
    <w:p>
      <w:pPr>
        <w:spacing w:line="360" w:lineRule="auto"/>
        <w:ind w:firstLine="480" w:firstLineChars="200"/>
        <w:rPr>
          <w:rFonts w:ascii="宋体" w:hAnsi="宋体"/>
          <w:sz w:val="24"/>
        </w:rPr>
      </w:pPr>
      <w:r>
        <w:rPr>
          <w:rFonts w:hint="eastAsia" w:ascii="宋体" w:hAnsi="宋体"/>
          <w:sz w:val="24"/>
        </w:rPr>
        <w:t>经营期限：永久存续</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widowControl/>
        <w:spacing w:line="360" w:lineRule="auto"/>
        <w:ind w:firstLine="480" w:firstLineChars="200"/>
        <w:jc w:val="left"/>
        <w:rPr>
          <w:rFonts w:ascii="宋体" w:hAnsi="宋体" w:cs="Arial"/>
          <w:b/>
          <w:kern w:val="44"/>
          <w:sz w:val="24"/>
          <w:lang w:val="zh-CN"/>
        </w:rPr>
      </w:pPr>
      <w:bookmarkStart w:id="11" w:name="_Toc382819071"/>
      <w:r>
        <w:rPr>
          <w:rFonts w:ascii="宋体" w:hAnsi="宋体" w:cs="Arial"/>
          <w:sz w:val="24"/>
        </w:rPr>
        <w:br w:type="page"/>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180" w:name="_GoBack"/>
      <w:bookmarkEnd w:id="180"/>
      <w:r>
        <w:rPr>
          <w:rFonts w:hint="eastAsia" w:ascii="宋体" w:hAnsi="宋体" w:eastAsia="宋体" w:cs="Arial"/>
          <w:sz w:val="24"/>
          <w:szCs w:val="24"/>
        </w:rPr>
        <w:t>基金托管协议的依据、目的、原则和解释</w:t>
      </w:r>
      <w:bookmarkEnd w:id="11"/>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（一）依据</w:t>
      </w:r>
    </w:p>
    <w:p>
      <w:pPr>
        <w:spacing w:line="360" w:lineRule="auto"/>
        <w:ind w:firstLine="480" w:firstLineChars="200"/>
        <w:rPr>
          <w:rFonts w:ascii="宋体" w:hAnsi="宋体"/>
          <w:sz w:val="24"/>
        </w:rPr>
      </w:pPr>
      <w:r>
        <w:rPr>
          <w:rFonts w:hint="eastAsia" w:ascii="宋体" w:hAnsi="宋体"/>
          <w:sz w:val="24"/>
        </w:rPr>
        <w:t>本协议依据《中华人民共和国证券投资基金法》（以下简称《基金法》）、《公开募集证券投资基金运作管理办法》（以下简称《运作办法》）、《公开募集证券投资基金销售机构监督管理办法》、《公开</w:t>
      </w:r>
      <w:r>
        <w:rPr>
          <w:rFonts w:ascii="宋体" w:hAnsi="宋体"/>
          <w:sz w:val="24"/>
        </w:rPr>
        <w:t>募集证券投资基金信息披露管理办法</w:t>
      </w:r>
      <w:r>
        <w:rPr>
          <w:rFonts w:hint="eastAsia" w:ascii="宋体" w:hAnsi="宋体"/>
          <w:sz w:val="24"/>
        </w:rPr>
        <w:t>》（以下简称《信息披露办法》）、《公开募集开放式证券投资基金流动性风险管理规定》、《证券投资基金托管业务管理办法》、《证券投资基金信息披露内容与格式准则第7号〈托管协议的内容与格式〉》、《</w:t>
      </w:r>
      <w:r>
        <w:rPr>
          <w:rFonts w:hint="eastAsia" w:ascii="宋体" w:hAnsi="宋体"/>
          <w:sz w:val="24"/>
          <w:lang w:eastAsia="zh-CN"/>
        </w:rPr>
        <w:t>中泰安悦</w:t>
      </w:r>
      <w:r>
        <w:rPr>
          <w:rFonts w:hint="eastAsia" w:ascii="宋体" w:hAnsi="宋体"/>
          <w:sz w:val="24"/>
        </w:rPr>
        <w:t>6个月定期开放债券型证券投资基金基金合同》（以下简称《基金合同》）及其他有关法律、法规制定。</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（二）目的</w:t>
      </w:r>
    </w:p>
    <w:p>
      <w:pPr>
        <w:spacing w:line="360" w:lineRule="auto"/>
        <w:ind w:firstLine="480" w:firstLineChars="200"/>
        <w:rPr>
          <w:rFonts w:ascii="宋体" w:hAnsi="宋体"/>
          <w:sz w:val="24"/>
        </w:rPr>
      </w:pPr>
      <w:r>
        <w:rPr>
          <w:rFonts w:hint="eastAsia" w:ascii="宋体" w:hAnsi="宋体"/>
          <w:sz w:val="24"/>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（三）原则</w:t>
      </w:r>
    </w:p>
    <w:p>
      <w:pPr>
        <w:spacing w:line="360" w:lineRule="auto"/>
        <w:ind w:firstLine="480" w:firstLineChars="200"/>
        <w:rPr>
          <w:rFonts w:ascii="宋体" w:hAnsi="宋体"/>
          <w:sz w:val="24"/>
        </w:rPr>
      </w:pPr>
      <w:r>
        <w:rPr>
          <w:rFonts w:hint="eastAsia" w:ascii="宋体" w:hAnsi="宋体"/>
          <w:sz w:val="24"/>
        </w:rPr>
        <w:t>基金管理人和基金托管人本着平等自愿、诚实信用、充分保护基金份额持有人合法权益的原则，经协商一致，签订本协议。</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（四）解释</w:t>
      </w:r>
    </w:p>
    <w:p>
      <w:pPr>
        <w:spacing w:after="120" w:line="360" w:lineRule="auto"/>
        <w:ind w:firstLine="480" w:firstLineChars="200"/>
        <w:rPr>
          <w:rFonts w:ascii="宋体" w:hAnsi="宋体"/>
          <w:sz w:val="24"/>
        </w:rPr>
      </w:pPr>
      <w:r>
        <w:rPr>
          <w:rFonts w:hint="eastAsia" w:ascii="宋体" w:hAnsi="宋体"/>
          <w:sz w:val="24"/>
        </w:rPr>
        <w:t>除非本协议另有约定，本协议所有术语与《基金合同》的相应术语具有相同含义。</w:t>
      </w:r>
    </w:p>
    <w:p>
      <w:pPr>
        <w:spacing w:after="120" w:line="360" w:lineRule="auto"/>
        <w:ind w:firstLine="480" w:firstLineChars="200"/>
        <w:rPr>
          <w:rFonts w:ascii="宋体" w:hAnsi="宋体"/>
          <w:sz w:val="24"/>
        </w:rPr>
      </w:pPr>
      <w:r>
        <w:rPr>
          <w:rFonts w:ascii="宋体" w:hAnsi="宋体"/>
          <w:sz w:val="24"/>
        </w:rPr>
        <w:t>（</w:t>
      </w:r>
      <w:r>
        <w:rPr>
          <w:rFonts w:hint="eastAsia" w:ascii="宋体" w:hAnsi="宋体"/>
          <w:sz w:val="24"/>
        </w:rPr>
        <w:t>五</w:t>
      </w:r>
      <w:r>
        <w:rPr>
          <w:rFonts w:ascii="宋体" w:hAnsi="宋体"/>
          <w:sz w:val="24"/>
        </w:rPr>
        <w:t>）</w:t>
      </w:r>
      <w:r>
        <w:rPr>
          <w:rFonts w:hint="eastAsia" w:ascii="宋体" w:hAnsi="宋体"/>
          <w:sz w:val="24"/>
        </w:rPr>
        <w:t>若本基金实施侧袋机制的，侧袋机制实施期间的相关安排见基金合同和招募说明书的规定。</w:t>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12" w:name="_Toc382819072"/>
      <w:r>
        <w:rPr>
          <w:rFonts w:hint="eastAsia" w:ascii="宋体" w:hAnsi="宋体" w:eastAsia="宋体" w:cs="Arial"/>
          <w:sz w:val="24"/>
          <w:szCs w:val="24"/>
        </w:rPr>
        <w:t>基金托管人对基金管理人的业务监督和核查</w:t>
      </w:r>
      <w:bookmarkEnd w:id="12"/>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13" w:name="_Toc382819073"/>
      <w:r>
        <w:rPr>
          <w:rFonts w:hint="eastAsia" w:ascii="宋体" w:hAnsi="宋体" w:eastAsia="宋体"/>
          <w:b w:val="0"/>
          <w:bCs w:val="0"/>
          <w:sz w:val="24"/>
          <w:szCs w:val="24"/>
        </w:rPr>
        <w:t>（一）基金托管人对基金管理人的投资行为行使监督权</w:t>
      </w:r>
      <w:bookmarkEnd w:id="13"/>
    </w:p>
    <w:p>
      <w:pPr>
        <w:spacing w:line="360" w:lineRule="auto"/>
        <w:ind w:firstLine="480" w:firstLineChars="200"/>
        <w:rPr>
          <w:rFonts w:ascii="宋体" w:hAnsi="宋体" w:cs="宋体"/>
          <w:kern w:val="0"/>
          <w:sz w:val="24"/>
        </w:rPr>
      </w:pPr>
      <w:r>
        <w:rPr>
          <w:rFonts w:hint="eastAsia" w:ascii="宋体" w:hAnsi="宋体" w:cs="宋体"/>
          <w:kern w:val="0"/>
          <w:sz w:val="24"/>
        </w:rPr>
        <w:t>1.基金托管人根据有关法律法规的规定和《基金合同》的约定，对下述基金投资范围、投资对象进行监督。</w:t>
      </w:r>
    </w:p>
    <w:p>
      <w:pPr>
        <w:spacing w:line="360" w:lineRule="auto"/>
        <w:ind w:firstLine="480" w:firstLineChars="200"/>
        <w:rPr>
          <w:rFonts w:ascii="宋体" w:hAnsi="宋体" w:cs="宋体"/>
          <w:kern w:val="0"/>
          <w:sz w:val="24"/>
        </w:rPr>
      </w:pPr>
      <w:r>
        <w:rPr>
          <w:rFonts w:hint="eastAsia" w:ascii="宋体" w:hAnsi="宋体" w:cs="宋体"/>
          <w:kern w:val="0"/>
          <w:sz w:val="24"/>
        </w:rPr>
        <w:t>本基金将投资于以下金融工具：</w:t>
      </w:r>
    </w:p>
    <w:p>
      <w:pPr>
        <w:spacing w:line="360" w:lineRule="auto"/>
        <w:ind w:firstLine="480" w:firstLineChars="200"/>
        <w:rPr>
          <w:rFonts w:ascii="宋体" w:hAnsi="宋体" w:cs="宋体"/>
          <w:kern w:val="0"/>
          <w:sz w:val="24"/>
        </w:rPr>
      </w:pPr>
      <w:r>
        <w:rPr>
          <w:rFonts w:hint="eastAsia" w:ascii="宋体" w:hAnsi="宋体" w:cs="宋体"/>
          <w:kern w:val="0"/>
          <w:sz w:val="24"/>
        </w:rPr>
        <w:t>本基金的投资范围主要为具有良好流动性的金融工具，包括国内依法发行上市的债券（包括国债、央行票据、地方政府债、金融债、企业债、公司债、政府支持机构债、可分离交易可转债的纯债部分、次级债、中期票据、短期融资券、超短期融资券）、资产支持证券、债券回购、银行存款、同业存单、货币市场工具、国债期货以及法律法规或中国证监会允许基金投资的其他金融工具（但须符合中国证监会相关规定）。</w:t>
      </w:r>
    </w:p>
    <w:p>
      <w:pPr>
        <w:spacing w:line="360" w:lineRule="auto"/>
        <w:ind w:firstLine="480" w:firstLineChars="200"/>
        <w:rPr>
          <w:rFonts w:ascii="宋体" w:hAnsi="宋体" w:cs="宋体"/>
          <w:kern w:val="0"/>
          <w:sz w:val="24"/>
        </w:rPr>
      </w:pPr>
      <w:r>
        <w:rPr>
          <w:rFonts w:hint="eastAsia" w:ascii="宋体" w:hAnsi="宋体" w:cs="宋体"/>
          <w:kern w:val="0"/>
          <w:sz w:val="24"/>
        </w:rPr>
        <w:t>本基金不投资于股票，也不投资于可转换债券（可分离交易可转债的纯债部分除外）、可交换债券。</w:t>
      </w:r>
    </w:p>
    <w:p>
      <w:pPr>
        <w:spacing w:line="360" w:lineRule="auto"/>
        <w:ind w:firstLine="480" w:firstLineChars="200"/>
        <w:rPr>
          <w:rFonts w:ascii="宋体" w:hAnsi="宋体" w:cs="宋体"/>
          <w:kern w:val="0"/>
          <w:sz w:val="24"/>
        </w:rPr>
      </w:pPr>
      <w:r>
        <w:rPr>
          <w:rFonts w:hint="eastAsia" w:ascii="宋体" w:hAnsi="宋体" w:cs="宋体"/>
          <w:kern w:val="0"/>
          <w:sz w:val="24"/>
        </w:rPr>
        <w:t>如法律法规或监管机构以后允许基金投资其他品种，基金管理人在履行适当程序后，可以将其纳入投资范围。</w:t>
      </w:r>
    </w:p>
    <w:p>
      <w:pPr>
        <w:spacing w:line="360" w:lineRule="auto"/>
        <w:ind w:firstLine="480" w:firstLineChars="200"/>
        <w:rPr>
          <w:rFonts w:ascii="宋体" w:hAnsi="宋体" w:cs="宋体"/>
          <w:kern w:val="0"/>
          <w:sz w:val="24"/>
        </w:rPr>
      </w:pPr>
      <w:r>
        <w:rPr>
          <w:rFonts w:hint="eastAsia" w:ascii="宋体" w:hAnsi="宋体" w:cs="宋体"/>
          <w:kern w:val="0"/>
          <w:sz w:val="24"/>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pPr>
        <w:spacing w:line="360" w:lineRule="auto"/>
        <w:ind w:firstLine="480" w:firstLineChars="200"/>
        <w:rPr>
          <w:rFonts w:ascii="宋体" w:hAnsi="宋体" w:cs="宋体"/>
          <w:kern w:val="0"/>
          <w:sz w:val="24"/>
        </w:rPr>
      </w:pPr>
      <w:r>
        <w:rPr>
          <w:rFonts w:hint="eastAsia" w:ascii="宋体" w:hAnsi="宋体" w:cs="宋体"/>
          <w:kern w:val="0"/>
          <w:sz w:val="24"/>
        </w:rPr>
        <w:t>2.基金托管人根据有关法律法规的规定及《基金合同》的约定对下述基金投融资比例进行监督：</w:t>
      </w:r>
    </w:p>
    <w:p>
      <w:pPr>
        <w:spacing w:line="360" w:lineRule="auto"/>
        <w:ind w:firstLine="480" w:firstLineChars="200"/>
        <w:rPr>
          <w:rFonts w:ascii="宋体" w:hAnsi="宋体" w:cs="宋体"/>
          <w:kern w:val="0"/>
          <w:sz w:val="24"/>
        </w:rPr>
      </w:pPr>
      <w:r>
        <w:rPr>
          <w:rFonts w:hint="eastAsia" w:ascii="宋体" w:hAnsi="宋体" w:cs="宋体"/>
          <w:kern w:val="0"/>
          <w:sz w:val="24"/>
        </w:rPr>
        <w:t>（1）按法律法规的规定及《基金合同》的约定，本基金的投资资产配置比例为：</w:t>
      </w:r>
    </w:p>
    <w:p>
      <w:pPr>
        <w:spacing w:line="360" w:lineRule="auto"/>
        <w:ind w:firstLine="480" w:firstLineChars="200"/>
        <w:rPr>
          <w:rFonts w:ascii="宋体" w:hAnsi="宋体" w:cs="宋体"/>
          <w:kern w:val="0"/>
          <w:sz w:val="24"/>
        </w:rPr>
      </w:pPr>
      <w:r>
        <w:rPr>
          <w:rFonts w:hint="eastAsia" w:ascii="宋体" w:hAnsi="宋体" w:cs="宋体"/>
          <w:kern w:val="0"/>
          <w:sz w:val="24"/>
        </w:rPr>
        <w:t>本基金的投资组合比例为：本基金投资于债券资产的比例不低于基金资产的80%（每个开放期开始前10个工作日至开放期结束后10个工作日内不受此比例限制）；开放期内，本基金每个交易日日终在扣除国债期货合约需缴纳的交易保证金后，持有的现金或者到期日在一年以内的政府债券不低于基金资产净值的5%；封闭期内，本基金不受上述5%的限制，但每个交易日日终在扣除国债期货合约需缴纳的交易保证金后，应当保持不低于交易保证金一倍的现金。前述现金不包括结算备付金，存出保证金和应收申购款等。</w:t>
      </w:r>
    </w:p>
    <w:p>
      <w:pPr>
        <w:spacing w:line="360" w:lineRule="auto"/>
        <w:ind w:firstLine="480" w:firstLineChars="200"/>
        <w:rPr>
          <w:rFonts w:ascii="宋体" w:hAnsi="宋体" w:cs="宋体"/>
          <w:kern w:val="0"/>
          <w:sz w:val="24"/>
        </w:rPr>
      </w:pPr>
      <w:r>
        <w:rPr>
          <w:rFonts w:hint="eastAsia" w:ascii="宋体" w:hAnsi="宋体" w:cs="宋体"/>
          <w:kern w:val="0"/>
          <w:sz w:val="24"/>
        </w:rPr>
        <w:t>如法律法规或监管机构以后变更投资品种的比例限制，基金管理人在履行适当程序后，可以调整上述投资品种的投资比例。</w:t>
      </w:r>
    </w:p>
    <w:p>
      <w:pPr>
        <w:spacing w:line="360" w:lineRule="auto"/>
        <w:ind w:firstLine="480" w:firstLineChars="200"/>
        <w:rPr>
          <w:rFonts w:ascii="宋体" w:hAnsi="宋体" w:cs="宋体"/>
          <w:kern w:val="0"/>
          <w:sz w:val="24"/>
        </w:rPr>
      </w:pPr>
      <w:r>
        <w:rPr>
          <w:rFonts w:hint="eastAsia" w:ascii="宋体" w:hAnsi="宋体" w:cs="宋体"/>
          <w:kern w:val="0"/>
          <w:sz w:val="24"/>
        </w:rPr>
        <w:t>因基金规模或市场变化等因素导致投资组合不符合上述规定的，基金管理人应在合理的期限内调整基金的投资组合，以符合上述比例限定。法律法规另有规定时，从其规定。</w:t>
      </w:r>
    </w:p>
    <w:p>
      <w:pPr>
        <w:spacing w:line="360" w:lineRule="auto"/>
        <w:ind w:firstLine="480" w:firstLineChars="200"/>
        <w:rPr>
          <w:rFonts w:ascii="宋体" w:hAnsi="宋体" w:cs="宋体"/>
          <w:kern w:val="0"/>
          <w:sz w:val="24"/>
        </w:rPr>
      </w:pPr>
      <w:r>
        <w:rPr>
          <w:rFonts w:hint="eastAsia" w:ascii="宋体" w:hAnsi="宋体" w:cs="宋体"/>
          <w:kern w:val="0"/>
          <w:sz w:val="24"/>
        </w:rPr>
        <w:t>（2）</w:t>
      </w:r>
      <w:bookmarkStart w:id="14" w:name="OLE_LINK32"/>
      <w:bookmarkStart w:id="15" w:name="OLE_LINK31"/>
      <w:r>
        <w:rPr>
          <w:rFonts w:hint="eastAsia" w:ascii="宋体" w:hAnsi="宋体" w:cs="宋体"/>
          <w:kern w:val="0"/>
          <w:sz w:val="24"/>
        </w:rPr>
        <w:t>根据法律法规的规定及《基金合同》的约定，本基金投资组合遵循以下投资限制：</w:t>
      </w:r>
    </w:p>
    <w:bookmarkEnd w:id="14"/>
    <w:bookmarkEnd w:id="15"/>
    <w:p>
      <w:pPr>
        <w:spacing w:line="360" w:lineRule="auto"/>
        <w:ind w:firstLine="480" w:firstLineChars="200"/>
        <w:rPr>
          <w:rFonts w:ascii="宋体" w:hAnsi="宋体" w:cs="宋体"/>
          <w:kern w:val="0"/>
          <w:sz w:val="24"/>
        </w:rPr>
      </w:pPr>
      <w:r>
        <w:rPr>
          <w:rFonts w:ascii="宋体" w:hAnsi="宋体" w:cs="宋体"/>
          <w:kern w:val="0"/>
          <w:sz w:val="24"/>
        </w:rPr>
        <w:t>1）本基金投资债券资产的比例不低于基金资产的80%，但每个开放期开始前10个工作日至开放期结束后10个工作日内不受此比例限制</w:t>
      </w:r>
      <w:r>
        <w:rPr>
          <w:rFonts w:hint="eastAsia" w:ascii="宋体" w:hAnsi="宋体" w:cs="宋体"/>
          <w:kern w:val="0"/>
          <w:sz w:val="24"/>
        </w:rPr>
        <w:t>；</w:t>
      </w:r>
    </w:p>
    <w:p>
      <w:pPr>
        <w:spacing w:line="360" w:lineRule="auto"/>
        <w:ind w:firstLine="480" w:firstLineChars="200"/>
        <w:rPr>
          <w:rFonts w:ascii="宋体" w:hAnsi="宋体" w:cs="宋体"/>
          <w:kern w:val="0"/>
          <w:sz w:val="24"/>
        </w:rPr>
      </w:pPr>
      <w:r>
        <w:rPr>
          <w:rFonts w:ascii="宋体" w:hAnsi="宋体" w:cs="宋体"/>
          <w:kern w:val="0"/>
          <w:sz w:val="24"/>
        </w:rPr>
        <w:t>2）开放期内，本基金每个交易日日终在扣</w:t>
      </w:r>
      <w:r>
        <w:rPr>
          <w:rFonts w:hint="eastAsia" w:ascii="宋体" w:hAnsi="宋体" w:cs="宋体"/>
          <w:kern w:val="0"/>
          <w:sz w:val="24"/>
        </w:rPr>
        <w:t>除</w:t>
      </w:r>
      <w:r>
        <w:rPr>
          <w:rFonts w:ascii="宋体" w:hAnsi="宋体" w:cs="宋体"/>
          <w:kern w:val="0"/>
          <w:sz w:val="24"/>
        </w:rPr>
        <w:t>国债期货合约需缴纳的交易保证金后</w:t>
      </w:r>
      <w:r>
        <w:rPr>
          <w:rFonts w:hint="eastAsia" w:ascii="宋体" w:hAnsi="宋体" w:cs="宋体"/>
          <w:kern w:val="0"/>
          <w:sz w:val="24"/>
        </w:rPr>
        <w:t>，</w:t>
      </w:r>
      <w:r>
        <w:rPr>
          <w:rFonts w:ascii="宋体" w:hAnsi="宋体" w:cs="宋体"/>
          <w:kern w:val="0"/>
          <w:sz w:val="24"/>
        </w:rPr>
        <w:t>持有的现金或者到期日在一年以内的政府债券不低于基金资产净值的5%；封闭期内，本基金不受上述5%的限制，但每个交易日日终在扣除国债期货合约需缴纳的交易保证金后，应当保持不低于交易保证金一倍的现金</w:t>
      </w:r>
      <w:r>
        <w:rPr>
          <w:rFonts w:hint="eastAsia" w:ascii="宋体" w:hAnsi="宋体" w:cs="宋体"/>
          <w:kern w:val="0"/>
          <w:sz w:val="24"/>
        </w:rPr>
        <w:t>。</w:t>
      </w:r>
      <w:r>
        <w:rPr>
          <w:rFonts w:ascii="宋体" w:hAnsi="宋体" w:cs="宋体"/>
          <w:kern w:val="0"/>
          <w:sz w:val="24"/>
        </w:rPr>
        <w:t>前述现金不包括结算备付金，存出保证金和应收申购款等；</w:t>
      </w:r>
    </w:p>
    <w:p>
      <w:pPr>
        <w:spacing w:line="360" w:lineRule="auto"/>
        <w:ind w:firstLine="480" w:firstLineChars="200"/>
        <w:rPr>
          <w:rFonts w:ascii="宋体" w:hAnsi="宋体" w:cs="宋体"/>
          <w:kern w:val="0"/>
          <w:sz w:val="24"/>
        </w:rPr>
      </w:pPr>
      <w:r>
        <w:rPr>
          <w:rFonts w:ascii="宋体" w:hAnsi="宋体" w:cs="宋体"/>
          <w:kern w:val="0"/>
          <w:sz w:val="24"/>
        </w:rPr>
        <w:t>3）本基金持有一家公司发行的证券，其市值不超过基金资产净值的10%；</w:t>
      </w:r>
    </w:p>
    <w:p>
      <w:pPr>
        <w:spacing w:line="360" w:lineRule="auto"/>
        <w:ind w:firstLine="480" w:firstLineChars="200"/>
        <w:rPr>
          <w:rFonts w:ascii="宋体" w:hAnsi="宋体" w:cs="宋体"/>
          <w:kern w:val="0"/>
          <w:sz w:val="24"/>
        </w:rPr>
      </w:pPr>
      <w:r>
        <w:rPr>
          <w:rFonts w:ascii="宋体" w:hAnsi="宋体" w:cs="宋体"/>
          <w:kern w:val="0"/>
          <w:sz w:val="24"/>
        </w:rPr>
        <w:t>4）本基金管理人管理的全部基金持有一家公司发行的证券，不超过该证券的10%，完全按照有关指数的构成比例进行证券投资的基金品种可以不受此条款规定的比例限制；</w:t>
      </w:r>
    </w:p>
    <w:p>
      <w:pPr>
        <w:spacing w:line="360" w:lineRule="auto"/>
        <w:ind w:firstLine="480" w:firstLineChars="200"/>
        <w:rPr>
          <w:rFonts w:ascii="宋体" w:hAnsi="宋体" w:cs="宋体"/>
          <w:kern w:val="0"/>
          <w:sz w:val="24"/>
        </w:rPr>
      </w:pPr>
      <w:r>
        <w:rPr>
          <w:rFonts w:ascii="宋体" w:hAnsi="宋体" w:cs="宋体"/>
          <w:kern w:val="0"/>
          <w:sz w:val="24"/>
        </w:rPr>
        <w:t>5）本基金投资于同一原始权益人的各类资产支持证券的比例，不得超过基金资产净值的10%；</w:t>
      </w:r>
    </w:p>
    <w:p>
      <w:pPr>
        <w:spacing w:line="360" w:lineRule="auto"/>
        <w:ind w:firstLine="480" w:firstLineChars="200"/>
        <w:rPr>
          <w:rFonts w:ascii="宋体" w:hAnsi="宋体" w:cs="宋体"/>
          <w:kern w:val="0"/>
          <w:sz w:val="24"/>
        </w:rPr>
      </w:pPr>
      <w:r>
        <w:rPr>
          <w:rFonts w:ascii="宋体" w:hAnsi="宋体" w:cs="宋体"/>
          <w:kern w:val="0"/>
          <w:sz w:val="24"/>
        </w:rPr>
        <w:t>6）本基金持有的全部资产支持证券，其市值不得超过基金资产净值的20%；</w:t>
      </w:r>
    </w:p>
    <w:p>
      <w:pPr>
        <w:spacing w:line="360" w:lineRule="auto"/>
        <w:ind w:firstLine="480" w:firstLineChars="200"/>
        <w:rPr>
          <w:rFonts w:ascii="宋体" w:hAnsi="宋体" w:cs="宋体"/>
          <w:kern w:val="0"/>
          <w:sz w:val="24"/>
        </w:rPr>
      </w:pPr>
      <w:r>
        <w:rPr>
          <w:rFonts w:ascii="宋体" w:hAnsi="宋体" w:cs="宋体"/>
          <w:kern w:val="0"/>
          <w:sz w:val="24"/>
        </w:rPr>
        <w:t>7）本基金持有的同一（指同一信用级别）资产支持证券的比例，不得超过该资产支持证券规模的10%；</w:t>
      </w:r>
    </w:p>
    <w:p>
      <w:pPr>
        <w:spacing w:line="360" w:lineRule="auto"/>
        <w:ind w:firstLine="480" w:firstLineChars="200"/>
        <w:rPr>
          <w:rFonts w:ascii="宋体" w:hAnsi="宋体" w:cs="宋体"/>
          <w:kern w:val="0"/>
          <w:sz w:val="24"/>
        </w:rPr>
      </w:pPr>
      <w:r>
        <w:rPr>
          <w:rFonts w:ascii="宋体" w:hAnsi="宋体" w:cs="宋体"/>
          <w:kern w:val="0"/>
          <w:sz w:val="24"/>
        </w:rPr>
        <w:t>8）本基金管理人管理的全部基金投资于同一原始权益人的各类资产支持证券，不得超过其各类资产支持证券合计规模的10%；</w:t>
      </w:r>
    </w:p>
    <w:p>
      <w:pPr>
        <w:spacing w:line="360" w:lineRule="auto"/>
        <w:ind w:firstLine="480" w:firstLineChars="200"/>
        <w:rPr>
          <w:rFonts w:ascii="宋体" w:hAnsi="宋体" w:cs="宋体"/>
          <w:kern w:val="0"/>
          <w:sz w:val="24"/>
        </w:rPr>
      </w:pPr>
      <w:r>
        <w:rPr>
          <w:rFonts w:hint="eastAsia" w:ascii="宋体" w:hAnsi="宋体" w:cs="宋体"/>
          <w:kern w:val="0"/>
          <w:sz w:val="24"/>
          <w:lang w:val="en-US" w:eastAsia="zh-CN"/>
        </w:rPr>
        <w:t>9</w:t>
      </w:r>
      <w:r>
        <w:rPr>
          <w:rFonts w:ascii="宋体" w:hAnsi="宋体" w:cs="宋体"/>
          <w:kern w:val="0"/>
          <w:sz w:val="24"/>
        </w:rPr>
        <w:t>）在封闭期内，本基金资产总值不得超过基金资产净值的200%；开放期内，本基金资产总值不超过基金资产净值的140%；</w:t>
      </w:r>
    </w:p>
    <w:p>
      <w:pPr>
        <w:spacing w:line="360" w:lineRule="auto"/>
        <w:ind w:firstLine="480" w:firstLineChars="200"/>
        <w:rPr>
          <w:rFonts w:ascii="宋体" w:hAnsi="宋体" w:cs="宋体"/>
          <w:kern w:val="0"/>
          <w:sz w:val="24"/>
        </w:rPr>
      </w:pPr>
      <w:r>
        <w:rPr>
          <w:rFonts w:hint="eastAsia" w:ascii="宋体" w:hAnsi="宋体" w:cs="宋体"/>
          <w:kern w:val="0"/>
          <w:sz w:val="24"/>
          <w:lang w:val="en-US" w:eastAsia="zh-CN"/>
        </w:rPr>
        <w:t>10</w:t>
      </w:r>
      <w:r>
        <w:rPr>
          <w:rFonts w:ascii="宋体" w:hAnsi="宋体" w:cs="宋体"/>
          <w:kern w:val="0"/>
          <w:sz w:val="24"/>
        </w:rPr>
        <w:t>）在开放期内，本基金债券正回购资金余额或逆回购资金余额不得超过其上一日基金资产净值的40%；在封闭期内，本基金债券正回购资金余额或逆回购资金余额不得超过其上一日基金资产净值的100%。本基金在全国银行间同业市场中的债券回购最长期限为1年，债券回购到期后不得展期；</w:t>
      </w:r>
    </w:p>
    <w:p>
      <w:pPr>
        <w:spacing w:line="360" w:lineRule="auto"/>
        <w:ind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lang w:val="en-US" w:eastAsia="zh-CN"/>
        </w:rPr>
        <w:t>1</w:t>
      </w:r>
      <w:r>
        <w:rPr>
          <w:rFonts w:ascii="宋体" w:hAnsi="宋体" w:cs="宋体"/>
          <w:kern w:val="0"/>
          <w:sz w:val="24"/>
        </w:rPr>
        <w:t>）在开放期内，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pPr>
        <w:spacing w:line="360" w:lineRule="auto"/>
        <w:ind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lang w:val="en-US" w:eastAsia="zh-CN"/>
        </w:rPr>
        <w:t>2</w:t>
      </w:r>
      <w:r>
        <w:rPr>
          <w:rFonts w:ascii="宋体" w:hAnsi="宋体" w:cs="宋体"/>
          <w:kern w:val="0"/>
          <w:sz w:val="24"/>
        </w:rPr>
        <w:t>）本基金与私募类证券资管产品及中国证监会认定的其他主体为交易对手开展逆回购交易的，可接受质押品的资质要求应当与基金合同约定的投资范围保持一致；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lang w:val="en-US" w:eastAsia="zh-CN"/>
        </w:rPr>
        <w:t>3</w:t>
      </w:r>
      <w:r>
        <w:rPr>
          <w:rFonts w:ascii="宋体" w:hAnsi="宋体" w:cs="宋体"/>
          <w:kern w:val="0"/>
          <w:sz w:val="24"/>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pPr>
        <w:spacing w:line="360" w:lineRule="auto"/>
        <w:ind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lang w:val="en-US" w:eastAsia="zh-CN"/>
        </w:rPr>
        <w:t>4</w:t>
      </w:r>
      <w:r>
        <w:rPr>
          <w:rFonts w:ascii="宋体" w:hAnsi="宋体" w:cs="宋体"/>
          <w:kern w:val="0"/>
          <w:sz w:val="24"/>
        </w:rPr>
        <w:t>）法律法规及中国证监会规定的和《基金合同》约定的其他投资限制。</w:t>
      </w:r>
    </w:p>
    <w:p>
      <w:pPr>
        <w:spacing w:line="360" w:lineRule="auto"/>
        <w:ind w:firstLine="480" w:firstLineChars="200"/>
        <w:rPr>
          <w:rFonts w:ascii="宋体" w:hAnsi="宋体" w:cs="宋体"/>
          <w:kern w:val="0"/>
          <w:sz w:val="24"/>
        </w:rPr>
      </w:pPr>
      <w:r>
        <w:rPr>
          <w:rFonts w:hint="eastAsia" w:ascii="宋体" w:hAnsi="宋体" w:cs="宋体"/>
          <w:kern w:val="0"/>
          <w:sz w:val="24"/>
        </w:rPr>
        <w:t>基金托管人对上述指标的监督义务，仅限于监督由基金管理人管理且由基金托管人托管的全部公募基金是否符合上述比例限制。</w:t>
      </w:r>
    </w:p>
    <w:p>
      <w:pPr>
        <w:spacing w:line="360" w:lineRule="auto"/>
        <w:ind w:firstLine="480" w:firstLineChars="200"/>
        <w:rPr>
          <w:rFonts w:ascii="宋体" w:hAnsi="宋体" w:cs="宋体"/>
          <w:kern w:val="0"/>
          <w:sz w:val="24"/>
        </w:rPr>
      </w:pPr>
      <w:r>
        <w:rPr>
          <w:rFonts w:hint="eastAsia" w:ascii="宋体" w:hAnsi="宋体" w:cs="宋体"/>
          <w:kern w:val="0"/>
          <w:sz w:val="24"/>
        </w:rPr>
        <w:t>（3）</w:t>
      </w:r>
      <w:bookmarkStart w:id="16" w:name="OLE_LINK33"/>
      <w:r>
        <w:rPr>
          <w:rFonts w:hint="eastAsia" w:ascii="宋体" w:hAnsi="宋体" w:cs="宋体"/>
          <w:kern w:val="0"/>
          <w:sz w:val="24"/>
        </w:rPr>
        <w:t>法律法规允许的基金投资比例调整期限</w:t>
      </w:r>
    </w:p>
    <w:p>
      <w:pPr>
        <w:spacing w:line="360" w:lineRule="auto"/>
        <w:ind w:firstLine="480" w:firstLineChars="200"/>
        <w:rPr>
          <w:rFonts w:ascii="宋体" w:hAnsi="宋体" w:cs="宋体"/>
          <w:kern w:val="0"/>
          <w:sz w:val="24"/>
        </w:rPr>
      </w:pPr>
      <w:r>
        <w:rPr>
          <w:rFonts w:hint="eastAsia" w:ascii="宋体" w:hAnsi="宋体" w:cs="宋体"/>
          <w:kern w:val="0"/>
          <w:sz w:val="24"/>
        </w:rPr>
        <w:t>除上述</w:t>
      </w:r>
      <w:r>
        <w:rPr>
          <w:rFonts w:ascii="宋体" w:hAnsi="宋体" w:cs="宋体"/>
          <w:kern w:val="0"/>
          <w:sz w:val="24"/>
        </w:rPr>
        <w:t>第</w:t>
      </w: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lang w:val="en-US" w:eastAsia="zh-CN"/>
        </w:rPr>
        <w:t>1</w:t>
      </w:r>
      <w:r>
        <w:rPr>
          <w:rFonts w:ascii="宋体" w:hAnsi="宋体" w:cs="宋体"/>
          <w:kern w:val="0"/>
          <w:sz w:val="24"/>
        </w:rPr>
        <w:t>）</w:t>
      </w: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lang w:val="en-US" w:eastAsia="zh-CN"/>
        </w:rPr>
        <w:t>2</w:t>
      </w:r>
      <w:r>
        <w:rPr>
          <w:rFonts w:ascii="宋体" w:hAnsi="宋体" w:cs="宋体"/>
          <w:kern w:val="0"/>
          <w:sz w:val="24"/>
        </w:rPr>
        <w:t>）</w:t>
      </w:r>
      <w:r>
        <w:rPr>
          <w:rFonts w:hint="eastAsia" w:ascii="宋体" w:hAnsi="宋体" w:cs="宋体"/>
          <w:kern w:val="0"/>
          <w:sz w:val="24"/>
        </w:rPr>
        <w:t>项</w:t>
      </w:r>
      <w:r>
        <w:rPr>
          <w:rFonts w:ascii="宋体" w:hAnsi="宋体" w:cs="宋体"/>
          <w:kern w:val="0"/>
          <w:sz w:val="24"/>
        </w:rPr>
        <w:t>外，因证券</w:t>
      </w:r>
      <w:r>
        <w:rPr>
          <w:rFonts w:hint="eastAsia" w:ascii="宋体" w:hAnsi="宋体" w:cs="宋体"/>
          <w:kern w:val="0"/>
          <w:sz w:val="24"/>
        </w:rPr>
        <w:t>/期货</w:t>
      </w:r>
      <w:r>
        <w:rPr>
          <w:rFonts w:ascii="宋体" w:hAnsi="宋体" w:cs="宋体"/>
          <w:kern w:val="0"/>
          <w:sz w:val="24"/>
        </w:rPr>
        <w:t>市场波动、</w:t>
      </w:r>
      <w:r>
        <w:rPr>
          <w:rFonts w:hint="eastAsia" w:ascii="宋体" w:hAnsi="宋体" w:cs="宋体"/>
          <w:kern w:val="0"/>
          <w:sz w:val="24"/>
        </w:rPr>
        <w:t>证券发行人</w:t>
      </w:r>
      <w:r>
        <w:rPr>
          <w:rFonts w:ascii="宋体" w:hAnsi="宋体" w:cs="宋体"/>
          <w:kern w:val="0"/>
          <w:sz w:val="24"/>
        </w:rPr>
        <w:t>合并、基金规模变动等基金管理人之外的因素致使基金投资比例不符合上述规定投资比例的，基金管理人应当在10个交易日内进行调整</w:t>
      </w:r>
      <w:r>
        <w:rPr>
          <w:rFonts w:hint="eastAsia" w:ascii="宋体" w:hAnsi="宋体" w:cs="宋体"/>
          <w:kern w:val="0"/>
          <w:sz w:val="24"/>
        </w:rPr>
        <w:t>，</w:t>
      </w:r>
      <w:r>
        <w:rPr>
          <w:rFonts w:ascii="宋体" w:hAnsi="宋体" w:cs="宋体"/>
          <w:kern w:val="0"/>
          <w:sz w:val="24"/>
        </w:rPr>
        <w:t>但</w:t>
      </w:r>
      <w:r>
        <w:rPr>
          <w:rFonts w:hint="eastAsia" w:ascii="宋体" w:hAnsi="宋体" w:cs="宋体"/>
          <w:kern w:val="0"/>
          <w:sz w:val="24"/>
        </w:rPr>
        <w:t>法律法规</w:t>
      </w:r>
      <w:r>
        <w:rPr>
          <w:rFonts w:ascii="宋体" w:hAnsi="宋体" w:cs="宋体"/>
          <w:kern w:val="0"/>
          <w:sz w:val="24"/>
        </w:rPr>
        <w:t>、中国证监会规定的特殊情形除外。</w:t>
      </w:r>
    </w:p>
    <w:bookmarkEnd w:id="16"/>
    <w:p>
      <w:pPr>
        <w:spacing w:line="360" w:lineRule="auto"/>
        <w:ind w:right="28" w:firstLine="480" w:firstLineChars="200"/>
        <w:rPr>
          <w:rFonts w:ascii="宋体" w:hAnsi="宋体"/>
          <w:sz w:val="24"/>
        </w:rPr>
      </w:pPr>
      <w:r>
        <w:rPr>
          <w:rFonts w:hint="eastAsia"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spacing w:line="360" w:lineRule="auto"/>
        <w:ind w:right="28" w:firstLine="480" w:firstLineChars="200"/>
        <w:rPr>
          <w:rFonts w:ascii="宋体" w:hAnsi="宋体"/>
          <w:sz w:val="24"/>
        </w:rPr>
      </w:pPr>
      <w:r>
        <w:rPr>
          <w:rFonts w:hint="eastAsia" w:ascii="宋体" w:hAnsi="宋体"/>
          <w:sz w:val="24"/>
        </w:rPr>
        <w:t>法律法规或监管部门取消或变更上述限制，如适用于本基金，基金管理人在履行适当程序后，则本基金投资不再受相关限制或以变更后的规定为准。</w:t>
      </w:r>
    </w:p>
    <w:p>
      <w:pPr>
        <w:spacing w:line="360" w:lineRule="auto"/>
        <w:ind w:right="28" w:firstLine="480" w:firstLineChars="200"/>
        <w:rPr>
          <w:rFonts w:ascii="宋体" w:hAnsi="宋体"/>
          <w:sz w:val="24"/>
        </w:rPr>
      </w:pPr>
      <w:r>
        <w:rPr>
          <w:rFonts w:hint="eastAsia" w:ascii="宋体" w:hAnsi="宋体"/>
          <w:sz w:val="24"/>
        </w:rPr>
        <w:t>3.基金托管人</w:t>
      </w:r>
      <w:bookmarkStart w:id="17" w:name="OLE_LINK34"/>
      <w:r>
        <w:rPr>
          <w:rFonts w:hint="eastAsia" w:ascii="宋体" w:hAnsi="宋体"/>
          <w:sz w:val="24"/>
        </w:rPr>
        <w:t>根据有关</w:t>
      </w:r>
      <w:bookmarkStart w:id="18" w:name="OLE_LINK36"/>
      <w:bookmarkStart w:id="19" w:name="OLE_LINK35"/>
      <w:r>
        <w:rPr>
          <w:rFonts w:hint="eastAsia" w:ascii="宋体" w:hAnsi="宋体"/>
          <w:sz w:val="24"/>
        </w:rPr>
        <w:t>法律法规的规定及《基金合同》的约定对下述基金投资禁止行为进行监督：</w:t>
      </w:r>
    </w:p>
    <w:p>
      <w:pPr>
        <w:spacing w:line="360" w:lineRule="auto"/>
        <w:ind w:right="28" w:firstLine="480" w:firstLineChars="200"/>
        <w:rPr>
          <w:rFonts w:ascii="宋体" w:hAnsi="宋体"/>
          <w:sz w:val="24"/>
        </w:rPr>
      </w:pPr>
      <w:r>
        <w:rPr>
          <w:rFonts w:hint="eastAsia" w:ascii="宋体" w:hAnsi="宋体"/>
          <w:sz w:val="24"/>
        </w:rPr>
        <w:t>根据法律法规的规定及《基金合同》的约定，本基金禁止从事下列行为：</w:t>
      </w:r>
    </w:p>
    <w:p>
      <w:pPr>
        <w:spacing w:line="360" w:lineRule="auto"/>
        <w:ind w:right="28" w:firstLine="480" w:firstLineChars="200"/>
        <w:rPr>
          <w:rFonts w:ascii="宋体" w:hAnsi="宋体"/>
          <w:sz w:val="24"/>
        </w:rPr>
      </w:pPr>
      <w:r>
        <w:rPr>
          <w:rFonts w:ascii="宋体" w:hAnsi="宋体"/>
          <w:sz w:val="24"/>
        </w:rPr>
        <w:t>（1）承销证券；</w:t>
      </w:r>
    </w:p>
    <w:bookmarkEnd w:id="17"/>
    <w:bookmarkEnd w:id="18"/>
    <w:bookmarkEnd w:id="19"/>
    <w:p>
      <w:pPr>
        <w:spacing w:line="360" w:lineRule="auto"/>
        <w:ind w:right="28" w:firstLine="480" w:firstLineChars="200"/>
        <w:rPr>
          <w:rFonts w:ascii="宋体" w:hAnsi="宋体"/>
          <w:sz w:val="24"/>
        </w:rPr>
      </w:pP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违反规定</w:t>
      </w:r>
      <w:r>
        <w:rPr>
          <w:rFonts w:ascii="宋体" w:hAnsi="宋体"/>
          <w:sz w:val="24"/>
        </w:rPr>
        <w:t>向他人贷款或者提供担保；</w:t>
      </w:r>
    </w:p>
    <w:p>
      <w:pPr>
        <w:spacing w:line="360" w:lineRule="auto"/>
        <w:ind w:right="28" w:firstLine="480" w:firstLineChars="200"/>
        <w:rPr>
          <w:rFonts w:ascii="宋体" w:hAnsi="宋体"/>
          <w:sz w:val="24"/>
        </w:rPr>
      </w:pPr>
      <w:r>
        <w:rPr>
          <w:rFonts w:ascii="宋体" w:hAnsi="宋体"/>
          <w:sz w:val="24"/>
        </w:rPr>
        <w:t>（</w:t>
      </w:r>
      <w:r>
        <w:rPr>
          <w:rFonts w:hint="eastAsia" w:ascii="宋体" w:hAnsi="宋体"/>
          <w:sz w:val="24"/>
        </w:rPr>
        <w:t>3</w:t>
      </w:r>
      <w:r>
        <w:rPr>
          <w:rFonts w:ascii="宋体" w:hAnsi="宋体"/>
          <w:sz w:val="24"/>
        </w:rPr>
        <w:t>）从事承担无限责任的投资；</w:t>
      </w:r>
    </w:p>
    <w:p>
      <w:pPr>
        <w:spacing w:line="360" w:lineRule="auto"/>
        <w:ind w:right="28" w:firstLine="480" w:firstLineChars="200"/>
        <w:rPr>
          <w:rFonts w:ascii="宋体" w:hAnsi="宋体"/>
          <w:sz w:val="24"/>
        </w:rPr>
      </w:pPr>
      <w:r>
        <w:rPr>
          <w:rFonts w:ascii="宋体" w:hAnsi="宋体"/>
          <w:sz w:val="24"/>
        </w:rPr>
        <w:t>（</w:t>
      </w:r>
      <w:r>
        <w:rPr>
          <w:rFonts w:hint="eastAsia" w:ascii="宋体" w:hAnsi="宋体"/>
          <w:sz w:val="24"/>
        </w:rPr>
        <w:t>4</w:t>
      </w:r>
      <w:r>
        <w:rPr>
          <w:rFonts w:ascii="宋体" w:hAnsi="宋体"/>
          <w:sz w:val="24"/>
        </w:rPr>
        <w:t>）买卖其他基金份额，但是</w:t>
      </w:r>
      <w:r>
        <w:rPr>
          <w:rFonts w:hint="eastAsia" w:ascii="宋体" w:hAnsi="宋体"/>
          <w:sz w:val="24"/>
        </w:rPr>
        <w:t>中国证监会</w:t>
      </w:r>
      <w:r>
        <w:rPr>
          <w:rFonts w:ascii="宋体" w:hAnsi="宋体"/>
          <w:sz w:val="24"/>
        </w:rPr>
        <w:t>另有规定的除外；</w:t>
      </w:r>
    </w:p>
    <w:p>
      <w:pPr>
        <w:spacing w:line="360" w:lineRule="auto"/>
        <w:ind w:right="28" w:firstLine="480" w:firstLineChars="200"/>
        <w:rPr>
          <w:rFonts w:ascii="宋体" w:hAnsi="宋体"/>
          <w:sz w:val="24"/>
        </w:rPr>
      </w:pPr>
      <w:r>
        <w:rPr>
          <w:rFonts w:ascii="宋体" w:hAnsi="宋体"/>
          <w:sz w:val="24"/>
        </w:rPr>
        <w:t>（</w:t>
      </w:r>
      <w:r>
        <w:rPr>
          <w:rFonts w:hint="eastAsia" w:ascii="宋体" w:hAnsi="宋体"/>
          <w:sz w:val="24"/>
        </w:rPr>
        <w:t>5</w:t>
      </w:r>
      <w:r>
        <w:rPr>
          <w:rFonts w:ascii="宋体" w:hAnsi="宋体"/>
          <w:sz w:val="24"/>
        </w:rPr>
        <w:t>）向基金管理人、基金托管人出资；</w:t>
      </w:r>
    </w:p>
    <w:p>
      <w:pPr>
        <w:spacing w:line="360" w:lineRule="auto"/>
        <w:ind w:right="28" w:firstLine="480" w:firstLineChars="200"/>
        <w:rPr>
          <w:rFonts w:ascii="宋体" w:hAnsi="宋体"/>
          <w:sz w:val="24"/>
        </w:rPr>
      </w:pPr>
      <w:r>
        <w:rPr>
          <w:rFonts w:ascii="宋体" w:hAnsi="宋体"/>
          <w:sz w:val="24"/>
        </w:rPr>
        <w:t>（</w:t>
      </w:r>
      <w:r>
        <w:rPr>
          <w:rFonts w:hint="eastAsia" w:ascii="宋体" w:hAnsi="宋体"/>
          <w:sz w:val="24"/>
        </w:rPr>
        <w:t>6</w:t>
      </w:r>
      <w:r>
        <w:rPr>
          <w:rFonts w:ascii="宋体" w:hAnsi="宋体"/>
          <w:sz w:val="24"/>
        </w:rPr>
        <w:t>）从事内幕交易、操纵证券交易价格及其他不正当的证券交易活动；</w:t>
      </w:r>
    </w:p>
    <w:p>
      <w:pPr>
        <w:spacing w:line="360" w:lineRule="auto"/>
        <w:ind w:right="28" w:firstLine="480" w:firstLineChars="200"/>
        <w:rPr>
          <w:rFonts w:ascii="宋体" w:hAnsi="宋体"/>
          <w:sz w:val="24"/>
        </w:rPr>
      </w:pPr>
      <w:r>
        <w:rPr>
          <w:rFonts w:ascii="宋体" w:hAnsi="宋体"/>
          <w:sz w:val="24"/>
        </w:rPr>
        <w:t>（</w:t>
      </w:r>
      <w:r>
        <w:rPr>
          <w:rFonts w:hint="eastAsia" w:ascii="宋体" w:hAnsi="宋体"/>
          <w:sz w:val="24"/>
        </w:rPr>
        <w:t>7</w:t>
      </w:r>
      <w:r>
        <w:rPr>
          <w:rFonts w:ascii="宋体" w:hAnsi="宋体"/>
          <w:sz w:val="24"/>
        </w:rPr>
        <w:t>）法律</w:t>
      </w:r>
      <w:r>
        <w:rPr>
          <w:rFonts w:hint="eastAsia" w:ascii="宋体" w:hAnsi="宋体"/>
          <w:sz w:val="24"/>
        </w:rPr>
        <w:t>、行政</w:t>
      </w:r>
      <w:r>
        <w:rPr>
          <w:rFonts w:ascii="宋体" w:hAnsi="宋体"/>
          <w:sz w:val="24"/>
        </w:rPr>
        <w:t>法规</w:t>
      </w:r>
      <w:r>
        <w:rPr>
          <w:rFonts w:hint="eastAsia" w:ascii="宋体" w:hAnsi="宋体"/>
          <w:sz w:val="24"/>
        </w:rPr>
        <w:t>和</w:t>
      </w:r>
      <w:r>
        <w:rPr>
          <w:rFonts w:ascii="宋体" w:hAnsi="宋体"/>
          <w:sz w:val="24"/>
        </w:rPr>
        <w:t>中国证监会规定禁止的其他活动</w:t>
      </w:r>
      <w:r>
        <w:rPr>
          <w:rFonts w:hint="eastAsia" w:ascii="宋体" w:hAnsi="宋体"/>
          <w:sz w:val="24"/>
        </w:rPr>
        <w:t>。</w:t>
      </w:r>
    </w:p>
    <w:p>
      <w:pPr>
        <w:spacing w:line="360" w:lineRule="auto"/>
        <w:ind w:right="28" w:firstLine="480" w:firstLineChars="200"/>
        <w:rPr>
          <w:rFonts w:ascii="宋体" w:hAnsi="宋体"/>
          <w:sz w:val="24"/>
        </w:rPr>
      </w:pPr>
      <w:r>
        <w:rPr>
          <w:rFonts w:hint="eastAsia" w:ascii="宋体" w:hAnsi="宋体"/>
          <w:sz w:val="24"/>
        </w:rPr>
        <w:t>法律、行政法规或监管部门取消或变更上述限制，如适用于本基金，则基金管理人在履行适当程序后，本基金投资不再受相关限制或以变更后的规定为准。</w:t>
      </w:r>
    </w:p>
    <w:p>
      <w:pPr>
        <w:spacing w:line="360" w:lineRule="auto"/>
        <w:ind w:right="28" w:firstLine="480" w:firstLineChars="200"/>
        <w:rPr>
          <w:rFonts w:ascii="宋体" w:hAnsi="宋体"/>
          <w:sz w:val="24"/>
        </w:rPr>
      </w:pPr>
      <w:r>
        <w:rPr>
          <w:rFonts w:hint="eastAsia" w:ascii="宋体" w:hAnsi="宋体"/>
          <w:sz w:val="24"/>
        </w:rPr>
        <w:t>4.基金托管人依据有关法律法规的规定和《基金合同》的约定对于基金关联交易限制进行监督。</w:t>
      </w:r>
    </w:p>
    <w:p>
      <w:pPr>
        <w:spacing w:line="360" w:lineRule="auto"/>
        <w:ind w:right="28" w:firstLine="480" w:firstLineChars="200"/>
        <w:rPr>
          <w:rFonts w:ascii="宋体" w:hAnsi="宋体"/>
          <w:sz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right="28" w:firstLine="480" w:firstLineChars="200"/>
        <w:rPr>
          <w:rFonts w:ascii="宋体" w:hAnsi="宋体"/>
          <w:sz w:val="24"/>
        </w:rPr>
      </w:pPr>
      <w:r>
        <w:rPr>
          <w:rFonts w:hint="eastAsia" w:ascii="宋体" w:hAnsi="宋体"/>
          <w:sz w:val="24"/>
        </w:rPr>
        <w:t>法律、行政法规或监管部门取消或变更上述限制，如适用于本基金，则基金管理人在履行适当程序后，本基金投资不再受相关限制或以变更后的规定为准。</w:t>
      </w:r>
    </w:p>
    <w:p>
      <w:pPr>
        <w:spacing w:line="360" w:lineRule="auto"/>
        <w:ind w:right="28" w:firstLine="480" w:firstLineChars="200"/>
        <w:rPr>
          <w:rFonts w:ascii="宋体" w:hAnsi="宋体"/>
          <w:sz w:val="24"/>
        </w:rPr>
      </w:pPr>
      <w:r>
        <w:rPr>
          <w:rFonts w:hint="eastAsia" w:ascii="宋体" w:hAnsi="宋体"/>
          <w:sz w:val="24"/>
        </w:rPr>
        <w:t>如法律、法规或《基金合同》有关于基金从事关联交易的规定，基金管理人和基金托管人事先相互提供与本机构有控股关系的股东、与本机构有重大利害关系的公司名单及有关关联方发行的证券清单,加盖公章并书面提交。双方有责任确保关联交易名单的真实性、准确性、完整性，并负责及时将更新后的名单发送给对方。名单变更发送后，经对方确认后，新的关联交易名单开始生效。如果基金托管人或基金管理人隐瞒其</w:t>
      </w:r>
      <w:r>
        <w:rPr>
          <w:rFonts w:ascii="宋体" w:hAnsi="宋体"/>
          <w:sz w:val="24"/>
        </w:rPr>
        <w:t>关联方发行的证券</w:t>
      </w:r>
      <w:r>
        <w:rPr>
          <w:rFonts w:hint="eastAsia" w:ascii="宋体" w:hAnsi="宋体"/>
          <w:sz w:val="24"/>
        </w:rPr>
        <w:t>，并造成基金资产损失的，由隐瞒方承担责任。</w:t>
      </w:r>
    </w:p>
    <w:p>
      <w:pPr>
        <w:spacing w:line="360" w:lineRule="auto"/>
        <w:ind w:right="28" w:firstLine="480" w:firstLineChars="200"/>
        <w:rPr>
          <w:rFonts w:ascii="宋体" w:hAnsi="宋体"/>
          <w:sz w:val="24"/>
        </w:rPr>
      </w:pPr>
      <w:r>
        <w:rPr>
          <w:rFonts w:hint="eastAsia" w:ascii="宋体" w:hAnsi="宋体"/>
          <w:sz w:val="24"/>
        </w:rPr>
        <w:t>5.基金托管人依据有关法律法规的规定和《基金合同》的约定对基金管理人参与银行间债券市场进行监督。</w:t>
      </w:r>
    </w:p>
    <w:p>
      <w:pPr>
        <w:spacing w:line="360" w:lineRule="auto"/>
        <w:ind w:right="28" w:firstLine="480" w:firstLineChars="200"/>
        <w:rPr>
          <w:rFonts w:ascii="宋体" w:hAnsi="宋体"/>
          <w:sz w:val="24"/>
        </w:rPr>
      </w:pPr>
      <w:r>
        <w:rPr>
          <w:rFonts w:hint="eastAsia" w:ascii="宋体" w:hAnsi="宋体"/>
          <w:sz w:val="24"/>
        </w:rPr>
        <w:t>基金托管人根据</w:t>
      </w:r>
      <w:bookmarkStart w:id="20" w:name="OLE_LINK37"/>
      <w:bookmarkStart w:id="21" w:name="OLE_LINK38"/>
      <w:bookmarkStart w:id="22" w:name="OLE_LINK40"/>
      <w:bookmarkStart w:id="23" w:name="OLE_LINK39"/>
      <w:r>
        <w:rPr>
          <w:rFonts w:hint="eastAsia" w:ascii="宋体" w:hAnsi="宋体"/>
          <w:sz w:val="24"/>
        </w:rPr>
        <w:t>基金管理人提供的银行间债券市场交易对手名单进行监督。基金管理人有责任控制交易对手的资信风险，由于交易对手的</w:t>
      </w:r>
      <w:bookmarkEnd w:id="20"/>
      <w:bookmarkEnd w:id="21"/>
      <w:bookmarkEnd w:id="22"/>
      <w:bookmarkEnd w:id="23"/>
      <w:r>
        <w:rPr>
          <w:rFonts w:hint="eastAsia" w:ascii="宋体" w:hAnsi="宋体"/>
          <w:sz w:val="24"/>
        </w:rPr>
        <w:t>资信风险引起的损失，基金管理人应当负责向相关责任人追偿。</w:t>
      </w:r>
    </w:p>
    <w:p>
      <w:pPr>
        <w:spacing w:line="360" w:lineRule="auto"/>
        <w:ind w:right="28" w:firstLine="480" w:firstLineChars="200"/>
        <w:rPr>
          <w:rFonts w:ascii="宋体" w:hAnsi="宋体"/>
          <w:sz w:val="24"/>
        </w:rPr>
      </w:pPr>
      <w:r>
        <w:rPr>
          <w:rFonts w:hint="eastAsia" w:ascii="宋体" w:hAnsi="宋体"/>
          <w:sz w:val="24"/>
        </w:rPr>
        <w:t>6.基金托管人依据有关法律法规的规定和《基金合同》的约定，对基金银行存款业务进行监督。</w:t>
      </w:r>
    </w:p>
    <w:p>
      <w:pPr>
        <w:spacing w:line="360" w:lineRule="auto"/>
        <w:ind w:firstLine="480" w:firstLineChars="200"/>
        <w:rPr>
          <w:rFonts w:ascii="宋体" w:hAnsi="宋体"/>
          <w:kern w:val="0"/>
          <w:sz w:val="24"/>
        </w:rPr>
      </w:pPr>
      <w:r>
        <w:rPr>
          <w:rFonts w:hint="eastAsia" w:ascii="宋体" w:hAnsi="宋体"/>
          <w:sz w:val="24"/>
        </w:rPr>
        <w:t>基金管理人应当加强对基金投资银行存款风险的评估与研究，</w:t>
      </w:r>
      <w:bookmarkStart w:id="24" w:name="OLE_LINK42"/>
      <w:bookmarkStart w:id="25" w:name="OLE_LINK43"/>
      <w:bookmarkStart w:id="26" w:name="OLE_LINK41"/>
      <w:r>
        <w:rPr>
          <w:rFonts w:hint="eastAsia" w:ascii="宋体" w:hAnsi="宋体"/>
          <w:sz w:val="24"/>
        </w:rPr>
        <w:t>严格测算与控制投资银行存款的风险敞口，针</w:t>
      </w:r>
      <w:bookmarkEnd w:id="24"/>
      <w:bookmarkEnd w:id="25"/>
      <w:bookmarkEnd w:id="26"/>
      <w:r>
        <w:rPr>
          <w:rFonts w:hint="eastAsia" w:ascii="宋体" w:hAnsi="宋体"/>
          <w:sz w:val="24"/>
        </w:rPr>
        <w:t>对不同类型存款银行建立相关投资限制制度。</w:t>
      </w:r>
      <w:r>
        <w:rPr>
          <w:rFonts w:hint="eastAsia" w:ascii="宋体" w:hAnsi="宋体"/>
          <w:kern w:val="0"/>
          <w:sz w:val="24"/>
        </w:rPr>
        <w:t>对于基金投资的银行存款，由于存款银行发生信用风险事件而造成损失时，先由基金管理人负责赔偿，之后有权要求相关责任人进行赔偿。如果基金托管人在运作过程中遵循</w:t>
      </w:r>
      <w:r>
        <w:rPr>
          <w:rFonts w:hint="eastAsia" w:ascii="宋体" w:hAnsi="宋体" w:cs="宋体"/>
          <w:kern w:val="0"/>
          <w:sz w:val="24"/>
        </w:rPr>
        <w:t>有关法律法规的规定和《基金合同》的约定</w:t>
      </w:r>
      <w:r>
        <w:rPr>
          <w:rFonts w:hint="eastAsia" w:ascii="宋体" w:hAnsi="宋体"/>
          <w:kern w:val="0"/>
          <w:sz w:val="24"/>
        </w:rPr>
        <w:t>监督流程，则对于由于存款银行信用风险引起的损失，不承担赔偿责任。</w:t>
      </w:r>
      <w:bookmarkStart w:id="27" w:name="OLE_LINK45"/>
      <w:bookmarkStart w:id="28" w:name="OLE_LINK44"/>
    </w:p>
    <w:bookmarkEnd w:id="27"/>
    <w:bookmarkEnd w:id="28"/>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29" w:name="_Toc382819074"/>
      <w:r>
        <w:rPr>
          <w:rFonts w:hint="eastAsia" w:ascii="宋体" w:hAnsi="宋体" w:eastAsia="宋体"/>
          <w:b w:val="0"/>
          <w:bCs w:val="0"/>
          <w:sz w:val="24"/>
          <w:szCs w:val="24"/>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29"/>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30" w:name="_Toc382819075"/>
      <w:r>
        <w:rPr>
          <w:rFonts w:hint="eastAsia" w:ascii="宋体" w:hAnsi="宋体" w:eastAsia="宋体"/>
          <w:b w:val="0"/>
          <w:bCs w:val="0"/>
          <w:sz w:val="24"/>
          <w:szCs w:val="24"/>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30"/>
    </w:p>
    <w:p>
      <w:pPr>
        <w:spacing w:line="360" w:lineRule="auto"/>
        <w:ind w:firstLine="480" w:firstLineChars="200"/>
        <w:rPr>
          <w:rFonts w:ascii="宋体" w:hAnsi="宋体"/>
          <w:sz w:val="24"/>
        </w:rPr>
      </w:pPr>
      <w:r>
        <w:rPr>
          <w:rFonts w:hint="eastAsia" w:ascii="宋体" w:hAnsi="宋体"/>
          <w:sz w:val="24"/>
        </w:rPr>
        <w:t>在限期内，基金托管人有权随时对通知事项进行复查，督促基金管理人改正。基金管理人对基金托管人通知的违规事项未能在限期内纠正的，基金托管人应报告中国证监会。</w:t>
      </w:r>
    </w:p>
    <w:p>
      <w:pPr>
        <w:spacing w:line="360" w:lineRule="auto"/>
        <w:ind w:firstLine="480" w:firstLineChars="200"/>
        <w:rPr>
          <w:rFonts w:ascii="宋体" w:hAnsi="宋体"/>
          <w:sz w:val="24"/>
        </w:rPr>
      </w:pPr>
      <w:r>
        <w:rPr>
          <w:rFonts w:hint="eastAsia" w:ascii="宋体" w:hAnsi="宋体"/>
          <w:sz w:val="24"/>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pPr>
        <w:spacing w:line="360" w:lineRule="auto"/>
        <w:ind w:firstLine="480" w:firstLineChars="200"/>
        <w:rPr>
          <w:rFonts w:ascii="宋体" w:hAnsi="宋体"/>
          <w:sz w:val="24"/>
        </w:rPr>
      </w:pPr>
      <w:r>
        <w:rPr>
          <w:rFonts w:hint="eastAsia" w:ascii="宋体" w:hAnsi="宋体"/>
          <w:sz w:val="24"/>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pPr>
        <w:spacing w:line="360" w:lineRule="auto"/>
        <w:ind w:firstLine="480" w:firstLineChars="200"/>
        <w:rPr>
          <w:rFonts w:ascii="宋体" w:hAnsi="宋体"/>
          <w:sz w:val="24"/>
        </w:rPr>
      </w:pPr>
      <w:r>
        <w:rPr>
          <w:rFonts w:hint="eastAsia" w:ascii="宋体" w:hAnsi="宋体"/>
          <w:sz w:val="24"/>
        </w:rPr>
        <w:t>对于必须于估值完成后方可获知的监控指标或依据交易程序已经成交的投资指令，基金托管人发现该投资指令违反法律法规或者违反《基金合同》约定的，应当立即通知基金管理人，并报告中国证监会。</w:t>
      </w:r>
    </w:p>
    <w:p>
      <w:pPr>
        <w:spacing w:line="360" w:lineRule="auto"/>
        <w:ind w:firstLine="480" w:firstLineChars="200"/>
        <w:rPr>
          <w:rFonts w:ascii="宋体" w:hAnsi="宋体"/>
          <w:sz w:val="24"/>
        </w:rPr>
      </w:pPr>
      <w:r>
        <w:rPr>
          <w:rFonts w:hint="eastAsia" w:ascii="宋体" w:hAnsi="宋体"/>
          <w:sz w:val="24"/>
        </w:rPr>
        <w:t>基金托管人发现基金管理人有重大违规行为，应立即报告中国证监会，同时通知基金管理人限期纠正。</w:t>
      </w:r>
    </w:p>
    <w:p>
      <w:pPr>
        <w:spacing w:line="360" w:lineRule="auto"/>
        <w:ind w:firstLine="480" w:firstLineChars="200"/>
        <w:rPr>
          <w:rFonts w:ascii="宋体" w:hAnsi="宋体"/>
          <w:sz w:val="24"/>
        </w:rPr>
      </w:pPr>
      <w:r>
        <w:rPr>
          <w:rFonts w:hint="eastAsia" w:ascii="宋体" w:hAnsi="宋体"/>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31" w:name="_Toc382819076"/>
      <w:r>
        <w:rPr>
          <w:rFonts w:hint="eastAsia" w:ascii="宋体" w:hAnsi="宋体" w:eastAsia="宋体" w:cs="Arial"/>
          <w:sz w:val="24"/>
          <w:szCs w:val="24"/>
        </w:rPr>
        <w:t>基金管理人对基金托管人的业务核查</w:t>
      </w:r>
      <w:bookmarkEnd w:id="31"/>
    </w:p>
    <w:p>
      <w:pPr>
        <w:spacing w:line="360" w:lineRule="auto"/>
        <w:ind w:firstLine="480" w:firstLineChars="200"/>
        <w:rPr>
          <w:rFonts w:ascii="宋体" w:hAnsi="宋体"/>
          <w:sz w:val="24"/>
        </w:rPr>
      </w:pPr>
      <w:r>
        <w:rPr>
          <w:rFonts w:hint="eastAsia" w:ascii="宋体" w:hAnsi="宋体"/>
          <w:sz w:val="24"/>
        </w:rPr>
        <w:t>基金管理人对基金托管人履行托管职责情况进行核查，核查事项包括但不限于基金托管人是否安全保管基金财产、是否分别开设基金财产的资金账户和证券账户及投资所需其他账户、是否复核基金管理人计算的基金资产净值和基金份额净值、是否根据基金管理人指令办理清算交收、进行相关信息披露和监督基金投资运作等行为。</w:t>
      </w:r>
    </w:p>
    <w:p>
      <w:pPr>
        <w:spacing w:line="360" w:lineRule="auto"/>
        <w:ind w:firstLine="480" w:firstLineChars="200"/>
        <w:rPr>
          <w:rFonts w:ascii="宋体" w:hAnsi="宋体"/>
          <w:sz w:val="24"/>
        </w:rPr>
      </w:pPr>
      <w:bookmarkStart w:id="32" w:name="OLE_LINK5"/>
      <w:bookmarkStart w:id="33" w:name="OLE_LINK9"/>
      <w:bookmarkStart w:id="34" w:name="OLE_LINK8"/>
      <w:bookmarkStart w:id="35" w:name="OLE_LINK10"/>
      <w:bookmarkStart w:id="36" w:name="OLE_LINK6"/>
      <w:bookmarkStart w:id="37" w:name="OLE_LINK7"/>
      <w:bookmarkStart w:id="38" w:name="OLE_LINK1"/>
      <w:r>
        <w:rPr>
          <w:rFonts w:hint="eastAsia" w:ascii="宋体" w:hAnsi="宋体"/>
          <w:sz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w:t>
      </w:r>
      <w:bookmarkStart w:id="39" w:name="OLE_LINK51"/>
      <w:bookmarkStart w:id="40" w:name="OLE_LINK53"/>
      <w:bookmarkStart w:id="41" w:name="OLE_LINK52"/>
      <w:bookmarkStart w:id="42" w:name="OLE_LINK54"/>
      <w:r>
        <w:rPr>
          <w:rFonts w:hint="eastAsia" w:ascii="宋体" w:hAnsi="宋体"/>
          <w:sz w:val="24"/>
        </w:rPr>
        <w:t>规行为，应立即报告中国证监会和银行业监督管理机构，同时通知基金托管人限期纠正。</w:t>
      </w:r>
    </w:p>
    <w:bookmarkEnd w:id="39"/>
    <w:bookmarkEnd w:id="40"/>
    <w:bookmarkEnd w:id="41"/>
    <w:bookmarkEnd w:id="42"/>
    <w:p>
      <w:pPr>
        <w:spacing w:line="360" w:lineRule="auto"/>
        <w:ind w:firstLine="480" w:firstLineChars="200"/>
        <w:rPr>
          <w:rFonts w:ascii="宋体" w:hAnsi="宋体"/>
          <w:sz w:val="24"/>
        </w:rPr>
      </w:pPr>
      <w:r>
        <w:rPr>
          <w:rFonts w:hint="eastAsia" w:ascii="宋体" w:hAnsi="宋体"/>
          <w:sz w:val="24"/>
        </w:rPr>
        <w:t>基金托管人应积极配合基金管理人的核查行为，包括但不限于：提交相关资料以供基金管理人核查托管财产的完整性和真实性，在规定时间内答复基金管理人并改正。</w:t>
      </w:r>
    </w:p>
    <w:p>
      <w:pPr>
        <w:spacing w:line="360" w:lineRule="auto"/>
        <w:ind w:firstLine="480" w:firstLineChars="200"/>
        <w:rPr>
          <w:rFonts w:ascii="宋体" w:hAnsi="宋体"/>
          <w:sz w:val="24"/>
        </w:rPr>
      </w:pPr>
      <w:bookmarkStart w:id="43" w:name="_Toc382818598"/>
      <w:bookmarkStart w:id="44" w:name="_Toc382819077"/>
      <w:r>
        <w:rPr>
          <w:rFonts w:hint="eastAsia" w:ascii="宋体" w:hAnsi="宋体"/>
          <w:sz w:val="24"/>
        </w:rPr>
        <w:t>基金托管人无正当理由，拒绝、阻挠基金管理人根据本协议规定行</w:t>
      </w:r>
      <w:bookmarkStart w:id="45" w:name="OLE_LINK55"/>
      <w:r>
        <w:rPr>
          <w:rFonts w:hint="eastAsia" w:ascii="宋体" w:hAnsi="宋体"/>
          <w:sz w:val="24"/>
        </w:rPr>
        <w:t>使监督权，或采取拖延、欺诈等手段妨碍基金管理人进行有效监督，情节严重或经基金管理人提出警告仍不改正的，基金管理人应报告中国证监会。</w:t>
      </w:r>
      <w:bookmarkEnd w:id="43"/>
      <w:bookmarkEnd w:id="44"/>
    </w:p>
    <w:bookmarkEnd w:id="32"/>
    <w:bookmarkEnd w:id="33"/>
    <w:bookmarkEnd w:id="34"/>
    <w:bookmarkEnd w:id="35"/>
    <w:bookmarkEnd w:id="36"/>
    <w:bookmarkEnd w:id="37"/>
    <w:bookmarkEnd w:id="38"/>
    <w:bookmarkEnd w:id="45"/>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46" w:name="_Toc382819078"/>
      <w:r>
        <w:rPr>
          <w:rFonts w:hint="eastAsia" w:ascii="宋体" w:hAnsi="宋体" w:eastAsia="宋体" w:cs="Arial"/>
          <w:sz w:val="24"/>
          <w:szCs w:val="24"/>
        </w:rPr>
        <w:t>基金财产保管</w:t>
      </w:r>
      <w:bookmarkEnd w:id="46"/>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47" w:name="_Toc382819079"/>
      <w:r>
        <w:rPr>
          <w:rFonts w:hint="eastAsia" w:ascii="宋体" w:hAnsi="宋体" w:eastAsia="宋体"/>
          <w:b w:val="0"/>
          <w:bCs w:val="0"/>
          <w:sz w:val="24"/>
          <w:szCs w:val="24"/>
        </w:rPr>
        <w:t>（一）基金财产保管的原则</w:t>
      </w:r>
      <w:bookmarkEnd w:id="47"/>
    </w:p>
    <w:p>
      <w:pPr>
        <w:spacing w:line="360" w:lineRule="auto"/>
        <w:ind w:firstLine="480" w:firstLineChars="200"/>
        <w:rPr>
          <w:rFonts w:ascii="宋体" w:hAnsi="宋体"/>
          <w:sz w:val="24"/>
        </w:rPr>
      </w:pPr>
      <w:r>
        <w:rPr>
          <w:rFonts w:hint="eastAsia" w:ascii="宋体" w:hAnsi="宋体"/>
          <w:sz w:val="24"/>
        </w:rPr>
        <w:t>1.基金财产应独立于基金管理人、基金托管人、证券经营机构的固有财产。</w:t>
      </w:r>
    </w:p>
    <w:p>
      <w:pPr>
        <w:spacing w:line="360" w:lineRule="auto"/>
        <w:ind w:firstLine="480" w:firstLineChars="200"/>
        <w:rPr>
          <w:rFonts w:ascii="宋体" w:hAnsi="宋体"/>
          <w:sz w:val="24"/>
        </w:rPr>
      </w:pPr>
      <w:r>
        <w:rPr>
          <w:rFonts w:hint="eastAsia" w:ascii="宋体" w:hAnsi="宋体"/>
          <w:sz w:val="24"/>
        </w:rPr>
        <w:t>2.基金托管人应按本协议规定安全保管托管财产。未经基金管理人的指令，不得自行运用、处分、分配基金的任何财产（基金托管人主动扣收的汇划费除外）</w:t>
      </w:r>
      <w:bookmarkStart w:id="48" w:name="OLE_LINK56"/>
      <w:r>
        <w:rPr>
          <w:rFonts w:hint="eastAsia" w:ascii="宋体" w:hAnsi="宋体"/>
          <w:sz w:val="24"/>
        </w:rPr>
        <w:t>。基金托管人不对处于自身实际控制之外的账户及财产承担责任。</w:t>
      </w:r>
    </w:p>
    <w:bookmarkEnd w:id="48"/>
    <w:p>
      <w:pPr>
        <w:spacing w:line="360" w:lineRule="auto"/>
        <w:ind w:firstLine="480" w:firstLineChars="200"/>
        <w:rPr>
          <w:rFonts w:ascii="宋体" w:hAnsi="宋体"/>
          <w:sz w:val="24"/>
        </w:rPr>
      </w:pPr>
      <w:r>
        <w:rPr>
          <w:rFonts w:hint="eastAsia" w:ascii="宋体" w:hAnsi="宋体"/>
          <w:sz w:val="24"/>
        </w:rPr>
        <w:t>3.基金托管人按照</w:t>
      </w:r>
      <w:bookmarkStart w:id="49" w:name="OLE_LINK59"/>
      <w:bookmarkStart w:id="50" w:name="OLE_LINK57"/>
      <w:bookmarkStart w:id="51" w:name="OLE_LINK58"/>
      <w:r>
        <w:rPr>
          <w:rFonts w:hint="eastAsia" w:ascii="宋体" w:hAnsi="宋体"/>
          <w:sz w:val="24"/>
        </w:rPr>
        <w:t>规定为托管的基金财产开设资金账户和证券账户及投资所需其他账户。</w:t>
      </w:r>
    </w:p>
    <w:bookmarkEnd w:id="49"/>
    <w:bookmarkEnd w:id="50"/>
    <w:bookmarkEnd w:id="51"/>
    <w:p>
      <w:pPr>
        <w:spacing w:line="360" w:lineRule="auto"/>
        <w:ind w:firstLine="480" w:firstLineChars="200"/>
        <w:rPr>
          <w:rFonts w:ascii="宋体" w:hAnsi="宋体"/>
          <w:sz w:val="24"/>
        </w:rPr>
      </w:pPr>
      <w:r>
        <w:rPr>
          <w:rFonts w:hint="eastAsia" w:ascii="宋体" w:hAnsi="宋体"/>
          <w:sz w:val="24"/>
        </w:rPr>
        <w:t>4.基金托管人对所托管的不同基金财产分别设置账户，与基金托管人的其他业务和其他基金的托管业务实行严格的分账管理，确保基金财产的完整与独立。</w:t>
      </w:r>
    </w:p>
    <w:p>
      <w:pPr>
        <w:spacing w:line="360" w:lineRule="auto"/>
        <w:ind w:firstLine="480" w:firstLineChars="200"/>
        <w:rPr>
          <w:rFonts w:ascii="宋体" w:hAnsi="宋体"/>
          <w:sz w:val="24"/>
        </w:rPr>
      </w:pPr>
      <w:r>
        <w:rPr>
          <w:rFonts w:hint="eastAsia" w:ascii="宋体" w:hAnsi="宋体"/>
          <w:sz w:val="24"/>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相应责任。</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52" w:name="_Toc382819080"/>
      <w:r>
        <w:rPr>
          <w:rFonts w:hint="eastAsia" w:ascii="宋体" w:hAnsi="宋体" w:eastAsia="宋体"/>
          <w:b w:val="0"/>
          <w:bCs w:val="0"/>
          <w:sz w:val="24"/>
          <w:szCs w:val="24"/>
        </w:rPr>
        <w:t>（二）募集资金的验证</w:t>
      </w:r>
      <w:bookmarkEnd w:id="52"/>
    </w:p>
    <w:p>
      <w:pPr>
        <w:spacing w:line="360" w:lineRule="auto"/>
        <w:ind w:firstLine="480" w:firstLineChars="200"/>
        <w:rPr>
          <w:rFonts w:ascii="宋体" w:hAnsi="宋体"/>
          <w:sz w:val="24"/>
        </w:rPr>
      </w:pPr>
      <w:r>
        <w:rPr>
          <w:rFonts w:hint="eastAsia" w:ascii="宋体" w:hAnsi="宋体"/>
          <w:sz w:val="24"/>
        </w:rPr>
        <w:t>募集期内销售机构按销售与服务协议的约定，将认购资金划入基金管理人在具有托管资格的商业银行开设的“基金募集专户”。该账户由基金管理人开立并管理。基金募集期满或基金停止募集时，募集的基金份额总额、基金募集金额、基金份额持有人人数符合《基金法》、《运作办法》等有关规定后，由基金管理人聘请符合</w:t>
      </w:r>
      <w:r>
        <w:rPr>
          <w:rFonts w:ascii="宋体" w:hAnsi="宋体"/>
          <w:sz w:val="24"/>
        </w:rPr>
        <w:t>《</w:t>
      </w:r>
      <w:r>
        <w:rPr>
          <w:rFonts w:hint="eastAsia" w:ascii="宋体" w:hAnsi="宋体"/>
          <w:sz w:val="24"/>
        </w:rPr>
        <w:t>中华</w:t>
      </w:r>
      <w:r>
        <w:rPr>
          <w:rFonts w:ascii="宋体" w:hAnsi="宋体"/>
          <w:sz w:val="24"/>
        </w:rPr>
        <w:t>人民共和国证券法》</w:t>
      </w:r>
      <w:r>
        <w:rPr>
          <w:rFonts w:hint="eastAsia" w:ascii="宋体" w:hAnsi="宋体"/>
          <w:sz w:val="24"/>
        </w:rPr>
        <w:t>规定</w:t>
      </w:r>
      <w:r>
        <w:rPr>
          <w:rFonts w:ascii="宋体" w:hAnsi="宋体"/>
          <w:sz w:val="24"/>
        </w:rPr>
        <w:t>的</w:t>
      </w:r>
      <w:r>
        <w:rPr>
          <w:rFonts w:hint="eastAsia" w:ascii="宋体" w:hAnsi="宋体"/>
          <w:sz w:val="24"/>
        </w:rPr>
        <w:t>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pPr>
        <w:spacing w:line="360" w:lineRule="auto"/>
        <w:ind w:firstLine="480" w:firstLineChars="200"/>
        <w:rPr>
          <w:rFonts w:ascii="宋体" w:hAnsi="宋体" w:cs="Arial"/>
          <w:sz w:val="24"/>
        </w:rPr>
      </w:pPr>
      <w:r>
        <w:rPr>
          <w:rFonts w:hint="eastAsia" w:ascii="宋体" w:hAnsi="宋体" w:cs="Arial"/>
          <w:sz w:val="24"/>
        </w:rPr>
        <w:t>若基金募集期限届满，未能达到《基金合同》生效的条件，由基金管理人按规定办理退款事宜。</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53" w:name="_Toc382819081"/>
      <w:r>
        <w:rPr>
          <w:rFonts w:hint="eastAsia" w:ascii="宋体" w:hAnsi="宋体" w:eastAsia="宋体"/>
          <w:b w:val="0"/>
          <w:bCs w:val="0"/>
          <w:sz w:val="24"/>
          <w:szCs w:val="24"/>
        </w:rPr>
        <w:t>（三）基金资产托管专户的开立和管理</w:t>
      </w:r>
      <w:bookmarkEnd w:id="53"/>
    </w:p>
    <w:p>
      <w:pPr>
        <w:spacing w:line="360" w:lineRule="auto"/>
        <w:ind w:firstLine="480" w:firstLineChars="200"/>
        <w:rPr>
          <w:rFonts w:ascii="宋体" w:hAnsi="宋体"/>
          <w:sz w:val="24"/>
        </w:rPr>
      </w:pPr>
      <w:r>
        <w:rPr>
          <w:rFonts w:hint="eastAsia" w:ascii="宋体" w:hAnsi="宋体"/>
          <w:sz w:val="24"/>
        </w:rPr>
        <w:t>基金托管人以</w:t>
      </w:r>
      <w:bookmarkStart w:id="54" w:name="OLE_LINK61"/>
      <w:bookmarkStart w:id="55" w:name="OLE_LINK60"/>
      <w:r>
        <w:rPr>
          <w:rFonts w:hint="eastAsia" w:ascii="宋体" w:hAnsi="宋体"/>
          <w:sz w:val="24"/>
        </w:rPr>
        <w:t>基金的名义在其营业机构开设资产托管专户，并根据基金管理人合法合规的有效指令办理资金收付。基金管理人应根据法律法规及基金托管人的相关要求，提供开户所需的资料并提供其他必要协助。本基金的资产托管专户的预留印鉴的印章由基金托管人刻制、保管和使用。</w:t>
      </w:r>
    </w:p>
    <w:bookmarkEnd w:id="54"/>
    <w:bookmarkEnd w:id="55"/>
    <w:p>
      <w:pPr>
        <w:spacing w:line="360" w:lineRule="auto"/>
        <w:ind w:firstLine="480" w:firstLineChars="200"/>
        <w:rPr>
          <w:rFonts w:ascii="宋体" w:hAnsi="宋体"/>
          <w:sz w:val="24"/>
        </w:rPr>
      </w:pPr>
      <w:bookmarkStart w:id="56" w:name="OLE_LINK62"/>
      <w:r>
        <w:rPr>
          <w:rFonts w:hint="eastAsia" w:ascii="宋体" w:hAnsi="宋体"/>
          <w:sz w:val="24"/>
        </w:rPr>
        <w:t>本基金的一切货币收支活动，均需通过基金托管人或基金的资产托管专户进行。</w:t>
      </w:r>
      <w:bookmarkStart w:id="57" w:name="OLE_LINK63"/>
      <w:r>
        <w:rPr>
          <w:rFonts w:hint="eastAsia" w:ascii="宋体" w:hAnsi="宋体"/>
          <w:sz w:val="24"/>
        </w:rPr>
        <w:t>基</w:t>
      </w:r>
      <w:bookmarkEnd w:id="56"/>
      <w:r>
        <w:rPr>
          <w:rFonts w:hint="eastAsia" w:ascii="宋体" w:hAnsi="宋体"/>
          <w:sz w:val="24"/>
        </w:rPr>
        <w:t>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bookmarkEnd w:id="57"/>
    <w:p>
      <w:pPr>
        <w:spacing w:line="360" w:lineRule="auto"/>
        <w:ind w:firstLine="480" w:firstLineChars="200"/>
        <w:rPr>
          <w:rFonts w:ascii="宋体" w:hAnsi="宋体"/>
          <w:sz w:val="24"/>
        </w:rPr>
      </w:pPr>
      <w:r>
        <w:rPr>
          <w:rFonts w:hint="eastAsia" w:ascii="宋体" w:hAnsi="宋体"/>
          <w:sz w:val="24"/>
        </w:rPr>
        <w:t>资产托管专户的管理应符合《人民币银行结算账户管理办法》、《现金管理暂行条例》、《人民币利率管理规定》、《利率管理暂行规定》、《支付结算办法》以及银行业监督管理机构的其他有关规定。</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58" w:name="_Toc382819082"/>
      <w:r>
        <w:rPr>
          <w:rFonts w:hint="eastAsia" w:ascii="宋体" w:hAnsi="宋体" w:eastAsia="宋体"/>
          <w:b w:val="0"/>
          <w:bCs w:val="0"/>
          <w:sz w:val="24"/>
          <w:szCs w:val="24"/>
        </w:rPr>
        <w:t>（四）</w:t>
      </w:r>
      <w:bookmarkStart w:id="59" w:name="OLE_LINK64"/>
      <w:bookmarkStart w:id="60" w:name="OLE_LINK65"/>
      <w:bookmarkStart w:id="61" w:name="OLE_LINK66"/>
      <w:r>
        <w:rPr>
          <w:rFonts w:hint="eastAsia" w:ascii="宋体" w:hAnsi="宋体" w:eastAsia="宋体"/>
          <w:b w:val="0"/>
          <w:bCs w:val="0"/>
          <w:sz w:val="24"/>
          <w:szCs w:val="24"/>
        </w:rPr>
        <w:t>基金证券账户的开立和管理</w:t>
      </w:r>
    </w:p>
    <w:p>
      <w:pPr>
        <w:spacing w:line="360" w:lineRule="auto"/>
        <w:ind w:firstLine="480" w:firstLineChars="200"/>
        <w:rPr>
          <w:rFonts w:ascii="宋体" w:hAnsi="宋体"/>
          <w:sz w:val="24"/>
        </w:rPr>
      </w:pPr>
      <w:r>
        <w:rPr>
          <w:rFonts w:hint="eastAsia" w:ascii="宋体" w:hAnsi="宋体"/>
          <w:sz w:val="24"/>
        </w:rPr>
        <w:t>1.基金托管人在中国证券登记结算有限责任公司上海分公司、深圳分公司为基金开立基金托管人与基金联名的证券账户。</w:t>
      </w:r>
    </w:p>
    <w:bookmarkEnd w:id="59"/>
    <w:bookmarkEnd w:id="60"/>
    <w:bookmarkEnd w:id="61"/>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.基金证券账户的开立、变更和证券账户卡的保管由基金托管人负责，账户资产的管理和运用由基金管理人负责。</w:t>
      </w:r>
    </w:p>
    <w:p>
      <w:pPr>
        <w:spacing w:line="360" w:lineRule="auto"/>
        <w:ind w:firstLine="480" w:firstLineChars="200"/>
        <w:rPr>
          <w:rFonts w:ascii="宋体" w:hAnsi="宋体"/>
          <w:sz w:val="24"/>
        </w:rPr>
      </w:pPr>
      <w:r>
        <w:rPr>
          <w:rFonts w:hint="eastAsia" w:ascii="宋体" w:hAnsi="宋体"/>
          <w:sz w:val="24"/>
        </w:rPr>
        <w:t>证券账户开户费由本基金财产承担，若因基金银行存款余额不足导致证券账户开户费无法扣收，由基金</w:t>
      </w:r>
      <w:r>
        <w:rPr>
          <w:rFonts w:ascii="宋体" w:hAnsi="宋体"/>
          <w:sz w:val="24"/>
        </w:rPr>
        <w:t>管理人先行垫付</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.若中国证监会或其他监管机构在本托管协议订立日之后允许基金从事其他投资品种的投资业务，涉及相关账户的开立、使用的，</w:t>
      </w:r>
      <w:r>
        <w:rPr>
          <w:rFonts w:hint="eastAsia" w:cs="Arial"/>
          <w:color w:val="000000"/>
          <w:sz w:val="24"/>
        </w:rPr>
        <w:t>按有关规定开立、使用并管理；</w:t>
      </w:r>
      <w:r>
        <w:rPr>
          <w:rFonts w:hint="eastAsia" w:ascii="宋体" w:hAnsi="宋体"/>
          <w:sz w:val="24"/>
        </w:rPr>
        <w:t>若无相关规定，则基金托管人比照上述关于账户开立、使用的规定执行。</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（五）证券资金账户的开立与管理</w:t>
      </w:r>
    </w:p>
    <w:p>
      <w:pPr>
        <w:spacing w:line="360" w:lineRule="auto"/>
        <w:ind w:firstLine="480" w:firstLineChars="200"/>
        <w:rPr>
          <w:rFonts w:ascii="宋体" w:hAnsi="宋体"/>
          <w:sz w:val="24"/>
        </w:rPr>
      </w:pPr>
      <w:bookmarkStart w:id="62" w:name="OLE_LINK3"/>
      <w:bookmarkStart w:id="63" w:name="OLE_LINK4"/>
      <w:bookmarkStart w:id="64" w:name="OLE_LINK68"/>
      <w:r>
        <w:rPr>
          <w:rFonts w:hint="eastAsia" w:ascii="宋体" w:hAnsi="宋体"/>
          <w:sz w:val="24"/>
        </w:rPr>
        <w:t>基金管理人以基金名义在基金管理人选择的证券经营机构营业网点开立证券资金账户。证券经营机构根据相关法</w:t>
      </w:r>
      <w:bookmarkEnd w:id="62"/>
      <w:bookmarkEnd w:id="63"/>
      <w:r>
        <w:rPr>
          <w:rFonts w:hint="eastAsia" w:ascii="宋体" w:hAnsi="宋体"/>
          <w:sz w:val="24"/>
        </w:rPr>
        <w:t>律法规、规范性文件为本基金开立证券资金账户，并按照该证券经营机构开户的流程和要求与基金管理人签订相关协议。</w:t>
      </w:r>
    </w:p>
    <w:bookmarkEnd w:id="64"/>
    <w:p>
      <w:pPr>
        <w:spacing w:line="360" w:lineRule="auto"/>
        <w:ind w:firstLine="480" w:firstLineChars="200"/>
        <w:rPr>
          <w:rFonts w:ascii="宋体" w:hAnsi="宋体"/>
          <w:sz w:val="24"/>
        </w:rPr>
      </w:pPr>
      <w:bookmarkStart w:id="65" w:name="OLE_LINK67"/>
      <w:r>
        <w:rPr>
          <w:rFonts w:hint="eastAsia" w:ascii="宋体" w:hAnsi="宋体"/>
          <w:sz w:val="24"/>
        </w:rPr>
        <w:t>交易所证券交易资金采用第三方存管模式，即用于证券交易的结算资金全额存放在基金管理人为基金开立的证券资金账户中，场内的证券交易资金清算由基金管理人所选择的证券经营机构负责。证券资金账户内的资金，只能通过证银转账方式将资金划转至基金托管账户，不得将资金划转至任何其他银行</w:t>
      </w:r>
      <w:bookmarkEnd w:id="65"/>
      <w:r>
        <w:rPr>
          <w:rFonts w:hint="eastAsia" w:ascii="宋体" w:hAnsi="宋体"/>
          <w:sz w:val="24"/>
        </w:rPr>
        <w:t>账户。基金托管人不负责办理场内的证券交易资金清算，也不负责保管证券资金账户内存放的资金。</w:t>
      </w:r>
    </w:p>
    <w:bookmarkEnd w:id="58"/>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66" w:name="_Toc382819083"/>
      <w:r>
        <w:rPr>
          <w:rFonts w:hint="eastAsia" w:ascii="宋体" w:hAnsi="宋体" w:eastAsia="宋体"/>
          <w:b w:val="0"/>
          <w:bCs w:val="0"/>
          <w:sz w:val="24"/>
          <w:szCs w:val="24"/>
        </w:rPr>
        <w:t>（六）银行间市场债券托管和资金结算专户的开立和管理及市场准入备案</w:t>
      </w:r>
      <w:bookmarkEnd w:id="66"/>
    </w:p>
    <w:p>
      <w:pPr>
        <w:autoSpaceDE w:val="0"/>
        <w:autoSpaceDN w:val="0"/>
        <w:adjustRightInd w:val="0"/>
        <w:spacing w:line="360" w:lineRule="auto"/>
        <w:ind w:firstLine="480" w:firstLineChars="200"/>
        <w:textAlignment w:val="baseline"/>
        <w:rPr>
          <w:rFonts w:ascii="宋体" w:hAnsi="宋体"/>
          <w:sz w:val="24"/>
        </w:rPr>
      </w:pPr>
      <w:bookmarkStart w:id="67" w:name="_Toc382819084"/>
      <w:r>
        <w:rPr>
          <w:rFonts w:hint="eastAsia" w:ascii="宋体" w:hAnsi="宋体"/>
          <w:sz w:val="24"/>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67"/>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（七）其他账户的开设和管理</w:t>
      </w:r>
    </w:p>
    <w:p>
      <w:pPr>
        <w:tabs>
          <w:tab w:val="left" w:pos="4680"/>
        </w:tabs>
        <w:spacing w:line="360" w:lineRule="auto"/>
        <w:ind w:firstLine="480" w:firstLineChars="200"/>
        <w:rPr>
          <w:rFonts w:ascii="宋体" w:hAnsi="宋体"/>
          <w:sz w:val="24"/>
        </w:rPr>
      </w:pPr>
      <w:r>
        <w:rPr>
          <w:rFonts w:hint="eastAsia" w:ascii="宋体" w:hAnsi="宋体"/>
          <w:sz w:val="24"/>
        </w:rPr>
        <w:t>1、因业务发展而需要开立的其它账户，可以根据《基金合同》或有关法律法规的规定，经基金管理人和基金托管人协商一致后，由基金托管人负责为基金开立。新账户按有关规则使用并管理。</w:t>
      </w:r>
    </w:p>
    <w:p>
      <w:pPr>
        <w:tabs>
          <w:tab w:val="left" w:pos="4680"/>
        </w:tabs>
        <w:spacing w:line="360" w:lineRule="auto"/>
        <w:ind w:firstLine="480" w:firstLineChars="200"/>
        <w:rPr>
          <w:rFonts w:ascii="宋体" w:hAnsi="宋体"/>
          <w:sz w:val="24"/>
        </w:rPr>
      </w:pPr>
      <w:r>
        <w:rPr>
          <w:rFonts w:hint="eastAsia" w:ascii="宋体" w:hAnsi="宋体"/>
          <w:sz w:val="24"/>
        </w:rPr>
        <w:t>2、法律、法规等有关规定对相关账户的开立和管理另有规定的，从其规定办理。</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68" w:name="_Toc382819085"/>
      <w:r>
        <w:rPr>
          <w:rFonts w:hint="eastAsia" w:ascii="宋体" w:hAnsi="宋体" w:eastAsia="宋体"/>
          <w:b w:val="0"/>
          <w:bCs w:val="0"/>
          <w:sz w:val="24"/>
          <w:szCs w:val="24"/>
        </w:rPr>
        <w:t>（八）</w:t>
      </w:r>
      <w:bookmarkStart w:id="69" w:name="OLE_LINK70"/>
      <w:bookmarkStart w:id="70" w:name="OLE_LINK69"/>
      <w:r>
        <w:rPr>
          <w:rFonts w:hint="eastAsia" w:ascii="宋体" w:hAnsi="宋体" w:eastAsia="宋体"/>
          <w:b w:val="0"/>
          <w:bCs w:val="0"/>
          <w:sz w:val="24"/>
          <w:szCs w:val="24"/>
        </w:rPr>
        <w:t>基金投资银行存款账户的开立和管理</w:t>
      </w:r>
      <w:bookmarkEnd w:id="68"/>
    </w:p>
    <w:p>
      <w:pPr>
        <w:tabs>
          <w:tab w:val="left" w:pos="4680"/>
        </w:tabs>
        <w:spacing w:line="360" w:lineRule="auto"/>
        <w:ind w:firstLine="480" w:firstLineChars="200"/>
        <w:rPr>
          <w:rFonts w:ascii="宋体" w:hAnsi="宋体"/>
          <w:sz w:val="24"/>
        </w:rPr>
      </w:pPr>
      <w:r>
        <w:rPr>
          <w:rFonts w:hint="eastAsia" w:ascii="宋体" w:hAnsi="宋体"/>
          <w:sz w:val="24"/>
        </w:rPr>
        <w:t>基金投资银行定期存款，基金管理人与基金托管人应比照相关规定，就本基金投资银行存款业务签订书面协议。</w:t>
      </w:r>
    </w:p>
    <w:p>
      <w:pPr>
        <w:tabs>
          <w:tab w:val="left" w:pos="4680"/>
        </w:tabs>
        <w:spacing w:line="360" w:lineRule="auto"/>
        <w:ind w:firstLine="480" w:firstLineChars="200"/>
        <w:rPr>
          <w:rFonts w:ascii="宋体" w:hAnsi="宋体"/>
          <w:sz w:val="24"/>
        </w:rPr>
      </w:pPr>
      <w:r>
        <w:rPr>
          <w:rFonts w:hint="eastAsia" w:ascii="宋体" w:hAnsi="宋体"/>
          <w:sz w:val="24"/>
        </w:rPr>
        <w:t>基金投资银行定期存款应由基金管理人与存款银行总行或其授权分行签订总体合作协议，并将资金存放于存款银行总行或其授权分行指定的分支机构。</w:t>
      </w:r>
    </w:p>
    <w:p>
      <w:pPr>
        <w:tabs>
          <w:tab w:val="left" w:pos="4680"/>
        </w:tabs>
        <w:spacing w:line="360" w:lineRule="auto"/>
        <w:ind w:firstLine="480" w:firstLineChars="200"/>
        <w:rPr>
          <w:rFonts w:ascii="宋体" w:hAnsi="宋体"/>
          <w:sz w:val="24"/>
        </w:rPr>
      </w:pPr>
      <w:r>
        <w:rPr>
          <w:rFonts w:hint="eastAsia" w:ascii="宋体" w:hAnsi="宋体"/>
          <w:sz w:val="24"/>
        </w:rPr>
        <w:t>存款账户必须以基金名义开立，账户名称为基金名称，存款账户开户文件上加盖预留印鉴及基金管理人公章。</w:t>
      </w:r>
    </w:p>
    <w:p>
      <w:pPr>
        <w:tabs>
          <w:tab w:val="left" w:pos="4680"/>
        </w:tabs>
        <w:spacing w:line="360" w:lineRule="auto"/>
        <w:ind w:firstLine="480" w:firstLineChars="200"/>
        <w:rPr>
          <w:rFonts w:ascii="宋体" w:hAnsi="宋体"/>
          <w:sz w:val="24"/>
        </w:rPr>
      </w:pPr>
      <w:r>
        <w:rPr>
          <w:rFonts w:hint="eastAsia" w:ascii="宋体" w:hAnsi="宋体"/>
          <w:sz w:val="24"/>
        </w:rPr>
        <w:t>本基金投资银行存款时，基金管理人应当与存款银行签订具体存款协议，明确存款的类型、期限、利率、金额、账号、对账方式、支取方式、账户管理等细则。</w:t>
      </w:r>
    </w:p>
    <w:p>
      <w:pPr>
        <w:tabs>
          <w:tab w:val="left" w:pos="4680"/>
        </w:tabs>
        <w:spacing w:line="360" w:lineRule="auto"/>
        <w:ind w:firstLine="480" w:firstLineChars="200"/>
        <w:rPr>
          <w:rFonts w:ascii="宋体" w:hAnsi="宋体"/>
          <w:sz w:val="24"/>
        </w:rPr>
      </w:pPr>
      <w:r>
        <w:rPr>
          <w:rFonts w:hint="eastAsia" w:ascii="宋体" w:hAnsi="宋体"/>
          <w:sz w:val="24"/>
        </w:rPr>
        <w:t>为防范特殊情况下的流动性风险，定期存款协议中应当约定提前支取条款。</w:t>
      </w:r>
    </w:p>
    <w:p>
      <w:pPr>
        <w:tabs>
          <w:tab w:val="left" w:pos="4680"/>
        </w:tabs>
        <w:spacing w:line="360" w:lineRule="auto"/>
        <w:ind w:firstLine="480" w:firstLineChars="200"/>
        <w:rPr>
          <w:rFonts w:ascii="宋体" w:hAnsi="宋体"/>
          <w:sz w:val="24"/>
        </w:rPr>
      </w:pPr>
      <w:bookmarkStart w:id="71" w:name="_Toc382819086"/>
      <w:r>
        <w:rPr>
          <w:rFonts w:hint="eastAsia" w:ascii="宋体" w:hAnsi="宋体"/>
          <w:sz w:val="24"/>
        </w:rPr>
        <w:t>基金所投资定期存款存续期间，基金管理人、基金托管人应当与存款银行建立定期对账机制，确保</w:t>
      </w:r>
      <w:bookmarkEnd w:id="69"/>
      <w:bookmarkEnd w:id="70"/>
      <w:r>
        <w:rPr>
          <w:rFonts w:hint="eastAsia" w:ascii="宋体" w:hAnsi="宋体"/>
          <w:sz w:val="24"/>
        </w:rPr>
        <w:t>基金银行存款业务账目及核对的真实、准确。</w:t>
      </w:r>
      <w:bookmarkEnd w:id="71"/>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72" w:name="_Toc382819087"/>
      <w:r>
        <w:rPr>
          <w:rFonts w:hint="eastAsia" w:ascii="宋体" w:hAnsi="宋体" w:eastAsia="宋体"/>
          <w:b w:val="0"/>
          <w:bCs w:val="0"/>
          <w:sz w:val="24"/>
          <w:szCs w:val="24"/>
        </w:rPr>
        <w:t>（九）</w:t>
      </w:r>
      <w:bookmarkStart w:id="73" w:name="OLE_LINK74"/>
      <w:bookmarkStart w:id="74" w:name="OLE_LINK73"/>
      <w:bookmarkStart w:id="75" w:name="OLE_LINK72"/>
      <w:bookmarkStart w:id="76" w:name="OLE_LINK71"/>
      <w:r>
        <w:rPr>
          <w:rFonts w:hint="eastAsia" w:ascii="宋体" w:hAnsi="宋体" w:eastAsia="宋体"/>
          <w:b w:val="0"/>
          <w:bCs w:val="0"/>
          <w:sz w:val="24"/>
          <w:szCs w:val="24"/>
        </w:rPr>
        <w:t>基金财产投资的有关实物证券、银行定期存款存单等有价凭证的保管</w:t>
      </w:r>
      <w:bookmarkEnd w:id="72"/>
    </w:p>
    <w:p>
      <w:pPr>
        <w:spacing w:line="360" w:lineRule="auto"/>
        <w:ind w:firstLine="480" w:firstLineChars="200"/>
        <w:rPr>
          <w:rFonts w:ascii="宋体" w:hAnsi="宋体"/>
          <w:sz w:val="24"/>
        </w:rPr>
      </w:pPr>
      <w:r>
        <w:rPr>
          <w:rFonts w:hint="eastAsia" w:ascii="宋体" w:hAnsi="宋体"/>
          <w:sz w:val="24"/>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w:t>
      </w:r>
      <w:bookmarkStart w:id="77" w:name="OLE_LINK79"/>
      <w:bookmarkStart w:id="78" w:name="OLE_LINK78"/>
      <w:bookmarkStart w:id="79" w:name="OLE_LINK77"/>
      <w:bookmarkStart w:id="80" w:name="OLE_LINK76"/>
      <w:bookmarkStart w:id="81" w:name="OLE_LINK75"/>
      <w:r>
        <w:rPr>
          <w:rFonts w:hint="eastAsia" w:ascii="宋体" w:hAnsi="宋体"/>
          <w:sz w:val="24"/>
        </w:rPr>
        <w:t>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bookmarkEnd w:id="77"/>
    <w:bookmarkEnd w:id="78"/>
    <w:bookmarkEnd w:id="79"/>
    <w:bookmarkEnd w:id="80"/>
    <w:bookmarkEnd w:id="81"/>
    <w:p>
      <w:pPr>
        <w:pStyle w:val="3"/>
        <w:keepNext w:val="0"/>
        <w:keepLines w:val="0"/>
        <w:autoSpaceDE w:val="0"/>
        <w:autoSpaceDN w:val="0"/>
        <w:adjustRightInd w:val="0"/>
        <w:spacing w:before="0" w:after="0" w:line="360" w:lineRule="auto"/>
        <w:ind w:firstLine="480" w:firstLineChars="200"/>
        <w:textAlignment w:val="baseline"/>
        <w:rPr>
          <w:rFonts w:ascii="宋体" w:hAnsi="宋体"/>
          <w:b w:val="0"/>
          <w:bCs w:val="0"/>
          <w:sz w:val="24"/>
          <w:szCs w:val="24"/>
        </w:rPr>
      </w:pPr>
      <w:r>
        <w:rPr>
          <w:rFonts w:hint="eastAsia" w:ascii="宋体" w:hAnsi="宋体" w:eastAsia="宋体"/>
          <w:b w:val="0"/>
          <w:bCs w:val="0"/>
          <w:sz w:val="24"/>
          <w:szCs w:val="24"/>
        </w:rPr>
        <w:t>（十）与基金财产有关的重大合同的保管</w:t>
      </w:r>
    </w:p>
    <w:bookmarkEnd w:id="73"/>
    <w:bookmarkEnd w:id="74"/>
    <w:bookmarkEnd w:id="75"/>
    <w:bookmarkEnd w:id="76"/>
    <w:p>
      <w:pPr>
        <w:spacing w:line="360" w:lineRule="auto"/>
        <w:ind w:firstLine="480" w:firstLineChars="200"/>
        <w:rPr>
          <w:rFonts w:ascii="宋体" w:hAnsi="宋体"/>
          <w:sz w:val="24"/>
        </w:rPr>
      </w:pPr>
      <w:r>
        <w:rPr>
          <w:rFonts w:hint="eastAsia" w:ascii="宋体" w:hAnsi="宋体"/>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w:t>
      </w:r>
      <w:r>
        <w:rPr>
          <w:rFonts w:ascii="宋体" w:hAnsi="宋体"/>
          <w:sz w:val="24"/>
        </w:rPr>
        <w:t>20</w:t>
      </w:r>
      <w:r>
        <w:rPr>
          <w:rFonts w:hint="eastAsia" w:ascii="宋体" w:hAnsi="宋体"/>
          <w:sz w:val="24"/>
        </w:rPr>
        <w:t>年以上。</w:t>
      </w:r>
    </w:p>
    <w:p>
      <w:pPr>
        <w:spacing w:line="360" w:lineRule="auto"/>
        <w:ind w:firstLine="480" w:firstLineChars="200"/>
        <w:rPr>
          <w:rFonts w:ascii="宋体" w:hAnsi="宋体"/>
          <w:sz w:val="24"/>
        </w:rPr>
      </w:pPr>
      <w:r>
        <w:rPr>
          <w:rFonts w:hint="eastAsia" w:ascii="宋体" w:hAnsi="宋体"/>
          <w:sz w:val="24"/>
        </w:rPr>
        <w:t>对于无法取得二份以上的正本的，基金管理人应向基金托管人提供与合同原件核对一致的并加盖基金管理人公章的合同传真件或复印件，未经双方协商一致，合同原件不得转移。</w:t>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82" w:name="_Toc382819088"/>
      <w:r>
        <w:rPr>
          <w:rFonts w:hint="eastAsia" w:ascii="宋体" w:hAnsi="宋体" w:eastAsia="宋体" w:cs="Arial"/>
          <w:sz w:val="24"/>
          <w:szCs w:val="24"/>
        </w:rPr>
        <w:t>指令的发送、确认和执行</w:t>
      </w:r>
      <w:bookmarkEnd w:id="82"/>
    </w:p>
    <w:p>
      <w:pPr>
        <w:tabs>
          <w:tab w:val="left" w:pos="4680"/>
        </w:tabs>
        <w:spacing w:line="360" w:lineRule="auto"/>
        <w:ind w:firstLine="480" w:firstLineChars="200"/>
        <w:rPr>
          <w:rFonts w:ascii="宋体" w:hAnsi="宋体"/>
          <w:sz w:val="24"/>
        </w:rPr>
      </w:pPr>
      <w:bookmarkStart w:id="83" w:name="_Toc382819089"/>
      <w:r>
        <w:rPr>
          <w:rFonts w:hint="eastAsia" w:ascii="宋体" w:hAnsi="宋体"/>
          <w:sz w:val="24"/>
        </w:rPr>
        <w:t>基金管理人在运用基金财产时向基金托管人发送资金划拨及其他款项付款指令，基金托管人执行基金管理人合法合规且符合本协议相关约定的指令、办理基金名下的资金往来等有关事项。</w:t>
      </w:r>
      <w:bookmarkEnd w:id="83"/>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84" w:name="_Toc382819090"/>
      <w:r>
        <w:rPr>
          <w:rFonts w:hint="eastAsia" w:ascii="宋体" w:hAnsi="宋体" w:eastAsia="宋体"/>
          <w:b w:val="0"/>
          <w:bCs w:val="0"/>
          <w:sz w:val="24"/>
          <w:szCs w:val="24"/>
        </w:rPr>
        <w:t>（一）基金管理人对发送指令人员的书面授权</w:t>
      </w:r>
      <w:bookmarkEnd w:id="84"/>
    </w:p>
    <w:p>
      <w:pPr>
        <w:tabs>
          <w:tab w:val="left" w:pos="4680"/>
        </w:tabs>
        <w:spacing w:line="360" w:lineRule="auto"/>
        <w:ind w:firstLine="480" w:firstLineChars="200"/>
        <w:rPr>
          <w:rFonts w:ascii="宋体" w:hAnsi="宋体"/>
          <w:sz w:val="24"/>
        </w:rPr>
      </w:pPr>
      <w:bookmarkStart w:id="85" w:name="_Toc382818601"/>
      <w:bookmarkStart w:id="86" w:name="_Toc382819091"/>
      <w:r>
        <w:rPr>
          <w:rFonts w:hint="eastAsia" w:ascii="宋体" w:hAnsi="宋体"/>
          <w:sz w:val="24"/>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划款指令授权书无论基金成立时或后续更新，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将划款指令授权书变更通知的正本送交基金托管人。划款指令授权书变更通知原件未按时送达基金托管人的，基金托管人有权拒绝执行该授权书对应的划款指令，但应及时通知基金管理人，基金托管人不承担由此造成的损失。基金管理人和基金托管人对授权文件负有保密义务，其内容不得向授权人、被授权人及相关操作人员以外的任何人泄露</w:t>
      </w:r>
      <w:bookmarkEnd w:id="85"/>
      <w:bookmarkEnd w:id="86"/>
      <w:r>
        <w:rPr>
          <w:rFonts w:hint="eastAsia" w:ascii="宋体" w:hAnsi="宋体"/>
          <w:sz w:val="24"/>
        </w:rPr>
        <w:t>，但法律法规或有权机关另有要求的除外。</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87" w:name="_Toc382819092"/>
      <w:r>
        <w:rPr>
          <w:rFonts w:hint="eastAsia" w:ascii="宋体" w:hAnsi="宋体" w:eastAsia="宋体"/>
          <w:b w:val="0"/>
          <w:bCs w:val="0"/>
          <w:sz w:val="24"/>
          <w:szCs w:val="24"/>
        </w:rPr>
        <w:t>（二）指令的内容</w:t>
      </w:r>
      <w:bookmarkEnd w:id="87"/>
    </w:p>
    <w:p>
      <w:pPr>
        <w:tabs>
          <w:tab w:val="left" w:pos="4680"/>
        </w:tabs>
        <w:spacing w:line="360" w:lineRule="auto"/>
        <w:ind w:firstLine="480" w:firstLineChars="200"/>
        <w:rPr>
          <w:rFonts w:ascii="宋体" w:hAnsi="宋体"/>
          <w:sz w:val="24"/>
        </w:rPr>
      </w:pPr>
      <w:r>
        <w:rPr>
          <w:rFonts w:hint="eastAsia" w:ascii="宋体" w:hAnsi="宋体"/>
          <w:sz w:val="24"/>
        </w:rPr>
        <w:t>1、指令是指基金管理人在运用基金财产时向基金托管人发送的付款指令（含赎回、分红付款、回购到期付款指令等）以及其它资金划拨的指令等。</w:t>
      </w:r>
    </w:p>
    <w:p>
      <w:pPr>
        <w:tabs>
          <w:tab w:val="left" w:pos="4680"/>
        </w:tabs>
        <w:spacing w:line="360" w:lineRule="auto"/>
        <w:ind w:firstLine="480" w:firstLineChars="200"/>
        <w:rPr>
          <w:rFonts w:ascii="宋体" w:hAnsi="宋体"/>
          <w:sz w:val="24"/>
        </w:rPr>
      </w:pPr>
      <w:r>
        <w:rPr>
          <w:rFonts w:hint="eastAsia" w:ascii="宋体" w:hAnsi="宋体"/>
          <w:sz w:val="24"/>
        </w:rPr>
        <w:t>2、基金管理人发给基金托管人的指令应写明付款账号、付款户名、开户行、收款账号、收款户名、开户行、款项事由、支付时间、到账时间、金额、账户等，加盖预留印鉴并由被授权人签字。</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88" w:name="_Toc382819093"/>
      <w:r>
        <w:rPr>
          <w:rFonts w:hint="eastAsia" w:ascii="宋体" w:hAnsi="宋体" w:eastAsia="宋体"/>
          <w:b w:val="0"/>
          <w:bCs w:val="0"/>
          <w:sz w:val="24"/>
          <w:szCs w:val="24"/>
        </w:rPr>
        <w:t>（三）指令的发送、确认和执行的时间和程序</w:t>
      </w:r>
      <w:bookmarkEnd w:id="88"/>
    </w:p>
    <w:p>
      <w:pPr>
        <w:spacing w:line="360" w:lineRule="auto"/>
        <w:ind w:firstLine="480" w:firstLineChars="200"/>
        <w:rPr>
          <w:rFonts w:ascii="宋体" w:hAnsi="宋体"/>
          <w:sz w:val="24"/>
        </w:rPr>
      </w:pPr>
      <w:bookmarkStart w:id="89" w:name="OLE_LINK83"/>
      <w:bookmarkStart w:id="90" w:name="OLE_LINK81"/>
      <w:bookmarkStart w:id="91" w:name="OLE_LINK82"/>
      <w:bookmarkStart w:id="92" w:name="OLE_LINK80"/>
      <w:r>
        <w:rPr>
          <w:rFonts w:hint="eastAsia" w:ascii="宋体" w:hAnsi="宋体"/>
          <w:sz w:val="24"/>
        </w:rPr>
        <w:t>指令由“授权通知”确定的有权发送人（以下简称“被授权人”）代表基金管理人用传真的方式或其他基金托管人和基金管理人约定的方式向基金托管人发送。基金管理人有义务在发送指令后及时与基金托管人进行确认，因基金管理人未能及时与基金托管人进行指令确认,致使资金未能及时到账所造成的损失，基金托管人不承担相应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w:t>
      </w:r>
    </w:p>
    <w:bookmarkEnd w:id="89"/>
    <w:bookmarkEnd w:id="90"/>
    <w:bookmarkEnd w:id="91"/>
    <w:bookmarkEnd w:id="92"/>
    <w:p>
      <w:pPr>
        <w:spacing w:line="360" w:lineRule="auto"/>
        <w:ind w:firstLine="480" w:firstLineChars="200"/>
        <w:rPr>
          <w:rFonts w:ascii="宋体" w:hAnsi="宋体"/>
          <w:sz w:val="24"/>
        </w:rPr>
      </w:pPr>
      <w:r>
        <w:rPr>
          <w:rFonts w:hint="eastAsia" w:ascii="宋体" w:hAnsi="宋体"/>
          <w:sz w:val="24"/>
        </w:rPr>
        <w:t>对于场内业务，基金管理人在运用基金财产时，开展场内证券交易前，基金管理人通过基金托管账户与证券资金账户已建立的第三方存管系统在基金托管户与证券资金账户之间划款，即银证互转。</w:t>
      </w:r>
    </w:p>
    <w:p>
      <w:pPr>
        <w:spacing w:line="360" w:lineRule="auto"/>
        <w:ind w:firstLine="480" w:firstLineChars="200"/>
        <w:rPr>
          <w:rFonts w:ascii="宋体" w:hAnsi="宋体"/>
          <w:sz w:val="24"/>
        </w:rPr>
      </w:pPr>
      <w:r>
        <w:rPr>
          <w:rFonts w:hint="eastAsia" w:ascii="宋体" w:hAnsi="宋体"/>
          <w:sz w:val="24"/>
        </w:rPr>
        <w:t>一般划款指令（不含非担保交收指令、新债、增发等申购指令）应在15点（指令截至时间）前提交托管人，如基金管理人要求当天某一时点到账，则指令需提前2个工作小时(工作时间9点至11点30分,13点至17点)提交托管人。</w:t>
      </w:r>
    </w:p>
    <w:p>
      <w:pPr>
        <w:spacing w:line="360" w:lineRule="auto"/>
        <w:ind w:firstLine="480" w:firstLineChars="200"/>
        <w:rPr>
          <w:rFonts w:ascii="宋体" w:hAnsi="宋体"/>
          <w:sz w:val="24"/>
        </w:rPr>
      </w:pPr>
      <w:r>
        <w:rPr>
          <w:rFonts w:hint="eastAsia" w:ascii="宋体" w:hAnsi="宋体"/>
          <w:sz w:val="24"/>
        </w:rPr>
        <w:t>新债、增发等申购指令，基金管理人应为基金托管人留出执行指令所必需的时间，指令最迟不得晚于上午11：00点（指令截至时间）提交基金托管人。</w:t>
      </w:r>
    </w:p>
    <w:p>
      <w:pPr>
        <w:spacing w:line="360" w:lineRule="auto"/>
        <w:ind w:firstLine="480" w:firstLineChars="200"/>
        <w:rPr>
          <w:rFonts w:ascii="宋体" w:hAnsi="宋体"/>
          <w:sz w:val="24"/>
        </w:rPr>
      </w:pPr>
      <w:bookmarkStart w:id="93" w:name="OLE_LINK84"/>
      <w:bookmarkStart w:id="94" w:name="OLE_LINK85"/>
      <w:r>
        <w:rPr>
          <w:rFonts w:hint="eastAsia" w:ascii="宋体" w:hAnsi="宋体"/>
          <w:sz w:val="24"/>
        </w:rPr>
        <w:t>对于指定时间出款的交易指令，基金管理人应提前2小时将指令发送至基金托管人；对于基金管理人于15:00以后发送至基金托管人的指令，基金托管人不保证当日出款。</w:t>
      </w:r>
    </w:p>
    <w:bookmarkEnd w:id="93"/>
    <w:bookmarkEnd w:id="94"/>
    <w:p>
      <w:pPr>
        <w:spacing w:line="360" w:lineRule="auto"/>
        <w:ind w:firstLine="480" w:firstLineChars="200"/>
        <w:rPr>
          <w:rFonts w:ascii="宋体" w:hAnsi="宋体"/>
          <w:sz w:val="24"/>
        </w:rPr>
      </w:pPr>
      <w:bookmarkStart w:id="95" w:name="OLE_LINK88"/>
      <w:bookmarkStart w:id="96" w:name="OLE_LINK87"/>
      <w:bookmarkStart w:id="97" w:name="OLE_LINK86"/>
      <w:r>
        <w:rPr>
          <w:rFonts w:hint="eastAsia" w:ascii="宋体" w:hAnsi="宋体"/>
          <w:sz w:val="24"/>
        </w:rPr>
        <w:t>如划款指令中给予基金托管人的划</w:t>
      </w:r>
      <w:bookmarkEnd w:id="95"/>
      <w:bookmarkEnd w:id="96"/>
      <w:bookmarkEnd w:id="97"/>
      <w:r>
        <w:rPr>
          <w:rFonts w:hint="eastAsia" w:ascii="宋体" w:hAnsi="宋体"/>
          <w:sz w:val="24"/>
        </w:rPr>
        <w:t>拨时间小于2个工作小时或晚于前述指令截至时间的，基金托管人应尽力在指定时间内完成资金划拨,但不承担因时间不足导致执行失败的责任。</w:t>
      </w:r>
    </w:p>
    <w:p>
      <w:pPr>
        <w:spacing w:line="360" w:lineRule="auto"/>
        <w:ind w:firstLine="480" w:firstLineChars="200"/>
        <w:rPr>
          <w:rFonts w:ascii="宋体" w:hAnsi="宋体"/>
          <w:sz w:val="24"/>
        </w:rPr>
      </w:pPr>
      <w:r>
        <w:rPr>
          <w:rFonts w:hint="eastAsia" w:ascii="宋体" w:hAnsi="宋体"/>
          <w:sz w:val="24"/>
        </w:rPr>
        <w:t>基金管理人原因造成的指令传输不及时、未能留出足够划款所需时间，致使资金未能及时到账所造成的损失由基金管理人承担。</w:t>
      </w:r>
    </w:p>
    <w:p>
      <w:pPr>
        <w:spacing w:line="360" w:lineRule="auto"/>
        <w:ind w:firstLine="480" w:firstLineChars="200"/>
        <w:rPr>
          <w:rFonts w:ascii="宋体" w:hAnsi="宋体"/>
          <w:sz w:val="24"/>
        </w:rPr>
      </w:pPr>
      <w:r>
        <w:rPr>
          <w:rFonts w:hint="eastAsia" w:ascii="宋体" w:hAnsi="宋体"/>
          <w:sz w:val="24"/>
        </w:rPr>
        <w:t>基金管理人有义务在发送指令后与基金托管人进行电话确认。指令以获得基金托管人确认该指令已成功接收之时视为送达基金托管人。</w:t>
      </w:r>
    </w:p>
    <w:p>
      <w:pPr>
        <w:spacing w:line="360" w:lineRule="auto"/>
        <w:ind w:firstLine="480" w:firstLineChars="200"/>
        <w:rPr>
          <w:rFonts w:ascii="宋体" w:hAnsi="宋体"/>
          <w:sz w:val="24"/>
        </w:rPr>
      </w:pPr>
      <w:r>
        <w:rPr>
          <w:rFonts w:hint="eastAsia" w:ascii="宋体" w:hAnsi="宋体"/>
          <w:sz w:val="24"/>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pPr>
        <w:spacing w:line="360" w:lineRule="auto"/>
        <w:ind w:firstLine="480" w:firstLineChars="200"/>
        <w:rPr>
          <w:rFonts w:ascii="宋体" w:hAnsi="宋体"/>
          <w:sz w:val="24"/>
        </w:rPr>
      </w:pPr>
      <w:r>
        <w:rPr>
          <w:rFonts w:hint="eastAsia" w:ascii="宋体" w:hAnsi="宋体"/>
          <w:sz w:val="24"/>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相应责任。</w:t>
      </w:r>
    </w:p>
    <w:p>
      <w:pPr>
        <w:spacing w:line="360" w:lineRule="auto"/>
        <w:ind w:firstLine="480" w:firstLineChars="200"/>
        <w:rPr>
          <w:rFonts w:ascii="宋体" w:hAnsi="宋体"/>
          <w:sz w:val="24"/>
        </w:rPr>
      </w:pPr>
      <w:r>
        <w:rPr>
          <w:rFonts w:hint="eastAsia" w:ascii="宋体" w:hAnsi="宋体"/>
          <w:sz w:val="24"/>
        </w:rPr>
        <w:t>基金管理人应将同业市场国债交易通知单加盖预留印鉴后传真给基金托管人。</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98" w:name="_Toc382819094"/>
      <w:r>
        <w:rPr>
          <w:rFonts w:hint="eastAsia" w:ascii="宋体" w:hAnsi="宋体" w:eastAsia="宋体"/>
          <w:b w:val="0"/>
          <w:bCs w:val="0"/>
          <w:sz w:val="24"/>
          <w:szCs w:val="24"/>
        </w:rPr>
        <w:t>（四）基金管理人发送错误指令的情形和处理程序</w:t>
      </w:r>
      <w:bookmarkEnd w:id="98"/>
    </w:p>
    <w:p>
      <w:pPr>
        <w:spacing w:after="120" w:line="360" w:lineRule="auto"/>
        <w:ind w:firstLine="480" w:firstLineChars="200"/>
        <w:rPr>
          <w:rFonts w:ascii="宋体" w:hAnsi="宋体"/>
          <w:sz w:val="24"/>
        </w:rPr>
      </w:pPr>
      <w:bookmarkStart w:id="99" w:name="OLE_LINK92"/>
      <w:bookmarkStart w:id="100" w:name="OLE_LINK91"/>
      <w:bookmarkStart w:id="101" w:name="OLE_LINK89"/>
      <w:bookmarkStart w:id="102" w:name="OLE_LINK90"/>
      <w:r>
        <w:rPr>
          <w:rFonts w:hint="eastAsia" w:ascii="宋体" w:hAnsi="宋体"/>
          <w:sz w:val="24"/>
        </w:rPr>
        <w:t>基金管理人发送错误指令的情形包括但不限于指令发送人员无权或超越权限发送指令及交割信息错误，指令中重要信息模糊不清或不全,指令违反法律法规</w:t>
      </w:r>
      <w:bookmarkEnd w:id="99"/>
      <w:bookmarkEnd w:id="100"/>
      <w:bookmarkEnd w:id="101"/>
      <w:bookmarkEnd w:id="102"/>
      <w:r>
        <w:rPr>
          <w:rFonts w:hint="eastAsia" w:ascii="宋体" w:hAnsi="宋体"/>
          <w:sz w:val="24"/>
        </w:rPr>
        <w:t>和《基金合同》及本协议约定等。</w:t>
      </w:r>
    </w:p>
    <w:p>
      <w:pPr>
        <w:spacing w:line="360" w:lineRule="auto"/>
        <w:ind w:firstLine="480" w:firstLineChars="200"/>
        <w:rPr>
          <w:rFonts w:ascii="宋体" w:hAnsi="宋体"/>
          <w:sz w:val="24"/>
          <w:lang w:val="zh-CN"/>
        </w:rPr>
      </w:pPr>
      <w:r>
        <w:rPr>
          <w:rFonts w:hint="eastAsia" w:ascii="宋体" w:hAnsi="宋体"/>
          <w:sz w:val="24"/>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103" w:name="_Toc382819095"/>
      <w:r>
        <w:rPr>
          <w:rFonts w:hint="eastAsia" w:ascii="宋体" w:hAnsi="宋体" w:eastAsia="宋体"/>
          <w:b w:val="0"/>
          <w:bCs w:val="0"/>
          <w:sz w:val="24"/>
          <w:szCs w:val="24"/>
        </w:rPr>
        <w:t>（五）基金托管人未按照基金管理人指令执行的处理方法</w:t>
      </w:r>
      <w:bookmarkEnd w:id="103"/>
    </w:p>
    <w:p>
      <w:pPr>
        <w:spacing w:line="360" w:lineRule="auto"/>
        <w:ind w:firstLine="480" w:firstLineChars="200"/>
        <w:rPr>
          <w:rFonts w:ascii="宋体" w:hAnsi="宋体"/>
          <w:sz w:val="24"/>
        </w:rPr>
      </w:pPr>
      <w:r>
        <w:rPr>
          <w:rFonts w:hint="eastAsia" w:ascii="宋体" w:hAnsi="宋体"/>
          <w:sz w:val="24"/>
        </w:rPr>
        <w:t>除本协议另有约定外，基金托管人由于自身原因造成未按照或者未及时按照基金管理人发送的符合本协议约定的、按照正常交易程序已经生效的指令执行，给基金份额持有人、基金管理人造成损失的，应负责赔偿相应的直接损失。</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104" w:name="_Toc382819096"/>
      <w:r>
        <w:rPr>
          <w:rFonts w:hint="eastAsia" w:ascii="宋体" w:hAnsi="宋体" w:eastAsia="宋体"/>
          <w:b w:val="0"/>
          <w:bCs w:val="0"/>
          <w:sz w:val="24"/>
          <w:szCs w:val="24"/>
        </w:rPr>
        <w:t>（六）更换</w:t>
      </w:r>
      <w:bookmarkStart w:id="105" w:name="OLE_LINK95"/>
      <w:bookmarkStart w:id="106" w:name="OLE_LINK94"/>
      <w:bookmarkStart w:id="107" w:name="OLE_LINK93"/>
      <w:r>
        <w:rPr>
          <w:rFonts w:hint="eastAsia" w:ascii="宋体" w:hAnsi="宋体" w:eastAsia="宋体"/>
          <w:b w:val="0"/>
          <w:bCs w:val="0"/>
          <w:sz w:val="24"/>
          <w:szCs w:val="24"/>
        </w:rPr>
        <w:t>被授权人的程序</w:t>
      </w:r>
      <w:bookmarkEnd w:id="104"/>
    </w:p>
    <w:p>
      <w:pPr>
        <w:spacing w:line="360" w:lineRule="auto"/>
        <w:ind w:firstLine="480" w:firstLineChars="200"/>
        <w:rPr>
          <w:rFonts w:ascii="宋体" w:hAnsi="宋体"/>
          <w:sz w:val="24"/>
        </w:rPr>
      </w:pPr>
      <w:r>
        <w:rPr>
          <w:rFonts w:hint="eastAsia" w:ascii="宋体" w:hAnsi="宋体"/>
          <w:sz w:val="24"/>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收基金管理人指令的人员，应提前通过邮件、传真或录音电话等方式通知基金管理人。</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（七）其它事项</w:t>
      </w:r>
    </w:p>
    <w:bookmarkEnd w:id="105"/>
    <w:bookmarkEnd w:id="106"/>
    <w:bookmarkEnd w:id="107"/>
    <w:p>
      <w:pPr>
        <w:spacing w:line="360" w:lineRule="auto"/>
        <w:ind w:firstLine="480" w:firstLineChars="200"/>
        <w:rPr>
          <w:rFonts w:ascii="宋体" w:hAnsi="宋体"/>
          <w:sz w:val="24"/>
        </w:rPr>
      </w:pPr>
      <w:r>
        <w:rPr>
          <w:rFonts w:hint="eastAsia" w:ascii="宋体" w:hAnsi="宋体"/>
          <w:sz w:val="24"/>
        </w:rPr>
        <w:t>基金管理人承担下达违法、违规或违反《基金合同》和本协议约定的指令所导致的责任。基金托管人对执行基金管理人的按照正常交易程序已经生效的指令对基金财产造成的损失不承担赔偿责任。</w:t>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108" w:name="_Toc382819097"/>
      <w:r>
        <w:rPr>
          <w:rFonts w:hint="eastAsia" w:ascii="宋体" w:hAnsi="宋体" w:eastAsia="宋体" w:cs="Arial"/>
          <w:sz w:val="24"/>
          <w:szCs w:val="24"/>
        </w:rPr>
        <w:t>交易及清算交收安排</w:t>
      </w:r>
      <w:bookmarkEnd w:id="108"/>
    </w:p>
    <w:p>
      <w:pPr>
        <w:ind w:firstLine="480" w:firstLineChars="200"/>
        <w:rPr>
          <w:sz w:val="24"/>
        </w:rPr>
      </w:pPr>
      <w:bookmarkStart w:id="109" w:name="_Toc382819098"/>
      <w:r>
        <w:rPr>
          <w:rFonts w:hint="eastAsia" w:ascii="宋体" w:hAnsi="宋体"/>
          <w:sz w:val="24"/>
        </w:rPr>
        <w:t>（一）选择代理证券、期货买卖的证券、期货经营机构的标准和程序</w:t>
      </w:r>
      <w:bookmarkEnd w:id="109"/>
    </w:p>
    <w:p>
      <w:pPr>
        <w:spacing w:line="360" w:lineRule="auto"/>
        <w:ind w:firstLine="480" w:firstLineChars="200"/>
        <w:rPr>
          <w:rFonts w:ascii="宋体" w:hAnsi="宋体"/>
          <w:sz w:val="24"/>
        </w:rPr>
      </w:pPr>
      <w:r>
        <w:rPr>
          <w:rFonts w:hint="eastAsia" w:ascii="宋体" w:hAnsi="宋体"/>
          <w:sz w:val="24"/>
        </w:rPr>
        <w:t>基金管理人应制定选择代理证券、期货买卖的证券、期货经营机构的标准和程序。</w:t>
      </w:r>
    </w:p>
    <w:p>
      <w:pPr>
        <w:spacing w:line="360" w:lineRule="auto"/>
        <w:ind w:firstLine="480" w:firstLineChars="200"/>
        <w:rPr>
          <w:rFonts w:ascii="宋体" w:hAnsi="宋体"/>
          <w:sz w:val="24"/>
        </w:rPr>
      </w:pPr>
      <w:r>
        <w:rPr>
          <w:rFonts w:hint="eastAsia" w:ascii="宋体" w:hAnsi="宋体"/>
          <w:sz w:val="24"/>
        </w:rPr>
        <w:t>基金管理人负责选择代理本基金证券买卖的证券经营机构，由基金管理人与基金托管人及证券经营机构签订本基金的证券经纪服务协议，明确三方在本基金参与场内证券交易、证券交收及相关资金交收过程中的职责和义务。</w:t>
      </w:r>
    </w:p>
    <w:p>
      <w:pPr>
        <w:spacing w:line="360" w:lineRule="auto"/>
        <w:ind w:firstLine="480" w:firstLineChars="200"/>
        <w:rPr>
          <w:rFonts w:ascii="宋体" w:hAnsi="宋体"/>
          <w:sz w:val="24"/>
        </w:rPr>
      </w:pPr>
      <w:bookmarkStart w:id="110" w:name="OLE_LINK111"/>
      <w:bookmarkStart w:id="111" w:name="OLE_LINK110"/>
      <w:r>
        <w:rPr>
          <w:rFonts w:hint="eastAsia" w:ascii="宋体" w:hAnsi="宋体"/>
          <w:sz w:val="24"/>
        </w:rPr>
        <w:t>基金管理人负责选择代理本基金期货交易的期货经营机构，并与其签订期货经纪协议，其他事宜根据法律法规、《基金合同》的相关规定执行，若无明确规定的，可参照有关证券买卖、证券经营机构选择的规则执行。</w:t>
      </w:r>
      <w:bookmarkEnd w:id="110"/>
      <w:bookmarkEnd w:id="111"/>
    </w:p>
    <w:p>
      <w:pPr>
        <w:pStyle w:val="3"/>
        <w:keepNext w:val="0"/>
        <w:keepLines w:val="0"/>
        <w:numPr>
          <w:ilvl w:val="0"/>
          <w:numId w:val="3"/>
        </w:numPr>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112" w:name="_Toc382819099"/>
      <w:r>
        <w:rPr>
          <w:rFonts w:hint="eastAsia" w:ascii="宋体" w:hAnsi="宋体" w:eastAsia="宋体"/>
          <w:b w:val="0"/>
          <w:bCs w:val="0"/>
          <w:sz w:val="24"/>
          <w:szCs w:val="24"/>
        </w:rPr>
        <w:t>基金投资证券后的清算交收安排</w:t>
      </w:r>
      <w:bookmarkEnd w:id="112"/>
    </w:p>
    <w:p>
      <w:pPr>
        <w:spacing w:line="360" w:lineRule="auto"/>
        <w:ind w:firstLine="480" w:firstLineChars="200"/>
        <w:rPr>
          <w:sz w:val="24"/>
        </w:rPr>
      </w:pPr>
      <w:bookmarkStart w:id="113" w:name="OLE_LINK103"/>
      <w:bookmarkStart w:id="114" w:name="OLE_LINK104"/>
      <w:bookmarkStart w:id="115" w:name="OLE_LINK105"/>
      <w:r>
        <w:rPr>
          <w:rFonts w:hint="eastAsia"/>
          <w:sz w:val="24"/>
        </w:rPr>
        <w:t>本基金通过证券经营机构进行的交易由证券经营机构作为结算参与人代理本基金进行结算；本基金通过期货经营机构进行的交易由期货经营机构作为结算参与人代理本基金进行结算；本基金其他证券交易由基金托管人或相关机构负责结算。</w:t>
      </w:r>
      <w:bookmarkStart w:id="116" w:name="OLE_LINK106"/>
      <w:r>
        <w:rPr>
          <w:rFonts w:hint="eastAsia"/>
          <w:sz w:val="24"/>
        </w:rPr>
        <w:t>基金管理人、基金</w:t>
      </w:r>
      <w:bookmarkEnd w:id="113"/>
      <w:bookmarkEnd w:id="114"/>
      <w:bookmarkEnd w:id="115"/>
      <w:r>
        <w:rPr>
          <w:rFonts w:hint="eastAsia"/>
          <w:sz w:val="24"/>
        </w:rPr>
        <w:t>托管人以及被选择的证券经营机构应根据有关法律法规及相关业务规则，签订证券经纪服务协议，用以具体明确三方在证券交易资金结算业务中的责任。</w:t>
      </w:r>
      <w:bookmarkStart w:id="117" w:name="_Toc382819100"/>
    </w:p>
    <w:bookmarkEnd w:id="117"/>
    <w:p>
      <w:pPr>
        <w:spacing w:line="360" w:lineRule="auto"/>
        <w:ind w:left="420"/>
        <w:rPr>
          <w:rFonts w:ascii="宋体" w:hAnsi="宋体"/>
          <w:sz w:val="24"/>
        </w:rPr>
      </w:pPr>
      <w:r>
        <w:rPr>
          <w:rFonts w:ascii="宋体" w:hAnsi="宋体"/>
          <w:sz w:val="24"/>
        </w:rPr>
        <w:t>1.</w:t>
      </w:r>
      <w:r>
        <w:rPr>
          <w:rFonts w:hint="eastAsia" w:ascii="宋体" w:hAnsi="宋体"/>
          <w:sz w:val="24"/>
        </w:rPr>
        <w:t>银行间债券券款对付结算</w:t>
      </w:r>
    </w:p>
    <w:bookmarkEnd w:id="116"/>
    <w:p>
      <w:pPr>
        <w:spacing w:line="360" w:lineRule="auto"/>
        <w:ind w:firstLine="480" w:firstLineChars="200"/>
        <w:rPr>
          <w:rFonts w:ascii="宋体" w:hAnsi="宋体"/>
          <w:sz w:val="24"/>
        </w:rPr>
      </w:pPr>
      <w:r>
        <w:rPr>
          <w:rFonts w:hint="eastAsia" w:ascii="宋体" w:hAnsi="宋体"/>
          <w:sz w:val="24"/>
        </w:rPr>
        <w:t>基金管理人应及时将银行间市场清算所股份有限公司、中央国债登记结算有限责任公司划款指令和成交通知单按相关规定提交基金托管人，基金管理人应为基金托管人留出执行指令所必需的时间。</w:t>
      </w:r>
    </w:p>
    <w:p>
      <w:pPr>
        <w:spacing w:line="360" w:lineRule="auto"/>
        <w:ind w:firstLine="480" w:firstLineChars="200"/>
        <w:rPr>
          <w:rFonts w:ascii="宋体" w:hAnsi="宋体"/>
          <w:sz w:val="24"/>
        </w:rPr>
      </w:pPr>
      <w:r>
        <w:rPr>
          <w:rFonts w:hint="eastAsia" w:ascii="宋体" w:hAnsi="宋体"/>
          <w:sz w:val="24"/>
        </w:rPr>
        <w:t>基金管理人应根据中央国债登记结算有限责任公司、银行间市场清算所股份有限公司提供的查询功能，实时跟踪交易结算情况、证券与资金到账与余额变动情况，便于监控结算过程，做好资金与交易匹配的前端控制。</w:t>
      </w:r>
    </w:p>
    <w:p>
      <w:pPr>
        <w:spacing w:line="360" w:lineRule="auto"/>
        <w:ind w:left="420"/>
        <w:rPr>
          <w:rFonts w:ascii="宋体" w:hAnsi="宋体"/>
          <w:sz w:val="24"/>
        </w:rPr>
      </w:pPr>
      <w:r>
        <w:rPr>
          <w:rFonts w:ascii="宋体" w:hAnsi="宋体"/>
          <w:sz w:val="24"/>
        </w:rPr>
        <w:t>2.</w:t>
      </w:r>
      <w:r>
        <w:rPr>
          <w:rFonts w:hint="eastAsia" w:ascii="宋体" w:hAnsi="宋体"/>
          <w:sz w:val="24"/>
        </w:rPr>
        <w:t>定期存款投资</w:t>
      </w:r>
    </w:p>
    <w:p>
      <w:pPr>
        <w:spacing w:line="360" w:lineRule="auto"/>
        <w:ind w:firstLine="480" w:firstLineChars="200"/>
        <w:rPr>
          <w:rFonts w:ascii="宋体" w:hAnsi="宋体"/>
          <w:sz w:val="24"/>
        </w:rPr>
      </w:pPr>
      <w:r>
        <w:rPr>
          <w:rFonts w:hint="eastAsia" w:ascii="宋体" w:hAnsi="宋体"/>
          <w:sz w:val="24"/>
        </w:rPr>
        <w:t>基金管理人与存款行签订的存款协议条款格式应在定期存款起息日的前一个工作日发送给基金托管人，</w:t>
      </w:r>
      <w:r>
        <w:rPr>
          <w:rFonts w:hint="eastAsia" w:ascii="宋体" w:hAnsi="宋体" w:cs="Arial"/>
          <w:color w:val="000000"/>
          <w:sz w:val="24"/>
        </w:rPr>
        <w:t>基金管理人应将</w:t>
      </w:r>
      <w:r>
        <w:rPr>
          <w:rFonts w:hint="eastAsia" w:ascii="宋体" w:hAnsi="宋体"/>
          <w:sz w:val="24"/>
        </w:rPr>
        <w:t>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pPr>
        <w:spacing w:line="360" w:lineRule="auto"/>
        <w:ind w:firstLine="480" w:firstLineChars="200"/>
        <w:rPr>
          <w:rFonts w:ascii="宋体" w:hAnsi="宋体"/>
          <w:sz w:val="24"/>
        </w:rPr>
      </w:pPr>
      <w:r>
        <w:rPr>
          <w:rFonts w:hint="eastAsia" w:ascii="宋体" w:hAnsi="宋体"/>
          <w:sz w:val="24"/>
        </w:rPr>
        <w:t>基金管理人在发送投资指令时，应为基金托管人执行投资指令留出执行指令所必需的时间。投资指令传输不及时、未能留出足够的划款时间，导致资金未能及时到账所造成的损失由基金管理人承担。</w:t>
      </w:r>
    </w:p>
    <w:p>
      <w:pPr>
        <w:spacing w:line="360" w:lineRule="auto"/>
        <w:ind w:firstLine="480" w:firstLineChars="200"/>
        <w:rPr>
          <w:rFonts w:ascii="宋体" w:hAnsi="宋体"/>
          <w:sz w:val="24"/>
        </w:rPr>
      </w:pPr>
      <w:r>
        <w:rPr>
          <w:rFonts w:hint="eastAsia" w:ascii="宋体" w:hAnsi="宋体"/>
          <w:sz w:val="24"/>
        </w:rPr>
        <w:t>存款银行无法在存入当日17点前向基金托管人送达存款证实书的，基金管理人应敦促存款银行将存款证实书扫描件发送至基金托管人。存款证实书送达基金托管人后，基金托管人负责保管存款证实书原件。基金托管人仅对存款证实书进行形式审核，形式审核内容为账户名称、起息日、到期日、金额、利率。基金托管人不对存款证实书真实性承担审核职责。</w:t>
      </w:r>
    </w:p>
    <w:p>
      <w:pPr>
        <w:spacing w:line="360" w:lineRule="auto"/>
        <w:ind w:firstLine="480" w:firstLineChars="200"/>
        <w:rPr>
          <w:rFonts w:ascii="宋体" w:hAnsi="宋体"/>
          <w:sz w:val="24"/>
        </w:rPr>
      </w:pPr>
      <w:r>
        <w:rPr>
          <w:rFonts w:hint="eastAsia" w:ascii="宋体" w:hAnsi="宋体"/>
          <w:sz w:val="24"/>
        </w:rPr>
        <w:t>基金管理人与存款银行签订的存款协议，应包括：</w:t>
      </w:r>
    </w:p>
    <w:p>
      <w:pPr>
        <w:spacing w:line="360" w:lineRule="auto"/>
        <w:ind w:firstLine="480" w:firstLineChars="200"/>
        <w:rPr>
          <w:rFonts w:ascii="宋体" w:hAnsi="宋体"/>
          <w:sz w:val="24"/>
        </w:rPr>
      </w:pPr>
      <w:r>
        <w:rPr>
          <w:rFonts w:hint="eastAsia" w:ascii="宋体" w:hAnsi="宋体"/>
          <w:sz w:val="24"/>
        </w:rPr>
        <w:t>（1）存款银行为基金资产办理定期存款业务的存款账户开立、资金存入和支取提供必要的支持和高效的结算服务；</w:t>
      </w:r>
    </w:p>
    <w:p>
      <w:pPr>
        <w:spacing w:line="360" w:lineRule="auto"/>
        <w:ind w:firstLine="480" w:firstLineChars="200"/>
        <w:rPr>
          <w:rFonts w:ascii="宋体" w:hAnsi="宋体"/>
          <w:sz w:val="24"/>
        </w:rPr>
      </w:pPr>
      <w:r>
        <w:rPr>
          <w:rFonts w:hint="eastAsia" w:ascii="宋体" w:hAnsi="宋体"/>
          <w:sz w:val="24"/>
        </w:rPr>
        <w:t>（2）存款银行为基金资产所投资的定期存款的存款证明文件提供上门服务，即：定期存款资金到账当日，存款银行派授权代理人将“存款证实书”（以下简称“证实书”）妥善送至基金托管人处。“证实书”移交给基金托管人之前，因“证实书”丢失、损毁而造成的一切损失由存款银行承担。</w:t>
      </w:r>
    </w:p>
    <w:p>
      <w:pPr>
        <w:spacing w:line="360" w:lineRule="auto"/>
        <w:ind w:firstLine="480" w:firstLineChars="200"/>
        <w:rPr>
          <w:rFonts w:ascii="宋体" w:hAnsi="宋体"/>
          <w:sz w:val="24"/>
        </w:rPr>
      </w:pPr>
      <w:r>
        <w:rPr>
          <w:rFonts w:hint="eastAsia" w:ascii="宋体" w:hAnsi="宋体"/>
          <w:sz w:val="24"/>
        </w:rPr>
        <w:t>（3）定期存款到期日当日或提前支取日当日，存款银行应派授权代理人前往基金托管人处提取“证实书”。“证实书”移交给存款行授权代理人之后，因“证实书”丢失、损毁而造成的一切损失由存款银行承担。</w:t>
      </w:r>
    </w:p>
    <w:p>
      <w:pPr>
        <w:spacing w:line="360" w:lineRule="auto"/>
        <w:ind w:firstLine="480" w:firstLineChars="200"/>
        <w:rPr>
          <w:rFonts w:ascii="宋体" w:hAnsi="宋体"/>
          <w:sz w:val="24"/>
        </w:rPr>
      </w:pPr>
      <w:r>
        <w:rPr>
          <w:rFonts w:hint="eastAsia" w:ascii="宋体" w:hAnsi="宋体"/>
          <w:sz w:val="24"/>
        </w:rPr>
        <w:t>存款银行应至少提前一个工作日向基金托管人提供对前述授权代理人办理相关事务的书面授权书。授权代理人提供上门服务时，应出示有效身份证或工作证。</w:t>
      </w:r>
    </w:p>
    <w:p>
      <w:pPr>
        <w:spacing w:line="360" w:lineRule="auto"/>
        <w:ind w:firstLine="480" w:firstLineChars="200"/>
        <w:rPr>
          <w:rFonts w:ascii="宋体" w:hAnsi="宋体"/>
          <w:sz w:val="24"/>
        </w:rPr>
      </w:pPr>
      <w:r>
        <w:rPr>
          <w:rFonts w:hint="eastAsia" w:ascii="宋体" w:hAnsi="宋体"/>
          <w:sz w:val="24"/>
        </w:rPr>
        <w:t>（4）存款银行应保证及时支付存款本金和利息，于支取当日将本息划付至基金开立在基金托管人（上海浦东发展银行股份有限公司）处的托管账户，并列明账户的开户行、账号、户名、大额支付号。存款银行应确认，定期存款的本息只能划入开立在基金托管人的相应托管账户或经基金托管人确认的指定账户。上述指定收款账户信息如需变更，必须经基金托管人书面同意。</w:t>
      </w:r>
    </w:p>
    <w:p>
      <w:pPr>
        <w:spacing w:line="360" w:lineRule="auto"/>
        <w:ind w:firstLine="480" w:firstLineChars="200"/>
        <w:rPr>
          <w:rFonts w:ascii="宋体" w:hAnsi="宋体"/>
          <w:sz w:val="24"/>
        </w:rPr>
      </w:pPr>
      <w:r>
        <w:rPr>
          <w:rFonts w:hint="eastAsia" w:ascii="宋体" w:hAnsi="宋体"/>
          <w:sz w:val="24"/>
        </w:rPr>
        <w:t>（5）存款银行应为定期存款业务提供定期对账服务。首次对账应不晚于存款资金存入后的一个自然月。除首次对账外，对账频率不少于每半年一次。存款银行应配合基金托管人对“证实书”的书面征询。</w:t>
      </w:r>
    </w:p>
    <w:p>
      <w:pPr>
        <w:spacing w:line="360" w:lineRule="auto"/>
        <w:ind w:firstLine="480" w:firstLineChars="200"/>
        <w:rPr>
          <w:rFonts w:ascii="宋体" w:hAnsi="宋体"/>
          <w:sz w:val="24"/>
        </w:rPr>
      </w:pPr>
      <w:r>
        <w:rPr>
          <w:rFonts w:hint="eastAsia" w:ascii="宋体" w:hAnsi="宋体"/>
          <w:sz w:val="24"/>
        </w:rPr>
        <w:t>（6）在存款存续期内，“证实书”的预留印鉴发生变更的，存款银行应配合办理变更手续。</w:t>
      </w:r>
      <w:bookmarkStart w:id="118" w:name="OLE_LINK115"/>
      <w:bookmarkStart w:id="119" w:name="OLE_LINK112"/>
      <w:bookmarkStart w:id="120" w:name="OLE_LINK116"/>
    </w:p>
    <w:bookmarkEnd w:id="118"/>
    <w:bookmarkEnd w:id="119"/>
    <w:bookmarkEnd w:id="120"/>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121" w:name="_Toc382819102"/>
      <w:r>
        <w:rPr>
          <w:rFonts w:hint="eastAsia" w:ascii="宋体" w:hAnsi="宋体" w:eastAsia="宋体"/>
          <w:b w:val="0"/>
          <w:bCs w:val="0"/>
          <w:sz w:val="24"/>
          <w:szCs w:val="24"/>
        </w:rPr>
        <w:t>（三）可用资金余额的确认</w:t>
      </w:r>
      <w:bookmarkEnd w:id="121"/>
    </w:p>
    <w:p>
      <w:pPr>
        <w:spacing w:line="360" w:lineRule="auto"/>
        <w:ind w:firstLine="480" w:firstLineChars="200"/>
        <w:rPr>
          <w:sz w:val="24"/>
        </w:rPr>
      </w:pPr>
      <w:bookmarkStart w:id="122" w:name="OLE_LINK117"/>
      <w:r>
        <w:rPr>
          <w:rFonts w:hint="eastAsia" w:ascii="宋体" w:hAnsi="宋体"/>
          <w:sz w:val="24"/>
        </w:rPr>
        <w:t>基金托管人应于每个工作日上午9：30前将托管账户的可用资金余额以双方认可的方式提供给基金管理人。</w:t>
      </w:r>
    </w:p>
    <w:bookmarkEnd w:id="122"/>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（四）交易记录、资金、证券账目的核对</w:t>
      </w:r>
    </w:p>
    <w:p>
      <w:pPr>
        <w:tabs>
          <w:tab w:val="left" w:pos="4680"/>
        </w:tabs>
        <w:spacing w:line="360" w:lineRule="auto"/>
        <w:ind w:firstLine="480" w:firstLineChars="200"/>
        <w:jc w:val="left"/>
        <w:rPr>
          <w:rFonts w:ascii="宋体" w:hAnsi="宋体"/>
          <w:sz w:val="24"/>
        </w:rPr>
      </w:pPr>
      <w:r>
        <w:rPr>
          <w:rFonts w:hint="eastAsia" w:ascii="宋体" w:hAnsi="宋体"/>
          <w:sz w:val="24"/>
        </w:rPr>
        <w:t>1.交易记录的核对</w:t>
      </w:r>
    </w:p>
    <w:p>
      <w:pPr>
        <w:tabs>
          <w:tab w:val="left" w:pos="4680"/>
        </w:tabs>
        <w:spacing w:line="360" w:lineRule="auto"/>
        <w:ind w:firstLine="480" w:firstLineChars="200"/>
        <w:jc w:val="left"/>
        <w:rPr>
          <w:rFonts w:ascii="宋体" w:hAnsi="宋体"/>
          <w:sz w:val="24"/>
        </w:rPr>
      </w:pPr>
      <w:r>
        <w:rPr>
          <w:rFonts w:hint="eastAsia" w:ascii="宋体" w:hAnsi="宋体"/>
          <w:sz w:val="24"/>
        </w:rPr>
        <w:t>基金管理人和基金托管人按日进行交易记录的核对。对外披露净值之前，必须保证当天所有实际交易记录与基金会计账簿上的交易记录一致。</w:t>
      </w:r>
    </w:p>
    <w:p>
      <w:pPr>
        <w:tabs>
          <w:tab w:val="left" w:pos="4680"/>
        </w:tabs>
        <w:spacing w:line="360" w:lineRule="auto"/>
        <w:ind w:firstLine="480" w:firstLineChars="200"/>
        <w:jc w:val="left"/>
        <w:rPr>
          <w:rFonts w:ascii="宋体" w:hAnsi="宋体"/>
          <w:sz w:val="24"/>
        </w:rPr>
      </w:pPr>
      <w:r>
        <w:rPr>
          <w:rFonts w:hint="eastAsia" w:ascii="宋体" w:hAnsi="宋体"/>
          <w:sz w:val="24"/>
        </w:rPr>
        <w:t>2.资金账目的核对</w:t>
      </w:r>
    </w:p>
    <w:p>
      <w:pPr>
        <w:tabs>
          <w:tab w:val="left" w:pos="4680"/>
        </w:tabs>
        <w:spacing w:line="360" w:lineRule="auto"/>
        <w:ind w:firstLine="480" w:firstLineChars="200"/>
        <w:jc w:val="left"/>
        <w:rPr>
          <w:rFonts w:ascii="宋体" w:hAnsi="宋体"/>
          <w:sz w:val="24"/>
        </w:rPr>
      </w:pPr>
      <w:r>
        <w:rPr>
          <w:rFonts w:hint="eastAsia" w:ascii="宋体" w:hAnsi="宋体"/>
          <w:sz w:val="24"/>
        </w:rPr>
        <w:t>资金账目包括基金的银行存款等会计资料。资金账目由基金托管人每日进行账实核对，基金管理人复核基金托管人提供的可用头寸表核对资金余额。银行存款账户每日核对，做到账账相符、账实相符。</w:t>
      </w:r>
    </w:p>
    <w:p>
      <w:pPr>
        <w:tabs>
          <w:tab w:val="left" w:pos="4680"/>
        </w:tabs>
        <w:spacing w:line="360" w:lineRule="auto"/>
        <w:ind w:firstLine="480" w:firstLineChars="200"/>
        <w:jc w:val="left"/>
        <w:rPr>
          <w:rFonts w:ascii="宋体" w:hAnsi="宋体"/>
          <w:sz w:val="24"/>
        </w:rPr>
      </w:pPr>
      <w:r>
        <w:rPr>
          <w:rFonts w:hint="eastAsia" w:ascii="宋体" w:hAnsi="宋体"/>
          <w:sz w:val="24"/>
        </w:rPr>
        <w:t>3.证券账目的核对</w:t>
      </w:r>
    </w:p>
    <w:p>
      <w:pPr>
        <w:tabs>
          <w:tab w:val="left" w:pos="4680"/>
        </w:tabs>
        <w:spacing w:line="360" w:lineRule="auto"/>
        <w:ind w:firstLine="480" w:firstLineChars="200"/>
        <w:jc w:val="left"/>
        <w:rPr>
          <w:rFonts w:ascii="宋体" w:hAnsi="宋体"/>
          <w:sz w:val="24"/>
        </w:rPr>
      </w:pPr>
      <w:r>
        <w:rPr>
          <w:rFonts w:hint="eastAsia" w:ascii="宋体" w:hAnsi="宋体"/>
          <w:sz w:val="24"/>
        </w:rPr>
        <w:t>证券账目是指以基金名义开立的证券交易账户和实物托管账户中的证券种类、数量和金额。基金管理人和基金托管人每日核对证券账目余额。证券账目每交易日结束后核对一次，确保账实相符。</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（五）基金申购、赎回、转换业务处理的基本规定</w:t>
      </w:r>
    </w:p>
    <w:p>
      <w:pPr>
        <w:tabs>
          <w:tab w:val="left" w:pos="4680"/>
        </w:tabs>
        <w:spacing w:line="360" w:lineRule="auto"/>
        <w:ind w:firstLine="480" w:firstLineChars="200"/>
        <w:jc w:val="left"/>
        <w:rPr>
          <w:rFonts w:ascii="宋体" w:hAnsi="宋体"/>
          <w:sz w:val="24"/>
        </w:rPr>
      </w:pPr>
      <w:r>
        <w:rPr>
          <w:rFonts w:hint="eastAsia" w:ascii="宋体" w:hAnsi="宋体"/>
          <w:sz w:val="24"/>
        </w:rPr>
        <w:t>1.</w:t>
      </w:r>
      <w:r>
        <w:rPr>
          <w:rFonts w:hint="eastAsia"/>
        </w:rPr>
        <w:t xml:space="preserve"> </w:t>
      </w:r>
      <w:r>
        <w:rPr>
          <w:rFonts w:hint="eastAsia" w:ascii="宋体" w:hAnsi="宋体"/>
          <w:sz w:val="24"/>
        </w:rPr>
        <w:t>本基金自每个封闭期结束之日后第一个工作日起（含该日）进入开放期，开放期的期限为每个自封闭期结束之日后第一个工作日起（含该日）不少于</w:t>
      </w:r>
      <w:r>
        <w:rPr>
          <w:rFonts w:hint="eastAsia" w:ascii="宋体" w:hAnsi="宋体"/>
          <w:sz w:val="24"/>
          <w:lang w:eastAsia="zh-CN"/>
        </w:rPr>
        <w:t>五</w:t>
      </w:r>
      <w:r>
        <w:rPr>
          <w:rFonts w:hint="eastAsia" w:ascii="宋体" w:hAnsi="宋体"/>
          <w:sz w:val="24"/>
        </w:rPr>
        <w:t>个工作日、不超过二十个工作日的期间，具体期间由基金管理人在封闭期结束前公告说明。本基金开放期内，基金管理人在开放日办理基金份额的申购和赎回。基金份额申购、赎回的确认、清算由基金管理人或其委托的注册登记机构负责。</w:t>
      </w:r>
    </w:p>
    <w:p>
      <w:pPr>
        <w:tabs>
          <w:tab w:val="left" w:pos="4680"/>
        </w:tabs>
        <w:spacing w:line="360" w:lineRule="auto"/>
        <w:ind w:firstLine="480" w:firstLineChars="200"/>
        <w:jc w:val="left"/>
        <w:rPr>
          <w:rFonts w:ascii="宋体" w:hAnsi="宋体"/>
          <w:sz w:val="24"/>
        </w:rPr>
      </w:pPr>
      <w:r>
        <w:rPr>
          <w:rFonts w:hint="eastAsia" w:ascii="宋体" w:hAnsi="宋体"/>
          <w:sz w:val="24"/>
        </w:rPr>
        <w:t>2.基金管理人应在每个开放日向基金托管人发送基金管理人确认的申购、赎回和转换开放式基金的有关数据，并对上述数据的真实、准确、完整性负责。</w:t>
      </w:r>
      <w:bookmarkStart w:id="123" w:name="OLE_LINK137"/>
      <w:r>
        <w:rPr>
          <w:rFonts w:hint="eastAsia" w:ascii="宋体" w:hAnsi="宋体"/>
          <w:sz w:val="24"/>
        </w:rPr>
        <w:t>基金托管人应及时查收申购及转入资金的到账情况并根据基金管理人指令及时划付赎回及转出款项。</w:t>
      </w:r>
      <w:bookmarkEnd w:id="123"/>
      <w:bookmarkStart w:id="124" w:name="OLE_LINK138"/>
      <w:r>
        <w:rPr>
          <w:rFonts w:hint="eastAsia" w:ascii="宋体" w:hAnsi="宋体"/>
          <w:sz w:val="24"/>
        </w:rPr>
        <w:t>基金管理人应保证本基金（或本基金管理人委托）的注册登记机构每个工作日15:00前向基金托管人发送前一开放日的上述有关数据，</w:t>
      </w:r>
      <w:bookmarkStart w:id="125" w:name="OLE_LINK139"/>
      <w:r>
        <w:rPr>
          <w:rFonts w:hint="eastAsia" w:ascii="宋体" w:hAnsi="宋体"/>
          <w:sz w:val="24"/>
        </w:rPr>
        <w:t>并保证相关数据的准确、完整。</w:t>
      </w:r>
    </w:p>
    <w:bookmarkEnd w:id="124"/>
    <w:bookmarkEnd w:id="125"/>
    <w:p>
      <w:pPr>
        <w:tabs>
          <w:tab w:val="left" w:pos="4680"/>
        </w:tabs>
        <w:spacing w:line="360" w:lineRule="auto"/>
        <w:ind w:firstLine="480" w:firstLineChars="200"/>
        <w:jc w:val="left"/>
        <w:rPr>
          <w:rFonts w:ascii="宋体" w:hAnsi="宋体"/>
          <w:sz w:val="24"/>
        </w:rPr>
      </w:pPr>
      <w:r>
        <w:rPr>
          <w:rFonts w:hint="eastAsia" w:ascii="宋体" w:hAnsi="宋体"/>
          <w:sz w:val="24"/>
        </w:rPr>
        <w:t>3.基金管理人</w:t>
      </w:r>
      <w:bookmarkStart w:id="126" w:name="OLE_LINK140"/>
      <w:r>
        <w:rPr>
          <w:rFonts w:hint="eastAsia" w:ascii="宋体" w:hAnsi="宋体"/>
          <w:sz w:val="24"/>
        </w:rPr>
        <w:t>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bookmarkEnd w:id="126"/>
    <w:p>
      <w:pPr>
        <w:tabs>
          <w:tab w:val="left" w:pos="4680"/>
        </w:tabs>
        <w:spacing w:line="360" w:lineRule="auto"/>
        <w:ind w:firstLine="480" w:firstLineChars="200"/>
        <w:jc w:val="left"/>
        <w:rPr>
          <w:rFonts w:ascii="宋体" w:hAnsi="宋体"/>
          <w:sz w:val="24"/>
        </w:rPr>
      </w:pPr>
      <w:r>
        <w:rPr>
          <w:rFonts w:hint="eastAsia" w:ascii="宋体" w:hAnsi="宋体"/>
          <w:sz w:val="24"/>
        </w:rPr>
        <w:t>4.</w:t>
      </w:r>
      <w:bookmarkStart w:id="127" w:name="OLE_LINK142"/>
      <w:bookmarkStart w:id="128" w:name="OLE_LINK141"/>
      <w:r>
        <w:rPr>
          <w:rFonts w:hint="eastAsia" w:ascii="宋体" w:hAnsi="宋体"/>
          <w:sz w:val="24"/>
        </w:rPr>
        <w:t>基金管理人应保证其发送的注册登记数据的接口规范与基金托管人的接口规范保持一致。</w:t>
      </w:r>
    </w:p>
    <w:p>
      <w:pPr>
        <w:tabs>
          <w:tab w:val="left" w:pos="4680"/>
        </w:tabs>
        <w:spacing w:line="360" w:lineRule="auto"/>
        <w:ind w:firstLine="480" w:firstLineChars="200"/>
        <w:jc w:val="left"/>
        <w:rPr>
          <w:rFonts w:ascii="宋体" w:hAnsi="宋体"/>
          <w:sz w:val="24"/>
        </w:rPr>
      </w:pPr>
      <w:r>
        <w:rPr>
          <w:rFonts w:hint="eastAsia" w:ascii="宋体" w:hAnsi="宋体"/>
          <w:sz w:val="24"/>
        </w:rPr>
        <w:t>5.</w:t>
      </w:r>
      <w:bookmarkStart w:id="129" w:name="OLE_LINK144"/>
      <w:bookmarkStart w:id="130" w:name="OLE_LINK143"/>
      <w:bookmarkStart w:id="131" w:name="OLE_LINK147"/>
      <w:r>
        <w:rPr>
          <w:rFonts w:hint="eastAsia" w:ascii="宋体" w:hAnsi="宋体"/>
          <w:sz w:val="24"/>
        </w:rPr>
        <w:t>基金注册登记清算专用账户的开立和管理</w:t>
      </w:r>
    </w:p>
    <w:bookmarkEnd w:id="127"/>
    <w:bookmarkEnd w:id="128"/>
    <w:p>
      <w:pPr>
        <w:tabs>
          <w:tab w:val="left" w:pos="4680"/>
        </w:tabs>
        <w:spacing w:line="360" w:lineRule="auto"/>
        <w:ind w:firstLine="480" w:firstLineChars="200"/>
        <w:jc w:val="left"/>
        <w:rPr>
          <w:rFonts w:ascii="宋体" w:hAnsi="宋体"/>
          <w:sz w:val="24"/>
        </w:rPr>
      </w:pPr>
      <w:r>
        <w:rPr>
          <w:rFonts w:hint="eastAsia" w:ascii="宋体" w:hAnsi="宋体"/>
          <w:sz w:val="24"/>
        </w:rPr>
        <w:t>为满足申购、赎回等资金汇划的需要，基金管理人应开立用于基金申购、赎回等资金清算的基金注册登记清算专用账户。</w:t>
      </w:r>
    </w:p>
    <w:bookmarkEnd w:id="129"/>
    <w:bookmarkEnd w:id="130"/>
    <w:bookmarkEnd w:id="131"/>
    <w:p>
      <w:pPr>
        <w:tabs>
          <w:tab w:val="left" w:pos="4680"/>
        </w:tabs>
        <w:spacing w:line="360" w:lineRule="auto"/>
        <w:ind w:firstLine="480" w:firstLineChars="200"/>
        <w:jc w:val="left"/>
        <w:rPr>
          <w:rFonts w:ascii="宋体" w:hAnsi="宋体"/>
          <w:kern w:val="21"/>
          <w:sz w:val="24"/>
        </w:rPr>
      </w:pPr>
      <w:r>
        <w:rPr>
          <w:rFonts w:hint="eastAsia" w:ascii="宋体" w:hAnsi="宋体"/>
          <w:sz w:val="24"/>
        </w:rPr>
        <w:t>6.</w:t>
      </w:r>
      <w:r>
        <w:rPr>
          <w:rFonts w:hint="eastAsia" w:ascii="宋体" w:hAnsi="宋体"/>
          <w:kern w:val="21"/>
          <w:sz w:val="24"/>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基金管理人应负责向有关当事人追偿基金的损失，</w:t>
      </w:r>
      <w:r>
        <w:rPr>
          <w:rFonts w:hint="eastAsia" w:ascii="宋体" w:hAnsi="宋体"/>
          <w:sz w:val="24"/>
        </w:rPr>
        <w:t>基金托管人不承担相应责任</w:t>
      </w:r>
      <w:r>
        <w:rPr>
          <w:rFonts w:hint="eastAsia" w:ascii="宋体" w:hAnsi="宋体"/>
          <w:kern w:val="21"/>
          <w:sz w:val="24"/>
        </w:rPr>
        <w:t>。</w:t>
      </w:r>
    </w:p>
    <w:p>
      <w:pPr>
        <w:tabs>
          <w:tab w:val="left" w:pos="4680"/>
        </w:tabs>
        <w:spacing w:line="360" w:lineRule="auto"/>
        <w:ind w:firstLine="480" w:firstLineChars="200"/>
        <w:jc w:val="left"/>
        <w:rPr>
          <w:rFonts w:ascii="宋体" w:hAnsi="宋体"/>
          <w:sz w:val="24"/>
        </w:rPr>
      </w:pPr>
      <w:r>
        <w:rPr>
          <w:rFonts w:hint="eastAsia" w:ascii="宋体" w:hAnsi="宋体"/>
          <w:sz w:val="24"/>
        </w:rPr>
        <w:t>7.赎回资金的支付</w:t>
      </w:r>
    </w:p>
    <w:p>
      <w:pPr>
        <w:tabs>
          <w:tab w:val="left" w:pos="4680"/>
        </w:tabs>
        <w:spacing w:line="360" w:lineRule="auto"/>
        <w:ind w:firstLine="480" w:firstLineChars="200"/>
        <w:jc w:val="left"/>
        <w:rPr>
          <w:rFonts w:ascii="宋体" w:hAnsi="宋体"/>
          <w:sz w:val="24"/>
        </w:rPr>
      </w:pPr>
      <w:r>
        <w:rPr>
          <w:rFonts w:hint="eastAsia" w:ascii="宋体" w:hAnsi="宋体"/>
          <w:sz w:val="24"/>
        </w:rPr>
        <w:t>基金托管人在根据基金管理人指令支付赎回款时，如托管专户中本基金有足够的资金，基金托管人应按《基金合同》和本协议的规定支付；如托管专户中本基金有足额的资金且基金托管人有足够合理的时间进行划款，而基金托管人未及时执行合法合规的指令的，责任由基金托管人承担，但不可抗力导致的情形除外。因托管专户中本基金没有足够的资金，导致基金托管人不能按时支付，如是基金管理人的原因造成，责任由基金管理人承担，基金托管人不承担垫款义务；如是除基金管理人、基金托管人外的第三方原因造成的，责任由第三方承担，基金托管人不承担垫款义务，若给基金份额持有人造成损失的，基金托管人负有配合基金管理人向第三方追偿的义务。</w:t>
      </w:r>
    </w:p>
    <w:p>
      <w:pPr>
        <w:tabs>
          <w:tab w:val="left" w:pos="4680"/>
        </w:tabs>
        <w:spacing w:line="360" w:lineRule="auto"/>
        <w:ind w:firstLine="480" w:firstLineChars="200"/>
        <w:jc w:val="left"/>
        <w:rPr>
          <w:rFonts w:ascii="宋体" w:hAnsi="宋体"/>
          <w:sz w:val="24"/>
        </w:rPr>
      </w:pPr>
      <w:r>
        <w:rPr>
          <w:rFonts w:hint="eastAsia" w:ascii="宋体" w:hAnsi="宋体"/>
          <w:sz w:val="24"/>
        </w:rPr>
        <w:t>8.资金支付执行和责任界定</w:t>
      </w:r>
    </w:p>
    <w:p>
      <w:pPr>
        <w:tabs>
          <w:tab w:val="left" w:pos="4680"/>
        </w:tabs>
        <w:spacing w:line="360" w:lineRule="auto"/>
        <w:ind w:firstLine="480" w:firstLineChars="200"/>
        <w:jc w:val="left"/>
        <w:rPr>
          <w:rFonts w:ascii="宋体" w:hAnsi="宋体"/>
          <w:sz w:val="24"/>
        </w:rPr>
      </w:pPr>
      <w:r>
        <w:rPr>
          <w:rFonts w:hint="eastAsia" w:ascii="宋体" w:hAnsi="宋体"/>
          <w:sz w:val="24"/>
        </w:rPr>
        <w:t>除申购款项到达基金托管账户需双方按约定方式对账外，</w:t>
      </w:r>
      <w:bookmarkStart w:id="132" w:name="OLE_LINK149"/>
      <w:bookmarkStart w:id="133" w:name="OLE_LINK150"/>
      <w:bookmarkStart w:id="134" w:name="OLE_LINK148"/>
      <w:bookmarkStart w:id="135" w:name="OLE_LINK151"/>
      <w:r>
        <w:rPr>
          <w:rFonts w:hint="eastAsia" w:ascii="宋体" w:hAnsi="宋体"/>
          <w:sz w:val="24"/>
        </w:rPr>
        <w:t>净额划出、赎回资金支付时，应按照本协议相关规定执行。若本协议没有规定的按双方协商一致内容执行。</w:t>
      </w:r>
    </w:p>
    <w:p>
      <w:pPr>
        <w:tabs>
          <w:tab w:val="left" w:pos="4680"/>
        </w:tabs>
        <w:spacing w:line="360" w:lineRule="auto"/>
        <w:ind w:firstLine="480" w:firstLineChars="200"/>
        <w:jc w:val="left"/>
        <w:rPr>
          <w:rFonts w:ascii="宋体" w:hAnsi="宋体"/>
          <w:sz w:val="24"/>
        </w:rPr>
      </w:pPr>
      <w:r>
        <w:rPr>
          <w:rFonts w:hint="eastAsia" w:ascii="宋体" w:hAnsi="宋体"/>
          <w:sz w:val="24"/>
        </w:rPr>
        <w:t>基金管理人和基金托管人应采取所有必要措施确保申购和赎回等资金在本协议相关规定的时间内划到指定账户。但由于基金管理人和基金托管人之外的第</w:t>
      </w:r>
      <w:bookmarkEnd w:id="132"/>
      <w:bookmarkEnd w:id="133"/>
      <w:bookmarkEnd w:id="134"/>
      <w:bookmarkEnd w:id="135"/>
      <w:r>
        <w:rPr>
          <w:rFonts w:hint="eastAsia" w:ascii="宋体" w:hAnsi="宋体"/>
          <w:sz w:val="24"/>
        </w:rPr>
        <w:t>三方原因、不可抗力原因导致资金不能按时到账的，基金管理人和基金托管人不承担由此产生的责任。如因此给基金造成损失的，基金管理人应负责向第三方追偿，基金托管人有义务协助追偿。</w:t>
      </w:r>
    </w:p>
    <w:p>
      <w:pPr>
        <w:tabs>
          <w:tab w:val="left" w:pos="4680"/>
        </w:tabs>
        <w:spacing w:line="360" w:lineRule="auto"/>
        <w:ind w:firstLine="480" w:firstLineChars="200"/>
        <w:jc w:val="left"/>
        <w:rPr>
          <w:rFonts w:ascii="宋体" w:hAnsi="宋体"/>
          <w:sz w:val="24"/>
        </w:rPr>
      </w:pPr>
      <w:r>
        <w:rPr>
          <w:rFonts w:hint="eastAsia" w:ascii="宋体" w:hAnsi="宋体"/>
          <w:sz w:val="24"/>
        </w:rPr>
        <w:t>9、暂停赎回和巨额赎回处理</w:t>
      </w:r>
    </w:p>
    <w:p>
      <w:pPr>
        <w:tabs>
          <w:tab w:val="left" w:pos="4680"/>
        </w:tabs>
        <w:spacing w:line="360" w:lineRule="auto"/>
        <w:ind w:firstLine="480" w:firstLineChars="200"/>
        <w:jc w:val="left"/>
        <w:rPr>
          <w:rFonts w:ascii="宋体" w:hAnsi="宋体"/>
          <w:sz w:val="24"/>
        </w:rPr>
      </w:pPr>
      <w:r>
        <w:rPr>
          <w:rFonts w:hint="eastAsia" w:ascii="宋体" w:hAnsi="宋体"/>
          <w:sz w:val="24"/>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延缓支付赎回款项或延期办理的当日及时以双方认可的形式通知基金托管人。</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（六）</w:t>
      </w:r>
      <w:bookmarkStart w:id="136" w:name="OLE_LINK11"/>
      <w:bookmarkStart w:id="137" w:name="OLE_LINK12"/>
      <w:r>
        <w:rPr>
          <w:rFonts w:hint="eastAsia" w:ascii="宋体" w:hAnsi="宋体" w:eastAsia="宋体"/>
          <w:b w:val="0"/>
          <w:bCs w:val="0"/>
          <w:sz w:val="24"/>
          <w:szCs w:val="24"/>
        </w:rPr>
        <w:t>申购赎回资金结算</w:t>
      </w:r>
    </w:p>
    <w:bookmarkEnd w:id="136"/>
    <w:bookmarkEnd w:id="137"/>
    <w:p>
      <w:pPr>
        <w:tabs>
          <w:tab w:val="left" w:pos="4680"/>
        </w:tabs>
        <w:spacing w:line="360" w:lineRule="auto"/>
        <w:ind w:firstLine="480" w:firstLineChars="200"/>
        <w:jc w:val="left"/>
        <w:rPr>
          <w:rFonts w:ascii="宋体" w:hAnsi="宋体"/>
          <w:sz w:val="24"/>
        </w:rPr>
      </w:pPr>
      <w:r>
        <w:rPr>
          <w:rFonts w:hint="eastAsia" w:ascii="宋体" w:hAnsi="宋体"/>
          <w:sz w:val="24"/>
        </w:rPr>
        <w:t>基金托管账户与“基金清算账户”间的资金结算遵循“全额清算、净额交收”的原则，每日(T日：资金交收日，下同)按照托管账户应收资金与应付资金的差额来确定托管账户净应收额或净应付额，以此确定资金交收额。当存在托管账户净应收额时，基金管理人应在T日15:00之前从基金清算账户划到基金托管账户；当存在托管账户净应付额时，基金托管人按基金管理人的划款指令将托管账户净应付额在T日及时划往基金清算账户。</w:t>
      </w:r>
    </w:p>
    <w:p>
      <w:pPr>
        <w:tabs>
          <w:tab w:val="left" w:pos="4680"/>
        </w:tabs>
        <w:spacing w:line="360" w:lineRule="auto"/>
        <w:ind w:firstLine="480" w:firstLineChars="200"/>
        <w:jc w:val="left"/>
        <w:rPr>
          <w:rFonts w:ascii="宋体" w:hAnsi="宋体"/>
          <w:sz w:val="24"/>
        </w:rPr>
      </w:pPr>
      <w:r>
        <w:rPr>
          <w:rFonts w:hint="eastAsia" w:ascii="宋体" w:hAnsi="宋体"/>
          <w:sz w:val="24"/>
        </w:rPr>
        <w:t>当存在托管账户净应付额时，如基金托管账户有足够的资金，基金托管人应按时拨付；因基金托管账户没有足够的资金，导致基金托管人不能按时拨付，基金托管人应及时通知基金管理人，如系基金管理人的原因造成，责任由基金管理人承担，基金托管人不承担垫款义务。</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（七）基金转换</w:t>
      </w:r>
    </w:p>
    <w:p>
      <w:pPr>
        <w:tabs>
          <w:tab w:val="left" w:pos="4680"/>
        </w:tabs>
        <w:spacing w:line="360" w:lineRule="auto"/>
        <w:ind w:firstLine="480" w:firstLineChars="200"/>
        <w:jc w:val="left"/>
        <w:rPr>
          <w:rFonts w:ascii="宋体" w:hAnsi="宋体"/>
          <w:sz w:val="24"/>
        </w:rPr>
      </w:pPr>
      <w:r>
        <w:rPr>
          <w:rFonts w:hint="eastAsia" w:ascii="宋体" w:hAnsi="宋体"/>
          <w:sz w:val="24"/>
        </w:rPr>
        <w:t>基金管理人与基金托管人按照相关法律法规、《基金合同》、以及本协议的规定办理基金转换。</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（八）基金出现超买或超卖的责任认定及处理程序</w:t>
      </w:r>
    </w:p>
    <w:p>
      <w:pPr>
        <w:spacing w:line="360" w:lineRule="auto"/>
        <w:ind w:firstLine="480" w:firstLineChars="200"/>
        <w:rPr>
          <w:rFonts w:ascii="宋体" w:hAnsi="宋体"/>
          <w:sz w:val="24"/>
        </w:rPr>
      </w:pPr>
      <w:bookmarkStart w:id="138" w:name="OLE_LINK130"/>
      <w:bookmarkStart w:id="139" w:name="OLE_LINK134"/>
      <w:bookmarkStart w:id="140" w:name="OLE_LINK131"/>
      <w:bookmarkStart w:id="141" w:name="OLE_LINK133"/>
      <w:bookmarkStart w:id="142" w:name="OLE_LINK132"/>
      <w:r>
        <w:rPr>
          <w:rFonts w:hint="eastAsia" w:ascii="宋体" w:hAnsi="宋体"/>
          <w:sz w:val="24"/>
        </w:rPr>
        <w:t>基金托管人在履行监督职能时，如果发现基金投资证券过程中出现超买或超卖现象，应立即提醒基金管理人，由</w:t>
      </w:r>
      <w:bookmarkEnd w:id="138"/>
      <w:bookmarkEnd w:id="139"/>
      <w:bookmarkEnd w:id="140"/>
      <w:bookmarkEnd w:id="141"/>
      <w:bookmarkEnd w:id="142"/>
      <w:r>
        <w:rPr>
          <w:rFonts w:hint="eastAsia" w:ascii="宋体" w:hAnsi="宋体"/>
          <w:sz w:val="24"/>
        </w:rPr>
        <w:t>基金管理人负责解决，由此给基金及基金托管人造成的损失由基金管理人承担。如果非因基金托管人原因发生超买行为，基金管理人必须于T+1日上午12时之前划拨资金，用以完成清算交收。</w:t>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143" w:name="_Toc382819103"/>
      <w:r>
        <w:rPr>
          <w:rFonts w:hint="eastAsia" w:ascii="宋体" w:hAnsi="宋体" w:eastAsia="宋体" w:cs="Arial"/>
          <w:sz w:val="24"/>
          <w:szCs w:val="24"/>
        </w:rPr>
        <w:t>基金资产净值计算和会计核算</w:t>
      </w:r>
      <w:bookmarkEnd w:id="143"/>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144" w:name="_Toc382819104"/>
      <w:r>
        <w:rPr>
          <w:rFonts w:hint="eastAsia" w:ascii="宋体" w:hAnsi="宋体" w:eastAsia="宋体"/>
          <w:b w:val="0"/>
          <w:bCs w:val="0"/>
          <w:sz w:val="24"/>
          <w:szCs w:val="24"/>
        </w:rPr>
        <w:t>（一）基金资产净值的计算</w:t>
      </w:r>
      <w:r>
        <w:rPr>
          <w:rFonts w:hint="eastAsia" w:ascii="宋体" w:hAnsi="宋体" w:eastAsia="宋体"/>
          <w:sz w:val="24"/>
          <w:szCs w:val="24"/>
        </w:rPr>
        <w:t>、</w:t>
      </w:r>
      <w:r>
        <w:rPr>
          <w:rFonts w:hint="eastAsia" w:ascii="宋体" w:hAnsi="宋体" w:eastAsia="宋体"/>
          <w:b w:val="0"/>
          <w:bCs w:val="0"/>
          <w:sz w:val="24"/>
          <w:szCs w:val="24"/>
        </w:rPr>
        <w:t>复核的时间和程序</w:t>
      </w:r>
      <w:bookmarkEnd w:id="144"/>
    </w:p>
    <w:p>
      <w:pPr>
        <w:spacing w:line="360" w:lineRule="auto"/>
        <w:ind w:right="28" w:firstLine="480" w:firstLineChars="200"/>
        <w:rPr>
          <w:rFonts w:ascii="宋体" w:hAnsi="宋体"/>
          <w:sz w:val="24"/>
        </w:rPr>
      </w:pPr>
      <w:r>
        <w:rPr>
          <w:rFonts w:hint="eastAsia" w:ascii="宋体" w:hAnsi="宋体"/>
          <w:sz w:val="24"/>
        </w:rPr>
        <w:t>基金资产净值是指基金资产总值减去负债后的价值。各类基金份额净值是指计算日该类基金资产净值除以该计算日该类基金份额总额后的数值。各类基金份额净值的计算均保留到小数点后4位，小数点后第5位四舍五入，基金管理人可以设立大额赎回情形下的净值精度应急调整机制。国家另有规定的，从其规定。</w:t>
      </w:r>
    </w:p>
    <w:p>
      <w:pPr>
        <w:spacing w:line="360" w:lineRule="auto"/>
        <w:ind w:right="28" w:firstLine="480" w:firstLineChars="200"/>
        <w:rPr>
          <w:rFonts w:ascii="宋体" w:hAnsi="宋体"/>
          <w:sz w:val="24"/>
        </w:rPr>
      </w:pPr>
      <w:r>
        <w:rPr>
          <w:rFonts w:hint="eastAsia" w:ascii="宋体" w:hAnsi="宋体"/>
          <w:sz w:val="24"/>
        </w:rPr>
        <w:t>根据有关法律法规，基金资产净值计算和基金会计核算的义务由基金管理人承担，基金托管人复核、审查基金管理人计算的基金份额净值。本基金的基金会计责任方由基金管理人担任，因此，就与本基金有关的会计问题，如经相关各方在平等基础上充分讨论后，仍无法达成一致意见的，按照基金管理人对基金净值信息的计算结果对外予以公布。每个工作日，基金管理人应对基金资产估值。但基金管理人根据法律法规或基金合同的规定暂停估值时除外。估值原则应符合《基金合同》、《证券投资基金会计核算业务指引》及其他法律、法规的规定。</w:t>
      </w:r>
      <w:r>
        <w:rPr>
          <w:rFonts w:hint="eastAsia" w:ascii="宋体" w:hAnsi="宋体" w:cs="宋体"/>
          <w:color w:val="000000"/>
          <w:kern w:val="0"/>
          <w:sz w:val="24"/>
        </w:rPr>
        <w:t>基金管理人应于每个工作日交易结束后计算当日的各类基金份额净值和基金资产净值并以双方认可的方式发送给基金托管人。基金托管人对净值计算结果复核后以双方认可的方式发送给基金管理人，由基金管理人按规定对外公布。</w:t>
      </w:r>
    </w:p>
    <w:p>
      <w:pPr>
        <w:tabs>
          <w:tab w:val="left" w:pos="900"/>
        </w:tabs>
        <w:spacing w:line="360" w:lineRule="auto"/>
        <w:ind w:right="28" w:firstLine="480" w:firstLineChars="200"/>
        <w:rPr>
          <w:rFonts w:ascii="宋体" w:hAnsi="宋体"/>
          <w:sz w:val="24"/>
        </w:rPr>
      </w:pPr>
      <w:r>
        <w:rPr>
          <w:rFonts w:hint="eastAsia" w:ascii="宋体" w:hAnsi="宋体"/>
          <w:sz w:val="24"/>
        </w:rPr>
        <w:t>如有新增事项，按国家最新规定估值。</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145" w:name="_Toc382819105"/>
      <w:r>
        <w:rPr>
          <w:rFonts w:hint="eastAsia" w:ascii="宋体" w:hAnsi="宋体" w:eastAsia="宋体"/>
          <w:b w:val="0"/>
          <w:bCs w:val="0"/>
          <w:sz w:val="24"/>
          <w:szCs w:val="24"/>
        </w:rPr>
        <w:t>（二）基金资产估值</w:t>
      </w:r>
      <w:bookmarkEnd w:id="145"/>
    </w:p>
    <w:p>
      <w:pPr>
        <w:spacing w:line="360" w:lineRule="auto"/>
        <w:ind w:right="28" w:firstLine="480" w:firstLineChars="200"/>
        <w:rPr>
          <w:rFonts w:ascii="宋体" w:hAnsi="宋体"/>
          <w:sz w:val="24"/>
        </w:rPr>
      </w:pPr>
      <w:bookmarkStart w:id="146" w:name="OLE_LINK158"/>
      <w:bookmarkStart w:id="147" w:name="OLE_LINK157"/>
      <w:r>
        <w:rPr>
          <w:rFonts w:hint="eastAsia" w:ascii="宋体" w:hAnsi="宋体"/>
          <w:sz w:val="24"/>
        </w:rPr>
        <w:t>估值原则应符合《基金合同》、《证券投资基金会计核算业务指引》及其他法律法规的规定。</w:t>
      </w:r>
    </w:p>
    <w:bookmarkEnd w:id="146"/>
    <w:bookmarkEnd w:id="147"/>
    <w:p>
      <w:pPr>
        <w:spacing w:line="360" w:lineRule="auto"/>
        <w:ind w:firstLine="480" w:firstLineChars="200"/>
        <w:rPr>
          <w:rFonts w:ascii="宋体" w:hAnsi="宋体"/>
          <w:sz w:val="24"/>
        </w:rPr>
      </w:pPr>
      <w:r>
        <w:rPr>
          <w:rFonts w:hint="eastAsia" w:ascii="宋体" w:hAnsi="宋体"/>
          <w:sz w:val="24"/>
        </w:rPr>
        <w:t>当相关法律法规或《基金合同》规定的估值方法不能客观反映基金财产公允价值时，基金管理人可根据具体情况，并与基金托管人商定后，按最能反映公允价值的价格估值。</w:t>
      </w:r>
    </w:p>
    <w:p>
      <w:pPr>
        <w:pStyle w:val="3"/>
        <w:keepNext w:val="0"/>
        <w:keepLines w:val="0"/>
        <w:autoSpaceDE w:val="0"/>
        <w:autoSpaceDN w:val="0"/>
        <w:adjustRightInd w:val="0"/>
        <w:spacing w:before="0" w:after="0" w:line="360" w:lineRule="auto"/>
        <w:ind w:firstLine="480" w:firstLineChars="200"/>
        <w:textAlignment w:val="baseline"/>
        <w:rPr>
          <w:rFonts w:ascii="宋体" w:hAnsi="宋体"/>
          <w:sz w:val="24"/>
          <w:szCs w:val="24"/>
        </w:rPr>
      </w:pPr>
      <w:bookmarkStart w:id="148" w:name="_Toc382819106"/>
      <w:r>
        <w:rPr>
          <w:rFonts w:hint="eastAsia" w:ascii="宋体" w:hAnsi="宋体" w:eastAsia="宋体"/>
          <w:b w:val="0"/>
          <w:bCs w:val="0"/>
          <w:sz w:val="24"/>
          <w:szCs w:val="24"/>
        </w:rPr>
        <w:t>（三）估值错误处理</w:t>
      </w:r>
      <w:bookmarkEnd w:id="148"/>
    </w:p>
    <w:p>
      <w:pPr>
        <w:spacing w:line="360" w:lineRule="auto"/>
        <w:ind w:firstLine="480" w:firstLineChars="200"/>
        <w:rPr>
          <w:rFonts w:ascii="宋体" w:hAnsi="宋体"/>
          <w:sz w:val="24"/>
        </w:rPr>
      </w:pPr>
      <w:bookmarkStart w:id="149" w:name="_Toc382819107"/>
      <w:r>
        <w:rPr>
          <w:rFonts w:ascii="宋体" w:hAnsi="宋体"/>
          <w:sz w:val="24"/>
        </w:rPr>
        <w:t>1.基金份额净值计算出现错误时，基金管理人应当立即予以纠正，通报基金托管人，并采取合理的措施防止损失进一步扩大。</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各类基金份额的基金份额净值计算</w:t>
      </w:r>
      <w:r>
        <w:rPr>
          <w:rFonts w:ascii="宋体" w:hAnsi="宋体"/>
          <w:sz w:val="24"/>
        </w:rPr>
        <w:t>错误偏差达到</w:t>
      </w:r>
      <w:r>
        <w:rPr>
          <w:rFonts w:hint="eastAsia" w:ascii="宋体" w:hAnsi="宋体"/>
          <w:sz w:val="24"/>
        </w:rPr>
        <w:t>该类</w:t>
      </w:r>
      <w:r>
        <w:rPr>
          <w:rFonts w:ascii="宋体" w:hAnsi="宋体"/>
          <w:sz w:val="24"/>
        </w:rPr>
        <w:t>基金份额净值的0.25%时，基金管理人应当通报基金托管人并报中国证监会备案；错误偏差达到</w:t>
      </w:r>
      <w:r>
        <w:rPr>
          <w:rFonts w:hint="eastAsia" w:ascii="宋体" w:hAnsi="宋体"/>
          <w:sz w:val="24"/>
        </w:rPr>
        <w:t>该类</w:t>
      </w:r>
      <w:r>
        <w:rPr>
          <w:rFonts w:ascii="宋体" w:hAnsi="宋体"/>
          <w:sz w:val="24"/>
        </w:rPr>
        <w:t>基金份额净值的0.5%时，基金管理人应当公告，并报中国证监会备案。</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当基金份额净值计算错误给基金和基金份额持有人造成损失需要进行赔偿时，基金管理人和基金托管人应根据实际情况界定双方承担的责任，经确认后按以下条款进行赔偿：</w:t>
      </w:r>
    </w:p>
    <w:bookmarkEnd w:id="149"/>
    <w:p>
      <w:pPr>
        <w:spacing w:line="360" w:lineRule="auto"/>
        <w:ind w:firstLine="480" w:firstLineChars="200"/>
        <w:rPr>
          <w:rFonts w:ascii="宋体" w:hAnsi="宋体"/>
          <w:sz w:val="24"/>
        </w:rPr>
      </w:pPr>
      <w:bookmarkStart w:id="150" w:name="_Toc382819109"/>
      <w:r>
        <w:rPr>
          <w:rFonts w:hint="eastAsia" w:ascii="宋体" w:hAnsi="宋体"/>
          <w:sz w:val="24"/>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w:t>
      </w:r>
      <w:r>
        <w:rPr>
          <w:rFonts w:ascii="宋体" w:hAnsi="宋体"/>
          <w:sz w:val="24"/>
        </w:rPr>
        <w:t>程度</w:t>
      </w:r>
      <w:r>
        <w:rPr>
          <w:rFonts w:hint="eastAsia" w:ascii="宋体" w:hAnsi="宋体"/>
          <w:sz w:val="24"/>
        </w:rPr>
        <w:t>各自承担相应的责任。</w:t>
      </w:r>
    </w:p>
    <w:p>
      <w:pPr>
        <w:spacing w:line="360" w:lineRule="auto"/>
        <w:ind w:firstLine="480" w:firstLineChars="200"/>
        <w:rPr>
          <w:rFonts w:ascii="宋体" w:hAnsi="宋体"/>
          <w:sz w:val="24"/>
        </w:rPr>
      </w:pPr>
      <w:r>
        <w:rPr>
          <w:rFonts w:hint="eastAsia" w:ascii="宋体" w:hAnsi="宋体"/>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pPr>
        <w:spacing w:line="360" w:lineRule="auto"/>
        <w:ind w:firstLine="480" w:firstLineChars="200"/>
        <w:rPr>
          <w:rFonts w:ascii="宋体" w:hAnsi="宋体"/>
          <w:sz w:val="24"/>
        </w:rPr>
      </w:pPr>
      <w:r>
        <w:rPr>
          <w:rFonts w:hint="eastAsia" w:ascii="宋体" w:hAnsi="宋体"/>
          <w:sz w:val="24"/>
        </w:rPr>
        <w:t>（4）由于基金管理人提供的信息错误（包括但不限于基金申购或赎回金额等），进而导致基金份额净值计算错误而引起的基金份额持有人和基金财产的损失，由基金管理人负责赔付。</w:t>
      </w:r>
    </w:p>
    <w:bookmarkEnd w:id="150"/>
    <w:p>
      <w:pPr>
        <w:spacing w:line="360" w:lineRule="auto"/>
        <w:ind w:firstLine="480" w:firstLineChars="200"/>
        <w:rPr>
          <w:rFonts w:ascii="宋体" w:hAnsi="宋体"/>
          <w:sz w:val="24"/>
        </w:rPr>
      </w:pPr>
      <w:bookmarkStart w:id="151" w:name="_Toc382819110"/>
      <w:r>
        <w:rPr>
          <w:rFonts w:ascii="宋体" w:hAnsi="宋体"/>
          <w:sz w:val="24"/>
        </w:rPr>
        <w:t>4</w:t>
      </w:r>
      <w:r>
        <w:rPr>
          <w:rFonts w:hint="eastAsia" w:ascii="宋体" w:hAnsi="宋体"/>
          <w:sz w:val="24"/>
        </w:rPr>
        <w:t>.</w:t>
      </w:r>
      <w:r>
        <w:rPr>
          <w:rFonts w:hint="eastAsia"/>
        </w:rPr>
        <w:t xml:space="preserve"> </w:t>
      </w:r>
      <w:r>
        <w:rPr>
          <w:rFonts w:hint="eastAsia" w:ascii="宋体" w:hAnsi="宋体"/>
          <w:sz w:val="24"/>
        </w:rPr>
        <w:t>由于不可抗力原因，或由于证券/期货经营机构、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bookmarkEnd w:id="151"/>
      <w:bookmarkStart w:id="152" w:name="_Toc382819111"/>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.基金管理人和基金托管人由于各自技术系统设置而产生的净值计算尾差，以基金管理人计算结果为准。</w:t>
      </w:r>
      <w:bookmarkEnd w:id="152"/>
      <w:bookmarkStart w:id="153" w:name="_Toc382819112"/>
    </w:p>
    <w:p>
      <w:pPr>
        <w:spacing w:line="360" w:lineRule="auto"/>
        <w:ind w:firstLine="480" w:firstLineChars="200"/>
        <w:rPr>
          <w:rFonts w:ascii="宋体" w:hAnsi="宋体"/>
          <w:sz w:val="24"/>
        </w:rPr>
      </w:pPr>
      <w:r>
        <w:rPr>
          <w:rFonts w:ascii="宋体" w:hAnsi="宋体"/>
          <w:sz w:val="24"/>
        </w:rPr>
        <w:t>6.前述内容如法律法规或者监管部门另有规定的，从其规定。</w:t>
      </w:r>
      <w:bookmarkEnd w:id="153"/>
      <w:bookmarkStart w:id="154" w:name="_Toc382819113"/>
    </w:p>
    <w:p>
      <w:pPr>
        <w:pStyle w:val="3"/>
        <w:keepNext w:val="0"/>
        <w:keepLines w:val="0"/>
        <w:autoSpaceDE w:val="0"/>
        <w:autoSpaceDN w:val="0"/>
        <w:adjustRightInd w:val="0"/>
        <w:spacing w:before="0" w:after="0" w:line="360" w:lineRule="auto"/>
        <w:ind w:firstLine="480" w:firstLineChars="200"/>
        <w:textAlignment w:val="baseline"/>
        <w:rPr>
          <w:rFonts w:ascii="宋体" w:hAnsi="宋体"/>
          <w:sz w:val="24"/>
          <w:szCs w:val="24"/>
        </w:rPr>
      </w:pPr>
      <w:r>
        <w:rPr>
          <w:rFonts w:hint="eastAsia" w:ascii="宋体" w:hAnsi="宋体" w:eastAsia="宋体"/>
          <w:b w:val="0"/>
          <w:bCs w:val="0"/>
          <w:sz w:val="24"/>
          <w:szCs w:val="24"/>
        </w:rPr>
        <w:t>（四）暂停估值的情形</w:t>
      </w:r>
      <w:bookmarkEnd w:id="154"/>
    </w:p>
    <w:p>
      <w:pPr>
        <w:spacing w:line="360" w:lineRule="auto"/>
        <w:ind w:firstLine="480" w:firstLineChars="200"/>
        <w:rPr>
          <w:rFonts w:ascii="宋体" w:hAnsi="宋体"/>
          <w:sz w:val="24"/>
        </w:rPr>
      </w:pPr>
      <w:bookmarkStart w:id="155" w:name="_Toc382819114"/>
      <w:r>
        <w:rPr>
          <w:rFonts w:ascii="宋体" w:hAnsi="宋体"/>
          <w:sz w:val="24"/>
        </w:rPr>
        <w:t>1.基金投资所涉及的证券</w:t>
      </w:r>
      <w:r>
        <w:rPr>
          <w:rFonts w:hint="eastAsia" w:ascii="宋体" w:hAnsi="宋体"/>
          <w:sz w:val="24"/>
        </w:rPr>
        <w:t>/</w:t>
      </w:r>
      <w:r>
        <w:rPr>
          <w:rFonts w:ascii="宋体" w:hAnsi="宋体"/>
          <w:sz w:val="24"/>
        </w:rPr>
        <w:t>期货交易市场遇法定节假日或因其他原因暂停营业时；</w:t>
      </w:r>
    </w:p>
    <w:p>
      <w:pPr>
        <w:spacing w:line="360" w:lineRule="auto"/>
        <w:ind w:firstLine="480" w:firstLineChars="200"/>
        <w:rPr>
          <w:rFonts w:ascii="宋体" w:hAnsi="宋体"/>
          <w:sz w:val="24"/>
        </w:rPr>
      </w:pPr>
      <w:r>
        <w:rPr>
          <w:rFonts w:ascii="宋体" w:hAnsi="宋体"/>
          <w:sz w:val="24"/>
        </w:rPr>
        <w:t>2.因不可抗力</w:t>
      </w:r>
      <w:r>
        <w:rPr>
          <w:rFonts w:hint="eastAsia" w:ascii="宋体" w:hAnsi="宋体"/>
          <w:sz w:val="24"/>
        </w:rPr>
        <w:t>或其他情形</w:t>
      </w:r>
      <w:r>
        <w:rPr>
          <w:rFonts w:ascii="宋体" w:hAnsi="宋体"/>
          <w:sz w:val="24"/>
        </w:rPr>
        <w:t>致使基金管理人、基金托管人无法准确评估基金资产价值时；</w:t>
      </w:r>
    </w:p>
    <w:p>
      <w:pPr>
        <w:spacing w:line="360" w:lineRule="auto"/>
        <w:ind w:firstLine="480" w:firstLineChars="200"/>
        <w:rPr>
          <w:rFonts w:ascii="宋体" w:hAnsi="宋体"/>
          <w:sz w:val="24"/>
        </w:rPr>
      </w:pPr>
      <w:r>
        <w:rPr>
          <w:rFonts w:hint="eastAsia" w:ascii="宋体" w:hAnsi="宋体"/>
          <w:sz w:val="24"/>
        </w:rPr>
        <w:t>3</w:t>
      </w:r>
      <w:bookmarkStart w:id="156" w:name="OLE_LINK2"/>
      <w:r>
        <w:rPr>
          <w:rFonts w:hint="eastAsia" w:ascii="宋体" w:hAnsi="宋体"/>
          <w:sz w:val="24"/>
        </w:rPr>
        <w:t>.当特定资产占前一估值日基金资产净值50%以上的</w:t>
      </w:r>
      <w:bookmarkEnd w:id="156"/>
      <w:r>
        <w:rPr>
          <w:rFonts w:hint="eastAsia" w:ascii="宋体" w:hAnsi="宋体"/>
          <w:sz w:val="24"/>
        </w:rPr>
        <w:t>，经与基金托管人协商确认后，基金管理人应当暂停估值；</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法律法规</w:t>
      </w:r>
      <w:r>
        <w:rPr>
          <w:rFonts w:ascii="宋体" w:hAnsi="宋体"/>
          <w:sz w:val="24"/>
        </w:rPr>
        <w:t>、中国证监会和基金合同认定的其</w:t>
      </w:r>
      <w:r>
        <w:rPr>
          <w:rFonts w:hint="eastAsia" w:ascii="宋体" w:hAnsi="宋体"/>
          <w:sz w:val="24"/>
        </w:rPr>
        <w:t>他</w:t>
      </w:r>
      <w:r>
        <w:rPr>
          <w:rFonts w:ascii="宋体" w:hAnsi="宋体"/>
          <w:sz w:val="24"/>
        </w:rPr>
        <w:t>情形。</w:t>
      </w:r>
    </w:p>
    <w:bookmarkEnd w:id="155"/>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157" w:name="_Toc382819116"/>
      <w:r>
        <w:rPr>
          <w:rFonts w:hint="eastAsia" w:ascii="宋体" w:hAnsi="宋体" w:eastAsia="宋体"/>
          <w:b w:val="0"/>
          <w:bCs w:val="0"/>
          <w:sz w:val="24"/>
          <w:szCs w:val="24"/>
        </w:rPr>
        <w:t>（五）基金账册的建立</w:t>
      </w:r>
      <w:bookmarkEnd w:id="157"/>
    </w:p>
    <w:p>
      <w:pPr>
        <w:spacing w:line="360" w:lineRule="auto"/>
        <w:ind w:firstLine="480" w:firstLineChars="200"/>
        <w:rPr>
          <w:rFonts w:ascii="宋体" w:hAnsi="宋体"/>
          <w:sz w:val="24"/>
        </w:rPr>
      </w:pPr>
      <w:r>
        <w:rPr>
          <w:rFonts w:hint="eastAsia" w:ascii="宋体" w:hAnsi="宋体"/>
          <w:sz w:val="24"/>
        </w:rPr>
        <w:t>基金管理人和基金托管人在《基金合同》生效后，应按照相关各方约定的同一记账方法和会计处理原则，</w:t>
      </w:r>
      <w:bookmarkStart w:id="158" w:name="OLE_LINK159"/>
      <w:bookmarkStart w:id="159" w:name="OLE_LINK160"/>
      <w:r>
        <w:rPr>
          <w:rFonts w:hint="eastAsia" w:ascii="宋体" w:hAnsi="宋体"/>
          <w:sz w:val="24"/>
        </w:rPr>
        <w:t>分别独立地设置、登录和保管本基金的全套账册，对相关各方各自的账册定期进行核对，互相监督，以保证基金资产的安全。若双方对会计处理方法存在分歧，应以基金管理人的处理方法为准。</w:t>
      </w:r>
    </w:p>
    <w:bookmarkEnd w:id="158"/>
    <w:bookmarkEnd w:id="159"/>
    <w:p>
      <w:pPr>
        <w:spacing w:line="360" w:lineRule="auto"/>
        <w:ind w:firstLine="480" w:firstLineChars="200"/>
        <w:rPr>
          <w:rFonts w:ascii="宋体" w:hAnsi="宋体"/>
          <w:sz w:val="24"/>
        </w:rPr>
      </w:pPr>
      <w:r>
        <w:rPr>
          <w:rFonts w:hint="eastAsia" w:ascii="宋体" w:hAnsi="宋体"/>
          <w:sz w:val="24"/>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160" w:name="_Toc382819117"/>
      <w:r>
        <w:rPr>
          <w:rFonts w:hint="eastAsia" w:ascii="宋体" w:hAnsi="宋体" w:eastAsia="宋体"/>
          <w:b w:val="0"/>
          <w:bCs w:val="0"/>
          <w:sz w:val="24"/>
          <w:szCs w:val="24"/>
        </w:rPr>
        <w:t>（六）基金定期报告、招募说明书的编制和复核</w:t>
      </w:r>
      <w:bookmarkEnd w:id="160"/>
    </w:p>
    <w:p>
      <w:pPr>
        <w:spacing w:line="360" w:lineRule="auto"/>
        <w:ind w:firstLine="480" w:firstLineChars="200"/>
        <w:rPr>
          <w:rFonts w:hAnsi="宋体"/>
          <w:sz w:val="24"/>
        </w:rPr>
      </w:pPr>
      <w:r>
        <w:rPr>
          <w:rFonts w:hint="eastAsia" w:ascii="宋体" w:hAnsi="宋体"/>
          <w:sz w:val="24"/>
        </w:rPr>
        <w:t>基金财务报表由基金管理人和基金托管人每月分别独立编制。月度报表的编制，应于每月终了后</w:t>
      </w:r>
      <w:r>
        <w:rPr>
          <w:rFonts w:ascii="宋体" w:hAnsi="宋体"/>
          <w:sz w:val="24"/>
        </w:rPr>
        <w:t>5</w:t>
      </w:r>
      <w:r>
        <w:rPr>
          <w:rFonts w:hint="eastAsia" w:ascii="宋体" w:hAnsi="宋体"/>
          <w:sz w:val="24"/>
        </w:rPr>
        <w:t>个工作日内完成。</w:t>
      </w:r>
    </w:p>
    <w:p>
      <w:pPr>
        <w:spacing w:line="360" w:lineRule="auto"/>
        <w:ind w:firstLine="480" w:firstLineChars="200"/>
        <w:rPr>
          <w:rFonts w:hAnsi="宋体"/>
          <w:sz w:val="24"/>
        </w:rPr>
      </w:pPr>
      <w:r>
        <w:rPr>
          <w:rFonts w:hint="eastAsia" w:ascii="宋体" w:hAnsi="宋体"/>
          <w:sz w:val="24"/>
        </w:rPr>
        <w:t>基金合同生效后，基金招募说明书的信息发生重大变更的，基金管理人应当在</w:t>
      </w:r>
      <w:r>
        <w:rPr>
          <w:rFonts w:ascii="宋体" w:hAnsi="宋体"/>
          <w:sz w:val="24"/>
        </w:rPr>
        <w:t>3</w:t>
      </w:r>
      <w:r>
        <w:rPr>
          <w:rFonts w:hint="eastAsia" w:ascii="宋体" w:hAnsi="宋体"/>
          <w:sz w:val="24"/>
        </w:rPr>
        <w:t>个工作日内，更新基金招募说明书并登载在规定网站上；基金招募说明书其他信息发生变更的，基金管理人至少每年更新一次。基金终止运作的，基金管理人不再更新基金招募说明书。基金管理人应在季度结束之日起</w:t>
      </w:r>
      <w:r>
        <w:rPr>
          <w:rFonts w:ascii="宋体" w:hAnsi="宋体"/>
          <w:sz w:val="24"/>
        </w:rPr>
        <w:t>15</w:t>
      </w:r>
      <w:r>
        <w:rPr>
          <w:rFonts w:hint="eastAsia" w:ascii="宋体" w:hAnsi="宋体"/>
          <w:sz w:val="24"/>
        </w:rPr>
        <w:t>个工作日内，编制完成基金季度报告并公告；在上半年结束之日起两个月内，编制完成基金中期报告并公告；在每年结束之日起三个月内，编制完成基金年度报告并公告。</w:t>
      </w:r>
    </w:p>
    <w:p>
      <w:pPr>
        <w:spacing w:line="360" w:lineRule="auto"/>
        <w:ind w:firstLine="480" w:firstLineChars="200"/>
        <w:rPr>
          <w:rFonts w:hAnsi="宋体"/>
          <w:sz w:val="24"/>
        </w:rPr>
      </w:pPr>
      <w:r>
        <w:rPr>
          <w:rFonts w:hint="eastAsia" w:ascii="宋体" w:hAnsi="宋体"/>
          <w:sz w:val="24"/>
        </w:rPr>
        <w:t>基金管理人在月度报告完成当日，将有关报告提供基金托管人复核；基金托管人应及时复核，并将复核结果及时书面通知基金管理人。基金管理人在季度报告完成当日，将有关报告提供基金托管人复核，基金托管人应及时复核，并将复核结果书面通知基金管理人。基金管理人在中期报告完成当日，将有关报告提供基金托管人复核，基金托管人在收到后应及时复核，并将复核结果书面通知基金管理人。基金管理人在年度报告完成当日，将有关报告提供基金托管人复核，基金托管人应及时复核，并将复核结果书面通知基金管理人。</w:t>
      </w:r>
    </w:p>
    <w:p>
      <w:pPr>
        <w:spacing w:line="360" w:lineRule="auto"/>
        <w:ind w:firstLine="480" w:firstLineChars="200"/>
        <w:rPr>
          <w:sz w:val="24"/>
          <w:lang w:val="zh-CN"/>
        </w:rPr>
      </w:pPr>
      <w:r>
        <w:rPr>
          <w:rFonts w:hint="eastAsia" w:ascii="宋体" w:hAnsi="宋体"/>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如果基金管理人与基金托管人不能于应当发布公告之日之前就相关报表达成一致，基金管理人有权按照其编制的报表对外发布公告，基金托管人有权就相关情况报中国证监会备案。</w:t>
      </w:r>
      <w:bookmarkStart w:id="161" w:name="_Toc382819118"/>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r>
        <w:rPr>
          <w:rFonts w:hint="eastAsia" w:ascii="宋体" w:hAnsi="宋体" w:eastAsia="宋体" w:cs="Arial"/>
          <w:sz w:val="24"/>
          <w:szCs w:val="24"/>
        </w:rPr>
        <w:t>基金收益分配</w:t>
      </w:r>
      <w:bookmarkEnd w:id="161"/>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cs="Arial"/>
          <w:kern w:val="0"/>
          <w:sz w:val="24"/>
          <w:szCs w:val="24"/>
        </w:rPr>
      </w:pPr>
      <w:bookmarkStart w:id="162" w:name="_Toc382819119"/>
      <w:r>
        <w:rPr>
          <w:rFonts w:hint="eastAsia" w:ascii="宋体" w:hAnsi="宋体" w:eastAsia="宋体"/>
          <w:b w:val="0"/>
          <w:bCs w:val="0"/>
          <w:sz w:val="24"/>
          <w:szCs w:val="24"/>
        </w:rPr>
        <w:t>（一）基金收益分配的原则</w:t>
      </w:r>
      <w:bookmarkEnd w:id="162"/>
    </w:p>
    <w:p>
      <w:pPr>
        <w:spacing w:line="360" w:lineRule="auto"/>
        <w:ind w:firstLine="480" w:firstLineChars="200"/>
        <w:rPr>
          <w:rFonts w:ascii="宋体" w:hAnsi="宋体"/>
          <w:sz w:val="24"/>
        </w:rPr>
      </w:pPr>
      <w:r>
        <w:rPr>
          <w:rFonts w:hint="eastAsia" w:ascii="宋体" w:hAnsi="宋体"/>
          <w:sz w:val="24"/>
        </w:rPr>
        <w:t>基金收益分配是指将本基金可供分配利润按收益分配方案确定的分配金额和比例根据持有本基金份额的数量按比例向本基金份额持有人进行分配。</w:t>
      </w:r>
    </w:p>
    <w:p>
      <w:pPr>
        <w:spacing w:line="360" w:lineRule="auto"/>
        <w:ind w:firstLine="480" w:firstLineChars="200"/>
        <w:rPr>
          <w:rFonts w:ascii="宋体" w:hAnsi="宋体"/>
          <w:sz w:val="24"/>
        </w:rPr>
      </w:pPr>
      <w:r>
        <w:rPr>
          <w:rFonts w:hint="eastAsia" w:ascii="宋体" w:hAnsi="宋体"/>
          <w:sz w:val="24"/>
        </w:rPr>
        <w:t>收益分配应该符合《基金合同》关于收益分配原则的规定。</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163" w:name="_Toc382819120"/>
      <w:r>
        <w:rPr>
          <w:rFonts w:hint="eastAsia" w:ascii="宋体" w:hAnsi="宋体" w:eastAsia="宋体"/>
          <w:b w:val="0"/>
          <w:bCs w:val="0"/>
          <w:sz w:val="24"/>
          <w:szCs w:val="24"/>
        </w:rPr>
        <w:t>（二）基金收益分配方案的制定和实施程序</w:t>
      </w:r>
      <w:bookmarkEnd w:id="163"/>
    </w:p>
    <w:p>
      <w:pPr>
        <w:autoSpaceDE w:val="0"/>
        <w:autoSpaceDN w:val="0"/>
        <w:adjustRightInd w:val="0"/>
        <w:spacing w:line="360" w:lineRule="auto"/>
        <w:ind w:firstLine="480" w:firstLineChars="200"/>
        <w:textAlignment w:val="baseline"/>
        <w:rPr>
          <w:rFonts w:ascii="宋体" w:hAnsi="宋体"/>
          <w:sz w:val="24"/>
        </w:rPr>
      </w:pPr>
      <w:r>
        <w:rPr>
          <w:rFonts w:hint="eastAsia" w:ascii="宋体" w:hAnsi="宋体" w:cs="宋体"/>
          <w:kern w:val="0"/>
          <w:sz w:val="24"/>
        </w:rPr>
        <w:t>基金收益分配方案由基金管理人根据《基金合同》的相关规定制定。</w:t>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164" w:name="_Toc382819121"/>
      <w:r>
        <w:rPr>
          <w:rFonts w:hint="eastAsia" w:ascii="宋体" w:hAnsi="宋体" w:eastAsia="宋体" w:cs="Arial"/>
          <w:sz w:val="24"/>
          <w:szCs w:val="24"/>
        </w:rPr>
        <w:t>信息披露</w:t>
      </w:r>
      <w:bookmarkEnd w:id="164"/>
    </w:p>
    <w:p>
      <w:pPr>
        <w:pStyle w:val="3"/>
        <w:keepNext w:val="0"/>
        <w:keepLines w:val="0"/>
        <w:tabs>
          <w:tab w:val="left" w:pos="1080"/>
        </w:tabs>
        <w:autoSpaceDE w:val="0"/>
        <w:autoSpaceDN w:val="0"/>
        <w:adjustRightInd w:val="0"/>
        <w:spacing w:before="0" w:after="0" w:line="360" w:lineRule="auto"/>
        <w:ind w:firstLine="480" w:firstLineChars="200"/>
        <w:textAlignment w:val="baseline"/>
        <w:rPr>
          <w:rFonts w:ascii="宋体" w:hAnsi="宋体" w:eastAsia="宋体" w:cs="Arial"/>
          <w:b w:val="0"/>
          <w:kern w:val="0"/>
          <w:sz w:val="24"/>
          <w:szCs w:val="24"/>
        </w:rPr>
      </w:pPr>
      <w:bookmarkStart w:id="165" w:name="_Toc382819122"/>
      <w:r>
        <w:rPr>
          <w:rFonts w:hint="eastAsia" w:ascii="宋体" w:hAnsi="宋体" w:eastAsia="宋体"/>
          <w:b w:val="0"/>
          <w:sz w:val="24"/>
          <w:szCs w:val="24"/>
        </w:rPr>
        <w:t>（一）</w:t>
      </w:r>
      <w:r>
        <w:rPr>
          <w:rFonts w:hint="eastAsia" w:ascii="宋体" w:hAnsi="宋体" w:eastAsia="宋体" w:cs="Arial"/>
          <w:b w:val="0"/>
          <w:kern w:val="0"/>
          <w:sz w:val="24"/>
          <w:szCs w:val="24"/>
        </w:rPr>
        <w:t>保密义务</w:t>
      </w:r>
      <w:bookmarkEnd w:id="165"/>
    </w:p>
    <w:p>
      <w:pPr>
        <w:spacing w:line="360" w:lineRule="auto"/>
        <w:ind w:right="28" w:firstLine="480" w:firstLineChars="200"/>
        <w:rPr>
          <w:rFonts w:ascii="宋体" w:hAnsi="宋体"/>
          <w:sz w:val="24"/>
        </w:rPr>
      </w:pPr>
      <w:r>
        <w:rPr>
          <w:rFonts w:hint="eastAsia" w:ascii="宋体" w:hAnsi="宋体"/>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pPr>
        <w:pStyle w:val="11"/>
        <w:ind w:firstLine="480" w:firstLineChars="200"/>
        <w:rPr>
          <w:rFonts w:ascii="宋体" w:hAnsi="宋体"/>
          <w:sz w:val="24"/>
        </w:rPr>
      </w:pPr>
      <w:r>
        <w:rPr>
          <w:rFonts w:hint="eastAsia" w:ascii="宋体" w:hAnsi="宋体"/>
          <w:sz w:val="24"/>
        </w:rPr>
        <w:t>1.非因基金管理人和基金托管人的原因导致保密信息被披露、泄露或公开；</w:t>
      </w:r>
    </w:p>
    <w:p>
      <w:pPr>
        <w:spacing w:line="360" w:lineRule="auto"/>
        <w:ind w:firstLine="480" w:firstLineChars="200"/>
        <w:rPr>
          <w:rFonts w:ascii="宋体" w:hAnsi="宋体"/>
          <w:sz w:val="24"/>
        </w:rPr>
      </w:pPr>
      <w:r>
        <w:rPr>
          <w:rFonts w:hint="eastAsia" w:ascii="宋体" w:hAnsi="宋体"/>
          <w:sz w:val="24"/>
        </w:rPr>
        <w:t>2.基金管理人和基金托管人为遵守和服从法院判决、仲裁裁决或中国证监会等监管机构的命令、决定所做出的信息披露或公开。</w:t>
      </w:r>
    </w:p>
    <w:p>
      <w:pPr>
        <w:pStyle w:val="3"/>
        <w:keepNext w:val="0"/>
        <w:keepLines w:val="0"/>
        <w:tabs>
          <w:tab w:val="left" w:pos="1080"/>
        </w:tabs>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（二）信息披露的内容</w:t>
      </w:r>
    </w:p>
    <w:p>
      <w:pPr>
        <w:tabs>
          <w:tab w:val="left" w:pos="4680"/>
        </w:tabs>
        <w:spacing w:line="360" w:lineRule="auto"/>
        <w:ind w:firstLine="480" w:firstLineChars="200"/>
        <w:rPr>
          <w:rFonts w:ascii="宋体" w:hAnsi="宋体"/>
          <w:sz w:val="24"/>
        </w:rPr>
      </w:pPr>
      <w:r>
        <w:rPr>
          <w:rFonts w:hint="eastAsia" w:ascii="宋体" w:hAnsi="宋体"/>
          <w:sz w:val="24"/>
        </w:rPr>
        <w:t>基金管理人和基金托管人应根据相关法律法规、《基金合同》的规定各自承担相应的信息披露职责。基金管理人和基金托管人负有积极配合、互相督促、彼此监督、保证其履行按照法定方式和时限披露的义务。</w:t>
      </w:r>
    </w:p>
    <w:p>
      <w:pPr>
        <w:tabs>
          <w:tab w:val="left" w:pos="4680"/>
        </w:tabs>
        <w:spacing w:line="360" w:lineRule="auto"/>
        <w:ind w:firstLine="480" w:firstLineChars="200"/>
        <w:rPr>
          <w:rFonts w:ascii="宋体" w:hAnsi="宋体"/>
          <w:sz w:val="24"/>
        </w:rPr>
      </w:pPr>
      <w:r>
        <w:rPr>
          <w:rFonts w:hint="eastAsia" w:ascii="宋体" w:hAnsi="宋体"/>
          <w:sz w:val="24"/>
        </w:rPr>
        <w:t>基金的信息披露内容主要包括基金招募说明书、《基金合同》、托管协议、基金份额发售公告、《基金合同》生效公告、基金净值信息、基金份额申购</w:t>
      </w:r>
      <w:r>
        <w:rPr>
          <w:rFonts w:ascii="宋体" w:hAnsi="宋体"/>
          <w:sz w:val="24"/>
        </w:rPr>
        <w:t>/赎回价格、基金定期报告（包括基金年度报告、基金</w:t>
      </w:r>
      <w:r>
        <w:rPr>
          <w:rFonts w:hint="eastAsia" w:ascii="宋体" w:hAnsi="宋体"/>
          <w:sz w:val="24"/>
        </w:rPr>
        <w:t>中期</w:t>
      </w:r>
      <w:r>
        <w:rPr>
          <w:rFonts w:ascii="宋体" w:hAnsi="宋体"/>
          <w:sz w:val="24"/>
        </w:rPr>
        <w:t>报告和基金季度报告）、临时报告、澄清公告、基金份额持有人大会决议、</w:t>
      </w:r>
      <w:r>
        <w:rPr>
          <w:rFonts w:hint="eastAsia" w:ascii="宋体" w:hAnsi="宋体"/>
          <w:sz w:val="24"/>
        </w:rPr>
        <w:t>基金产品资料概要、基金清算报告、投资资产支持证券的信息披露、投资国债期货的信息披露、实施侧袋机制期间的信息披露以及中国证监会规定的其他信息。基金年度报告中的财务会计报告需经符合《中华</w:t>
      </w:r>
      <w:r>
        <w:rPr>
          <w:rFonts w:ascii="宋体" w:hAnsi="宋体"/>
          <w:sz w:val="24"/>
        </w:rPr>
        <w:t>人民共和国</w:t>
      </w:r>
      <w:r>
        <w:rPr>
          <w:rFonts w:hint="eastAsia" w:ascii="宋体" w:hAnsi="宋体"/>
          <w:sz w:val="24"/>
        </w:rPr>
        <w:t>证券法》规定的会计师事务所审计后，方可披露。</w:t>
      </w:r>
    </w:p>
    <w:p>
      <w:pPr>
        <w:tabs>
          <w:tab w:val="left" w:pos="4680"/>
        </w:tabs>
        <w:spacing w:line="360" w:lineRule="auto"/>
        <w:ind w:firstLine="480" w:firstLineChars="200"/>
        <w:rPr>
          <w:rFonts w:ascii="宋体" w:hAnsi="宋体"/>
          <w:sz w:val="24"/>
        </w:rPr>
      </w:pPr>
      <w:r>
        <w:rPr>
          <w:rFonts w:hint="eastAsia" w:ascii="宋体" w:hAnsi="宋体"/>
          <w:sz w:val="24"/>
        </w:rPr>
        <w:t>基金管理人与基金托管人应严格遵守《基金合同》所规定的信息披露要求。基金资产净值、各类基金份额净值、基金业绩表现数据、基金定期报告和更新的招募说明书等相关基金信息按有关规定需经基金托管人复核的，须由基金托管人进行复核、审查，并向基金管理人出具书面文件或者盖章确认。相关信息经基金托管人复核无误后方可公布。其他不需经基金托管人复核的信息披露内容，应及时告知基金托管人。</w:t>
      </w:r>
    </w:p>
    <w:p>
      <w:pPr>
        <w:tabs>
          <w:tab w:val="left" w:pos="4680"/>
        </w:tabs>
        <w:spacing w:line="360" w:lineRule="auto"/>
        <w:ind w:firstLine="480" w:firstLineChars="200"/>
        <w:rPr>
          <w:rFonts w:ascii="宋体" w:hAnsi="宋体"/>
          <w:sz w:val="24"/>
        </w:rPr>
      </w:pPr>
      <w:bookmarkStart w:id="166" w:name="_Toc382819123"/>
      <w:r>
        <w:rPr>
          <w:rFonts w:hint="eastAsia" w:ascii="宋体" w:hAnsi="宋体"/>
          <w:sz w:val="24"/>
        </w:rPr>
        <w:t>本基金信息披露义务人应当在中国证监会规定时间内，将应予披露的基金信息通过符合中国证监会规定条件的全国性报刊及《信息披露办法》规定的互联网网站等媒介披露，并保证基金投资者能够按照《基金合同》约定的时间和方式查阅或者复制公开披露的信息资料。</w:t>
      </w:r>
      <w:bookmarkEnd w:id="166"/>
    </w:p>
    <w:p>
      <w:pPr>
        <w:pStyle w:val="3"/>
        <w:keepNext w:val="0"/>
        <w:keepLines w:val="0"/>
        <w:tabs>
          <w:tab w:val="left" w:pos="1080"/>
        </w:tabs>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167" w:name="_Toc382819124"/>
      <w:r>
        <w:rPr>
          <w:rFonts w:hint="eastAsia" w:ascii="宋体" w:hAnsi="宋体" w:eastAsia="宋体"/>
          <w:b w:val="0"/>
          <w:bCs w:val="0"/>
          <w:sz w:val="24"/>
          <w:szCs w:val="24"/>
        </w:rPr>
        <w:t>（三）基金管理人和基金托管人在信息披露中的职责和信息披露程序</w:t>
      </w:r>
      <w:bookmarkEnd w:id="167"/>
    </w:p>
    <w:p>
      <w:pPr>
        <w:tabs>
          <w:tab w:val="left" w:pos="4680"/>
        </w:tabs>
        <w:spacing w:line="360" w:lineRule="auto"/>
        <w:ind w:firstLine="480" w:firstLineChars="200"/>
        <w:rPr>
          <w:rFonts w:ascii="宋体" w:hAnsi="宋体"/>
          <w:sz w:val="24"/>
        </w:rPr>
      </w:pPr>
      <w:r>
        <w:rPr>
          <w:rFonts w:hint="eastAsia" w:ascii="宋体" w:hAnsi="宋体"/>
          <w:sz w:val="24"/>
        </w:rPr>
        <w:t>1.职责</w:t>
      </w:r>
    </w:p>
    <w:p>
      <w:pPr>
        <w:tabs>
          <w:tab w:val="left" w:pos="4680"/>
        </w:tabs>
        <w:spacing w:line="360" w:lineRule="auto"/>
        <w:ind w:firstLine="480" w:firstLineChars="200"/>
        <w:rPr>
          <w:rFonts w:ascii="宋体" w:hAnsi="宋体"/>
          <w:sz w:val="24"/>
        </w:rPr>
      </w:pPr>
      <w:r>
        <w:rPr>
          <w:rFonts w:hint="eastAsia" w:ascii="宋体" w:hAnsi="宋体"/>
          <w:sz w:val="24"/>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pPr>
        <w:tabs>
          <w:tab w:val="left" w:pos="4680"/>
        </w:tabs>
        <w:spacing w:line="360" w:lineRule="auto"/>
        <w:ind w:firstLine="480" w:firstLineChars="200"/>
        <w:rPr>
          <w:rFonts w:ascii="宋体" w:hAnsi="宋体"/>
          <w:sz w:val="24"/>
        </w:rPr>
      </w:pPr>
      <w:r>
        <w:rPr>
          <w:rFonts w:hint="eastAsia" w:ascii="宋体" w:hAnsi="宋体"/>
          <w:sz w:val="24"/>
        </w:rPr>
        <w:t>2.程序</w:t>
      </w:r>
    </w:p>
    <w:p>
      <w:pPr>
        <w:tabs>
          <w:tab w:val="left" w:pos="4680"/>
        </w:tabs>
        <w:spacing w:line="360" w:lineRule="auto"/>
        <w:ind w:firstLine="480" w:firstLineChars="200"/>
        <w:rPr>
          <w:rFonts w:ascii="宋体" w:hAnsi="宋体"/>
          <w:sz w:val="24"/>
        </w:rPr>
      </w:pPr>
      <w:r>
        <w:rPr>
          <w:rFonts w:hint="eastAsia" w:ascii="宋体" w:hAnsi="宋体"/>
          <w:sz w:val="24"/>
        </w:rPr>
        <w:t>按有关规定须经基金托管人复核的信息披露文件，由基金管理人起草，并经基金托管人复核后由基金管理人公告。</w:t>
      </w:r>
    </w:p>
    <w:p>
      <w:pPr>
        <w:tabs>
          <w:tab w:val="left" w:pos="4680"/>
        </w:tabs>
        <w:spacing w:line="360" w:lineRule="auto"/>
        <w:ind w:firstLine="480" w:firstLineChars="200"/>
        <w:rPr>
          <w:rFonts w:ascii="宋体" w:hAnsi="宋体"/>
          <w:sz w:val="24"/>
        </w:rPr>
      </w:pPr>
      <w:r>
        <w:rPr>
          <w:rFonts w:hint="eastAsia" w:ascii="宋体" w:hAnsi="宋体"/>
          <w:sz w:val="24"/>
        </w:rPr>
        <w:t>发生《基金合同》中规定需要披露的事项时，按《基金合同》规定公告。</w:t>
      </w:r>
    </w:p>
    <w:p>
      <w:pPr>
        <w:tabs>
          <w:tab w:val="left" w:pos="4680"/>
        </w:tabs>
        <w:spacing w:line="360" w:lineRule="auto"/>
        <w:ind w:firstLine="480" w:firstLineChars="200"/>
        <w:rPr>
          <w:rFonts w:ascii="宋体" w:hAnsi="宋体"/>
          <w:sz w:val="24"/>
        </w:rPr>
      </w:pPr>
      <w:r>
        <w:rPr>
          <w:rFonts w:hint="eastAsia" w:ascii="宋体" w:hAnsi="宋体"/>
          <w:sz w:val="24"/>
        </w:rPr>
        <w:t>3.信息披露文件的存放与查阅</w:t>
      </w:r>
    </w:p>
    <w:p>
      <w:pPr>
        <w:tabs>
          <w:tab w:val="left" w:pos="4680"/>
        </w:tabs>
        <w:spacing w:line="360" w:lineRule="auto"/>
        <w:ind w:firstLine="480" w:firstLineChars="200"/>
        <w:rPr>
          <w:rFonts w:ascii="宋体" w:hAnsi="宋体"/>
          <w:sz w:val="24"/>
        </w:rPr>
      </w:pPr>
      <w:r>
        <w:rPr>
          <w:rFonts w:hint="eastAsia" w:ascii="宋体" w:hAnsi="宋体"/>
          <w:sz w:val="24"/>
        </w:rPr>
        <w:t>依法必须披露的信息发布后，基金管理人、基金托管人应当按照相关法律法规规定将基金信息置备于各自住所，供社会公众查阅、复制。</w:t>
      </w:r>
    </w:p>
    <w:p>
      <w:pPr>
        <w:spacing w:line="360" w:lineRule="auto"/>
        <w:ind w:right="28" w:firstLine="480" w:firstLineChars="200"/>
        <w:rPr>
          <w:rFonts w:ascii="宋体" w:hAnsi="宋体"/>
          <w:sz w:val="24"/>
        </w:rPr>
      </w:pPr>
      <w:r>
        <w:rPr>
          <w:rFonts w:hint="eastAsia" w:ascii="宋体" w:hAnsi="宋体"/>
          <w:sz w:val="24"/>
        </w:rPr>
        <w:t>4.暂停或延迟披露基金相关信息的情形</w:t>
      </w:r>
    </w:p>
    <w:p>
      <w:pPr>
        <w:spacing w:line="360" w:lineRule="auto"/>
        <w:ind w:right="28" w:firstLine="480" w:firstLineChars="200"/>
        <w:rPr>
          <w:rFonts w:ascii="宋体" w:hAnsi="宋体"/>
          <w:sz w:val="24"/>
        </w:rPr>
      </w:pPr>
      <w:r>
        <w:rPr>
          <w:rFonts w:hint="eastAsia" w:ascii="宋体" w:hAnsi="宋体"/>
          <w:sz w:val="24"/>
        </w:rPr>
        <w:t>当出现下述情况时，基金管理人和基金托管人可暂停或延迟披露基金相关信息：</w:t>
      </w:r>
    </w:p>
    <w:p>
      <w:pPr>
        <w:spacing w:line="360" w:lineRule="auto"/>
        <w:ind w:right="28" w:firstLine="480" w:firstLineChars="200"/>
        <w:rPr>
          <w:rFonts w:ascii="宋体" w:hAnsi="宋体"/>
          <w:sz w:val="24"/>
        </w:rPr>
      </w:pPr>
      <w:r>
        <w:rPr>
          <w:rFonts w:hint="eastAsia" w:ascii="宋体" w:hAnsi="宋体"/>
          <w:sz w:val="24"/>
        </w:rPr>
        <w:t>（1）</w:t>
      </w:r>
      <w:r>
        <w:rPr>
          <w:rFonts w:ascii="宋体" w:hAnsi="宋体"/>
          <w:sz w:val="24"/>
        </w:rPr>
        <w:t>不可抗力；</w:t>
      </w:r>
    </w:p>
    <w:p>
      <w:pPr>
        <w:spacing w:line="360" w:lineRule="auto"/>
        <w:ind w:right="28" w:firstLine="480" w:firstLineChars="200"/>
        <w:rPr>
          <w:rFonts w:ascii="宋体" w:hAnsi="宋体"/>
          <w:sz w:val="24"/>
        </w:rPr>
      </w:pPr>
      <w:r>
        <w:rPr>
          <w:rFonts w:hint="eastAsia" w:ascii="宋体" w:hAnsi="宋体"/>
          <w:sz w:val="24"/>
        </w:rPr>
        <w:t>（2）</w:t>
      </w:r>
      <w:r>
        <w:rPr>
          <w:rFonts w:ascii="宋体" w:hAnsi="宋体"/>
          <w:sz w:val="24"/>
        </w:rPr>
        <w:t>基金投资所涉及的证券</w:t>
      </w:r>
      <w:r>
        <w:rPr>
          <w:rFonts w:hint="eastAsia" w:ascii="宋体" w:hAnsi="宋体"/>
          <w:sz w:val="24"/>
        </w:rPr>
        <w:t>/期货</w:t>
      </w:r>
      <w:r>
        <w:rPr>
          <w:rFonts w:ascii="宋体" w:hAnsi="宋体"/>
          <w:sz w:val="24"/>
        </w:rPr>
        <w:t>交易市场遇法定节假日或因其他原因暂停营业时；</w:t>
      </w:r>
    </w:p>
    <w:p>
      <w:pPr>
        <w:spacing w:line="360" w:lineRule="auto"/>
        <w:ind w:right="28" w:firstLine="480" w:firstLineChars="200"/>
        <w:rPr>
          <w:rFonts w:ascii="宋体" w:hAnsi="宋体"/>
          <w:sz w:val="24"/>
        </w:rPr>
      </w:pPr>
      <w:r>
        <w:rPr>
          <w:rFonts w:hint="eastAsia" w:ascii="宋体" w:hAnsi="宋体"/>
          <w:sz w:val="24"/>
        </w:rPr>
        <w:t>（3）</w:t>
      </w:r>
      <w:r>
        <w:rPr>
          <w:rFonts w:ascii="宋体" w:hAnsi="宋体"/>
          <w:sz w:val="24"/>
        </w:rPr>
        <w:t>法律法规、基金合同或中国证监会规定的</w:t>
      </w:r>
      <w:r>
        <w:rPr>
          <w:rFonts w:hint="eastAsia" w:ascii="宋体" w:hAnsi="宋体"/>
          <w:sz w:val="24"/>
        </w:rPr>
        <w:t>其他</w:t>
      </w:r>
      <w:r>
        <w:rPr>
          <w:rFonts w:ascii="宋体" w:hAnsi="宋体"/>
          <w:sz w:val="24"/>
        </w:rPr>
        <w:t>情况。</w:t>
      </w:r>
    </w:p>
    <w:p>
      <w:pPr>
        <w:spacing w:line="360" w:lineRule="auto"/>
        <w:ind w:right="28" w:firstLine="480" w:firstLineChars="200"/>
        <w:rPr>
          <w:rFonts w:ascii="宋体" w:hAnsi="宋体"/>
          <w:sz w:val="24"/>
        </w:rPr>
      </w:pPr>
      <w:r>
        <w:rPr>
          <w:rFonts w:hint="eastAsia" w:ascii="宋体" w:hAnsi="宋体"/>
          <w:sz w:val="24"/>
        </w:rPr>
        <w:t>5.基金管理人和基金托管人应根据相关法律法规、《基金合同》的规定各自承担相应的信息披露职责。基金管理人和基金托管人负有积极配合、互相督促、彼此监督、保证其履行按照法定方式和时限披露的义务。</w:t>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168" w:name="_Toc382819125"/>
      <w:r>
        <w:rPr>
          <w:rFonts w:hint="eastAsia" w:ascii="宋体" w:hAnsi="宋体" w:eastAsia="宋体" w:cs="Arial"/>
          <w:sz w:val="24"/>
          <w:szCs w:val="24"/>
        </w:rPr>
        <w:t>基金费用</w:t>
      </w:r>
      <w:bookmarkEnd w:id="168"/>
    </w:p>
    <w:p>
      <w:pPr>
        <w:spacing w:line="360" w:lineRule="auto"/>
        <w:ind w:firstLine="480" w:firstLineChars="200"/>
        <w:rPr>
          <w:rFonts w:ascii="宋体" w:hAnsi="宋体"/>
          <w:bCs/>
          <w:sz w:val="24"/>
        </w:rPr>
      </w:pPr>
      <w:r>
        <w:rPr>
          <w:rFonts w:hint="eastAsia" w:ascii="宋体" w:hAnsi="宋体"/>
          <w:bCs/>
          <w:sz w:val="24"/>
        </w:rPr>
        <w:t>1</w:t>
      </w:r>
      <w:r>
        <w:rPr>
          <w:rFonts w:ascii="宋体" w:hAnsi="宋体"/>
          <w:bCs/>
          <w:sz w:val="24"/>
        </w:rPr>
        <w:t>、基金托管人的托管费</w:t>
      </w:r>
    </w:p>
    <w:p>
      <w:pPr>
        <w:spacing w:line="360" w:lineRule="auto"/>
        <w:ind w:firstLine="480" w:firstLineChars="200"/>
        <w:rPr>
          <w:rFonts w:ascii="宋体" w:hAnsi="宋体"/>
          <w:bCs/>
          <w:sz w:val="24"/>
        </w:rPr>
      </w:pPr>
      <w:r>
        <w:rPr>
          <w:rFonts w:ascii="宋体" w:hAnsi="宋体"/>
          <w:bCs/>
          <w:sz w:val="24"/>
        </w:rPr>
        <w:t>本基金的托管费按前一日基金资产净值的</w:t>
      </w:r>
      <w:r>
        <w:rPr>
          <w:rFonts w:hint="eastAsia" w:ascii="宋体" w:hAnsi="宋体"/>
          <w:bCs/>
          <w:sz w:val="24"/>
        </w:rPr>
        <w:t>0.05</w:t>
      </w:r>
      <w:r>
        <w:rPr>
          <w:rFonts w:ascii="宋体" w:hAnsi="宋体"/>
          <w:bCs/>
          <w:sz w:val="24"/>
        </w:rPr>
        <w:t>%年费率计提。托管费的计算方法如下：</w:t>
      </w:r>
    </w:p>
    <w:p>
      <w:pPr>
        <w:spacing w:line="360" w:lineRule="auto"/>
        <w:ind w:firstLine="480" w:firstLineChars="200"/>
        <w:rPr>
          <w:rFonts w:ascii="宋体" w:hAnsi="宋体"/>
          <w:bCs/>
          <w:sz w:val="24"/>
        </w:rPr>
      </w:pPr>
      <w:r>
        <w:rPr>
          <w:rFonts w:ascii="宋体" w:hAnsi="宋体"/>
          <w:bCs/>
          <w:sz w:val="24"/>
        </w:rPr>
        <w:t>H＝E×0.</w:t>
      </w:r>
      <w:r>
        <w:rPr>
          <w:rFonts w:hint="eastAsia" w:ascii="宋体" w:hAnsi="宋体"/>
          <w:bCs/>
          <w:sz w:val="24"/>
        </w:rPr>
        <w:t>05</w:t>
      </w:r>
      <w:r>
        <w:rPr>
          <w:rFonts w:ascii="宋体" w:hAnsi="宋体"/>
          <w:bCs/>
          <w:sz w:val="24"/>
        </w:rPr>
        <w:t>%÷当年天数</w:t>
      </w:r>
    </w:p>
    <w:p>
      <w:pPr>
        <w:spacing w:line="360" w:lineRule="auto"/>
        <w:ind w:firstLine="480" w:firstLineChars="200"/>
        <w:rPr>
          <w:rFonts w:ascii="宋体" w:hAnsi="宋体"/>
          <w:bCs/>
          <w:sz w:val="24"/>
        </w:rPr>
      </w:pPr>
      <w:r>
        <w:rPr>
          <w:rFonts w:ascii="宋体" w:hAnsi="宋体"/>
          <w:bCs/>
          <w:sz w:val="24"/>
        </w:rPr>
        <w:t>H为每日应计提的基金托管费</w:t>
      </w:r>
    </w:p>
    <w:p>
      <w:pPr>
        <w:spacing w:line="360" w:lineRule="auto"/>
        <w:ind w:firstLine="480" w:firstLineChars="200"/>
        <w:rPr>
          <w:rFonts w:ascii="宋体" w:hAnsi="宋体"/>
          <w:bCs/>
          <w:sz w:val="24"/>
        </w:rPr>
      </w:pPr>
      <w:r>
        <w:rPr>
          <w:rFonts w:ascii="宋体" w:hAnsi="宋体"/>
          <w:bCs/>
          <w:sz w:val="24"/>
        </w:rPr>
        <w:t>E为前一日的基金资产净值</w:t>
      </w:r>
    </w:p>
    <w:p>
      <w:pPr>
        <w:spacing w:line="360" w:lineRule="auto"/>
        <w:ind w:firstLine="480" w:firstLineChars="200"/>
        <w:jc w:val="left"/>
        <w:rPr>
          <w:rFonts w:ascii="宋体" w:hAnsi="宋体"/>
          <w:bCs/>
          <w:sz w:val="24"/>
        </w:rPr>
      </w:pPr>
      <w:r>
        <w:rPr>
          <w:rFonts w:ascii="宋体" w:hAnsi="宋体"/>
          <w:bCs/>
          <w:sz w:val="24"/>
        </w:rPr>
        <w:t>基金托管费每日计</w:t>
      </w:r>
      <w:r>
        <w:rPr>
          <w:rFonts w:hint="eastAsia" w:ascii="宋体" w:hAnsi="宋体"/>
          <w:bCs/>
          <w:sz w:val="24"/>
        </w:rPr>
        <w:t>提</w:t>
      </w:r>
      <w:r>
        <w:rPr>
          <w:rFonts w:ascii="宋体" w:hAnsi="宋体"/>
          <w:bCs/>
          <w:sz w:val="24"/>
        </w:rPr>
        <w:t>，逐日累计至每月月末，按月支付</w:t>
      </w:r>
      <w:r>
        <w:rPr>
          <w:rFonts w:hint="eastAsia" w:ascii="宋体" w:hAnsi="宋体"/>
          <w:bCs/>
          <w:sz w:val="24"/>
        </w:rPr>
        <w:t>。基金</w:t>
      </w:r>
      <w:r>
        <w:rPr>
          <w:rFonts w:ascii="宋体" w:hAnsi="宋体"/>
          <w:bCs/>
          <w:sz w:val="24"/>
        </w:rPr>
        <w:t>管理人与基金托管人核对无误后，由基金托管人</w:t>
      </w:r>
      <w:r>
        <w:rPr>
          <w:rFonts w:hint="eastAsia" w:ascii="宋体" w:hAnsi="宋体"/>
          <w:bCs/>
          <w:sz w:val="24"/>
        </w:rPr>
        <w:t>根据与基金管理人协商一致的方式</w:t>
      </w:r>
      <w:r>
        <w:rPr>
          <w:rFonts w:ascii="宋体" w:hAnsi="宋体"/>
          <w:bCs/>
          <w:sz w:val="24"/>
        </w:rPr>
        <w:t>于次月前5个工作日内从基金财产中一次性支</w:t>
      </w:r>
      <w:r>
        <w:rPr>
          <w:rFonts w:hint="eastAsia" w:ascii="宋体" w:hAnsi="宋体"/>
          <w:bCs/>
          <w:sz w:val="24"/>
        </w:rPr>
        <w:t>取</w:t>
      </w:r>
      <w:r>
        <w:rPr>
          <w:rFonts w:ascii="宋体" w:hAnsi="宋体"/>
          <w:bCs/>
          <w:sz w:val="24"/>
        </w:rPr>
        <w:t>。若遇法定节假日、公休</w:t>
      </w:r>
      <w:r>
        <w:rPr>
          <w:rFonts w:hint="eastAsia" w:ascii="宋体" w:hAnsi="宋体"/>
          <w:bCs/>
          <w:sz w:val="24"/>
        </w:rPr>
        <w:t>假</w:t>
      </w:r>
      <w:r>
        <w:rPr>
          <w:rFonts w:ascii="宋体" w:hAnsi="宋体"/>
          <w:bCs/>
          <w:sz w:val="24"/>
        </w:rPr>
        <w:t>等</w:t>
      </w:r>
      <w:r>
        <w:rPr>
          <w:rFonts w:hint="eastAsia" w:ascii="宋体" w:hAnsi="宋体"/>
          <w:bCs/>
          <w:sz w:val="24"/>
        </w:rPr>
        <w:t>，</w:t>
      </w:r>
      <w:r>
        <w:rPr>
          <w:rFonts w:ascii="宋体" w:hAnsi="宋体"/>
          <w:bCs/>
          <w:sz w:val="24"/>
        </w:rPr>
        <w:t>支付日期顺延。</w:t>
      </w:r>
    </w:p>
    <w:p>
      <w:pPr>
        <w:spacing w:line="360" w:lineRule="auto"/>
        <w:ind w:firstLine="480" w:firstLineChars="200"/>
        <w:rPr>
          <w:rFonts w:ascii="宋体" w:hAnsi="宋体"/>
          <w:sz w:val="24"/>
        </w:rPr>
      </w:pPr>
      <w:r>
        <w:rPr>
          <w:rFonts w:hint="eastAsia" w:ascii="宋体" w:hAnsi="宋体"/>
          <w:sz w:val="24"/>
        </w:rPr>
        <w:t>2、其他基金费用按照《基金合同》的约定计提和支付。</w:t>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169" w:name="_Toc382819126"/>
      <w:r>
        <w:rPr>
          <w:rFonts w:hint="eastAsia" w:ascii="宋体" w:hAnsi="宋体" w:eastAsia="宋体" w:cs="Arial"/>
          <w:sz w:val="24"/>
          <w:szCs w:val="24"/>
        </w:rPr>
        <w:t>基金份额持有人名册的保管</w:t>
      </w:r>
      <w:bookmarkEnd w:id="169"/>
    </w:p>
    <w:p>
      <w:pPr>
        <w:spacing w:line="360" w:lineRule="auto"/>
        <w:ind w:firstLine="480" w:firstLineChars="200"/>
        <w:rPr>
          <w:rFonts w:ascii="宋体" w:hAnsi="宋体"/>
          <w:sz w:val="24"/>
        </w:rPr>
      </w:pPr>
      <w:r>
        <w:rPr>
          <w:rFonts w:hint="eastAsia" w:ascii="宋体" w:hAnsi="宋体"/>
          <w:sz w:val="24"/>
        </w:rPr>
        <w:t>基金管理人妥善保管的基金份额持有人名册，包括《基金合同》生效日、基金份额持有人大会权益登记日、每年6月30日、12月31日的基金份额持有人名册。基金份额持有人名册的内容必须包括基金份额持有人的名称和持有的基金份额。</w:t>
      </w:r>
    </w:p>
    <w:p>
      <w:pPr>
        <w:spacing w:line="360" w:lineRule="auto"/>
        <w:ind w:firstLine="480" w:firstLineChars="200"/>
        <w:rPr>
          <w:rFonts w:ascii="宋体" w:hAnsi="宋体"/>
          <w:sz w:val="24"/>
        </w:rPr>
      </w:pPr>
      <w:r>
        <w:rPr>
          <w:rFonts w:hint="eastAsia" w:ascii="宋体" w:hAnsi="宋体"/>
          <w:sz w:val="24"/>
        </w:rPr>
        <w:t>基金份额持有人名册由基金的</w:t>
      </w:r>
      <w:r>
        <w:rPr>
          <w:rFonts w:hint="eastAsia" w:ascii="宋体" w:hAnsi="宋体" w:cs="Arial"/>
          <w:sz w:val="24"/>
        </w:rPr>
        <w:t>基金注册登记机构根据基金管理人的指令编制和保管</w:t>
      </w:r>
      <w:r>
        <w:rPr>
          <w:rFonts w:hint="eastAsia" w:ascii="宋体" w:hAnsi="宋体"/>
          <w:sz w:val="24"/>
        </w:rPr>
        <w:t>，基金管理人应按照目前相关规则保管基金份额持有人名册。保管方式可以采用电子或文档的形式。保管期限为</w:t>
      </w:r>
      <w:r>
        <w:rPr>
          <w:rFonts w:ascii="宋体" w:hAnsi="宋体"/>
          <w:sz w:val="24"/>
        </w:rPr>
        <w:t>20</w:t>
      </w:r>
      <w:r>
        <w:rPr>
          <w:rFonts w:hint="eastAsia" w:ascii="宋体" w:hAnsi="宋体"/>
          <w:sz w:val="24"/>
        </w:rPr>
        <w:t>年，法律法规或监管部门另有规定的除外。</w:t>
      </w:r>
    </w:p>
    <w:p>
      <w:pPr>
        <w:spacing w:line="360" w:lineRule="auto"/>
        <w:ind w:firstLine="480" w:firstLineChars="200"/>
        <w:rPr>
          <w:rFonts w:ascii="宋体" w:hAnsi="宋体" w:cs="Arial"/>
          <w:sz w:val="24"/>
        </w:rPr>
      </w:pPr>
      <w:r>
        <w:rPr>
          <w:rFonts w:hint="eastAsia" w:ascii="宋体" w:hAnsi="宋体"/>
          <w:sz w:val="24"/>
        </w:rPr>
        <w:t>在基金托管人编制中期报告和年度</w:t>
      </w:r>
      <w:r>
        <w:rPr>
          <w:rFonts w:ascii="宋体" w:hAnsi="宋体"/>
          <w:sz w:val="24"/>
        </w:rPr>
        <w:t>报告</w:t>
      </w:r>
      <w:r>
        <w:rPr>
          <w:rFonts w:hint="eastAsia" w:ascii="宋体" w:hAnsi="宋体"/>
          <w:sz w:val="24"/>
        </w:rPr>
        <w:t>前，基金管理人应将每年6月30日、12月31日的基金份额持有人名册送交基金托管人，文件方式可以采用电子或文档的形式并且保证其的真实、准确、完整。基金托管人应妥善保管，不得将持有人名册用于基金托管业务以外的其他用途。</w:t>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170" w:name="_Toc382819127"/>
      <w:r>
        <w:rPr>
          <w:rFonts w:hint="eastAsia" w:ascii="宋体" w:hAnsi="宋体" w:eastAsia="宋体" w:cs="Arial"/>
          <w:sz w:val="24"/>
          <w:szCs w:val="24"/>
        </w:rPr>
        <w:t>基金有关文件和档案的保存</w:t>
      </w:r>
      <w:bookmarkEnd w:id="170"/>
    </w:p>
    <w:p>
      <w:pPr>
        <w:spacing w:line="360" w:lineRule="auto"/>
        <w:ind w:firstLine="480" w:firstLineChars="200"/>
        <w:rPr>
          <w:rFonts w:ascii="宋体" w:hAnsi="宋体" w:cs="Arial"/>
          <w:sz w:val="24"/>
        </w:rPr>
      </w:pPr>
      <w:r>
        <w:rPr>
          <w:rFonts w:hint="eastAsia" w:ascii="宋体" w:hAnsi="宋体" w:cs="Arial"/>
          <w:sz w:val="24"/>
        </w:rPr>
        <w:t>（一）档案保存</w:t>
      </w:r>
    </w:p>
    <w:p>
      <w:pPr>
        <w:spacing w:line="360" w:lineRule="auto"/>
        <w:ind w:firstLine="480" w:firstLineChars="200"/>
        <w:rPr>
          <w:rFonts w:ascii="宋体" w:hAnsi="宋体" w:cs="Arial"/>
          <w:sz w:val="24"/>
        </w:rPr>
      </w:pPr>
      <w:r>
        <w:rPr>
          <w:rFonts w:hint="eastAsia" w:ascii="宋体" w:hAnsi="宋体" w:cs="Arial"/>
          <w:sz w:val="24"/>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不少于</w:t>
      </w:r>
      <w:r>
        <w:rPr>
          <w:rFonts w:ascii="宋体" w:hAnsi="宋体" w:cs="Arial"/>
          <w:sz w:val="24"/>
        </w:rPr>
        <w:t>20</w:t>
      </w:r>
      <w:r>
        <w:rPr>
          <w:rFonts w:hint="eastAsia" w:ascii="宋体" w:hAnsi="宋体" w:cs="Arial"/>
          <w:sz w:val="24"/>
        </w:rPr>
        <w:t>年，法律法规或监管部门另有规定的除外。</w:t>
      </w:r>
    </w:p>
    <w:p>
      <w:pPr>
        <w:spacing w:line="360" w:lineRule="auto"/>
        <w:ind w:firstLine="480" w:firstLineChars="200"/>
        <w:rPr>
          <w:rFonts w:ascii="宋体" w:hAnsi="宋体" w:cs="Arial"/>
          <w:sz w:val="24"/>
        </w:rPr>
      </w:pPr>
      <w:r>
        <w:rPr>
          <w:rFonts w:hint="eastAsia" w:ascii="宋体" w:hAnsi="宋体" w:cs="Arial"/>
          <w:sz w:val="24"/>
        </w:rPr>
        <w:t>（二）合同档案的建立</w:t>
      </w:r>
    </w:p>
    <w:p>
      <w:pPr>
        <w:spacing w:line="360" w:lineRule="auto"/>
        <w:ind w:firstLine="480" w:firstLineChars="200"/>
        <w:rPr>
          <w:rFonts w:ascii="宋体" w:hAnsi="宋体" w:cs="Arial"/>
          <w:sz w:val="24"/>
        </w:rPr>
      </w:pPr>
      <w:r>
        <w:rPr>
          <w:rFonts w:hint="eastAsia" w:ascii="宋体" w:hAnsi="宋体" w:cs="Arial"/>
          <w:sz w:val="24"/>
        </w:rPr>
        <w:t>1.基金管理人或基金托管人在签署与本基金有关的合同文本后，应及时按相关法律法规及本协议的规定将合同正本或副本提交对方。</w:t>
      </w:r>
    </w:p>
    <w:p>
      <w:pPr>
        <w:spacing w:line="360" w:lineRule="auto"/>
        <w:ind w:firstLine="480" w:firstLineChars="200"/>
        <w:rPr>
          <w:rFonts w:ascii="宋体" w:hAnsi="宋体" w:cs="Arial"/>
          <w:sz w:val="24"/>
        </w:rPr>
      </w:pPr>
      <w:r>
        <w:rPr>
          <w:rFonts w:hint="eastAsia" w:ascii="宋体" w:hAnsi="宋体" w:cs="Arial"/>
          <w:sz w:val="24"/>
        </w:rPr>
        <w:t>2.基金管理人和基金托管人应按各自职责保管就基金资产对外签署的全部合同的正本。</w:t>
      </w:r>
    </w:p>
    <w:p>
      <w:pPr>
        <w:spacing w:line="360" w:lineRule="auto"/>
        <w:ind w:firstLine="480" w:firstLineChars="200"/>
        <w:rPr>
          <w:rFonts w:ascii="宋体" w:hAnsi="宋体" w:cs="Arial"/>
          <w:sz w:val="24"/>
        </w:rPr>
      </w:pPr>
      <w:r>
        <w:rPr>
          <w:rFonts w:hint="eastAsia" w:ascii="宋体" w:hAnsi="宋体" w:cs="Arial"/>
          <w:sz w:val="24"/>
        </w:rPr>
        <w:t>（三）变更与协助</w:t>
      </w:r>
    </w:p>
    <w:p>
      <w:pPr>
        <w:spacing w:line="360" w:lineRule="auto"/>
        <w:ind w:firstLine="480" w:firstLineChars="200"/>
        <w:rPr>
          <w:rFonts w:ascii="宋体" w:hAnsi="宋体"/>
          <w:sz w:val="24"/>
        </w:rPr>
      </w:pPr>
      <w:r>
        <w:rPr>
          <w:rFonts w:hint="eastAsia" w:ascii="宋体" w:hAnsi="宋体" w:cs="Arial"/>
          <w:sz w:val="24"/>
        </w:rPr>
        <w:t>若基金管理人和基金托管人发生变更，未变更的一方有义务协助变更后的接任人接收相应文件。</w:t>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171" w:name="_Toc382819128"/>
      <w:r>
        <w:rPr>
          <w:rFonts w:hint="eastAsia" w:ascii="宋体" w:hAnsi="宋体" w:eastAsia="宋体" w:cs="Arial"/>
          <w:sz w:val="24"/>
          <w:szCs w:val="24"/>
        </w:rPr>
        <w:t>基金管理人和基金托管人的更换</w:t>
      </w:r>
      <w:bookmarkEnd w:id="171"/>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cs="Arial"/>
          <w:b w:val="0"/>
          <w:bCs w:val="0"/>
          <w:kern w:val="0"/>
          <w:sz w:val="24"/>
          <w:szCs w:val="24"/>
        </w:rPr>
      </w:pPr>
      <w:bookmarkStart w:id="172" w:name="_Toc382819129"/>
      <w:r>
        <w:rPr>
          <w:rFonts w:hint="eastAsia" w:ascii="宋体" w:hAnsi="宋体" w:eastAsia="宋体" w:cs="Arial"/>
          <w:b w:val="0"/>
          <w:bCs w:val="0"/>
          <w:kern w:val="0"/>
          <w:sz w:val="24"/>
          <w:szCs w:val="24"/>
        </w:rPr>
        <w:t>（一）基金管理人的更换</w:t>
      </w:r>
      <w:bookmarkEnd w:id="172"/>
    </w:p>
    <w:p>
      <w:pPr>
        <w:spacing w:line="360" w:lineRule="auto"/>
        <w:ind w:firstLine="480" w:firstLineChars="200"/>
        <w:rPr>
          <w:rFonts w:ascii="宋体" w:hAnsi="宋体"/>
          <w:sz w:val="24"/>
        </w:rPr>
      </w:pPr>
      <w:r>
        <w:rPr>
          <w:rFonts w:hint="eastAsia" w:ascii="宋体" w:hAnsi="宋体"/>
          <w:sz w:val="24"/>
        </w:rPr>
        <w:t>1.基金管理人的更换条件</w:t>
      </w:r>
    </w:p>
    <w:p>
      <w:pPr>
        <w:spacing w:line="360" w:lineRule="auto"/>
        <w:ind w:firstLine="480" w:firstLineChars="200"/>
        <w:rPr>
          <w:rFonts w:ascii="宋体" w:hAnsi="宋体"/>
          <w:sz w:val="24"/>
        </w:rPr>
      </w:pPr>
      <w:r>
        <w:rPr>
          <w:rFonts w:hint="eastAsia" w:ascii="宋体" w:hAnsi="宋体"/>
          <w:sz w:val="24"/>
        </w:rPr>
        <w:t>有下列情形之一的，基金管理人职责终止：</w:t>
      </w:r>
    </w:p>
    <w:p>
      <w:pPr>
        <w:spacing w:line="360" w:lineRule="auto"/>
        <w:ind w:firstLine="480" w:firstLineChars="200"/>
        <w:rPr>
          <w:rFonts w:ascii="宋体" w:hAnsi="宋体"/>
          <w:sz w:val="24"/>
        </w:rPr>
      </w:pPr>
      <w:r>
        <w:rPr>
          <w:rFonts w:hint="eastAsia" w:ascii="宋体" w:hAnsi="宋体"/>
          <w:sz w:val="24"/>
        </w:rPr>
        <w:t>(1)被依法取消基金管理资格；</w:t>
      </w:r>
    </w:p>
    <w:p>
      <w:pPr>
        <w:spacing w:line="360" w:lineRule="auto"/>
        <w:ind w:firstLine="480" w:firstLineChars="200"/>
        <w:rPr>
          <w:rFonts w:ascii="宋体" w:hAnsi="宋体"/>
          <w:sz w:val="24"/>
        </w:rPr>
      </w:pPr>
      <w:r>
        <w:rPr>
          <w:rFonts w:hint="eastAsia" w:ascii="宋体" w:hAnsi="宋体"/>
          <w:sz w:val="24"/>
        </w:rPr>
        <w:t>(2)被基金份额持有人大会解任；</w:t>
      </w:r>
    </w:p>
    <w:p>
      <w:pPr>
        <w:spacing w:line="360" w:lineRule="auto"/>
        <w:ind w:firstLine="480" w:firstLineChars="200"/>
        <w:rPr>
          <w:rFonts w:ascii="宋体" w:hAnsi="宋体"/>
          <w:sz w:val="24"/>
        </w:rPr>
      </w:pPr>
      <w:r>
        <w:rPr>
          <w:rFonts w:hint="eastAsia" w:ascii="宋体" w:hAnsi="宋体"/>
          <w:sz w:val="24"/>
        </w:rPr>
        <w:t>(3)依法解散、被依法撤销或被依法宣告破产；</w:t>
      </w:r>
    </w:p>
    <w:p>
      <w:pPr>
        <w:spacing w:line="360" w:lineRule="auto"/>
        <w:ind w:firstLine="480" w:firstLineChars="200"/>
        <w:rPr>
          <w:rFonts w:ascii="宋体" w:hAnsi="宋体"/>
          <w:sz w:val="24"/>
        </w:rPr>
      </w:pPr>
      <w:r>
        <w:rPr>
          <w:rFonts w:hint="eastAsia" w:ascii="宋体" w:hAnsi="宋体"/>
          <w:sz w:val="24"/>
        </w:rPr>
        <w:t>(4)法律法规及中国证监会规定和《基金合同》规定的其它情形。</w:t>
      </w:r>
    </w:p>
    <w:p>
      <w:pPr>
        <w:spacing w:line="360" w:lineRule="auto"/>
        <w:ind w:firstLine="480" w:firstLineChars="200"/>
        <w:rPr>
          <w:rFonts w:ascii="宋体" w:hAnsi="宋体"/>
          <w:sz w:val="24"/>
        </w:rPr>
      </w:pPr>
      <w:r>
        <w:rPr>
          <w:rFonts w:hint="eastAsia" w:ascii="宋体" w:hAnsi="宋体"/>
          <w:sz w:val="24"/>
        </w:rPr>
        <w:t>2.更换基金管理人的程序</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提名：新任基金管理人由基金托管人或由单独或合计持有</w:t>
      </w:r>
      <w:r>
        <w:rPr>
          <w:rFonts w:hint="eastAsia" w:ascii="宋体" w:hAnsi="宋体"/>
          <w:sz w:val="24"/>
        </w:rPr>
        <w:t>10%</w:t>
      </w:r>
      <w:r>
        <w:rPr>
          <w:rFonts w:ascii="宋体" w:hAnsi="宋体"/>
          <w:sz w:val="24"/>
        </w:rPr>
        <w:t>以上（含</w:t>
      </w:r>
      <w:r>
        <w:rPr>
          <w:rFonts w:hint="eastAsia" w:ascii="宋体" w:hAnsi="宋体"/>
          <w:sz w:val="24"/>
        </w:rPr>
        <w:t>10%</w:t>
      </w:r>
      <w:r>
        <w:rPr>
          <w:rFonts w:ascii="宋体" w:hAnsi="宋体"/>
          <w:sz w:val="24"/>
        </w:rPr>
        <w:t>）基金份额的基金份额持有人提名；</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决议：基金份额持有人大会在基金管理人职责终止后</w:t>
      </w:r>
      <w:r>
        <w:rPr>
          <w:rFonts w:hint="eastAsia" w:ascii="宋体" w:hAnsi="宋体"/>
          <w:sz w:val="24"/>
        </w:rPr>
        <w:t>6</w:t>
      </w:r>
      <w:r>
        <w:rPr>
          <w:rFonts w:ascii="宋体" w:hAnsi="宋体"/>
          <w:sz w:val="24"/>
        </w:rPr>
        <w:t>个月内对被提名的基金管理人形成决议，该决议需经参加大会的基金份额持有人所持表决权的</w:t>
      </w:r>
      <w:r>
        <w:rPr>
          <w:rFonts w:hint="eastAsia" w:ascii="宋体" w:hAnsi="宋体"/>
          <w:sz w:val="24"/>
        </w:rPr>
        <w:t>三分之二</w:t>
      </w:r>
      <w:r>
        <w:rPr>
          <w:rFonts w:ascii="宋体" w:hAnsi="宋体"/>
          <w:sz w:val="24"/>
        </w:rPr>
        <w:t>以上（含</w:t>
      </w:r>
      <w:r>
        <w:rPr>
          <w:rFonts w:hint="eastAsia" w:ascii="宋体" w:hAnsi="宋体"/>
          <w:sz w:val="24"/>
        </w:rPr>
        <w:t>三分之二</w:t>
      </w:r>
      <w:r>
        <w:rPr>
          <w:rFonts w:ascii="宋体" w:hAnsi="宋体"/>
          <w:sz w:val="24"/>
        </w:rPr>
        <w:t>）表决通过，决议自表决通过之日起生效</w:t>
      </w:r>
      <w:r>
        <w:rPr>
          <w:rFonts w:hint="eastAsia" w:ascii="宋体" w:hAnsi="宋体"/>
          <w:sz w:val="24"/>
        </w:rPr>
        <w:t>。新任基金管理人应当符合法律法规及中国证监会规定的资格条件</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临时基金管理人：新任基金管理人产生之前，由中国证监会指定临时基金管理人；</w:t>
      </w:r>
    </w:p>
    <w:p>
      <w:pPr>
        <w:spacing w:line="360" w:lineRule="auto"/>
        <w:ind w:firstLine="480" w:firstLineChars="200"/>
        <w:rPr>
          <w:rFonts w:ascii="宋体" w:hAnsi="宋体"/>
          <w:sz w:val="24"/>
        </w:rPr>
      </w:pPr>
      <w:r>
        <w:rPr>
          <w:rFonts w:hint="eastAsia" w:ascii="宋体" w:hAnsi="宋体"/>
          <w:sz w:val="24"/>
        </w:rPr>
        <w:t>（4）备案</w:t>
      </w:r>
      <w:r>
        <w:rPr>
          <w:rFonts w:ascii="宋体" w:hAnsi="宋体"/>
          <w:sz w:val="24"/>
        </w:rPr>
        <w:t>：基金份额持有人大会</w:t>
      </w:r>
      <w:r>
        <w:rPr>
          <w:rFonts w:hint="eastAsia" w:ascii="宋体" w:hAnsi="宋体"/>
          <w:sz w:val="24"/>
        </w:rPr>
        <w:t>更换</w:t>
      </w:r>
      <w:r>
        <w:rPr>
          <w:rFonts w:ascii="宋体" w:hAnsi="宋体"/>
          <w:sz w:val="24"/>
        </w:rPr>
        <w:t>基金管理人的决议须</w:t>
      </w:r>
      <w:r>
        <w:rPr>
          <w:rFonts w:hint="eastAsia" w:ascii="宋体" w:hAnsi="宋体"/>
          <w:sz w:val="24"/>
        </w:rPr>
        <w:t>报</w:t>
      </w:r>
      <w:r>
        <w:rPr>
          <w:rFonts w:ascii="宋体" w:hAnsi="宋体"/>
          <w:sz w:val="24"/>
        </w:rPr>
        <w:t>中国证监会</w:t>
      </w:r>
      <w:r>
        <w:rPr>
          <w:rFonts w:hint="eastAsia" w:ascii="宋体" w:hAnsi="宋体"/>
          <w:sz w:val="24"/>
        </w:rPr>
        <w:t>备案</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公告：基金管理人更换后，由基金托管人在更换基金管理人的基金份额持有人大会决议生效后</w:t>
      </w:r>
      <w:r>
        <w:rPr>
          <w:rFonts w:hint="eastAsia" w:ascii="宋体" w:hAnsi="宋体"/>
          <w:sz w:val="24"/>
        </w:rPr>
        <w:t>依照《信息披露办法》的有关规定</w:t>
      </w:r>
      <w:r>
        <w:rPr>
          <w:rFonts w:ascii="宋体" w:hAnsi="宋体"/>
          <w:sz w:val="24"/>
        </w:rPr>
        <w:t>在</w:t>
      </w:r>
      <w:r>
        <w:rPr>
          <w:rFonts w:hint="eastAsia" w:ascii="宋体" w:hAnsi="宋体"/>
          <w:sz w:val="24"/>
        </w:rPr>
        <w:t>规定媒介</w:t>
      </w:r>
      <w:r>
        <w:rPr>
          <w:rFonts w:ascii="宋体" w:hAnsi="宋体"/>
          <w:sz w:val="24"/>
        </w:rPr>
        <w:t>公告</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交接：</w:t>
      </w:r>
      <w:r>
        <w:rPr>
          <w:rFonts w:hint="eastAsia" w:ascii="宋体" w:hAnsi="宋体"/>
          <w:sz w:val="24"/>
        </w:rPr>
        <w:t>原任</w:t>
      </w:r>
      <w:r>
        <w:rPr>
          <w:rFonts w:ascii="宋体" w:hAnsi="宋体"/>
          <w:sz w:val="24"/>
        </w:rPr>
        <w:t>基金管理人职责终止的，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w:t>
      </w:r>
      <w:r>
        <w:rPr>
          <w:rFonts w:hint="eastAsia" w:ascii="宋体" w:hAnsi="宋体"/>
          <w:sz w:val="24"/>
        </w:rPr>
        <w:t>和</w:t>
      </w:r>
      <w:r>
        <w:rPr>
          <w:rFonts w:ascii="宋体" w:hAnsi="宋体"/>
          <w:sz w:val="24"/>
        </w:rPr>
        <w:t>净值；</w:t>
      </w:r>
    </w:p>
    <w:p>
      <w:pPr>
        <w:spacing w:line="360" w:lineRule="auto"/>
        <w:ind w:firstLine="480" w:firstLineChars="200"/>
        <w:rPr>
          <w:rFonts w:ascii="宋体" w:hAnsi="宋体"/>
          <w:sz w:val="24"/>
        </w:rPr>
      </w:pPr>
      <w:r>
        <w:rPr>
          <w:rFonts w:hint="eastAsia" w:ascii="宋体" w:hAnsi="宋体"/>
          <w:sz w:val="24"/>
        </w:rPr>
        <w:t>（7）</w:t>
      </w:r>
      <w:r>
        <w:rPr>
          <w:rFonts w:ascii="宋体" w:hAnsi="宋体"/>
          <w:sz w:val="24"/>
        </w:rPr>
        <w:t>审计：</w:t>
      </w:r>
      <w:r>
        <w:rPr>
          <w:rFonts w:hint="eastAsia" w:ascii="宋体" w:hAnsi="宋体"/>
          <w:sz w:val="24"/>
        </w:rPr>
        <w:t>原任</w:t>
      </w:r>
      <w:r>
        <w:rPr>
          <w:rFonts w:ascii="宋体" w:hAnsi="宋体"/>
          <w:sz w:val="24"/>
        </w:rPr>
        <w:t>基金管理人职责终止的，应当按照法律法规规定聘请会计师事务所对基金财产进行审计，并将审计结果予以公告，同时报中国证监会备案</w:t>
      </w:r>
      <w:r>
        <w:rPr>
          <w:rFonts w:hint="eastAsia" w:ascii="宋体" w:hAnsi="宋体"/>
          <w:sz w:val="24"/>
        </w:rPr>
        <w:t>。审计费用在基金财产中列支</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（8）</w:t>
      </w:r>
      <w:r>
        <w:rPr>
          <w:rFonts w:ascii="宋体" w:hAnsi="宋体"/>
          <w:sz w:val="24"/>
        </w:rPr>
        <w:t>基金名称变更：基金管理人更换后，如果原任或新任基金管理人要求，应按其要求替换或删除基金名称中与原</w:t>
      </w:r>
      <w:r>
        <w:rPr>
          <w:rFonts w:hint="eastAsia" w:ascii="宋体" w:hAnsi="宋体"/>
          <w:sz w:val="24"/>
        </w:rPr>
        <w:t>任</w:t>
      </w:r>
      <w:r>
        <w:rPr>
          <w:rFonts w:ascii="宋体" w:hAnsi="宋体"/>
          <w:sz w:val="24"/>
        </w:rPr>
        <w:t>基金管理人有关的名称字样。</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cs="Arial"/>
          <w:b w:val="0"/>
          <w:bCs w:val="0"/>
          <w:kern w:val="0"/>
          <w:sz w:val="24"/>
          <w:szCs w:val="24"/>
        </w:rPr>
      </w:pPr>
      <w:bookmarkStart w:id="173" w:name="_Toc382819130"/>
      <w:r>
        <w:rPr>
          <w:rFonts w:hint="eastAsia" w:ascii="宋体" w:hAnsi="宋体" w:eastAsia="宋体" w:cs="Arial"/>
          <w:b w:val="0"/>
          <w:bCs w:val="0"/>
          <w:kern w:val="0"/>
          <w:sz w:val="24"/>
          <w:szCs w:val="24"/>
        </w:rPr>
        <w:t>（二）基金托管人的更换</w:t>
      </w:r>
      <w:bookmarkEnd w:id="173"/>
    </w:p>
    <w:p>
      <w:pPr>
        <w:spacing w:line="360" w:lineRule="auto"/>
        <w:ind w:firstLine="480" w:firstLineChars="200"/>
        <w:rPr>
          <w:rFonts w:ascii="宋体" w:hAnsi="宋体"/>
          <w:sz w:val="24"/>
        </w:rPr>
      </w:pPr>
      <w:r>
        <w:rPr>
          <w:rFonts w:hint="eastAsia" w:ascii="宋体" w:hAnsi="宋体"/>
          <w:sz w:val="24"/>
        </w:rPr>
        <w:t>1.基金托管人的更换条件</w:t>
      </w:r>
    </w:p>
    <w:p>
      <w:pPr>
        <w:spacing w:line="360" w:lineRule="auto"/>
        <w:ind w:firstLine="480" w:firstLineChars="200"/>
        <w:rPr>
          <w:rFonts w:ascii="宋体" w:hAnsi="宋体"/>
          <w:sz w:val="24"/>
        </w:rPr>
      </w:pPr>
      <w:r>
        <w:rPr>
          <w:rFonts w:hint="eastAsia" w:ascii="宋体" w:hAnsi="宋体"/>
          <w:sz w:val="24"/>
        </w:rPr>
        <w:t>有下列情形之一的，基金托管人职责终止：</w:t>
      </w:r>
    </w:p>
    <w:p>
      <w:pPr>
        <w:spacing w:line="360" w:lineRule="auto"/>
        <w:ind w:firstLine="480" w:firstLineChars="200"/>
        <w:rPr>
          <w:rFonts w:ascii="宋体" w:hAnsi="宋体"/>
          <w:sz w:val="24"/>
        </w:rPr>
      </w:pPr>
      <w:r>
        <w:rPr>
          <w:rFonts w:hint="eastAsia" w:ascii="宋体" w:hAnsi="宋体"/>
          <w:sz w:val="24"/>
        </w:rPr>
        <w:t>(1)被依法取消基金托管人资格；</w:t>
      </w:r>
    </w:p>
    <w:p>
      <w:pPr>
        <w:spacing w:line="360" w:lineRule="auto"/>
        <w:ind w:firstLine="480" w:firstLineChars="200"/>
        <w:rPr>
          <w:rFonts w:ascii="宋体" w:hAnsi="宋体"/>
          <w:sz w:val="24"/>
        </w:rPr>
      </w:pPr>
      <w:r>
        <w:rPr>
          <w:rFonts w:hint="eastAsia" w:ascii="宋体" w:hAnsi="宋体"/>
          <w:sz w:val="24"/>
        </w:rPr>
        <w:t>(2)被基金份额持有人大会解任；</w:t>
      </w:r>
    </w:p>
    <w:p>
      <w:pPr>
        <w:spacing w:line="360" w:lineRule="auto"/>
        <w:ind w:firstLine="480" w:firstLineChars="200"/>
        <w:rPr>
          <w:rFonts w:ascii="宋体" w:hAnsi="宋体"/>
          <w:sz w:val="24"/>
        </w:rPr>
      </w:pPr>
      <w:r>
        <w:rPr>
          <w:rFonts w:hint="eastAsia" w:ascii="宋体" w:hAnsi="宋体"/>
          <w:sz w:val="24"/>
        </w:rPr>
        <w:t>(3)依法解散、被依法撤销或被依法宣告破产；</w:t>
      </w:r>
    </w:p>
    <w:p>
      <w:pPr>
        <w:spacing w:line="360" w:lineRule="auto"/>
        <w:ind w:firstLine="480" w:firstLineChars="200"/>
        <w:rPr>
          <w:rFonts w:ascii="宋体" w:hAnsi="宋体"/>
          <w:sz w:val="24"/>
        </w:rPr>
      </w:pPr>
      <w:r>
        <w:rPr>
          <w:rFonts w:hint="eastAsia" w:ascii="宋体" w:hAnsi="宋体"/>
          <w:sz w:val="24"/>
        </w:rPr>
        <w:t>(4)法律法规及中国证监会规定和《基金合同》规定的其它情形。</w:t>
      </w:r>
    </w:p>
    <w:p>
      <w:pPr>
        <w:spacing w:line="360" w:lineRule="auto"/>
        <w:ind w:firstLine="480" w:firstLineChars="200"/>
        <w:rPr>
          <w:rFonts w:ascii="宋体" w:hAnsi="宋体"/>
          <w:sz w:val="24"/>
        </w:rPr>
      </w:pPr>
      <w:r>
        <w:rPr>
          <w:rFonts w:hint="eastAsia" w:ascii="宋体" w:hAnsi="宋体"/>
          <w:sz w:val="24"/>
        </w:rPr>
        <w:t>2.更换基金托管人的程序</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提名：新任基金托管人由基金管理人或由单独或合计持有</w:t>
      </w:r>
      <w:r>
        <w:rPr>
          <w:rFonts w:hint="eastAsia" w:ascii="宋体" w:hAnsi="宋体"/>
          <w:sz w:val="24"/>
        </w:rPr>
        <w:t>10%</w:t>
      </w:r>
      <w:r>
        <w:rPr>
          <w:rFonts w:ascii="宋体" w:hAnsi="宋体"/>
          <w:sz w:val="24"/>
        </w:rPr>
        <w:t>以上（含</w:t>
      </w:r>
      <w:r>
        <w:rPr>
          <w:rFonts w:hint="eastAsia" w:ascii="宋体" w:hAnsi="宋体"/>
          <w:sz w:val="24"/>
        </w:rPr>
        <w:t>10%</w:t>
      </w:r>
      <w:r>
        <w:rPr>
          <w:rFonts w:ascii="宋体" w:hAnsi="宋体"/>
          <w:sz w:val="24"/>
        </w:rPr>
        <w:t>）基金份额的基金</w:t>
      </w:r>
      <w:r>
        <w:rPr>
          <w:rFonts w:hint="eastAsia" w:ascii="宋体" w:hAnsi="宋体"/>
          <w:sz w:val="24"/>
        </w:rPr>
        <w:t>份额</w:t>
      </w:r>
      <w:r>
        <w:rPr>
          <w:rFonts w:ascii="宋体" w:hAnsi="宋体"/>
          <w:sz w:val="24"/>
        </w:rPr>
        <w:t>持有人提名；</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决议：基金份额持有人大会在基金托管人职责终止后</w:t>
      </w:r>
      <w:r>
        <w:rPr>
          <w:rFonts w:hint="eastAsia" w:ascii="宋体" w:hAnsi="宋体"/>
          <w:sz w:val="24"/>
        </w:rPr>
        <w:t>6</w:t>
      </w:r>
      <w:r>
        <w:rPr>
          <w:rFonts w:ascii="宋体" w:hAnsi="宋体"/>
          <w:sz w:val="24"/>
        </w:rPr>
        <w:t>个月内对被提名的基金托管人形成决议，该决议需经参加大会的基金份额持有人所持表决权的</w:t>
      </w:r>
      <w:r>
        <w:rPr>
          <w:rFonts w:hint="eastAsia" w:ascii="宋体" w:hAnsi="宋体"/>
          <w:sz w:val="24"/>
        </w:rPr>
        <w:t>三分之二</w:t>
      </w:r>
      <w:r>
        <w:rPr>
          <w:rFonts w:ascii="宋体" w:hAnsi="宋体"/>
          <w:sz w:val="24"/>
        </w:rPr>
        <w:t>以上（含</w:t>
      </w:r>
      <w:r>
        <w:rPr>
          <w:rFonts w:hint="eastAsia" w:ascii="宋体" w:hAnsi="宋体"/>
          <w:sz w:val="24"/>
        </w:rPr>
        <w:t>三分之二</w:t>
      </w:r>
      <w:r>
        <w:rPr>
          <w:rFonts w:ascii="宋体" w:hAnsi="宋体"/>
          <w:sz w:val="24"/>
        </w:rPr>
        <w:t>）表决通过</w:t>
      </w:r>
      <w:r>
        <w:rPr>
          <w:rFonts w:hint="eastAsia" w:ascii="宋体" w:hAnsi="宋体"/>
          <w:sz w:val="24"/>
        </w:rPr>
        <w:t>，决议自表决通过之日起生效。</w:t>
      </w:r>
      <w:r>
        <w:rPr>
          <w:rFonts w:ascii="宋体" w:hAnsi="宋体"/>
          <w:sz w:val="24"/>
        </w:rPr>
        <w:t>新任基金</w:t>
      </w:r>
      <w:r>
        <w:rPr>
          <w:rFonts w:hint="eastAsia" w:ascii="宋体" w:hAnsi="宋体"/>
          <w:sz w:val="24"/>
        </w:rPr>
        <w:t>托管</w:t>
      </w:r>
      <w:r>
        <w:rPr>
          <w:rFonts w:ascii="宋体" w:hAnsi="宋体"/>
          <w:sz w:val="24"/>
        </w:rPr>
        <w:t>人应当符合法律法规及中国证监会规定的资格条件；</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临时基金托管人：新任基金托管人产生之前，由中国证监会指定临时基金托管人；</w:t>
      </w:r>
    </w:p>
    <w:p>
      <w:pPr>
        <w:spacing w:line="360" w:lineRule="auto"/>
        <w:ind w:firstLine="480" w:firstLineChars="200"/>
        <w:rPr>
          <w:rFonts w:ascii="宋体" w:hAnsi="宋体"/>
          <w:sz w:val="24"/>
        </w:rPr>
      </w:pPr>
      <w:r>
        <w:rPr>
          <w:rFonts w:hint="eastAsia" w:ascii="宋体" w:hAnsi="宋体"/>
          <w:sz w:val="24"/>
        </w:rPr>
        <w:t>（4）备案</w:t>
      </w:r>
      <w:r>
        <w:rPr>
          <w:rFonts w:ascii="宋体" w:hAnsi="宋体"/>
          <w:sz w:val="24"/>
        </w:rPr>
        <w:t>：基金份额持有人大会更换基金托管人的决议须</w:t>
      </w:r>
      <w:r>
        <w:rPr>
          <w:rFonts w:hint="eastAsia" w:ascii="宋体" w:hAnsi="宋体"/>
          <w:sz w:val="24"/>
        </w:rPr>
        <w:t>报</w:t>
      </w:r>
      <w:r>
        <w:rPr>
          <w:rFonts w:ascii="宋体" w:hAnsi="宋体"/>
          <w:sz w:val="24"/>
        </w:rPr>
        <w:t>中国证监会</w:t>
      </w:r>
      <w:r>
        <w:rPr>
          <w:rFonts w:hint="eastAsia" w:ascii="宋体" w:hAnsi="宋体"/>
          <w:sz w:val="24"/>
        </w:rPr>
        <w:t>备案</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公告：基金托管人更换后，由基金管理人在更换基金托管人的基金份额持有人大会决议生效后</w:t>
      </w:r>
      <w:r>
        <w:rPr>
          <w:rFonts w:hint="eastAsia" w:ascii="宋体" w:hAnsi="宋体"/>
          <w:sz w:val="24"/>
        </w:rPr>
        <w:t>依照《信息披露办法》的有关规定</w:t>
      </w:r>
      <w:r>
        <w:rPr>
          <w:rFonts w:ascii="宋体" w:hAnsi="宋体"/>
          <w:sz w:val="24"/>
        </w:rPr>
        <w:t>在</w:t>
      </w:r>
      <w:r>
        <w:rPr>
          <w:rFonts w:hint="eastAsia" w:ascii="宋体" w:hAnsi="宋体"/>
          <w:sz w:val="24"/>
        </w:rPr>
        <w:t>规定媒介</w:t>
      </w:r>
      <w:r>
        <w:rPr>
          <w:rFonts w:ascii="宋体" w:hAnsi="宋体"/>
          <w:sz w:val="24"/>
        </w:rPr>
        <w:t>公告</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交接：</w:t>
      </w:r>
      <w:r>
        <w:rPr>
          <w:rFonts w:hint="eastAsia" w:ascii="宋体" w:hAnsi="宋体"/>
          <w:sz w:val="24"/>
        </w:rPr>
        <w:t>原任</w:t>
      </w:r>
      <w:r>
        <w:rPr>
          <w:rFonts w:ascii="宋体" w:hAnsi="宋体"/>
          <w:sz w:val="24"/>
        </w:rPr>
        <w:t>基金托管人职责终止的，应当妥善保管基金财产和基金托管业务资料，及时办理基金财产和基金托管业务的移交手续，新任基金托管人或者临时基金托管人应当及时接收。新任基金托管人或临时基金托管人</w:t>
      </w:r>
      <w:r>
        <w:rPr>
          <w:rFonts w:hint="eastAsia" w:ascii="宋体" w:hAnsi="宋体"/>
          <w:sz w:val="24"/>
        </w:rPr>
        <w:t>应</w:t>
      </w:r>
      <w:r>
        <w:rPr>
          <w:rFonts w:ascii="宋体" w:hAnsi="宋体"/>
          <w:sz w:val="24"/>
        </w:rPr>
        <w:t>与基金管理人核对基金资产总值</w:t>
      </w:r>
      <w:r>
        <w:rPr>
          <w:rFonts w:hint="eastAsia" w:ascii="宋体" w:hAnsi="宋体"/>
          <w:sz w:val="24"/>
        </w:rPr>
        <w:t>和</w:t>
      </w:r>
      <w:r>
        <w:rPr>
          <w:rFonts w:ascii="宋体" w:hAnsi="宋体"/>
          <w:sz w:val="24"/>
        </w:rPr>
        <w:t>净值；</w:t>
      </w:r>
    </w:p>
    <w:p>
      <w:pPr>
        <w:spacing w:line="360" w:lineRule="auto"/>
        <w:ind w:firstLine="480" w:firstLineChars="200"/>
        <w:rPr>
          <w:rFonts w:ascii="宋体" w:hAnsi="宋体"/>
          <w:sz w:val="24"/>
        </w:rPr>
      </w:pPr>
      <w:r>
        <w:rPr>
          <w:rFonts w:hint="eastAsia" w:ascii="宋体" w:hAnsi="宋体"/>
          <w:sz w:val="24"/>
        </w:rPr>
        <w:t>（7）</w:t>
      </w:r>
      <w:r>
        <w:rPr>
          <w:rFonts w:ascii="宋体" w:hAnsi="宋体"/>
          <w:sz w:val="24"/>
        </w:rPr>
        <w:t>审计：</w:t>
      </w:r>
      <w:r>
        <w:rPr>
          <w:rFonts w:hint="eastAsia" w:ascii="宋体" w:hAnsi="宋体"/>
          <w:sz w:val="24"/>
        </w:rPr>
        <w:t>原任</w:t>
      </w:r>
      <w:r>
        <w:rPr>
          <w:rFonts w:ascii="宋体" w:hAnsi="宋体"/>
          <w:sz w:val="24"/>
        </w:rPr>
        <w:t>基金托管人职责终止的，应当按照法律法规规定聘请会计师事务所对基金财产进行审计，并将审计结果予以公告，同时报中国证监会备案。</w:t>
      </w:r>
      <w:r>
        <w:rPr>
          <w:rFonts w:hint="eastAsia" w:ascii="宋体" w:hAnsi="宋体"/>
          <w:sz w:val="24"/>
        </w:rPr>
        <w:t>审计费用在基金财产中列支。</w:t>
      </w:r>
    </w:p>
    <w:p>
      <w:pPr>
        <w:spacing w:line="360" w:lineRule="auto"/>
        <w:ind w:firstLine="480" w:firstLineChars="200"/>
        <w:rPr>
          <w:rFonts w:ascii="宋体" w:hAnsi="宋体"/>
          <w:bCs/>
          <w:sz w:val="24"/>
        </w:rPr>
      </w:pPr>
      <w:r>
        <w:rPr>
          <w:rFonts w:hint="eastAsia" w:ascii="宋体" w:hAnsi="宋体"/>
          <w:bCs/>
          <w:sz w:val="24"/>
        </w:rPr>
        <w:t>（三）</w:t>
      </w:r>
      <w:r>
        <w:rPr>
          <w:rFonts w:hint="eastAsia" w:ascii="宋体" w:hAnsi="宋体"/>
          <w:bCs/>
          <w:sz w:val="24"/>
        </w:rPr>
        <w:tab/>
      </w:r>
      <w:r>
        <w:rPr>
          <w:rFonts w:hint="eastAsia" w:ascii="宋体" w:hAnsi="宋体"/>
          <w:bCs/>
          <w:sz w:val="24"/>
        </w:rPr>
        <w:t>基金管理人和基金托管人的同时更换程序</w:t>
      </w:r>
    </w:p>
    <w:p>
      <w:pPr>
        <w:spacing w:line="360" w:lineRule="auto"/>
        <w:ind w:firstLine="480" w:firstLineChars="200"/>
        <w:rPr>
          <w:rFonts w:ascii="宋体" w:hAnsi="宋体"/>
          <w:bCs/>
          <w:sz w:val="24"/>
        </w:rPr>
      </w:pPr>
      <w:r>
        <w:rPr>
          <w:rFonts w:hint="eastAsia" w:ascii="宋体" w:hAnsi="宋体"/>
          <w:sz w:val="24"/>
        </w:rPr>
        <w:t>同时更换</w:t>
      </w:r>
      <w:r>
        <w:rPr>
          <w:rFonts w:hint="eastAsia" w:ascii="宋体" w:hAnsi="宋体"/>
          <w:bCs/>
          <w:sz w:val="24"/>
        </w:rPr>
        <w:t>基金管理人和基金托管人，分别按照上述基金管理人和基金托管人更换程序进行。</w:t>
      </w:r>
    </w:p>
    <w:p>
      <w:pPr>
        <w:spacing w:line="360" w:lineRule="auto"/>
        <w:ind w:firstLine="480" w:firstLineChars="200"/>
        <w:rPr>
          <w:rFonts w:ascii="宋体" w:hAnsi="宋体"/>
          <w:bCs/>
          <w:sz w:val="24"/>
        </w:rPr>
      </w:pPr>
      <w:r>
        <w:rPr>
          <w:rFonts w:hint="eastAsia" w:ascii="宋体" w:hAnsi="宋体"/>
          <w:bCs/>
          <w:sz w:val="24"/>
        </w:rPr>
        <w:t>（四）新任基金管理人或临时基金管理人接收基金管理业务或新任基金托管人或临时基金托管人接收基金财产和基金托管业务前，原任基金管理人或原任基金托管人应继续履行相关职责，并保证不做出对基金份额持有人的利益造成损害的行为。原任基金管理人或原任基金托管人在继续履行相关职责期间，仍有权按照基金合同的规定收取基金管理费或基金托管费。</w:t>
      </w:r>
    </w:p>
    <w:p>
      <w:pPr>
        <w:spacing w:line="360" w:lineRule="auto"/>
        <w:ind w:firstLine="480" w:firstLineChars="200"/>
        <w:rPr>
          <w:rFonts w:ascii="宋体" w:hAnsi="宋体"/>
          <w:sz w:val="24"/>
        </w:rPr>
      </w:pPr>
      <w:r>
        <w:rPr>
          <w:rFonts w:hint="eastAsia" w:ascii="宋体" w:hAnsi="宋体"/>
          <w:bCs/>
          <w:sz w:val="24"/>
        </w:rPr>
        <w:t>三</w:t>
      </w:r>
      <w:r>
        <w:rPr>
          <w:rFonts w:ascii="宋体" w:hAnsi="宋体"/>
          <w:bCs/>
          <w:sz w:val="24"/>
        </w:rPr>
        <w:t>、</w:t>
      </w:r>
      <w:r>
        <w:rPr>
          <w:rFonts w:hint="eastAsia" w:ascii="宋体" w:hAnsi="宋体"/>
          <w:bCs/>
          <w:sz w:val="24"/>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174" w:name="_Toc382819131"/>
      <w:r>
        <w:rPr>
          <w:rFonts w:hint="eastAsia" w:ascii="宋体" w:hAnsi="宋体" w:eastAsia="宋体" w:cs="Arial"/>
          <w:sz w:val="24"/>
          <w:szCs w:val="24"/>
        </w:rPr>
        <w:t>禁止行为</w:t>
      </w:r>
      <w:bookmarkEnd w:id="174"/>
    </w:p>
    <w:p>
      <w:pPr>
        <w:spacing w:line="360" w:lineRule="auto"/>
        <w:ind w:firstLine="480" w:firstLineChars="200"/>
        <w:rPr>
          <w:rFonts w:ascii="宋体" w:hAnsi="宋体"/>
          <w:sz w:val="24"/>
        </w:rPr>
      </w:pPr>
      <w:r>
        <w:rPr>
          <w:rFonts w:hint="eastAsia" w:ascii="宋体" w:hAnsi="宋体"/>
          <w:sz w:val="24"/>
        </w:rPr>
        <w:t>托管协议当事人禁止从事的行为，包括但不限于：</w:t>
      </w:r>
    </w:p>
    <w:p>
      <w:pPr>
        <w:spacing w:line="360" w:lineRule="auto"/>
        <w:ind w:firstLine="480" w:firstLineChars="200"/>
        <w:rPr>
          <w:rFonts w:ascii="宋体" w:hAnsi="宋体"/>
          <w:sz w:val="24"/>
        </w:rPr>
      </w:pPr>
      <w:r>
        <w:rPr>
          <w:rFonts w:hint="eastAsia" w:ascii="宋体" w:hAnsi="宋体"/>
          <w:sz w:val="24"/>
        </w:rPr>
        <w:t>（一）基金管理人、基金托管人将其固有财产或者他人财产混同于基金财产从事证券投资。</w:t>
      </w:r>
    </w:p>
    <w:p>
      <w:pPr>
        <w:spacing w:line="360" w:lineRule="auto"/>
        <w:ind w:firstLine="480" w:firstLineChars="200"/>
        <w:rPr>
          <w:rFonts w:ascii="宋体" w:hAnsi="宋体"/>
          <w:sz w:val="24"/>
        </w:rPr>
      </w:pPr>
      <w:r>
        <w:rPr>
          <w:rFonts w:hint="eastAsia" w:ascii="宋体" w:hAnsi="宋体"/>
          <w:sz w:val="24"/>
        </w:rPr>
        <w:t>（二）基金管理人、基金托管人不公平地对待其管理或托管的不同基金财产。</w:t>
      </w:r>
    </w:p>
    <w:p>
      <w:pPr>
        <w:spacing w:line="360" w:lineRule="auto"/>
        <w:ind w:firstLine="480" w:firstLineChars="200"/>
        <w:rPr>
          <w:rFonts w:ascii="宋体" w:hAnsi="宋体"/>
          <w:sz w:val="24"/>
        </w:rPr>
      </w:pPr>
      <w:r>
        <w:rPr>
          <w:rFonts w:hint="eastAsia" w:ascii="宋体" w:hAnsi="宋体"/>
          <w:sz w:val="24"/>
        </w:rPr>
        <w:t>（三）基金管理人、基金托管人利用基金财产为基金份额持有人以外的第三人牟取利益。</w:t>
      </w:r>
    </w:p>
    <w:p>
      <w:pPr>
        <w:spacing w:line="360" w:lineRule="auto"/>
        <w:ind w:firstLine="480" w:firstLineChars="200"/>
        <w:rPr>
          <w:rFonts w:ascii="宋体" w:hAnsi="宋体"/>
          <w:sz w:val="24"/>
        </w:rPr>
      </w:pPr>
      <w:r>
        <w:rPr>
          <w:rFonts w:hint="eastAsia" w:ascii="宋体" w:hAnsi="宋体"/>
          <w:sz w:val="24"/>
        </w:rPr>
        <w:t>（四）基金管理人、基金托管人向基金份额持有人违规承诺收益或者承担损失。</w:t>
      </w:r>
    </w:p>
    <w:p>
      <w:pPr>
        <w:spacing w:line="360" w:lineRule="auto"/>
        <w:ind w:firstLine="480" w:firstLineChars="200"/>
        <w:rPr>
          <w:rFonts w:ascii="宋体" w:hAnsi="宋体"/>
          <w:sz w:val="24"/>
        </w:rPr>
      </w:pPr>
      <w:r>
        <w:rPr>
          <w:rFonts w:hint="eastAsia" w:ascii="宋体" w:hAnsi="宋体"/>
          <w:sz w:val="24"/>
        </w:rPr>
        <w:t>（五）基金管理人、基金托管人对他人泄露基金经营过程中任何尚未按法律法规规定的方式公开披露的信息。</w:t>
      </w:r>
    </w:p>
    <w:p>
      <w:pPr>
        <w:spacing w:line="360" w:lineRule="auto"/>
        <w:ind w:firstLine="480" w:firstLineChars="200"/>
        <w:rPr>
          <w:rFonts w:ascii="宋体" w:hAnsi="宋体"/>
          <w:sz w:val="24"/>
        </w:rPr>
      </w:pPr>
      <w:r>
        <w:rPr>
          <w:rFonts w:hint="eastAsia" w:ascii="宋体" w:hAnsi="宋体"/>
          <w:sz w:val="24"/>
        </w:rPr>
        <w:t>（六）基金管理人在没有充足资金的情况下向基金托管人发出投资指令和赎回、分红资金的划拨指令，或违规向基金托管人发出指令。</w:t>
      </w:r>
    </w:p>
    <w:p>
      <w:pPr>
        <w:spacing w:line="360" w:lineRule="auto"/>
        <w:ind w:firstLine="480" w:firstLineChars="200"/>
        <w:rPr>
          <w:rFonts w:ascii="宋体" w:hAnsi="宋体"/>
          <w:sz w:val="24"/>
        </w:rPr>
      </w:pPr>
      <w:r>
        <w:rPr>
          <w:rFonts w:hint="eastAsia" w:ascii="宋体" w:hAnsi="宋体"/>
          <w:sz w:val="24"/>
        </w:rPr>
        <w:t>（七）基金托管人对基金管理人的符合本协议约定的有效指令拖延或拒绝执行。</w:t>
      </w:r>
    </w:p>
    <w:p>
      <w:pPr>
        <w:spacing w:line="360" w:lineRule="auto"/>
        <w:ind w:firstLine="480" w:firstLineChars="200"/>
        <w:rPr>
          <w:rFonts w:ascii="宋体" w:hAnsi="宋体"/>
          <w:sz w:val="24"/>
        </w:rPr>
      </w:pPr>
      <w:r>
        <w:rPr>
          <w:rFonts w:hint="eastAsia" w:ascii="宋体" w:hAnsi="宋体"/>
          <w:sz w:val="24"/>
        </w:rPr>
        <w:t>（八）基金管理人、基金托管人在行政上、财务上不独立，其高级基金管理人员相互兼职。</w:t>
      </w:r>
    </w:p>
    <w:p>
      <w:pPr>
        <w:spacing w:line="360" w:lineRule="auto"/>
        <w:ind w:firstLine="480" w:firstLineChars="200"/>
        <w:rPr>
          <w:rFonts w:ascii="宋体" w:hAnsi="宋体"/>
          <w:sz w:val="24"/>
        </w:rPr>
      </w:pPr>
      <w:r>
        <w:rPr>
          <w:rFonts w:hint="eastAsia" w:ascii="宋体" w:hAnsi="宋体"/>
          <w:sz w:val="24"/>
        </w:rPr>
        <w:t>（九）基金托管人私自动用或处分基金资产，根据基金管理人的合法指令、基金合同或托管协议的规定进行处分的除外。</w:t>
      </w:r>
    </w:p>
    <w:p>
      <w:pPr>
        <w:spacing w:line="360" w:lineRule="auto"/>
        <w:ind w:firstLine="480" w:firstLineChars="200"/>
        <w:rPr>
          <w:rFonts w:ascii="宋体" w:hAnsi="宋体"/>
          <w:sz w:val="24"/>
        </w:rPr>
      </w:pPr>
      <w:r>
        <w:rPr>
          <w:rFonts w:hint="eastAsia" w:ascii="宋体" w:hAnsi="宋体"/>
          <w:sz w:val="24"/>
        </w:rPr>
        <w:t>（十）基金管理人、基金托管人不得利用基金财产用于下列投资或者活动：</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承销证券；</w:t>
      </w:r>
    </w:p>
    <w:p>
      <w:pPr>
        <w:spacing w:line="360" w:lineRule="auto"/>
        <w:ind w:firstLine="480" w:firstLineChars="200"/>
        <w:rPr>
          <w:rFonts w:ascii="宋体" w:hAnsi="宋体"/>
          <w:sz w:val="24"/>
        </w:rPr>
      </w:pPr>
      <w:r>
        <w:rPr>
          <w:rFonts w:hint="eastAsia" w:ascii="宋体" w:hAnsi="宋体"/>
          <w:sz w:val="24"/>
        </w:rPr>
        <w:t>2.违反规定</w:t>
      </w:r>
      <w:r>
        <w:rPr>
          <w:rFonts w:ascii="宋体" w:hAnsi="宋体"/>
          <w:sz w:val="24"/>
        </w:rPr>
        <w:t>向他人贷款或者提供担保；</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.从事承担无限责任的投资；</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.买卖其他基金份额，但是</w:t>
      </w:r>
      <w:r>
        <w:rPr>
          <w:rFonts w:hint="eastAsia" w:ascii="宋体" w:hAnsi="宋体"/>
          <w:sz w:val="24"/>
        </w:rPr>
        <w:t>中国证监会</w:t>
      </w:r>
      <w:r>
        <w:rPr>
          <w:rFonts w:ascii="宋体" w:hAnsi="宋体"/>
          <w:sz w:val="24"/>
        </w:rPr>
        <w:t>另有规定的除外；</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.向基金管理人、基金托管人出资；</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.从事内幕交易、操纵证券交易价格及其他不正当的证券交易活动；</w:t>
      </w:r>
    </w:p>
    <w:p>
      <w:pPr>
        <w:spacing w:line="360" w:lineRule="auto"/>
        <w:ind w:firstLine="480" w:firstLineChars="200"/>
        <w:rPr>
          <w:rFonts w:ascii="宋体" w:hAnsi="宋体"/>
          <w:sz w:val="24"/>
        </w:rPr>
      </w:pPr>
      <w:r>
        <w:rPr>
          <w:rFonts w:hint="eastAsia" w:ascii="宋体" w:hAnsi="宋体"/>
          <w:sz w:val="24"/>
        </w:rPr>
        <w:t>7</w:t>
      </w:r>
      <w:r>
        <w:rPr>
          <w:rFonts w:ascii="宋体" w:hAnsi="宋体"/>
          <w:sz w:val="24"/>
        </w:rPr>
        <w:t>.法律</w:t>
      </w:r>
      <w:r>
        <w:rPr>
          <w:rFonts w:hint="eastAsia" w:ascii="宋体" w:hAnsi="宋体"/>
          <w:sz w:val="24"/>
        </w:rPr>
        <w:t>、行政</w:t>
      </w:r>
      <w:r>
        <w:rPr>
          <w:rFonts w:ascii="宋体" w:hAnsi="宋体"/>
          <w:sz w:val="24"/>
        </w:rPr>
        <w:t>法规</w:t>
      </w:r>
      <w:r>
        <w:rPr>
          <w:rFonts w:hint="eastAsia" w:ascii="宋体" w:hAnsi="宋体"/>
          <w:sz w:val="24"/>
        </w:rPr>
        <w:t>和</w:t>
      </w:r>
      <w:r>
        <w:rPr>
          <w:rFonts w:ascii="宋体" w:hAnsi="宋体"/>
          <w:sz w:val="24"/>
        </w:rPr>
        <w:t>中国证监会规定禁止的其他活动</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（十一）法律法规和基金合同禁止的其他行为，以及依照法律法规有关规定，由中国证监会规定禁止基金管理人、基金托管人从事的其他行为。</w:t>
      </w:r>
    </w:p>
    <w:p>
      <w:pPr>
        <w:spacing w:line="360" w:lineRule="auto"/>
        <w:ind w:firstLine="480" w:firstLineChars="200"/>
        <w:rPr>
          <w:rFonts w:ascii="宋体" w:hAnsi="宋体"/>
          <w:sz w:val="24"/>
        </w:rPr>
      </w:pPr>
      <w:r>
        <w:rPr>
          <w:rFonts w:hint="eastAsia" w:ascii="宋体" w:hAnsi="宋体"/>
          <w:sz w:val="24"/>
        </w:rPr>
        <w:t>法律、行政法规或监管部门取消或变更上述禁止性规定，如适用于本基金，基金管理人有权在履行适当程序后，则本基金不再受相关限制或以变更后的规定为准，并应向投资者履行信息披露义务。</w:t>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175" w:name="_Toc382819132"/>
      <w:r>
        <w:rPr>
          <w:rFonts w:hint="eastAsia" w:ascii="宋体" w:hAnsi="宋体" w:eastAsia="宋体" w:cs="Arial"/>
          <w:sz w:val="24"/>
          <w:szCs w:val="24"/>
        </w:rPr>
        <w:t>基金托管协议的变更、终止与基金财产的清算</w:t>
      </w:r>
      <w:bookmarkEnd w:id="175"/>
    </w:p>
    <w:p>
      <w:pPr>
        <w:spacing w:line="360" w:lineRule="auto"/>
        <w:ind w:firstLine="480" w:firstLineChars="200"/>
        <w:rPr>
          <w:rFonts w:ascii="宋体" w:hAnsi="宋体"/>
          <w:sz w:val="24"/>
        </w:rPr>
      </w:pPr>
      <w:r>
        <w:rPr>
          <w:rFonts w:hint="eastAsia" w:ascii="宋体" w:hAnsi="宋体"/>
          <w:sz w:val="24"/>
        </w:rPr>
        <w:t>（一）托管协议的变更与终止</w:t>
      </w:r>
    </w:p>
    <w:p>
      <w:pPr>
        <w:spacing w:line="360" w:lineRule="auto"/>
        <w:ind w:firstLine="480" w:firstLineChars="200"/>
        <w:rPr>
          <w:rFonts w:ascii="宋体" w:hAnsi="宋体"/>
          <w:sz w:val="24"/>
        </w:rPr>
      </w:pPr>
      <w:r>
        <w:rPr>
          <w:rFonts w:hint="eastAsia" w:ascii="宋体" w:hAnsi="宋体"/>
          <w:sz w:val="24"/>
        </w:rPr>
        <w:t>1.托管协议的变更程序</w:t>
      </w:r>
    </w:p>
    <w:p>
      <w:pPr>
        <w:autoSpaceDE w:val="0"/>
        <w:autoSpaceDN w:val="0"/>
        <w:adjustRightInd w:val="0"/>
        <w:spacing w:line="360" w:lineRule="auto"/>
        <w:ind w:firstLine="504" w:firstLineChars="200"/>
        <w:jc w:val="left"/>
        <w:rPr>
          <w:rFonts w:ascii="宋体" w:hAnsi="宋体"/>
          <w:spacing w:val="6"/>
          <w:sz w:val="24"/>
        </w:rPr>
      </w:pPr>
      <w:r>
        <w:rPr>
          <w:rFonts w:hint="eastAsia" w:ascii="宋体" w:hAnsi="宋体"/>
          <w:spacing w:val="6"/>
          <w:sz w:val="24"/>
        </w:rPr>
        <w:t>本协议双方当事人经协商一致，可以对协议的内容进行变更。变更后的托管协议，其内容不得与《基金合同》的规定有任何冲突，并需</w:t>
      </w:r>
      <w:r>
        <w:rPr>
          <w:rFonts w:hint="eastAsia" w:ascii="宋体" w:hAnsi="宋体"/>
          <w:sz w:val="24"/>
        </w:rPr>
        <w:t>经基金管理人、基金托管人加盖公章或合同专用章以及双方法定代表人或授权代理人签字（或盖章）确认</w:t>
      </w:r>
      <w:r>
        <w:rPr>
          <w:rFonts w:hint="eastAsia" w:ascii="宋体" w:hAnsi="宋体"/>
          <w:spacing w:val="6"/>
          <w:sz w:val="24"/>
        </w:rPr>
        <w:t>。基金托管协议的变更报中国证监会备案。</w:t>
      </w:r>
    </w:p>
    <w:p>
      <w:pPr>
        <w:spacing w:line="360" w:lineRule="auto"/>
        <w:ind w:firstLine="480" w:firstLineChars="200"/>
        <w:rPr>
          <w:rFonts w:ascii="宋体" w:hAnsi="宋体"/>
          <w:sz w:val="24"/>
        </w:rPr>
      </w:pPr>
      <w:r>
        <w:rPr>
          <w:rFonts w:hint="eastAsia" w:ascii="宋体" w:hAnsi="宋体"/>
          <w:sz w:val="24"/>
        </w:rPr>
        <w:t>2.基金托管协议终止的情形</w:t>
      </w:r>
    </w:p>
    <w:p>
      <w:pPr>
        <w:autoSpaceDE w:val="0"/>
        <w:autoSpaceDN w:val="0"/>
        <w:adjustRightInd w:val="0"/>
        <w:spacing w:line="360" w:lineRule="auto"/>
        <w:ind w:firstLine="504" w:firstLineChars="200"/>
        <w:jc w:val="left"/>
        <w:rPr>
          <w:rFonts w:ascii="宋体" w:hAnsi="宋体"/>
          <w:spacing w:val="6"/>
          <w:sz w:val="24"/>
        </w:rPr>
      </w:pPr>
      <w:r>
        <w:rPr>
          <w:rFonts w:hint="eastAsia" w:ascii="宋体" w:hAnsi="宋体"/>
          <w:spacing w:val="6"/>
          <w:sz w:val="24"/>
        </w:rPr>
        <w:t>发生以下情况，本托管协议终止：</w:t>
      </w:r>
    </w:p>
    <w:p>
      <w:pPr>
        <w:autoSpaceDE w:val="0"/>
        <w:autoSpaceDN w:val="0"/>
        <w:adjustRightInd w:val="0"/>
        <w:spacing w:line="360" w:lineRule="auto"/>
        <w:ind w:firstLine="504" w:firstLineChars="200"/>
        <w:jc w:val="left"/>
        <w:rPr>
          <w:rFonts w:ascii="宋体" w:hAnsi="宋体"/>
          <w:spacing w:val="6"/>
          <w:sz w:val="24"/>
        </w:rPr>
      </w:pPr>
      <w:r>
        <w:rPr>
          <w:rFonts w:hint="eastAsia" w:ascii="宋体" w:hAnsi="宋体"/>
          <w:spacing w:val="6"/>
          <w:sz w:val="24"/>
        </w:rPr>
        <w:t>（1）《基金合同》终止；</w:t>
      </w:r>
    </w:p>
    <w:p>
      <w:pPr>
        <w:autoSpaceDE w:val="0"/>
        <w:autoSpaceDN w:val="0"/>
        <w:adjustRightInd w:val="0"/>
        <w:spacing w:line="360" w:lineRule="auto"/>
        <w:ind w:firstLine="504" w:firstLineChars="200"/>
        <w:jc w:val="left"/>
        <w:rPr>
          <w:rFonts w:ascii="宋体" w:hAnsi="宋体"/>
          <w:spacing w:val="6"/>
          <w:sz w:val="24"/>
        </w:rPr>
      </w:pPr>
      <w:r>
        <w:rPr>
          <w:rFonts w:hint="eastAsia" w:ascii="宋体" w:hAnsi="宋体"/>
          <w:spacing w:val="6"/>
          <w:sz w:val="24"/>
        </w:rPr>
        <w:t>（2）基金托管人解散、依法被撤销、破产或有其他基金托管人接管基金资产；</w:t>
      </w:r>
    </w:p>
    <w:p>
      <w:pPr>
        <w:autoSpaceDE w:val="0"/>
        <w:autoSpaceDN w:val="0"/>
        <w:adjustRightInd w:val="0"/>
        <w:spacing w:line="360" w:lineRule="auto"/>
        <w:ind w:firstLine="504" w:firstLineChars="200"/>
        <w:jc w:val="left"/>
        <w:rPr>
          <w:rFonts w:ascii="宋体" w:hAnsi="宋体"/>
          <w:spacing w:val="6"/>
          <w:sz w:val="24"/>
        </w:rPr>
      </w:pPr>
      <w:r>
        <w:rPr>
          <w:rFonts w:hint="eastAsia" w:ascii="宋体" w:hAnsi="宋体"/>
          <w:spacing w:val="6"/>
          <w:sz w:val="24"/>
        </w:rPr>
        <w:t>（3）基金管理人解散、依法被撤销、破产或有其他基金管理人接管基金管理权；</w:t>
      </w:r>
    </w:p>
    <w:p>
      <w:pPr>
        <w:autoSpaceDE w:val="0"/>
        <w:autoSpaceDN w:val="0"/>
        <w:adjustRightInd w:val="0"/>
        <w:spacing w:line="360" w:lineRule="auto"/>
        <w:ind w:firstLine="504" w:firstLineChars="200"/>
        <w:jc w:val="left"/>
        <w:rPr>
          <w:rFonts w:ascii="宋体" w:hAnsi="宋体"/>
          <w:spacing w:val="6"/>
          <w:sz w:val="24"/>
        </w:rPr>
      </w:pPr>
      <w:r>
        <w:rPr>
          <w:rFonts w:hint="eastAsia" w:ascii="宋体" w:hAnsi="宋体"/>
          <w:spacing w:val="6"/>
          <w:sz w:val="24"/>
        </w:rPr>
        <w:t>（4）发生法律法规或《基金合同》规定的终止事项。</w:t>
      </w:r>
    </w:p>
    <w:p>
      <w:pPr>
        <w:spacing w:line="360" w:lineRule="auto"/>
        <w:ind w:firstLine="480" w:firstLineChars="200"/>
        <w:rPr>
          <w:rFonts w:ascii="宋体" w:hAnsi="宋体"/>
          <w:sz w:val="24"/>
        </w:rPr>
      </w:pPr>
      <w:r>
        <w:rPr>
          <w:rFonts w:hint="eastAsia" w:ascii="宋体" w:hAnsi="宋体"/>
          <w:sz w:val="24"/>
        </w:rPr>
        <w:t>（二）基金财产的清算</w:t>
      </w:r>
    </w:p>
    <w:p>
      <w:pPr>
        <w:spacing w:line="360" w:lineRule="auto"/>
        <w:ind w:firstLine="480" w:firstLineChars="200"/>
        <w:rPr>
          <w:rFonts w:ascii="宋体" w:hAnsi="宋体"/>
          <w:sz w:val="24"/>
        </w:rPr>
      </w:pPr>
      <w:r>
        <w:rPr>
          <w:rFonts w:hint="eastAsia" w:ascii="宋体" w:hAnsi="宋体"/>
          <w:sz w:val="24"/>
        </w:rPr>
        <w:t>1.基金财产清算小组：自出现《基金合同》终止事由之日起30个工作日内成立</w:t>
      </w:r>
      <w:r>
        <w:rPr>
          <w:rFonts w:ascii="宋体" w:hAnsi="宋体"/>
          <w:bCs/>
          <w:sz w:val="24"/>
        </w:rPr>
        <w:t>基金财产</w:t>
      </w:r>
      <w:r>
        <w:rPr>
          <w:rFonts w:hint="eastAsia" w:ascii="宋体" w:hAnsi="宋体"/>
          <w:sz w:val="24"/>
        </w:rPr>
        <w:t>清算小组，基金管理人组织基金财产清算小组并在中国证监会的监督下进行基金清算。</w:t>
      </w:r>
    </w:p>
    <w:p>
      <w:pPr>
        <w:spacing w:line="360" w:lineRule="auto"/>
        <w:ind w:firstLine="480" w:firstLineChars="200"/>
        <w:rPr>
          <w:rFonts w:ascii="宋体" w:hAnsi="宋体"/>
          <w:sz w:val="24"/>
        </w:rPr>
      </w:pPr>
      <w:r>
        <w:rPr>
          <w:rFonts w:hint="eastAsia" w:ascii="宋体" w:hAnsi="宋体"/>
          <w:sz w:val="24"/>
        </w:rPr>
        <w:t>2.</w:t>
      </w:r>
      <w:r>
        <w:rPr>
          <w:rFonts w:hint="eastAsia" w:ascii="宋体" w:hAnsi="宋体"/>
          <w:kern w:val="0"/>
          <w:sz w:val="24"/>
        </w:rPr>
        <w:t>在基金财产清算小组接管基金财产之前，基金管理人和基金托管人应按照《基金合同》和本托管协议的规定继续履行保护基金财产安全的职责。</w:t>
      </w:r>
    </w:p>
    <w:p>
      <w:pPr>
        <w:spacing w:line="360" w:lineRule="auto"/>
        <w:ind w:firstLine="480" w:firstLineChars="200"/>
        <w:rPr>
          <w:rFonts w:ascii="宋体" w:hAnsi="宋体"/>
          <w:sz w:val="24"/>
        </w:rPr>
      </w:pPr>
      <w:r>
        <w:rPr>
          <w:rFonts w:hint="eastAsia" w:ascii="宋体" w:hAnsi="宋体"/>
          <w:sz w:val="24"/>
        </w:rPr>
        <w:t>3.基金财产清算小组组成：基金财产清算小组成员由基金管理人、基金托管人、符合《中华人民共和国</w:t>
      </w:r>
      <w:r>
        <w:rPr>
          <w:rFonts w:ascii="宋体" w:hAnsi="宋体"/>
          <w:sz w:val="24"/>
        </w:rPr>
        <w:t>证券法</w:t>
      </w:r>
      <w:r>
        <w:rPr>
          <w:rFonts w:hint="eastAsia" w:ascii="宋体" w:hAnsi="宋体"/>
          <w:sz w:val="24"/>
        </w:rPr>
        <w:t>》规定</w:t>
      </w:r>
      <w:r>
        <w:rPr>
          <w:rFonts w:ascii="宋体" w:hAnsi="宋体"/>
          <w:sz w:val="24"/>
        </w:rPr>
        <w:t>的</w:t>
      </w:r>
      <w:r>
        <w:rPr>
          <w:rFonts w:hint="eastAsia" w:ascii="宋体" w:hAnsi="宋体"/>
          <w:sz w:val="24"/>
        </w:rPr>
        <w:t>注册会计师、律师以及中国证监会指定的人员组成。基金财产清算小组可以聘用必要的工作人员。</w:t>
      </w:r>
    </w:p>
    <w:p>
      <w:pPr>
        <w:spacing w:line="360" w:lineRule="auto"/>
        <w:ind w:firstLine="480" w:firstLineChars="200"/>
        <w:rPr>
          <w:rFonts w:ascii="宋体" w:hAnsi="宋体"/>
          <w:sz w:val="24"/>
        </w:rPr>
      </w:pPr>
      <w:r>
        <w:rPr>
          <w:rFonts w:hint="eastAsia" w:ascii="宋体" w:hAnsi="宋体"/>
          <w:sz w:val="24"/>
        </w:rPr>
        <w:t>4.基金财产清算小组职责：基金财产清算小组负责基金财产的保管、清理、估价、变现和分配。基金财产清算小组可以依法进行必要的民事活动。</w:t>
      </w:r>
    </w:p>
    <w:p>
      <w:pPr>
        <w:adjustRightInd w:val="0"/>
        <w:snapToGrid w:val="0"/>
        <w:spacing w:line="360" w:lineRule="auto"/>
        <w:ind w:firstLine="480" w:firstLineChars="200"/>
        <w:rPr>
          <w:rFonts w:ascii="宋体" w:hAnsi="宋体" w:cs="Arial"/>
          <w:sz w:val="24"/>
        </w:rPr>
      </w:pPr>
      <w:r>
        <w:rPr>
          <w:rFonts w:hint="eastAsia" w:ascii="宋体" w:hAnsi="宋体" w:cs="Arial"/>
          <w:sz w:val="24"/>
        </w:rPr>
        <w:t>5.基金财产清算程序：</w:t>
      </w:r>
      <w:r>
        <w:rPr>
          <w:rFonts w:hint="eastAsia" w:ascii="宋体" w:hAnsi="宋体" w:cs="Arial"/>
          <w:sz w:val="24"/>
        </w:rPr>
        <w:tab/>
      </w:r>
    </w:p>
    <w:p>
      <w:pPr>
        <w:adjustRightInd w:val="0"/>
        <w:snapToGrid w:val="0"/>
        <w:spacing w:line="360" w:lineRule="auto"/>
        <w:ind w:firstLine="480" w:firstLineChars="200"/>
        <w:rPr>
          <w:rFonts w:ascii="宋体" w:hAnsi="宋体" w:cs="Arial"/>
          <w:sz w:val="24"/>
        </w:rPr>
      </w:pPr>
      <w:r>
        <w:rPr>
          <w:rFonts w:ascii="宋体" w:hAnsi="宋体" w:cs="Arial"/>
          <w:sz w:val="24"/>
        </w:rPr>
        <w:t>（1）《基金合同》终止情形出现时，由基金财产清算小组统一接管基金；</w:t>
      </w:r>
    </w:p>
    <w:p>
      <w:pPr>
        <w:adjustRightInd w:val="0"/>
        <w:snapToGrid w:val="0"/>
        <w:spacing w:line="360" w:lineRule="auto"/>
        <w:ind w:firstLine="480" w:firstLineChars="200"/>
        <w:rPr>
          <w:rFonts w:ascii="宋体" w:hAnsi="宋体" w:cs="Arial"/>
          <w:sz w:val="24"/>
        </w:rPr>
      </w:pPr>
      <w:r>
        <w:rPr>
          <w:rFonts w:ascii="宋体" w:hAnsi="宋体" w:cs="Arial"/>
          <w:sz w:val="24"/>
        </w:rPr>
        <w:t>（2）对基金财产和债权债务进行清理和确认；</w:t>
      </w:r>
    </w:p>
    <w:p>
      <w:pPr>
        <w:adjustRightInd w:val="0"/>
        <w:snapToGrid w:val="0"/>
        <w:spacing w:line="360" w:lineRule="auto"/>
        <w:ind w:firstLine="480" w:firstLineChars="200"/>
        <w:rPr>
          <w:rFonts w:ascii="宋体" w:hAnsi="宋体" w:cs="Arial"/>
          <w:sz w:val="24"/>
        </w:rPr>
      </w:pPr>
      <w:r>
        <w:rPr>
          <w:rFonts w:ascii="宋体" w:hAnsi="宋体" w:cs="Arial"/>
          <w:sz w:val="24"/>
        </w:rPr>
        <w:t>（3）对基金财产进行估值和变现；</w:t>
      </w:r>
    </w:p>
    <w:p>
      <w:pPr>
        <w:adjustRightInd w:val="0"/>
        <w:snapToGrid w:val="0"/>
        <w:spacing w:line="360" w:lineRule="auto"/>
        <w:ind w:firstLine="480" w:firstLineChars="200"/>
        <w:rPr>
          <w:rFonts w:ascii="宋体" w:hAnsi="宋体" w:cs="Arial"/>
          <w:sz w:val="24"/>
        </w:rPr>
      </w:pPr>
      <w:r>
        <w:rPr>
          <w:rFonts w:ascii="宋体" w:hAnsi="宋体" w:cs="Arial"/>
          <w:sz w:val="24"/>
        </w:rPr>
        <w:t>（4）制作清算报告；</w:t>
      </w:r>
    </w:p>
    <w:p>
      <w:pPr>
        <w:adjustRightInd w:val="0"/>
        <w:snapToGrid w:val="0"/>
        <w:spacing w:line="360" w:lineRule="auto"/>
        <w:ind w:firstLine="480" w:firstLineChars="200"/>
        <w:rPr>
          <w:rFonts w:ascii="宋体" w:hAnsi="宋体" w:cs="Arial"/>
          <w:sz w:val="24"/>
        </w:rPr>
      </w:pPr>
      <w:r>
        <w:rPr>
          <w:rFonts w:ascii="宋体" w:hAnsi="宋体" w:cs="Arial"/>
          <w:sz w:val="24"/>
        </w:rPr>
        <w:t>（5）聘请会计师事务所对清算报告进行外部审计，聘请律师事务所对清算报告出具法律意见书；</w:t>
      </w:r>
    </w:p>
    <w:p>
      <w:pPr>
        <w:adjustRightInd w:val="0"/>
        <w:snapToGrid w:val="0"/>
        <w:spacing w:line="360" w:lineRule="auto"/>
        <w:ind w:firstLine="480" w:firstLineChars="200"/>
        <w:rPr>
          <w:rFonts w:ascii="宋体" w:hAnsi="宋体" w:cs="Arial"/>
          <w:sz w:val="24"/>
        </w:rPr>
      </w:pPr>
      <w:r>
        <w:rPr>
          <w:rFonts w:ascii="宋体" w:hAnsi="宋体" w:cs="Arial"/>
          <w:sz w:val="24"/>
        </w:rPr>
        <w:t>（6）将清算报告报中国证监会备案并公告</w:t>
      </w:r>
      <w:r>
        <w:rPr>
          <w:rFonts w:hint="eastAsia" w:ascii="宋体" w:hAnsi="宋体" w:cs="Arial"/>
          <w:sz w:val="24"/>
        </w:rPr>
        <w:t>；</w:t>
      </w:r>
    </w:p>
    <w:p>
      <w:pPr>
        <w:adjustRightInd w:val="0"/>
        <w:snapToGrid w:val="0"/>
        <w:spacing w:line="360" w:lineRule="auto"/>
        <w:ind w:firstLine="480" w:firstLineChars="200"/>
        <w:rPr>
          <w:rFonts w:ascii="宋体" w:hAnsi="宋体" w:cs="Arial"/>
          <w:sz w:val="24"/>
        </w:rPr>
      </w:pPr>
      <w:r>
        <w:rPr>
          <w:rFonts w:ascii="宋体" w:hAnsi="宋体" w:cs="Arial"/>
          <w:sz w:val="24"/>
        </w:rPr>
        <w:t>（7）对基金</w:t>
      </w:r>
      <w:r>
        <w:rPr>
          <w:rFonts w:hint="eastAsia" w:ascii="宋体" w:hAnsi="宋体" w:cs="Arial"/>
          <w:sz w:val="24"/>
        </w:rPr>
        <w:t>剩余</w:t>
      </w:r>
      <w:r>
        <w:rPr>
          <w:rFonts w:ascii="宋体" w:hAnsi="宋体" w:cs="Arial"/>
          <w:sz w:val="24"/>
        </w:rPr>
        <w:t>财产进行分配</w:t>
      </w:r>
      <w:r>
        <w:rPr>
          <w:rFonts w:hint="eastAsia" w:ascii="宋体" w:hAnsi="宋体" w:cs="Arial"/>
          <w:sz w:val="24"/>
        </w:rPr>
        <w:t>。</w:t>
      </w:r>
    </w:p>
    <w:p>
      <w:pPr>
        <w:adjustRightInd w:val="0"/>
        <w:snapToGrid w:val="0"/>
        <w:spacing w:line="360" w:lineRule="auto"/>
        <w:ind w:firstLine="480" w:firstLineChars="200"/>
        <w:rPr>
          <w:rFonts w:ascii="宋体" w:hAnsi="宋体" w:cs="Arial"/>
          <w:sz w:val="24"/>
        </w:rPr>
      </w:pPr>
      <w:r>
        <w:rPr>
          <w:rFonts w:ascii="宋体" w:hAnsi="宋体" w:cs="Arial"/>
          <w:bCs/>
          <w:sz w:val="24"/>
        </w:rPr>
        <w:t>基金财产清算的期限为</w:t>
      </w:r>
      <w:r>
        <w:rPr>
          <w:rFonts w:hint="eastAsia" w:ascii="宋体" w:hAnsi="宋体" w:cs="Arial"/>
          <w:bCs/>
          <w:sz w:val="24"/>
        </w:rPr>
        <w:t>6</w:t>
      </w:r>
      <w:r>
        <w:rPr>
          <w:rFonts w:ascii="宋体" w:hAnsi="宋体" w:cs="Arial"/>
          <w:bCs/>
          <w:sz w:val="24"/>
        </w:rPr>
        <w:t>个月，但因本基金所持证券的流动性受到限制而不能及时变现的，清算期限</w:t>
      </w:r>
      <w:r>
        <w:rPr>
          <w:rFonts w:hint="eastAsia" w:ascii="宋体" w:hAnsi="宋体" w:cs="Arial"/>
          <w:bCs/>
          <w:sz w:val="24"/>
        </w:rPr>
        <w:t>可</w:t>
      </w:r>
      <w:r>
        <w:rPr>
          <w:rFonts w:ascii="宋体" w:hAnsi="宋体" w:cs="Arial"/>
          <w:bCs/>
          <w:sz w:val="24"/>
        </w:rPr>
        <w:t>相应顺延。</w:t>
      </w:r>
    </w:p>
    <w:p>
      <w:pPr>
        <w:adjustRightInd w:val="0"/>
        <w:snapToGrid w:val="0"/>
        <w:spacing w:line="360" w:lineRule="auto"/>
        <w:ind w:firstLine="480" w:firstLineChars="200"/>
        <w:rPr>
          <w:rFonts w:ascii="宋体" w:hAnsi="宋体" w:cs="Arial"/>
          <w:sz w:val="24"/>
        </w:rPr>
      </w:pPr>
      <w:r>
        <w:rPr>
          <w:rFonts w:hint="eastAsia" w:ascii="宋体" w:hAnsi="宋体" w:cs="Arial"/>
          <w:sz w:val="24"/>
        </w:rPr>
        <w:t>6.清算费用</w:t>
      </w:r>
    </w:p>
    <w:p>
      <w:pPr>
        <w:adjustRightInd w:val="0"/>
        <w:snapToGrid w:val="0"/>
        <w:spacing w:line="360" w:lineRule="auto"/>
        <w:ind w:firstLine="480" w:firstLineChars="200"/>
        <w:rPr>
          <w:rFonts w:ascii="宋体" w:hAnsi="宋体" w:cs="Arial"/>
          <w:sz w:val="24"/>
        </w:rPr>
      </w:pPr>
      <w:r>
        <w:rPr>
          <w:rFonts w:hint="eastAsia" w:ascii="宋体" w:hAnsi="宋体" w:cs="Arial"/>
          <w:sz w:val="24"/>
        </w:rPr>
        <w:t>清算费用是指基金财产清算小组在进行基金清算过程中发生的所有合理费用，清算费用由基金财产清算小组优先从基金财产中支付。</w:t>
      </w:r>
    </w:p>
    <w:p>
      <w:pPr>
        <w:adjustRightInd w:val="0"/>
        <w:snapToGrid w:val="0"/>
        <w:spacing w:line="360" w:lineRule="auto"/>
        <w:ind w:firstLine="480" w:firstLineChars="200"/>
        <w:rPr>
          <w:rFonts w:ascii="宋体" w:hAnsi="宋体" w:cs="Arial"/>
          <w:sz w:val="24"/>
        </w:rPr>
      </w:pPr>
      <w:r>
        <w:rPr>
          <w:rFonts w:hint="eastAsia" w:ascii="宋体" w:hAnsi="宋体" w:cs="Arial"/>
          <w:sz w:val="24"/>
        </w:rPr>
        <w:t>7.基金财产按下列顺序清偿：</w:t>
      </w:r>
    </w:p>
    <w:p>
      <w:pPr>
        <w:adjustRightInd w:val="0"/>
        <w:snapToGrid w:val="0"/>
        <w:spacing w:line="360" w:lineRule="auto"/>
        <w:ind w:firstLine="480" w:firstLineChars="200"/>
        <w:rPr>
          <w:rFonts w:ascii="宋体" w:hAnsi="宋体" w:cs="Arial"/>
          <w:sz w:val="24"/>
        </w:rPr>
      </w:pPr>
      <w:r>
        <w:rPr>
          <w:rFonts w:hint="eastAsia" w:ascii="宋体" w:hAnsi="宋体" w:cs="Arial"/>
          <w:sz w:val="24"/>
        </w:rPr>
        <w:t>(1)支付清算费用；</w:t>
      </w:r>
    </w:p>
    <w:p>
      <w:pPr>
        <w:adjustRightInd w:val="0"/>
        <w:snapToGrid w:val="0"/>
        <w:spacing w:line="360" w:lineRule="auto"/>
        <w:ind w:firstLine="480" w:firstLineChars="200"/>
        <w:rPr>
          <w:rFonts w:ascii="宋体" w:hAnsi="宋体" w:cs="Arial"/>
          <w:sz w:val="24"/>
        </w:rPr>
      </w:pPr>
      <w:r>
        <w:rPr>
          <w:rFonts w:hint="eastAsia" w:ascii="宋体" w:hAnsi="宋体" w:cs="Arial"/>
          <w:sz w:val="24"/>
        </w:rPr>
        <w:t>(2)交纳所欠税款；</w:t>
      </w:r>
    </w:p>
    <w:p>
      <w:pPr>
        <w:adjustRightInd w:val="0"/>
        <w:snapToGrid w:val="0"/>
        <w:spacing w:line="360" w:lineRule="auto"/>
        <w:ind w:firstLine="480" w:firstLineChars="200"/>
        <w:rPr>
          <w:rFonts w:ascii="宋体" w:hAnsi="宋体" w:cs="Arial"/>
          <w:sz w:val="24"/>
        </w:rPr>
      </w:pPr>
      <w:r>
        <w:rPr>
          <w:rFonts w:hint="eastAsia" w:ascii="宋体" w:hAnsi="宋体" w:cs="Arial"/>
          <w:sz w:val="24"/>
        </w:rPr>
        <w:t>(3)清偿基金债务；</w:t>
      </w:r>
    </w:p>
    <w:p>
      <w:pPr>
        <w:adjustRightInd w:val="0"/>
        <w:snapToGrid w:val="0"/>
        <w:spacing w:line="360" w:lineRule="auto"/>
        <w:ind w:firstLine="480" w:firstLineChars="200"/>
        <w:rPr>
          <w:rFonts w:ascii="宋体" w:hAnsi="宋体" w:cs="Arial"/>
          <w:sz w:val="24"/>
        </w:rPr>
      </w:pPr>
      <w:r>
        <w:rPr>
          <w:rFonts w:hint="eastAsia" w:ascii="宋体" w:hAnsi="宋体" w:cs="Arial"/>
          <w:sz w:val="24"/>
        </w:rPr>
        <w:t>(4)按基金份额持有人持有的基金份额比例进行分配。</w:t>
      </w:r>
    </w:p>
    <w:p>
      <w:pPr>
        <w:adjustRightInd w:val="0"/>
        <w:snapToGrid w:val="0"/>
        <w:spacing w:line="360" w:lineRule="auto"/>
        <w:ind w:firstLine="480" w:firstLineChars="200"/>
        <w:rPr>
          <w:rFonts w:ascii="宋体" w:hAnsi="宋体" w:cs="Arial"/>
          <w:sz w:val="24"/>
        </w:rPr>
      </w:pPr>
      <w:r>
        <w:rPr>
          <w:rFonts w:hint="eastAsia" w:ascii="宋体" w:hAnsi="宋体" w:cs="Arial"/>
          <w:sz w:val="24"/>
        </w:rPr>
        <w:t>基金财产未按前款(1)－(3)项规定清偿前，不分配给基金份额持有人。</w:t>
      </w:r>
    </w:p>
    <w:p>
      <w:pPr>
        <w:spacing w:line="360" w:lineRule="auto"/>
        <w:ind w:firstLine="480" w:firstLineChars="200"/>
        <w:rPr>
          <w:rFonts w:ascii="宋体" w:hAnsi="宋体"/>
          <w:bCs/>
          <w:sz w:val="24"/>
        </w:rPr>
      </w:pPr>
      <w:r>
        <w:rPr>
          <w:rFonts w:hint="eastAsia" w:ascii="宋体" w:hAnsi="宋体"/>
          <w:bCs/>
          <w:sz w:val="24"/>
        </w:rPr>
        <w:t>（三）基金财产清算的公告</w:t>
      </w:r>
    </w:p>
    <w:p>
      <w:pPr>
        <w:spacing w:line="360" w:lineRule="auto"/>
        <w:ind w:firstLine="480" w:firstLineChars="200"/>
        <w:rPr>
          <w:rFonts w:ascii="宋体" w:hAnsi="宋体"/>
          <w:sz w:val="24"/>
        </w:rPr>
      </w:pPr>
      <w:r>
        <w:rPr>
          <w:rFonts w:hint="eastAsia" w:ascii="宋体" w:hAnsi="宋体"/>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ascii="宋体" w:hAnsi="宋体"/>
          <w:sz w:val="24"/>
        </w:rPr>
        <w:t>5个工作日内由基金财产清算小组进行公告</w:t>
      </w:r>
      <w:r>
        <w:rPr>
          <w:rFonts w:hint="eastAsia" w:ascii="宋体" w:hAnsi="宋体"/>
          <w:sz w:val="24"/>
        </w:rPr>
        <w:t>，基金财产清算小组应当将清算报告登载在规定网站上，并将清算报告提示性公告登载在规定报刊上</w:t>
      </w:r>
      <w:r>
        <w:rPr>
          <w:rFonts w:ascii="宋体" w:hAnsi="宋体"/>
          <w:sz w:val="24"/>
        </w:rPr>
        <w:t>。</w:t>
      </w:r>
    </w:p>
    <w:p>
      <w:pPr>
        <w:spacing w:line="360" w:lineRule="auto"/>
        <w:ind w:firstLine="480" w:firstLineChars="200"/>
        <w:rPr>
          <w:rFonts w:ascii="宋体" w:hAnsi="宋体"/>
          <w:bCs/>
          <w:sz w:val="24"/>
        </w:rPr>
      </w:pPr>
      <w:r>
        <w:rPr>
          <w:rFonts w:hint="eastAsia" w:ascii="宋体" w:hAnsi="宋体"/>
          <w:bCs/>
          <w:sz w:val="24"/>
        </w:rPr>
        <w:t>（四）基金财产清算账册及文件的保存</w:t>
      </w:r>
    </w:p>
    <w:p>
      <w:pPr>
        <w:spacing w:line="360" w:lineRule="auto"/>
        <w:ind w:firstLine="480" w:firstLineChars="200"/>
        <w:rPr>
          <w:rFonts w:ascii="宋体" w:hAnsi="宋体"/>
          <w:sz w:val="24"/>
        </w:rPr>
      </w:pPr>
      <w:r>
        <w:rPr>
          <w:rFonts w:hint="eastAsia" w:ascii="宋体" w:hAnsi="宋体"/>
          <w:sz w:val="24"/>
        </w:rPr>
        <w:t>基金财产清算账册及有关文件由基金托管人保存</w:t>
      </w:r>
      <w:r>
        <w:rPr>
          <w:rFonts w:ascii="宋体" w:hAnsi="宋体"/>
          <w:sz w:val="24"/>
        </w:rPr>
        <w:t>20</w:t>
      </w:r>
      <w:r>
        <w:rPr>
          <w:rFonts w:hint="eastAsia" w:ascii="宋体" w:hAnsi="宋体"/>
          <w:sz w:val="24"/>
        </w:rPr>
        <w:t>年以上，法律法规</w:t>
      </w:r>
      <w:r>
        <w:rPr>
          <w:rFonts w:hint="eastAsia" w:ascii="宋体" w:hAnsi="宋体"/>
          <w:bCs/>
          <w:sz w:val="24"/>
        </w:rPr>
        <w:t>另有规定的从其规定</w:t>
      </w:r>
      <w:r>
        <w:rPr>
          <w:rFonts w:hint="eastAsia" w:ascii="宋体" w:hAnsi="宋体"/>
          <w:sz w:val="24"/>
        </w:rPr>
        <w:t>。</w:t>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176" w:name="_Toc382819133"/>
      <w:r>
        <w:rPr>
          <w:rFonts w:hint="eastAsia" w:ascii="宋体" w:hAnsi="宋体" w:eastAsia="宋体" w:cs="Arial"/>
          <w:sz w:val="24"/>
          <w:szCs w:val="24"/>
        </w:rPr>
        <w:t>违约责任</w:t>
      </w:r>
      <w:bookmarkEnd w:id="176"/>
    </w:p>
    <w:p>
      <w:pPr>
        <w:spacing w:line="360" w:lineRule="auto"/>
        <w:ind w:firstLine="480" w:firstLineChars="200"/>
        <w:rPr>
          <w:rFonts w:ascii="宋体" w:hAnsi="宋体"/>
          <w:sz w:val="24"/>
        </w:rPr>
      </w:pPr>
      <w:r>
        <w:rPr>
          <w:rFonts w:hint="eastAsia" w:ascii="宋体" w:hAnsi="宋体"/>
          <w:sz w:val="24"/>
        </w:rPr>
        <w:t>（一）基金管理人、基金托管人不履行本协议或履行本协议不符合约定的，应当承担违约责任。</w:t>
      </w:r>
    </w:p>
    <w:p>
      <w:pPr>
        <w:spacing w:line="360" w:lineRule="auto"/>
        <w:ind w:firstLine="480" w:firstLineChars="200"/>
        <w:rPr>
          <w:bCs/>
          <w:sz w:val="24"/>
        </w:rPr>
      </w:pPr>
      <w:r>
        <w:rPr>
          <w:rFonts w:hint="eastAsia" w:ascii="宋体" w:hAnsi="宋体"/>
          <w:sz w:val="24"/>
        </w:rPr>
        <w:t>（二）基金管理人、基金托管人在履行各自职责的过程中，违反《基金法》等法律法规的规定、《基金合同》约定或本托管协议约定，</w:t>
      </w:r>
      <w:r>
        <w:rPr>
          <w:rFonts w:hint="eastAsia"/>
          <w:bCs/>
          <w:sz w:val="24"/>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ascii="宋体" w:hAnsi="宋体"/>
          <w:sz w:val="24"/>
        </w:rPr>
        <w:t>但是发生下列情况的，当事人免责：</w:t>
      </w:r>
    </w:p>
    <w:p>
      <w:pPr>
        <w:spacing w:line="360" w:lineRule="auto"/>
        <w:ind w:firstLine="480" w:firstLineChars="200"/>
        <w:rPr>
          <w:rFonts w:ascii="宋体" w:hAnsi="宋体"/>
          <w:sz w:val="24"/>
        </w:rPr>
      </w:pPr>
      <w:r>
        <w:rPr>
          <w:rFonts w:hint="eastAsia" w:ascii="宋体" w:hAnsi="宋体"/>
          <w:sz w:val="24"/>
        </w:rPr>
        <w:t>1.基金管理人、基金托管人按照当时有效的法律法规或中国证监会的规定作为或不作为而造成的损失等；</w:t>
      </w:r>
    </w:p>
    <w:p>
      <w:pPr>
        <w:spacing w:line="360" w:lineRule="auto"/>
        <w:ind w:firstLine="480" w:firstLineChars="200"/>
        <w:rPr>
          <w:rFonts w:ascii="宋体" w:hAnsi="宋体"/>
          <w:sz w:val="24"/>
        </w:rPr>
      </w:pPr>
      <w:r>
        <w:rPr>
          <w:rFonts w:hint="eastAsia" w:ascii="宋体" w:hAnsi="宋体"/>
          <w:sz w:val="24"/>
        </w:rPr>
        <w:t>2.基金管理人由于按照本基金《基金合同》规定的投资原则而行使或不行使其投资权而造成的损失等；</w:t>
      </w:r>
    </w:p>
    <w:p>
      <w:pPr>
        <w:spacing w:line="360" w:lineRule="auto"/>
        <w:ind w:firstLine="480" w:firstLineChars="200"/>
        <w:rPr>
          <w:rFonts w:ascii="宋体" w:hAnsi="宋体"/>
          <w:sz w:val="24"/>
        </w:rPr>
      </w:pPr>
      <w:r>
        <w:rPr>
          <w:rFonts w:hint="eastAsia" w:ascii="宋体" w:hAnsi="宋体"/>
          <w:sz w:val="24"/>
        </w:rPr>
        <w:t>3.发生自然灾害等不可抗力情形；</w:t>
      </w:r>
    </w:p>
    <w:p>
      <w:pPr>
        <w:spacing w:line="360" w:lineRule="auto"/>
        <w:ind w:firstLine="480" w:firstLineChars="200"/>
        <w:rPr>
          <w:rFonts w:ascii="宋体" w:hAnsi="宋体"/>
          <w:sz w:val="24"/>
        </w:rPr>
      </w:pPr>
      <w:r>
        <w:rPr>
          <w:rFonts w:hint="eastAsia" w:ascii="宋体" w:hAnsi="宋体"/>
          <w:sz w:val="24"/>
        </w:rPr>
        <w:t>4.由于基金管理人、基金托管人不可控制的因素</w:t>
      </w:r>
      <w:r>
        <w:rPr>
          <w:rFonts w:hint="eastAsia"/>
          <w:bCs/>
          <w:sz w:val="24"/>
        </w:rPr>
        <w:t>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（三）一方当事人违约，给另一方当事人造成损失的，应就直接损失进行赔偿。</w:t>
      </w:r>
    </w:p>
    <w:p>
      <w:pPr>
        <w:spacing w:line="360" w:lineRule="auto"/>
        <w:ind w:firstLine="480" w:firstLineChars="200"/>
        <w:rPr>
          <w:rFonts w:ascii="宋体" w:hAnsi="宋体"/>
          <w:sz w:val="24"/>
          <w:lang w:val="zh-CN"/>
        </w:rPr>
      </w:pPr>
      <w:r>
        <w:rPr>
          <w:rFonts w:hint="eastAsia" w:ascii="宋体" w:hAnsi="宋体"/>
          <w:sz w:val="24"/>
        </w:rPr>
        <w:t>（四）</w:t>
      </w:r>
      <w:r>
        <w:rPr>
          <w:rFonts w:hint="eastAsia"/>
          <w:bCs/>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b w:val="0"/>
          <w:sz w:val="24"/>
          <w:szCs w:val="24"/>
        </w:rPr>
      </w:pPr>
      <w:bookmarkStart w:id="177" w:name="_Toc382819134"/>
      <w:r>
        <w:rPr>
          <w:rFonts w:hint="eastAsia" w:ascii="宋体" w:hAnsi="宋体" w:eastAsia="宋体" w:cs="Arial"/>
          <w:sz w:val="24"/>
          <w:szCs w:val="24"/>
        </w:rPr>
        <w:t>适用法律及争议解决方式</w:t>
      </w:r>
      <w:bookmarkEnd w:id="177"/>
    </w:p>
    <w:p>
      <w:pPr>
        <w:spacing w:line="360" w:lineRule="auto"/>
        <w:ind w:firstLine="480" w:firstLineChars="200"/>
        <w:rPr>
          <w:rFonts w:ascii="宋体" w:hAnsi="宋体"/>
          <w:sz w:val="24"/>
          <w:lang w:val="zh-CN"/>
        </w:rPr>
      </w:pPr>
      <w:r>
        <w:rPr>
          <w:rFonts w:hint="eastAsia" w:ascii="宋体" w:hAnsi="宋体"/>
          <w:sz w:val="24"/>
          <w:lang w:val="zh-CN"/>
        </w:rPr>
        <w:t>（一）</w:t>
      </w:r>
      <w:r>
        <w:rPr>
          <w:rFonts w:hint="eastAsia" w:ascii="宋体" w:hAnsi="宋体"/>
          <w:sz w:val="24"/>
        </w:rPr>
        <w:t>本协议适用中华人民共和国法律（为本协议之目的，在此不包括香港特别行政区、澳门特别行政区和台湾地区法律），并从其解释。</w:t>
      </w:r>
    </w:p>
    <w:p>
      <w:pPr>
        <w:spacing w:line="360" w:lineRule="auto"/>
        <w:ind w:firstLine="480" w:firstLineChars="200"/>
        <w:rPr>
          <w:rFonts w:ascii="宋体" w:hAnsi="宋体"/>
          <w:sz w:val="24"/>
        </w:rPr>
      </w:pPr>
      <w:r>
        <w:rPr>
          <w:rFonts w:hint="eastAsia" w:ascii="宋体" w:hAnsi="宋体"/>
          <w:sz w:val="24"/>
        </w:rPr>
        <w:t>（二）双方当事人同意，因本协议而产生的或与本协议有关的一切争议，应经友好协商解决。如经友好协商未能解决的，任何一方均有权将争议提交上海国际经济贸易仲裁委员会，按照上海国际经济贸易仲裁委员会届时有效的仲裁规则进行仲裁。仲裁的地点在</w:t>
      </w:r>
      <w:r>
        <w:rPr>
          <w:rFonts w:hint="eastAsia" w:ascii="宋体" w:hAnsi="宋体"/>
          <w:b/>
          <w:sz w:val="24"/>
          <w:u w:val="single"/>
        </w:rPr>
        <w:t>上海市</w:t>
      </w:r>
      <w:r>
        <w:rPr>
          <w:rFonts w:hint="eastAsia" w:ascii="宋体" w:hAnsi="宋体"/>
          <w:sz w:val="24"/>
        </w:rPr>
        <w:t>。仲裁裁决是终局性的并对双方当事人均有约束力，仲裁费用由败诉方承担。</w:t>
      </w:r>
    </w:p>
    <w:p>
      <w:pPr>
        <w:spacing w:line="360" w:lineRule="auto"/>
        <w:ind w:firstLine="480" w:firstLineChars="200"/>
        <w:rPr>
          <w:rFonts w:ascii="宋体" w:hAnsi="宋体"/>
          <w:sz w:val="24"/>
        </w:rPr>
      </w:pPr>
      <w:r>
        <w:rPr>
          <w:rFonts w:hint="eastAsia" w:ascii="宋体" w:hAnsi="宋体"/>
          <w:sz w:val="24"/>
        </w:rPr>
        <w:t>争议处理期间，双方当事人应恪守基金管理人和基金托管人职责，各自继续忠实、勤勉、尽责地履行《基金合同》和本托管协议规定的义务，维护基金份额持有人的合法权益。</w:t>
      </w: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cs="Arial"/>
          <w:sz w:val="24"/>
          <w:szCs w:val="24"/>
        </w:rPr>
      </w:pPr>
      <w:bookmarkStart w:id="178" w:name="_Toc382819135"/>
      <w:r>
        <w:rPr>
          <w:rFonts w:hint="eastAsia" w:ascii="宋体" w:hAnsi="宋体" w:eastAsia="宋体" w:cs="Arial"/>
          <w:sz w:val="24"/>
          <w:szCs w:val="24"/>
        </w:rPr>
        <w:t>基金托管协议的效力和文本</w:t>
      </w:r>
      <w:bookmarkEnd w:id="178"/>
    </w:p>
    <w:p>
      <w:pPr>
        <w:pStyle w:val="11"/>
        <w:ind w:firstLine="480" w:firstLineChars="200"/>
        <w:rPr>
          <w:rFonts w:ascii="宋体" w:hAnsi="宋体"/>
          <w:sz w:val="24"/>
        </w:rPr>
      </w:pPr>
      <w:r>
        <w:rPr>
          <w:rFonts w:hint="eastAsia" w:ascii="宋体" w:hAnsi="宋体"/>
          <w:sz w:val="24"/>
        </w:rPr>
        <w:t>（一）</w:t>
      </w:r>
      <w:r>
        <w:rPr>
          <w:rFonts w:hint="eastAsia" w:ascii="宋体" w:hAnsi="宋体" w:cs="Arial"/>
          <w:kern w:val="44"/>
          <w:sz w:val="24"/>
        </w:rPr>
        <w:t>基金管理人在向中国证监会申请基金募集注册时提交的托管协议草案，应经托管协议当事人双方盖章以及双方法定代表人或授权代表签字或盖章，协议当事人双方根据中国证监会的意见修改并正式签署托管协议。托管协议以中国证监会注册的文本为正式文本</w:t>
      </w:r>
      <w:r>
        <w:rPr>
          <w:rFonts w:hint="eastAsia" w:ascii="宋体" w:hAnsi="宋体"/>
          <w:sz w:val="24"/>
        </w:rPr>
        <w:t>。</w:t>
      </w:r>
    </w:p>
    <w:p>
      <w:pPr>
        <w:pStyle w:val="11"/>
        <w:ind w:firstLine="480" w:firstLineChars="200"/>
        <w:rPr>
          <w:rFonts w:ascii="宋体" w:hAnsi="宋体"/>
          <w:sz w:val="24"/>
        </w:rPr>
      </w:pPr>
      <w:r>
        <w:rPr>
          <w:rFonts w:hint="eastAsia" w:ascii="宋体" w:hAnsi="宋体"/>
          <w:sz w:val="24"/>
        </w:rPr>
        <w:t>（二）本协议</w:t>
      </w:r>
      <w:r>
        <w:rPr>
          <w:rFonts w:hint="eastAsia" w:cs="Arial"/>
          <w:sz w:val="24"/>
        </w:rPr>
        <w:t>自</w:t>
      </w:r>
      <w:r>
        <w:rPr>
          <w:rFonts w:hint="eastAsia" w:ascii="宋体" w:hAnsi="宋体"/>
          <w:sz w:val="24"/>
        </w:rPr>
        <w:t>《基金合同》</w:t>
      </w:r>
      <w:r>
        <w:rPr>
          <w:rFonts w:hint="eastAsia" w:cs="Arial"/>
          <w:sz w:val="24"/>
        </w:rPr>
        <w:t>成立之日起成立，自基金合同生效之日起生效，</w:t>
      </w:r>
      <w:r>
        <w:rPr>
          <w:rFonts w:hint="eastAsia" w:ascii="宋体" w:hAnsi="宋体"/>
          <w:sz w:val="24"/>
        </w:rPr>
        <w:t>有效期自其生效之日起至本基金财产清算结果报中国证监会备案并公告之日止。</w:t>
      </w:r>
    </w:p>
    <w:p>
      <w:pPr>
        <w:spacing w:line="360" w:lineRule="auto"/>
        <w:ind w:firstLine="480" w:firstLineChars="200"/>
        <w:rPr>
          <w:rFonts w:ascii="宋体" w:hAnsi="宋体"/>
          <w:sz w:val="24"/>
        </w:rPr>
      </w:pPr>
      <w:r>
        <w:rPr>
          <w:rFonts w:hint="eastAsia" w:ascii="宋体" w:hAnsi="宋体"/>
          <w:sz w:val="24"/>
        </w:rPr>
        <w:t>（三）本协议自生效之日起对各当事人具有同等的法律约束力。</w:t>
      </w:r>
    </w:p>
    <w:p>
      <w:pPr>
        <w:spacing w:line="360" w:lineRule="auto"/>
        <w:ind w:firstLine="480" w:firstLineChars="200"/>
        <w:rPr>
          <w:rFonts w:ascii="宋体" w:hAnsi="宋体"/>
          <w:sz w:val="24"/>
        </w:rPr>
      </w:pPr>
      <w:r>
        <w:rPr>
          <w:rFonts w:hint="eastAsia" w:ascii="宋体" w:hAnsi="宋体"/>
          <w:sz w:val="24"/>
        </w:rPr>
        <w:t>（四）本协议一式三份，除上报有关监管机构一份外，基金管理人和基金托管人分别持一份，每份具有同等的法律效力。</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pStyle w:val="2"/>
        <w:keepNext w:val="0"/>
        <w:keepLines w:val="0"/>
        <w:numPr>
          <w:ilvl w:val="0"/>
          <w:numId w:val="2"/>
        </w:numPr>
        <w:tabs>
          <w:tab w:val="left" w:pos="420"/>
        </w:tabs>
        <w:autoSpaceDE w:val="0"/>
        <w:autoSpaceDN w:val="0"/>
        <w:adjustRightInd w:val="0"/>
        <w:spacing w:before="360" w:after="360"/>
        <w:ind w:firstLine="482" w:firstLineChars="200"/>
        <w:textAlignment w:val="baseline"/>
        <w:rPr>
          <w:rFonts w:ascii="宋体" w:hAnsi="宋体" w:eastAsia="宋体"/>
          <w:sz w:val="24"/>
          <w:szCs w:val="24"/>
        </w:rPr>
      </w:pPr>
      <w:bookmarkStart w:id="179" w:name="_Toc382819136"/>
      <w:r>
        <w:rPr>
          <w:rFonts w:hint="eastAsia" w:ascii="宋体" w:hAnsi="宋体" w:eastAsia="宋体" w:cs="Arial"/>
          <w:sz w:val="24"/>
          <w:szCs w:val="24"/>
        </w:rPr>
        <w:t>其他事项</w:t>
      </w:r>
      <w:bookmarkEnd w:id="179"/>
    </w:p>
    <w:p>
      <w:pPr>
        <w:pStyle w:val="11"/>
        <w:ind w:firstLine="480" w:firstLineChars="200"/>
        <w:rPr>
          <w:rFonts w:ascii="宋体" w:hAnsi="宋体"/>
          <w:sz w:val="24"/>
        </w:rPr>
      </w:pPr>
      <w:r>
        <w:rPr>
          <w:rFonts w:hint="eastAsia" w:ascii="宋体" w:hAnsi="宋体"/>
          <w:sz w:val="24"/>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pPr>
        <w:pStyle w:val="11"/>
        <w:ind w:firstLine="480" w:firstLineChars="200"/>
        <w:rPr>
          <w:rFonts w:ascii="宋体" w:hAnsi="宋体"/>
          <w:sz w:val="24"/>
        </w:rPr>
      </w:pPr>
      <w:r>
        <w:rPr>
          <w:rFonts w:hint="eastAsia" w:ascii="宋体" w:hAnsi="宋体"/>
          <w:sz w:val="24"/>
        </w:rPr>
        <w:t>（二）本协议存续期内，基金管理人应依据法律法规履行相应反洗钱义务，并主动配合托管账户开立结算银行根据监管部门有关反洗钱要求开展客户身份识别工作，提供真实、准确、完整的客户资料，在法律法规强制性要求的范围内遵守各方反洗钱与反恐怖融资相关管理规定。对具备合理理由怀疑涉嫌洗钱、恐怖融资的客户，任何一方有权按照中国人民银行反洗钱监管规定采取必要管控措施。</w:t>
      </w:r>
    </w:p>
    <w:p>
      <w:pPr>
        <w:pStyle w:val="11"/>
        <w:ind w:firstLine="480" w:firstLineChars="200"/>
        <w:rPr>
          <w:rFonts w:ascii="宋体" w:hAnsi="宋体"/>
          <w:sz w:val="24"/>
        </w:rPr>
      </w:pPr>
      <w:r>
        <w:rPr>
          <w:rFonts w:hint="eastAsia" w:ascii="宋体" w:hAnsi="宋体"/>
          <w:sz w:val="24"/>
        </w:rPr>
        <w:t>（三）除本协议有明确定义外，本协议的用语定义适用《基金合同》的约定。本协议未尽事宜，当事人依据《基金合同》以及有关法律、法规和规定协商办理。</w:t>
      </w:r>
    </w:p>
    <w:p>
      <w:pPr>
        <w:widowControl/>
        <w:spacing w:beforeAutospacing="1" w:line="360" w:lineRule="auto"/>
        <w:ind w:firstLine="480" w:firstLineChars="200"/>
        <w:jc w:val="left"/>
        <w:rPr>
          <w:rFonts w:ascii="宋体" w:hAnsi="宋体"/>
          <w:sz w:val="24"/>
          <w:lang w:val="zh-CN"/>
        </w:rPr>
        <w:sectPr>
          <w:footerReference r:id="rId5" w:type="default"/>
          <w:pgSz w:w="11906" w:h="16838"/>
          <w:pgMar w:top="1440" w:right="1800" w:bottom="1440" w:left="1800" w:header="851" w:footer="992" w:gutter="0"/>
          <w:pgNumType w:start="1"/>
          <w:cols w:space="720" w:num="1"/>
          <w:docGrid w:type="lines" w:linePitch="312" w:charSpace="0"/>
        </w:sectPr>
      </w:pPr>
    </w:p>
    <w:p>
      <w:pPr>
        <w:spacing w:after="120" w:line="360" w:lineRule="auto"/>
        <w:ind w:firstLine="480" w:firstLineChars="200"/>
        <w:rPr>
          <w:rFonts w:ascii="宋体" w:hAnsi="宋体"/>
          <w:b/>
          <w:bCs/>
          <w:sz w:val="24"/>
        </w:rPr>
      </w:pPr>
      <w:r>
        <w:rPr>
          <w:rFonts w:hint="eastAsia" w:ascii="宋体" w:hAnsi="宋体"/>
          <w:sz w:val="24"/>
        </w:rPr>
        <w:t>（本页为</w:t>
      </w:r>
      <w:r>
        <w:rPr>
          <w:rFonts w:hint="eastAsia" w:ascii="宋体" w:hAnsi="宋体"/>
          <w:sz w:val="24"/>
          <w:lang w:eastAsia="zh-CN"/>
        </w:rPr>
        <w:t>中泰安悦</w:t>
      </w:r>
      <w:r>
        <w:rPr>
          <w:rFonts w:hint="eastAsia" w:ascii="宋体" w:hAnsi="宋体"/>
          <w:sz w:val="24"/>
        </w:rPr>
        <w:t>6个月定期开放债券型证券投资基金托管协议签署页，无正文）</w:t>
      </w:r>
    </w:p>
    <w:p>
      <w:pPr>
        <w:spacing w:line="360" w:lineRule="auto"/>
        <w:ind w:right="26" w:firstLine="482" w:firstLineChars="200"/>
        <w:rPr>
          <w:rFonts w:ascii="宋体" w:hAnsi="宋体"/>
          <w:b/>
          <w:sz w:val="24"/>
        </w:rPr>
      </w:pPr>
      <w:r>
        <w:rPr>
          <w:rFonts w:hint="eastAsia" w:ascii="宋体" w:hAnsi="宋体"/>
          <w:b/>
          <w:sz w:val="24"/>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pPr>
        <w:spacing w:line="360" w:lineRule="auto"/>
        <w:ind w:right="26" w:firstLine="480" w:firstLineChars="200"/>
        <w:rPr>
          <w:rFonts w:ascii="宋体" w:hAnsi="宋体"/>
          <w:sz w:val="24"/>
        </w:rPr>
      </w:pPr>
    </w:p>
    <w:p>
      <w:pPr>
        <w:spacing w:line="360" w:lineRule="auto"/>
        <w:ind w:right="26" w:firstLine="480" w:firstLineChars="200"/>
        <w:rPr>
          <w:rFonts w:ascii="宋体" w:hAnsi="宋体"/>
          <w:sz w:val="24"/>
        </w:rPr>
      </w:pPr>
    </w:p>
    <w:p>
      <w:pPr>
        <w:spacing w:line="360" w:lineRule="auto"/>
        <w:ind w:right="26" w:firstLine="480" w:firstLineChars="200"/>
        <w:rPr>
          <w:rFonts w:ascii="宋体" w:hAnsi="宋体"/>
          <w:sz w:val="24"/>
        </w:rPr>
      </w:pPr>
    </w:p>
    <w:p>
      <w:pPr>
        <w:spacing w:line="360" w:lineRule="auto"/>
        <w:ind w:right="26" w:firstLine="480" w:firstLineChars="200"/>
        <w:rPr>
          <w:rFonts w:ascii="宋体" w:hAnsi="宋体"/>
          <w:sz w:val="24"/>
        </w:rPr>
      </w:pPr>
    </w:p>
    <w:p>
      <w:pPr>
        <w:spacing w:line="360" w:lineRule="auto"/>
        <w:ind w:right="26" w:firstLine="482" w:firstLineChars="200"/>
        <w:rPr>
          <w:rFonts w:ascii="宋体" w:hAnsi="宋体"/>
          <w:sz w:val="24"/>
        </w:rPr>
      </w:pPr>
      <w:r>
        <w:rPr>
          <w:rFonts w:hint="eastAsia" w:ascii="宋体" w:hAnsi="宋体"/>
          <w:b/>
          <w:bCs/>
          <w:sz w:val="24"/>
        </w:rPr>
        <w:t>基金管理人（公章或合同专用章）            基金托管人（公章或合同专用章）</w:t>
      </w:r>
    </w:p>
    <w:p>
      <w:pPr>
        <w:spacing w:line="360" w:lineRule="auto"/>
        <w:ind w:right="26" w:firstLine="480" w:firstLineChars="200"/>
        <w:rPr>
          <w:rFonts w:ascii="宋体" w:hAnsi="宋体"/>
          <w:sz w:val="24"/>
        </w:rPr>
      </w:pPr>
    </w:p>
    <w:p>
      <w:pPr>
        <w:spacing w:line="360" w:lineRule="auto"/>
        <w:ind w:right="26" w:firstLine="480" w:firstLineChars="200"/>
        <w:rPr>
          <w:rFonts w:ascii="宋体" w:hAnsi="宋体"/>
          <w:sz w:val="24"/>
        </w:rPr>
      </w:pPr>
    </w:p>
    <w:p>
      <w:pPr>
        <w:spacing w:line="360" w:lineRule="auto"/>
        <w:ind w:right="-17" w:rightChars="-8" w:firstLine="482" w:firstLineChars="200"/>
        <w:rPr>
          <w:rFonts w:ascii="宋体" w:hAnsi="宋体"/>
          <w:b/>
          <w:bCs/>
          <w:sz w:val="24"/>
        </w:rPr>
      </w:pPr>
      <w:r>
        <w:rPr>
          <w:rFonts w:hint="eastAsia" w:ascii="宋体" w:hAnsi="宋体"/>
          <w:b/>
          <w:bCs/>
          <w:sz w:val="24"/>
        </w:rPr>
        <w:t>法定代表人或授权代理人                     法定代表人或授权代理人</w:t>
      </w:r>
    </w:p>
    <w:p>
      <w:pPr>
        <w:spacing w:line="360" w:lineRule="auto"/>
        <w:ind w:right="-17" w:rightChars="-8" w:firstLine="482" w:firstLineChars="200"/>
        <w:rPr>
          <w:rFonts w:ascii="宋体" w:hAnsi="宋体"/>
          <w:b/>
          <w:bCs/>
          <w:sz w:val="24"/>
        </w:rPr>
      </w:pPr>
    </w:p>
    <w:p>
      <w:pPr>
        <w:spacing w:line="360" w:lineRule="auto"/>
        <w:ind w:right="-17" w:rightChars="-8" w:firstLine="482" w:firstLineChars="200"/>
        <w:rPr>
          <w:rFonts w:ascii="宋体" w:hAnsi="宋体"/>
          <w:b/>
          <w:bCs/>
          <w:sz w:val="24"/>
        </w:rPr>
      </w:pPr>
      <w:r>
        <w:rPr>
          <w:rFonts w:hint="eastAsia" w:ascii="宋体" w:hAnsi="宋体"/>
          <w:b/>
          <w:bCs/>
          <w:sz w:val="24"/>
        </w:rPr>
        <w:t>（签字或盖章）                               （签字或盖章）</w:t>
      </w:r>
    </w:p>
    <w:p>
      <w:pPr>
        <w:spacing w:line="360" w:lineRule="auto"/>
        <w:ind w:firstLine="480" w:firstLineChars="200"/>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lang w:eastAsia="zh-CN"/>
      </w:rPr>
      <w:t>中泰安悦</w:t>
    </w:r>
    <w:r>
      <w:rPr>
        <w:rFonts w:hint="eastAsia"/>
      </w:rPr>
      <w:t>6个月定期开放债券型证券投资基金托管协议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0522"/>
    <w:multiLevelType w:val="singleLevel"/>
    <w:tmpl w:val="166E0522"/>
    <w:lvl w:ilvl="0" w:tentative="0">
      <w:start w:val="2"/>
      <w:numFmt w:val="chineseCounting"/>
      <w:suff w:val="nothing"/>
      <w:lvlText w:val="（%1）"/>
      <w:lvlJc w:val="left"/>
      <w:rPr>
        <w:rFonts w:hint="eastAsia"/>
      </w:rPr>
    </w:lvl>
  </w:abstractNum>
  <w:abstractNum w:abstractNumId="1">
    <w:nsid w:val="266538E2"/>
    <w:multiLevelType w:val="multilevel"/>
    <w:tmpl w:val="266538E2"/>
    <w:lvl w:ilvl="0" w:tentative="0">
      <w:start w:val="1"/>
      <w:numFmt w:val="chineseCountingThousand"/>
      <w:pStyle w:val="2"/>
      <w:lvlText w:val="第%1章  "/>
      <w:lvlJc w:val="left"/>
      <w:pPr>
        <w:tabs>
          <w:tab w:val="left" w:pos="1922"/>
        </w:tabs>
        <w:ind w:left="0" w:firstLine="482"/>
      </w:pPr>
      <w:rPr>
        <w:rFonts w:hint="eastAsia"/>
      </w:rPr>
    </w:lvl>
    <w:lvl w:ilvl="1" w:tentative="0">
      <w:start w:val="1"/>
      <w:numFmt w:val="chineseCountingThousand"/>
      <w:lvlText w:val="第%2节  "/>
      <w:lvlJc w:val="left"/>
      <w:pPr>
        <w:tabs>
          <w:tab w:val="left" w:pos="1922"/>
        </w:tabs>
        <w:ind w:left="0" w:firstLine="482"/>
      </w:pPr>
      <w:rPr>
        <w:rFonts w:hint="eastAsia"/>
      </w:rPr>
    </w:lvl>
    <w:lvl w:ilvl="2" w:tentative="0">
      <w:start w:val="1"/>
      <w:numFmt w:val="chineseCountingThousand"/>
      <w:pStyle w:val="4"/>
      <w:suff w:val="nothing"/>
      <w:lvlText w:val="%3、"/>
      <w:lvlJc w:val="left"/>
      <w:pPr>
        <w:ind w:left="0" w:firstLine="482"/>
      </w:pPr>
      <w:rPr>
        <w:rFonts w:hint="eastAsia" w:ascii="黑体" w:eastAsia="黑体"/>
        <w:b/>
        <w:i w:val="0"/>
        <w:sz w:val="24"/>
      </w:rPr>
    </w:lvl>
    <w:lvl w:ilvl="3" w:tentative="0">
      <w:start w:val="1"/>
      <w:numFmt w:val="chineseCountingThousand"/>
      <w:pStyle w:val="5"/>
      <w:suff w:val="nothing"/>
      <w:lvlText w:val="(%4)"/>
      <w:lvlJc w:val="left"/>
      <w:pPr>
        <w:ind w:left="0" w:firstLine="482"/>
      </w:pPr>
      <w:rPr>
        <w:rFonts w:hint="eastAsia" w:ascii="仿宋_GB2312" w:eastAsia="仿宋_GB2312"/>
        <w:b w:val="0"/>
        <w:i w:val="0"/>
        <w:sz w:val="24"/>
      </w:rPr>
    </w:lvl>
    <w:lvl w:ilvl="4" w:tentative="0">
      <w:start w:val="1"/>
      <w:numFmt w:val="decimal"/>
      <w:pStyle w:val="6"/>
      <w:suff w:val="nothing"/>
      <w:lvlText w:val="%5."/>
      <w:lvlJc w:val="left"/>
      <w:pPr>
        <w:ind w:left="0" w:firstLine="527"/>
      </w:pPr>
      <w:rPr>
        <w:rFonts w:hint="eastAsia" w:ascii="仿宋_GB2312" w:eastAsia="仿宋_GB2312"/>
        <w:b w:val="0"/>
        <w:i w:val="0"/>
        <w:sz w:val="24"/>
      </w:rPr>
    </w:lvl>
    <w:lvl w:ilvl="5" w:tentative="0">
      <w:start w:val="1"/>
      <w:numFmt w:val="decimal"/>
      <w:pStyle w:val="7"/>
      <w:suff w:val="nothing"/>
      <w:lvlText w:val="(%6)"/>
      <w:lvlJc w:val="left"/>
      <w:pPr>
        <w:ind w:left="0" w:firstLine="482"/>
      </w:pPr>
      <w:rPr>
        <w:rFonts w:hint="eastAsia" w:ascii="仿宋_GB2312" w:eastAsia="仿宋_GB2312"/>
        <w:b w:val="0"/>
        <w:i w:val="0"/>
        <w:sz w:val="24"/>
      </w:rPr>
    </w:lvl>
    <w:lvl w:ilvl="6" w:tentative="0">
      <w:start w:val="1"/>
      <w:numFmt w:val="bullet"/>
      <w:pStyle w:val="8"/>
      <w:lvlText w:val="①"/>
      <w:lvlJc w:val="left"/>
      <w:pPr>
        <w:tabs>
          <w:tab w:val="left" w:pos="2835"/>
        </w:tabs>
        <w:ind w:left="2835" w:hanging="426"/>
      </w:pPr>
      <w:rPr>
        <w:rFonts w:hint="eastAsia" w:ascii="宋体" w:eastAsia="宋体"/>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2">
    <w:nsid w:val="5F952C2D"/>
    <w:multiLevelType w:val="multilevel"/>
    <w:tmpl w:val="5F952C2D"/>
    <w:lvl w:ilvl="0" w:tentative="0">
      <w:start w:val="1"/>
      <w:numFmt w:val="chineseCountingThousand"/>
      <w:suff w:val="nothing"/>
      <w:lvlText w:val="%1、"/>
      <w:lvlJc w:val="center"/>
      <w:pPr>
        <w:ind w:left="0" w:firstLine="288"/>
      </w:pPr>
      <w:rPr>
        <w:rFonts w:hint="eastAsia"/>
        <w:b/>
        <w:sz w:val="21"/>
        <w:szCs w:val="30"/>
        <w:lang w:val="en-US"/>
      </w:rPr>
    </w:lvl>
    <w:lvl w:ilvl="1" w:tentative="0">
      <w:start w:val="1"/>
      <w:numFmt w:val="japaneseCounting"/>
      <w:lvlText w:val="（%2）"/>
      <w:lvlJc w:val="left"/>
      <w:pPr>
        <w:tabs>
          <w:tab w:val="left" w:pos="720"/>
        </w:tabs>
        <w:ind w:left="720" w:hanging="720"/>
      </w:pPr>
      <w:rPr>
        <w:rFonts w:hint="default"/>
      </w:rPr>
    </w:lvl>
    <w:lvl w:ilvl="2" w:tentative="0">
      <w:start w:val="1"/>
      <w:numFmt w:val="decimal"/>
      <w:lvlText w:val="%3."/>
      <w:lvlJc w:val="left"/>
      <w:pPr>
        <w:tabs>
          <w:tab w:val="left" w:pos="360"/>
        </w:tabs>
        <w:ind w:left="0" w:firstLine="0"/>
      </w:pPr>
      <w:rPr>
        <w:rFonts w:hint="eastAsia"/>
      </w:rPr>
    </w:lvl>
    <w:lvl w:ilvl="3" w:tentative="0">
      <w:start w:val="1"/>
      <w:numFmt w:val="decimal"/>
      <w:lvlText w:val="（%4）"/>
      <w:lvlJc w:val="left"/>
      <w:pPr>
        <w:tabs>
          <w:tab w:val="left" w:pos="720"/>
        </w:tabs>
        <w:ind w:left="0" w:firstLine="0"/>
      </w:pPr>
      <w:rPr>
        <w:rFonts w:hint="default" w:ascii="Times New Roman" w:hAnsi="Times New Roman" w:eastAsia="宋体"/>
        <w:sz w:val="21"/>
      </w:rPr>
    </w:lvl>
    <w:lvl w:ilvl="4" w:tentative="0">
      <w:start w:val="1"/>
      <w:numFmt w:val="none"/>
      <w:lvlText w:val=""/>
      <w:lvlJc w:val="left"/>
      <w:pPr>
        <w:tabs>
          <w:tab w:val="left" w:pos="360"/>
        </w:tabs>
        <w:ind w:left="0" w:firstLine="0"/>
      </w:pPr>
      <w:rPr>
        <w:rFonts w:hint="eastAsia"/>
        <w:sz w:val="24"/>
      </w:rPr>
    </w:lvl>
    <w:lvl w:ilvl="5" w:tentative="0">
      <w:start w:val="1"/>
      <w:numFmt w:val="upperLetter"/>
      <w:lvlText w:val="%6."/>
      <w:lvlJc w:val="left"/>
      <w:pPr>
        <w:tabs>
          <w:tab w:val="left" w:pos="927"/>
        </w:tabs>
        <w:ind w:left="0" w:firstLine="567"/>
      </w:pPr>
      <w:rPr>
        <w:rFonts w:hint="eastAsia"/>
        <w:sz w:val="24"/>
      </w:rPr>
    </w:lvl>
    <w:lvl w:ilvl="6" w:tentative="0">
      <w:start w:val="1"/>
      <w:numFmt w:val="none"/>
      <w:lvlText w:val=""/>
      <w:lvlJc w:val="left"/>
      <w:pPr>
        <w:tabs>
          <w:tab w:val="left" w:pos="3827"/>
        </w:tabs>
        <w:ind w:left="3827" w:hanging="1276"/>
      </w:pPr>
      <w:rPr>
        <w:rFonts w:hint="eastAsia"/>
      </w:rPr>
    </w:lvl>
    <w:lvl w:ilvl="7" w:tentative="0">
      <w:start w:val="1"/>
      <w:numFmt w:val="none"/>
      <w:lvlText w:val=""/>
      <w:lvlJc w:val="left"/>
      <w:pPr>
        <w:tabs>
          <w:tab w:val="left" w:pos="4394"/>
        </w:tabs>
        <w:ind w:left="4394" w:hanging="1418"/>
      </w:pPr>
      <w:rPr>
        <w:rFonts w:hint="eastAsia"/>
      </w:rPr>
    </w:lvl>
    <w:lvl w:ilvl="8" w:tentative="0">
      <w:start w:val="1"/>
      <w:numFmt w:val="none"/>
      <w:lvlText w:val=""/>
      <w:lvlJc w:val="left"/>
      <w:pPr>
        <w:tabs>
          <w:tab w:val="left" w:pos="5102"/>
        </w:tabs>
        <w:ind w:left="5102" w:hanging="1700"/>
      </w:pPr>
      <w:rPr>
        <w:rFonts w:hint="eastAsia"/>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6"/>
    <w:rsid w:val="00014998"/>
    <w:rsid w:val="000211A3"/>
    <w:rsid w:val="00022073"/>
    <w:rsid w:val="000246AC"/>
    <w:rsid w:val="000334A4"/>
    <w:rsid w:val="00035E46"/>
    <w:rsid w:val="00050C79"/>
    <w:rsid w:val="00053197"/>
    <w:rsid w:val="000537DB"/>
    <w:rsid w:val="000564E2"/>
    <w:rsid w:val="00056DAF"/>
    <w:rsid w:val="000608FE"/>
    <w:rsid w:val="0006091B"/>
    <w:rsid w:val="0006118C"/>
    <w:rsid w:val="00061D35"/>
    <w:rsid w:val="0006509E"/>
    <w:rsid w:val="00065681"/>
    <w:rsid w:val="00070C46"/>
    <w:rsid w:val="000719E9"/>
    <w:rsid w:val="00080622"/>
    <w:rsid w:val="00083BEB"/>
    <w:rsid w:val="0008493B"/>
    <w:rsid w:val="000923D3"/>
    <w:rsid w:val="00092A81"/>
    <w:rsid w:val="000A5E5B"/>
    <w:rsid w:val="000B16C9"/>
    <w:rsid w:val="000C11A5"/>
    <w:rsid w:val="000C767C"/>
    <w:rsid w:val="000E5216"/>
    <w:rsid w:val="000E7AE1"/>
    <w:rsid w:val="000F1EB1"/>
    <w:rsid w:val="000F581B"/>
    <w:rsid w:val="00105783"/>
    <w:rsid w:val="00112928"/>
    <w:rsid w:val="001142CF"/>
    <w:rsid w:val="00117AA1"/>
    <w:rsid w:val="00147614"/>
    <w:rsid w:val="00162C4A"/>
    <w:rsid w:val="0016302A"/>
    <w:rsid w:val="00170D13"/>
    <w:rsid w:val="00177C69"/>
    <w:rsid w:val="00190962"/>
    <w:rsid w:val="001909D5"/>
    <w:rsid w:val="001936D9"/>
    <w:rsid w:val="001A1969"/>
    <w:rsid w:val="001B341B"/>
    <w:rsid w:val="001B5BA0"/>
    <w:rsid w:val="001C2A12"/>
    <w:rsid w:val="001C483E"/>
    <w:rsid w:val="001C5433"/>
    <w:rsid w:val="001D77B6"/>
    <w:rsid w:val="001E0087"/>
    <w:rsid w:val="001F4879"/>
    <w:rsid w:val="00203F42"/>
    <w:rsid w:val="00203F70"/>
    <w:rsid w:val="002057A0"/>
    <w:rsid w:val="002173C2"/>
    <w:rsid w:val="002214A7"/>
    <w:rsid w:val="00222D4B"/>
    <w:rsid w:val="00226633"/>
    <w:rsid w:val="002305C8"/>
    <w:rsid w:val="00234766"/>
    <w:rsid w:val="002363C9"/>
    <w:rsid w:val="00244E7A"/>
    <w:rsid w:val="002523E5"/>
    <w:rsid w:val="002755B8"/>
    <w:rsid w:val="00276C95"/>
    <w:rsid w:val="002B42A9"/>
    <w:rsid w:val="002C1EAB"/>
    <w:rsid w:val="002C7C71"/>
    <w:rsid w:val="002F0B7E"/>
    <w:rsid w:val="002F584F"/>
    <w:rsid w:val="003171BD"/>
    <w:rsid w:val="00325788"/>
    <w:rsid w:val="00327DA9"/>
    <w:rsid w:val="00372A03"/>
    <w:rsid w:val="00372E84"/>
    <w:rsid w:val="00374DE0"/>
    <w:rsid w:val="00382975"/>
    <w:rsid w:val="00383967"/>
    <w:rsid w:val="003930DF"/>
    <w:rsid w:val="003A2B06"/>
    <w:rsid w:val="003B29F2"/>
    <w:rsid w:val="003B7EFD"/>
    <w:rsid w:val="003C10C4"/>
    <w:rsid w:val="003C3043"/>
    <w:rsid w:val="003C79A0"/>
    <w:rsid w:val="003D6FF7"/>
    <w:rsid w:val="003E1C92"/>
    <w:rsid w:val="003F4E12"/>
    <w:rsid w:val="00411554"/>
    <w:rsid w:val="00423181"/>
    <w:rsid w:val="004239CE"/>
    <w:rsid w:val="004315E0"/>
    <w:rsid w:val="00441474"/>
    <w:rsid w:val="0046091B"/>
    <w:rsid w:val="004729DC"/>
    <w:rsid w:val="00473B86"/>
    <w:rsid w:val="00473DBA"/>
    <w:rsid w:val="00474DD8"/>
    <w:rsid w:val="00475A68"/>
    <w:rsid w:val="004761C7"/>
    <w:rsid w:val="00480D16"/>
    <w:rsid w:val="004A0048"/>
    <w:rsid w:val="004B377B"/>
    <w:rsid w:val="004B52C5"/>
    <w:rsid w:val="004B7335"/>
    <w:rsid w:val="004C3511"/>
    <w:rsid w:val="004C5AC8"/>
    <w:rsid w:val="004C7911"/>
    <w:rsid w:val="004D46E7"/>
    <w:rsid w:val="004E050E"/>
    <w:rsid w:val="004E4CB4"/>
    <w:rsid w:val="004F25BD"/>
    <w:rsid w:val="0050483F"/>
    <w:rsid w:val="005134AB"/>
    <w:rsid w:val="00516E52"/>
    <w:rsid w:val="0054083A"/>
    <w:rsid w:val="00542EBE"/>
    <w:rsid w:val="00545FAE"/>
    <w:rsid w:val="00546E04"/>
    <w:rsid w:val="0056254B"/>
    <w:rsid w:val="0056355B"/>
    <w:rsid w:val="005768D3"/>
    <w:rsid w:val="00580D24"/>
    <w:rsid w:val="00587F80"/>
    <w:rsid w:val="00593FAE"/>
    <w:rsid w:val="00595A88"/>
    <w:rsid w:val="005A24B0"/>
    <w:rsid w:val="005A4382"/>
    <w:rsid w:val="005B5D51"/>
    <w:rsid w:val="005C33B5"/>
    <w:rsid w:val="005C552A"/>
    <w:rsid w:val="005D4A6A"/>
    <w:rsid w:val="005E4211"/>
    <w:rsid w:val="005E4803"/>
    <w:rsid w:val="005E7370"/>
    <w:rsid w:val="005F51DD"/>
    <w:rsid w:val="00606F78"/>
    <w:rsid w:val="00614A4C"/>
    <w:rsid w:val="00617FB8"/>
    <w:rsid w:val="00620713"/>
    <w:rsid w:val="006208B9"/>
    <w:rsid w:val="0062565D"/>
    <w:rsid w:val="0063506B"/>
    <w:rsid w:val="006373A5"/>
    <w:rsid w:val="00637747"/>
    <w:rsid w:val="006429F8"/>
    <w:rsid w:val="00644282"/>
    <w:rsid w:val="006442DD"/>
    <w:rsid w:val="0065051A"/>
    <w:rsid w:val="00657CCB"/>
    <w:rsid w:val="0066287E"/>
    <w:rsid w:val="00676244"/>
    <w:rsid w:val="006835B2"/>
    <w:rsid w:val="00684602"/>
    <w:rsid w:val="006866C3"/>
    <w:rsid w:val="0069592C"/>
    <w:rsid w:val="006A42CA"/>
    <w:rsid w:val="006B1820"/>
    <w:rsid w:val="006D6171"/>
    <w:rsid w:val="006F4430"/>
    <w:rsid w:val="0070524E"/>
    <w:rsid w:val="00712948"/>
    <w:rsid w:val="00740197"/>
    <w:rsid w:val="00774F18"/>
    <w:rsid w:val="00782A78"/>
    <w:rsid w:val="00791E94"/>
    <w:rsid w:val="007B6A30"/>
    <w:rsid w:val="007C6C75"/>
    <w:rsid w:val="007D1777"/>
    <w:rsid w:val="007D5F9E"/>
    <w:rsid w:val="007E2A0B"/>
    <w:rsid w:val="007E74F1"/>
    <w:rsid w:val="0080112A"/>
    <w:rsid w:val="00803B64"/>
    <w:rsid w:val="008050F2"/>
    <w:rsid w:val="00812B73"/>
    <w:rsid w:val="00821A8D"/>
    <w:rsid w:val="00826455"/>
    <w:rsid w:val="008273E8"/>
    <w:rsid w:val="00835153"/>
    <w:rsid w:val="008434C1"/>
    <w:rsid w:val="008450D5"/>
    <w:rsid w:val="00846637"/>
    <w:rsid w:val="00847EA3"/>
    <w:rsid w:val="00856022"/>
    <w:rsid w:val="00865BAA"/>
    <w:rsid w:val="0087186C"/>
    <w:rsid w:val="00886C4B"/>
    <w:rsid w:val="0089164C"/>
    <w:rsid w:val="008923C7"/>
    <w:rsid w:val="008B2F0E"/>
    <w:rsid w:val="008B5572"/>
    <w:rsid w:val="008C07F3"/>
    <w:rsid w:val="008C1C0E"/>
    <w:rsid w:val="008D4C0E"/>
    <w:rsid w:val="008E5DC6"/>
    <w:rsid w:val="008F0CBE"/>
    <w:rsid w:val="00900214"/>
    <w:rsid w:val="0090110B"/>
    <w:rsid w:val="00927443"/>
    <w:rsid w:val="009341D5"/>
    <w:rsid w:val="009342DB"/>
    <w:rsid w:val="00934853"/>
    <w:rsid w:val="00944D33"/>
    <w:rsid w:val="00950B68"/>
    <w:rsid w:val="00951877"/>
    <w:rsid w:val="00954083"/>
    <w:rsid w:val="00960040"/>
    <w:rsid w:val="00971039"/>
    <w:rsid w:val="00977A77"/>
    <w:rsid w:val="00980631"/>
    <w:rsid w:val="009958FC"/>
    <w:rsid w:val="0099659A"/>
    <w:rsid w:val="009967E5"/>
    <w:rsid w:val="009A1D3C"/>
    <w:rsid w:val="009B28DA"/>
    <w:rsid w:val="009C0298"/>
    <w:rsid w:val="009C08CC"/>
    <w:rsid w:val="009D2D46"/>
    <w:rsid w:val="009F0301"/>
    <w:rsid w:val="00A0004C"/>
    <w:rsid w:val="00A040BD"/>
    <w:rsid w:val="00A127AE"/>
    <w:rsid w:val="00A16100"/>
    <w:rsid w:val="00A16B5B"/>
    <w:rsid w:val="00A16F02"/>
    <w:rsid w:val="00A265EC"/>
    <w:rsid w:val="00A350A2"/>
    <w:rsid w:val="00A436B5"/>
    <w:rsid w:val="00A53663"/>
    <w:rsid w:val="00A61F3A"/>
    <w:rsid w:val="00A63881"/>
    <w:rsid w:val="00A658C9"/>
    <w:rsid w:val="00A819CF"/>
    <w:rsid w:val="00A81DD6"/>
    <w:rsid w:val="00A90925"/>
    <w:rsid w:val="00A93C63"/>
    <w:rsid w:val="00AA13D2"/>
    <w:rsid w:val="00AA4FE8"/>
    <w:rsid w:val="00AC71ED"/>
    <w:rsid w:val="00AD7BAB"/>
    <w:rsid w:val="00AE662D"/>
    <w:rsid w:val="00AF5BE0"/>
    <w:rsid w:val="00B44094"/>
    <w:rsid w:val="00B47ABC"/>
    <w:rsid w:val="00B551F1"/>
    <w:rsid w:val="00B72E43"/>
    <w:rsid w:val="00B810A6"/>
    <w:rsid w:val="00B81C75"/>
    <w:rsid w:val="00B8249C"/>
    <w:rsid w:val="00B935B0"/>
    <w:rsid w:val="00B95C60"/>
    <w:rsid w:val="00B972AD"/>
    <w:rsid w:val="00BA076E"/>
    <w:rsid w:val="00BA31FB"/>
    <w:rsid w:val="00BA59E9"/>
    <w:rsid w:val="00BB1E0A"/>
    <w:rsid w:val="00BD0022"/>
    <w:rsid w:val="00BD0108"/>
    <w:rsid w:val="00BE5EE9"/>
    <w:rsid w:val="00BE75CA"/>
    <w:rsid w:val="00BF378D"/>
    <w:rsid w:val="00C140F5"/>
    <w:rsid w:val="00C15386"/>
    <w:rsid w:val="00C17831"/>
    <w:rsid w:val="00C256ED"/>
    <w:rsid w:val="00C365EF"/>
    <w:rsid w:val="00C41C25"/>
    <w:rsid w:val="00C42696"/>
    <w:rsid w:val="00C47ADD"/>
    <w:rsid w:val="00C504AE"/>
    <w:rsid w:val="00C5360D"/>
    <w:rsid w:val="00C61BA6"/>
    <w:rsid w:val="00C62ACD"/>
    <w:rsid w:val="00C70522"/>
    <w:rsid w:val="00C70DAB"/>
    <w:rsid w:val="00C719DF"/>
    <w:rsid w:val="00C7656A"/>
    <w:rsid w:val="00C820A3"/>
    <w:rsid w:val="00C823C8"/>
    <w:rsid w:val="00C838D1"/>
    <w:rsid w:val="00C87557"/>
    <w:rsid w:val="00CC04A2"/>
    <w:rsid w:val="00CE47BE"/>
    <w:rsid w:val="00CF433F"/>
    <w:rsid w:val="00CF6712"/>
    <w:rsid w:val="00D029B2"/>
    <w:rsid w:val="00D12968"/>
    <w:rsid w:val="00D2332F"/>
    <w:rsid w:val="00D30E3A"/>
    <w:rsid w:val="00D32C3A"/>
    <w:rsid w:val="00D33CCC"/>
    <w:rsid w:val="00D3667B"/>
    <w:rsid w:val="00D5784D"/>
    <w:rsid w:val="00D606A2"/>
    <w:rsid w:val="00D7639F"/>
    <w:rsid w:val="00D85EAE"/>
    <w:rsid w:val="00D8649A"/>
    <w:rsid w:val="00D868D1"/>
    <w:rsid w:val="00D96C4D"/>
    <w:rsid w:val="00DA33C4"/>
    <w:rsid w:val="00DC51A0"/>
    <w:rsid w:val="00DD4D55"/>
    <w:rsid w:val="00E03584"/>
    <w:rsid w:val="00E13468"/>
    <w:rsid w:val="00E23CCC"/>
    <w:rsid w:val="00E25309"/>
    <w:rsid w:val="00E3001C"/>
    <w:rsid w:val="00E34B31"/>
    <w:rsid w:val="00E355E3"/>
    <w:rsid w:val="00E44CB0"/>
    <w:rsid w:val="00E47959"/>
    <w:rsid w:val="00E65EC9"/>
    <w:rsid w:val="00E710CD"/>
    <w:rsid w:val="00E75281"/>
    <w:rsid w:val="00E851A7"/>
    <w:rsid w:val="00E86DC0"/>
    <w:rsid w:val="00E86F08"/>
    <w:rsid w:val="00E955BA"/>
    <w:rsid w:val="00E9617D"/>
    <w:rsid w:val="00EA2610"/>
    <w:rsid w:val="00EA26F8"/>
    <w:rsid w:val="00EA737C"/>
    <w:rsid w:val="00EB7DD9"/>
    <w:rsid w:val="00ED47D6"/>
    <w:rsid w:val="00ED58B7"/>
    <w:rsid w:val="00EF244B"/>
    <w:rsid w:val="00F04A5C"/>
    <w:rsid w:val="00F05BE7"/>
    <w:rsid w:val="00F155F1"/>
    <w:rsid w:val="00F17853"/>
    <w:rsid w:val="00F2050E"/>
    <w:rsid w:val="00F334D5"/>
    <w:rsid w:val="00F45670"/>
    <w:rsid w:val="00F70B75"/>
    <w:rsid w:val="00F70DF8"/>
    <w:rsid w:val="00F754A2"/>
    <w:rsid w:val="00F75FDE"/>
    <w:rsid w:val="00F8645E"/>
    <w:rsid w:val="00F90E05"/>
    <w:rsid w:val="00FA63EE"/>
    <w:rsid w:val="00FA6624"/>
    <w:rsid w:val="00FA77A2"/>
    <w:rsid w:val="00FB0A1B"/>
    <w:rsid w:val="00FB388F"/>
    <w:rsid w:val="00FB5619"/>
    <w:rsid w:val="00FB633F"/>
    <w:rsid w:val="00FC0797"/>
    <w:rsid w:val="00FD1566"/>
    <w:rsid w:val="00FD2249"/>
    <w:rsid w:val="00FD53D8"/>
    <w:rsid w:val="00FE0F24"/>
    <w:rsid w:val="00FE6A8D"/>
    <w:rsid w:val="00FF4C78"/>
    <w:rsid w:val="06C24C44"/>
    <w:rsid w:val="0A3D5700"/>
    <w:rsid w:val="0F8F0CED"/>
    <w:rsid w:val="196E1405"/>
    <w:rsid w:val="1BA65C9C"/>
    <w:rsid w:val="260C5A18"/>
    <w:rsid w:val="3225069D"/>
    <w:rsid w:val="32B94075"/>
    <w:rsid w:val="331A4F00"/>
    <w:rsid w:val="395C2A41"/>
    <w:rsid w:val="3A722638"/>
    <w:rsid w:val="3EE94D16"/>
    <w:rsid w:val="3F2B4661"/>
    <w:rsid w:val="4A1E68B0"/>
    <w:rsid w:val="4BA836A0"/>
    <w:rsid w:val="54AE44B9"/>
    <w:rsid w:val="5863574B"/>
    <w:rsid w:val="5F0A5D84"/>
    <w:rsid w:val="69872DFD"/>
    <w:rsid w:val="6A377CBA"/>
    <w:rsid w:val="7EE04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numPr>
        <w:ilvl w:val="0"/>
        <w:numId w:val="1"/>
      </w:numPr>
      <w:spacing w:before="120" w:after="120" w:line="360" w:lineRule="auto"/>
      <w:jc w:val="center"/>
      <w:outlineLvl w:val="0"/>
    </w:pPr>
    <w:rPr>
      <w:rFonts w:ascii="黑体" w:eastAsia="黑体"/>
      <w:b/>
      <w:kern w:val="44"/>
      <w:sz w:val="32"/>
      <w:szCs w:val="20"/>
      <w:lang w:val="zh-CN"/>
    </w:rPr>
  </w:style>
  <w:style w:type="paragraph" w:styleId="3">
    <w:name w:val="heading 2"/>
    <w:basedOn w:val="1"/>
    <w:next w:val="1"/>
    <w:link w:val="2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8"/>
    <w:qFormat/>
    <w:uiPriority w:val="0"/>
    <w:pPr>
      <w:numPr>
        <w:ilvl w:val="2"/>
        <w:numId w:val="1"/>
      </w:numPr>
      <w:spacing w:line="300" w:lineRule="auto"/>
      <w:outlineLvl w:val="2"/>
    </w:pPr>
    <w:rPr>
      <w:rFonts w:ascii="Arial" w:hAnsi="Arial" w:eastAsia="仿宋_GB2312"/>
      <w:b/>
      <w:sz w:val="24"/>
      <w:szCs w:val="20"/>
      <w:lang w:val="zh-CN"/>
    </w:rPr>
  </w:style>
  <w:style w:type="paragraph" w:styleId="5">
    <w:name w:val="heading 4"/>
    <w:basedOn w:val="1"/>
    <w:next w:val="1"/>
    <w:link w:val="29"/>
    <w:qFormat/>
    <w:uiPriority w:val="0"/>
    <w:pPr>
      <w:keepNext/>
      <w:keepLines/>
      <w:numPr>
        <w:ilvl w:val="3"/>
        <w:numId w:val="1"/>
      </w:numPr>
      <w:spacing w:line="360" w:lineRule="auto"/>
      <w:outlineLvl w:val="3"/>
    </w:pPr>
    <w:rPr>
      <w:rFonts w:ascii="Arial" w:hAnsi="Arial" w:eastAsia="仿宋_GB2312"/>
      <w:sz w:val="24"/>
      <w:szCs w:val="20"/>
      <w:lang w:val="zh-CN"/>
    </w:rPr>
  </w:style>
  <w:style w:type="paragraph" w:styleId="6">
    <w:name w:val="heading 5"/>
    <w:basedOn w:val="1"/>
    <w:next w:val="1"/>
    <w:link w:val="30"/>
    <w:qFormat/>
    <w:uiPriority w:val="0"/>
    <w:pPr>
      <w:numPr>
        <w:ilvl w:val="4"/>
        <w:numId w:val="1"/>
      </w:numPr>
      <w:spacing w:line="360" w:lineRule="auto"/>
      <w:outlineLvl w:val="4"/>
    </w:pPr>
    <w:rPr>
      <w:rFonts w:ascii="Arial" w:hAnsi="Arial" w:eastAsia="仿宋_GB2312"/>
      <w:sz w:val="24"/>
      <w:szCs w:val="20"/>
      <w:lang w:val="zh-CN"/>
    </w:rPr>
  </w:style>
  <w:style w:type="paragraph" w:styleId="7">
    <w:name w:val="heading 6"/>
    <w:basedOn w:val="1"/>
    <w:next w:val="1"/>
    <w:link w:val="31"/>
    <w:qFormat/>
    <w:uiPriority w:val="0"/>
    <w:pPr>
      <w:numPr>
        <w:ilvl w:val="5"/>
        <w:numId w:val="1"/>
      </w:numPr>
      <w:spacing w:line="300" w:lineRule="auto"/>
      <w:outlineLvl w:val="5"/>
    </w:pPr>
    <w:rPr>
      <w:rFonts w:ascii="Arial" w:hAnsi="Arial" w:eastAsia="仿宋_GB2312"/>
      <w:sz w:val="24"/>
      <w:szCs w:val="20"/>
      <w:lang w:val="zh-CN"/>
    </w:rPr>
  </w:style>
  <w:style w:type="paragraph" w:styleId="8">
    <w:name w:val="heading 7"/>
    <w:basedOn w:val="1"/>
    <w:next w:val="9"/>
    <w:link w:val="32"/>
    <w:qFormat/>
    <w:uiPriority w:val="0"/>
    <w:pPr>
      <w:keepNext/>
      <w:keepLines/>
      <w:numPr>
        <w:ilvl w:val="6"/>
        <w:numId w:val="1"/>
      </w:numPr>
      <w:spacing w:line="360" w:lineRule="auto"/>
      <w:outlineLvl w:val="6"/>
    </w:pPr>
    <w:rPr>
      <w:rFonts w:ascii="仿宋_GB2312" w:eastAsia="仿宋_GB2312"/>
      <w:sz w:val="24"/>
      <w:szCs w:val="20"/>
      <w:lang w:val="zh-CN"/>
    </w:rPr>
  </w:style>
  <w:style w:type="character" w:default="1" w:styleId="21">
    <w:name w:val="Default Paragraph Font"/>
    <w:semiHidden/>
    <w:unhideWhenUsed/>
    <w:qFormat/>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9">
    <w:name w:val="Normal Indent"/>
    <w:basedOn w:val="1"/>
    <w:link w:val="35"/>
    <w:qFormat/>
    <w:uiPriority w:val="99"/>
    <w:pPr>
      <w:ind w:firstLine="420" w:firstLineChars="200"/>
    </w:pPr>
    <w:rPr>
      <w:rFonts w:ascii="Calibri" w:hAnsi="Calibri"/>
    </w:rPr>
  </w:style>
  <w:style w:type="paragraph" w:styleId="10">
    <w:name w:val="annotation text"/>
    <w:basedOn w:val="1"/>
    <w:link w:val="38"/>
    <w:semiHidden/>
    <w:unhideWhenUsed/>
    <w:qFormat/>
    <w:uiPriority w:val="99"/>
    <w:pPr>
      <w:jc w:val="left"/>
    </w:pPr>
  </w:style>
  <w:style w:type="paragraph" w:styleId="11">
    <w:name w:val="Body Text Indent"/>
    <w:basedOn w:val="1"/>
    <w:link w:val="34"/>
    <w:qFormat/>
    <w:uiPriority w:val="0"/>
    <w:pPr>
      <w:spacing w:line="360" w:lineRule="auto"/>
      <w:ind w:firstLine="359" w:firstLineChars="171"/>
    </w:pPr>
    <w:rPr>
      <w:lang w:val="zh-CN"/>
    </w:rPr>
  </w:style>
  <w:style w:type="paragraph" w:styleId="12">
    <w:name w:val="Body Text Indent 2"/>
    <w:basedOn w:val="1"/>
    <w:link w:val="33"/>
    <w:qFormat/>
    <w:uiPriority w:val="0"/>
    <w:pPr>
      <w:spacing w:line="360" w:lineRule="auto"/>
      <w:ind w:firstLine="480"/>
      <w:outlineLvl w:val="0"/>
    </w:pPr>
    <w:rPr>
      <w:rFonts w:ascii="仿宋_GB2312" w:hAnsi="Calibri" w:eastAsia="仿宋_GB2312"/>
      <w:sz w:val="24"/>
      <w:szCs w:val="20"/>
    </w:rPr>
  </w:style>
  <w:style w:type="paragraph" w:styleId="13">
    <w:name w:val="Balloon Text"/>
    <w:basedOn w:val="1"/>
    <w:link w:val="37"/>
    <w:semiHidden/>
    <w:unhideWhenUsed/>
    <w:qFormat/>
    <w:uiPriority w:val="99"/>
    <w:rPr>
      <w:sz w:val="18"/>
      <w:szCs w:val="18"/>
    </w:rPr>
  </w:style>
  <w:style w:type="paragraph" w:styleId="14">
    <w:name w:val="footer"/>
    <w:basedOn w:val="1"/>
    <w:link w:val="25"/>
    <w:unhideWhenUsed/>
    <w:qFormat/>
    <w:uiPriority w:val="99"/>
    <w:pPr>
      <w:tabs>
        <w:tab w:val="center" w:pos="4153"/>
        <w:tab w:val="right" w:pos="8306"/>
      </w:tabs>
      <w:snapToGrid w:val="0"/>
      <w:jc w:val="left"/>
    </w:pPr>
    <w:rPr>
      <w:sz w:val="18"/>
      <w:szCs w:val="18"/>
    </w:rPr>
  </w:style>
  <w:style w:type="paragraph" w:styleId="15">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toc 2"/>
    <w:basedOn w:val="1"/>
    <w:next w:val="1"/>
    <w:unhideWhenUsed/>
    <w:qFormat/>
    <w:uiPriority w:val="39"/>
    <w:pPr>
      <w:ind w:left="420" w:leftChars="200"/>
    </w:p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10"/>
    <w:next w:val="10"/>
    <w:link w:val="39"/>
    <w:semiHidden/>
    <w:unhideWhenUsed/>
    <w:qFormat/>
    <w:uiPriority w:val="99"/>
    <w:rPr>
      <w:b/>
      <w:bCs/>
    </w:rPr>
  </w:style>
  <w:style w:type="character" w:styleId="22">
    <w:name w:val="Hyperlink"/>
    <w:qFormat/>
    <w:uiPriority w:val="99"/>
    <w:rPr>
      <w:color w:val="0000FF"/>
      <w:u w:val="single"/>
    </w:rPr>
  </w:style>
  <w:style w:type="character" w:styleId="23">
    <w:name w:val="annotation reference"/>
    <w:basedOn w:val="21"/>
    <w:semiHidden/>
    <w:unhideWhenUsed/>
    <w:qFormat/>
    <w:uiPriority w:val="99"/>
    <w:rPr>
      <w:sz w:val="21"/>
      <w:szCs w:val="21"/>
    </w:rPr>
  </w:style>
  <w:style w:type="character" w:customStyle="1" w:styleId="24">
    <w:name w:val="页眉 字符"/>
    <w:basedOn w:val="21"/>
    <w:link w:val="15"/>
    <w:qFormat/>
    <w:uiPriority w:val="99"/>
    <w:rPr>
      <w:sz w:val="18"/>
      <w:szCs w:val="18"/>
    </w:rPr>
  </w:style>
  <w:style w:type="character" w:customStyle="1" w:styleId="25">
    <w:name w:val="页脚 字符"/>
    <w:basedOn w:val="21"/>
    <w:link w:val="14"/>
    <w:qFormat/>
    <w:uiPriority w:val="99"/>
    <w:rPr>
      <w:sz w:val="18"/>
      <w:szCs w:val="18"/>
    </w:rPr>
  </w:style>
  <w:style w:type="character" w:customStyle="1" w:styleId="26">
    <w:name w:val="标题 1 字符"/>
    <w:basedOn w:val="21"/>
    <w:link w:val="2"/>
    <w:qFormat/>
    <w:uiPriority w:val="0"/>
    <w:rPr>
      <w:rFonts w:ascii="黑体" w:hAnsi="Times New Roman" w:eastAsia="黑体" w:cs="Times New Roman"/>
      <w:b/>
      <w:kern w:val="44"/>
      <w:sz w:val="32"/>
      <w:szCs w:val="20"/>
      <w:lang w:val="zh-CN" w:eastAsia="zh-CN"/>
    </w:rPr>
  </w:style>
  <w:style w:type="character" w:customStyle="1" w:styleId="27">
    <w:name w:val="标题 2 字符"/>
    <w:basedOn w:val="21"/>
    <w:link w:val="3"/>
    <w:qFormat/>
    <w:uiPriority w:val="0"/>
    <w:rPr>
      <w:rFonts w:ascii="Arial" w:hAnsi="Arial" w:eastAsia="黑体" w:cs="Times New Roman"/>
      <w:b/>
      <w:bCs/>
      <w:sz w:val="32"/>
      <w:szCs w:val="32"/>
    </w:rPr>
  </w:style>
  <w:style w:type="character" w:customStyle="1" w:styleId="28">
    <w:name w:val="标题 3 字符"/>
    <w:basedOn w:val="21"/>
    <w:link w:val="4"/>
    <w:qFormat/>
    <w:uiPriority w:val="0"/>
    <w:rPr>
      <w:rFonts w:ascii="Arial" w:hAnsi="Arial" w:eastAsia="仿宋_GB2312" w:cs="Times New Roman"/>
      <w:b/>
      <w:sz w:val="24"/>
      <w:szCs w:val="20"/>
      <w:lang w:val="zh-CN" w:eastAsia="zh-CN"/>
    </w:rPr>
  </w:style>
  <w:style w:type="character" w:customStyle="1" w:styleId="29">
    <w:name w:val="标题 4 字符"/>
    <w:basedOn w:val="21"/>
    <w:link w:val="5"/>
    <w:qFormat/>
    <w:uiPriority w:val="0"/>
    <w:rPr>
      <w:rFonts w:ascii="Arial" w:hAnsi="Arial" w:eastAsia="仿宋_GB2312" w:cs="Times New Roman"/>
      <w:sz w:val="24"/>
      <w:szCs w:val="20"/>
      <w:lang w:val="zh-CN" w:eastAsia="zh-CN"/>
    </w:rPr>
  </w:style>
  <w:style w:type="character" w:customStyle="1" w:styleId="30">
    <w:name w:val="标题 5 字符"/>
    <w:basedOn w:val="21"/>
    <w:link w:val="6"/>
    <w:qFormat/>
    <w:uiPriority w:val="0"/>
    <w:rPr>
      <w:rFonts w:ascii="Arial" w:hAnsi="Arial" w:eastAsia="仿宋_GB2312" w:cs="Times New Roman"/>
      <w:sz w:val="24"/>
      <w:szCs w:val="20"/>
      <w:lang w:val="zh-CN" w:eastAsia="zh-CN"/>
    </w:rPr>
  </w:style>
  <w:style w:type="character" w:customStyle="1" w:styleId="31">
    <w:name w:val="标题 6 字符"/>
    <w:basedOn w:val="21"/>
    <w:link w:val="7"/>
    <w:qFormat/>
    <w:uiPriority w:val="0"/>
    <w:rPr>
      <w:rFonts w:ascii="Arial" w:hAnsi="Arial" w:eastAsia="仿宋_GB2312" w:cs="Times New Roman"/>
      <w:sz w:val="24"/>
      <w:szCs w:val="20"/>
      <w:lang w:val="zh-CN" w:eastAsia="zh-CN"/>
    </w:rPr>
  </w:style>
  <w:style w:type="character" w:customStyle="1" w:styleId="32">
    <w:name w:val="标题 7 字符"/>
    <w:basedOn w:val="21"/>
    <w:link w:val="8"/>
    <w:qFormat/>
    <w:uiPriority w:val="0"/>
    <w:rPr>
      <w:rFonts w:ascii="仿宋_GB2312" w:hAnsi="Times New Roman" w:eastAsia="仿宋_GB2312" w:cs="Times New Roman"/>
      <w:sz w:val="24"/>
      <w:szCs w:val="20"/>
      <w:lang w:val="zh-CN" w:eastAsia="zh-CN"/>
    </w:rPr>
  </w:style>
  <w:style w:type="character" w:customStyle="1" w:styleId="33">
    <w:name w:val="正文文本缩进 2 字符"/>
    <w:basedOn w:val="21"/>
    <w:link w:val="12"/>
    <w:qFormat/>
    <w:uiPriority w:val="0"/>
    <w:rPr>
      <w:rFonts w:ascii="仿宋_GB2312" w:hAnsi="Calibri" w:eastAsia="仿宋_GB2312" w:cs="Times New Roman"/>
      <w:sz w:val="24"/>
      <w:szCs w:val="20"/>
    </w:rPr>
  </w:style>
  <w:style w:type="character" w:customStyle="1" w:styleId="34">
    <w:name w:val="正文文本缩进 字符"/>
    <w:basedOn w:val="21"/>
    <w:link w:val="11"/>
    <w:qFormat/>
    <w:uiPriority w:val="0"/>
    <w:rPr>
      <w:rFonts w:ascii="Times New Roman" w:hAnsi="Times New Roman" w:eastAsia="宋体" w:cs="Times New Roman"/>
      <w:szCs w:val="24"/>
      <w:lang w:val="zh-CN" w:eastAsia="zh-CN"/>
    </w:rPr>
  </w:style>
  <w:style w:type="character" w:customStyle="1" w:styleId="35">
    <w:name w:val="正文缩进 字符"/>
    <w:link w:val="9"/>
    <w:qFormat/>
    <w:uiPriority w:val="99"/>
    <w:rPr>
      <w:rFonts w:ascii="Calibri" w:hAnsi="Calibri" w:eastAsia="宋体" w:cs="Times New Roman"/>
      <w:szCs w:val="24"/>
    </w:rPr>
  </w:style>
  <w:style w:type="paragraph" w:customStyle="1" w:styleId="36">
    <w:name w:val="正文正文"/>
    <w:basedOn w:val="1"/>
    <w:qFormat/>
    <w:uiPriority w:val="99"/>
    <w:pPr>
      <w:spacing w:after="25" w:afterLines="25" w:line="360" w:lineRule="auto"/>
      <w:ind w:firstLine="200" w:firstLineChars="200"/>
    </w:pPr>
    <w:rPr>
      <w:sz w:val="24"/>
    </w:rPr>
  </w:style>
  <w:style w:type="character" w:customStyle="1" w:styleId="37">
    <w:name w:val="批注框文本 字符"/>
    <w:basedOn w:val="21"/>
    <w:link w:val="13"/>
    <w:semiHidden/>
    <w:qFormat/>
    <w:uiPriority w:val="99"/>
    <w:rPr>
      <w:rFonts w:ascii="Times New Roman" w:hAnsi="Times New Roman" w:eastAsia="宋体" w:cs="Times New Roman"/>
      <w:sz w:val="18"/>
      <w:szCs w:val="18"/>
    </w:rPr>
  </w:style>
  <w:style w:type="character" w:customStyle="1" w:styleId="38">
    <w:name w:val="批注文字 字符"/>
    <w:basedOn w:val="21"/>
    <w:link w:val="10"/>
    <w:semiHidden/>
    <w:qFormat/>
    <w:uiPriority w:val="99"/>
    <w:rPr>
      <w:rFonts w:ascii="Times New Roman" w:hAnsi="Times New Roman" w:eastAsia="宋体" w:cs="Times New Roman"/>
      <w:szCs w:val="24"/>
    </w:rPr>
  </w:style>
  <w:style w:type="character" w:customStyle="1" w:styleId="39">
    <w:name w:val="批注主题 字符"/>
    <w:basedOn w:val="38"/>
    <w:link w:val="19"/>
    <w:semiHidden/>
    <w:qFormat/>
    <w:uiPriority w:val="99"/>
    <w:rPr>
      <w:rFonts w:ascii="Times New Roman" w:hAnsi="Times New Roman" w:eastAsia="宋体" w:cs="Times New Roman"/>
      <w:b/>
      <w:bCs/>
      <w:szCs w:val="24"/>
    </w:rPr>
  </w:style>
  <w:style w:type="paragraph" w:styleId="40">
    <w:name w:val="List Paragraph"/>
    <w:basedOn w:val="1"/>
    <w:qFormat/>
    <w:uiPriority w:val="99"/>
    <w:pPr>
      <w:ind w:firstLine="420" w:firstLineChars="200"/>
    </w:pPr>
  </w:style>
  <w:style w:type="paragraph" w:customStyle="1" w:styleId="4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4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44">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4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F892CA87AC3C449149E796A069584A" ma:contentTypeVersion="0" ma:contentTypeDescription="Create a new document." ma:contentTypeScope="" ma:versionID="36a0b2e3b99e6066eb4e892e704603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F5742A-0804-4EE7-82C3-FFA26765DCAB}">
  <ds:schemaRefs/>
</ds:datastoreItem>
</file>

<file path=customXml/itemProps3.xml><?xml version="1.0" encoding="utf-8"?>
<ds:datastoreItem xmlns:ds="http://schemas.openxmlformats.org/officeDocument/2006/customXml" ds:itemID="{AEBE3C01-D181-41ED-B4C0-AA1172EE0ED7}">
  <ds:schemaRefs/>
</ds:datastoreItem>
</file>

<file path=customXml/itemProps4.xml><?xml version="1.0" encoding="utf-8"?>
<ds:datastoreItem xmlns:ds="http://schemas.openxmlformats.org/officeDocument/2006/customXml" ds:itemID="{7CBFDEE4-661F-471F-9485-ECA3FBAF7C47}">
  <ds:schemaRefs/>
</ds:datastoreItem>
</file>

<file path=customXml/itemProps5.xml><?xml version="1.0" encoding="utf-8"?>
<ds:datastoreItem xmlns:ds="http://schemas.openxmlformats.org/officeDocument/2006/customXml" ds:itemID="{E87D0168-16D8-4DAF-9108-2B5D74F65D5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4469</Words>
  <Characters>25475</Characters>
  <Lines>212</Lines>
  <Paragraphs>59</Paragraphs>
  <TotalTime>1</TotalTime>
  <ScaleCrop>false</ScaleCrop>
  <LinksUpToDate>false</LinksUpToDate>
  <CharactersWithSpaces>29885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2022-02-28T10:06:00Z</dcterms:created>
  <dc:creator>Administrator</dc:creator>
  <cp:lastModifiedBy>张俊杰</cp:lastModifiedBy>
  <dcterms:modified xsi:type="dcterms:W3CDTF">2022-05-25T03:16:18Z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0x0101005CF892CA87AC3C449149E796A069584A</vt:lpwstr>
  </property>
  <property fmtid="{D5CDD505-2E9C-101B-9397-08002B2CF9AE}" pid="3" name="KSOProductBuildVer">
    <vt:lpwstr>2052-11.8.2.9022</vt:lpwstr>
  </property>
</Properties>
</file>